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73246" w14:textId="77777777" w:rsidR="009129B8" w:rsidRDefault="00A1484D" w:rsidP="002D2134">
      <w:pPr>
        <w:spacing w:line="240" w:lineRule="auto"/>
        <w:jc w:val="center"/>
        <w:rPr>
          <w:rFonts w:ascii="Cambria" w:hAnsi="Cambria"/>
          <w:b/>
          <w:sz w:val="32"/>
        </w:rPr>
      </w:pPr>
      <w:bookmarkStart w:id="0" w:name="_GoBack"/>
      <w:bookmarkEnd w:id="0"/>
      <w:r w:rsidRPr="00A1484D">
        <w:rPr>
          <w:rFonts w:ascii="Cambria" w:hAnsi="Cambria"/>
          <w:b/>
          <w:sz w:val="32"/>
        </w:rPr>
        <w:t>Základní body nutné pro ověření informací souvisejících se smluvním výzkumem</w:t>
      </w:r>
    </w:p>
    <w:p w14:paraId="71F0495F" w14:textId="3950EACD" w:rsidR="00A1484D" w:rsidRPr="00BD085D" w:rsidRDefault="3D2E3A22" w:rsidP="3D2E3A22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3D2E3A22">
        <w:rPr>
          <w:rFonts w:ascii="Cambria" w:hAnsi="Cambria"/>
          <w:sz w:val="24"/>
          <w:szCs w:val="24"/>
        </w:rPr>
        <w:t xml:space="preserve">Smlouva o provádění výzkumu je zaměřena ryze na smluvní výzkum (tedy například obchodní společnost </w:t>
      </w:r>
      <w:proofErr w:type="gramStart"/>
      <w:r w:rsidRPr="3D2E3A22">
        <w:rPr>
          <w:rFonts w:ascii="Cambria" w:hAnsi="Cambria"/>
          <w:sz w:val="24"/>
          <w:szCs w:val="24"/>
        </w:rPr>
        <w:t>od</w:t>
      </w:r>
      <w:proofErr w:type="gramEnd"/>
      <w:r w:rsidRPr="3D2E3A22">
        <w:rPr>
          <w:rFonts w:ascii="Cambria" w:hAnsi="Cambria"/>
          <w:sz w:val="24"/>
          <w:szCs w:val="24"/>
        </w:rPr>
        <w:t xml:space="preserve"> MU </w:t>
      </w:r>
      <w:proofErr w:type="gramStart"/>
      <w:r w:rsidRPr="3D2E3A22">
        <w:rPr>
          <w:rFonts w:ascii="Cambria" w:hAnsi="Cambria"/>
          <w:sz w:val="24"/>
          <w:szCs w:val="24"/>
        </w:rPr>
        <w:t>objedná</w:t>
      </w:r>
      <w:proofErr w:type="gramEnd"/>
      <w:r w:rsidRPr="3D2E3A22">
        <w:rPr>
          <w:rFonts w:ascii="Cambria" w:hAnsi="Cambria"/>
          <w:sz w:val="24"/>
          <w:szCs w:val="24"/>
        </w:rPr>
        <w:t xml:space="preserve"> za úplatu ke zhotovení analýzu, kterou chce dále užívat). Ostatní smluvní typy (</w:t>
      </w:r>
      <w:proofErr w:type="spellStart"/>
      <w:r w:rsidRPr="3D2E3A22">
        <w:rPr>
          <w:rFonts w:ascii="Cambria" w:hAnsi="Cambria"/>
          <w:sz w:val="24"/>
          <w:szCs w:val="24"/>
        </w:rPr>
        <w:t>kolaborativní</w:t>
      </w:r>
      <w:proofErr w:type="spellEnd"/>
      <w:r w:rsidRPr="3D2E3A22">
        <w:rPr>
          <w:rFonts w:ascii="Cambria" w:hAnsi="Cambria"/>
          <w:sz w:val="24"/>
          <w:szCs w:val="24"/>
        </w:rPr>
        <w:t xml:space="preserve"> výzkum, spolupráce atd.) je nutno nastavit odlišně.</w:t>
      </w:r>
    </w:p>
    <w:p w14:paraId="0C315C5E" w14:textId="77777777" w:rsidR="00BD085D" w:rsidRPr="00BD085D" w:rsidRDefault="00BD085D" w:rsidP="00BD085D">
      <w:pPr>
        <w:spacing w:line="240" w:lineRule="auto"/>
        <w:jc w:val="both"/>
        <w:rPr>
          <w:rFonts w:ascii="Cambria" w:hAnsi="Cambria"/>
          <w:sz w:val="24"/>
        </w:rPr>
      </w:pPr>
    </w:p>
    <w:p w14:paraId="2A3BA638" w14:textId="77777777" w:rsidR="00A1484D" w:rsidRPr="00BD085D" w:rsidRDefault="00A1484D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 xml:space="preserve">Identifikace smluvních </w:t>
      </w:r>
      <w:r w:rsidR="00C74D55" w:rsidRPr="00BD085D">
        <w:rPr>
          <w:rFonts w:ascii="Cambria" w:hAnsi="Cambria"/>
          <w:b/>
          <w:sz w:val="24"/>
        </w:rPr>
        <w:t>stran</w:t>
      </w:r>
      <w:r w:rsidR="00CD183F" w:rsidRPr="00BD085D">
        <w:rPr>
          <w:rFonts w:ascii="Cambria" w:hAnsi="Cambria"/>
          <w:b/>
          <w:sz w:val="24"/>
        </w:rPr>
        <w:t xml:space="preserve"> (úvod)</w:t>
      </w:r>
    </w:p>
    <w:p w14:paraId="4D647627" w14:textId="77777777" w:rsidR="00A1484D" w:rsidRPr="00BD085D" w:rsidRDefault="00A1484D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>Nejedná se jen o identifikační údaje, ale také vymezení rozsahu činností, které smluvní strany provádí a na co se konkrétně zaměřují</w:t>
      </w:r>
    </w:p>
    <w:p w14:paraId="22159EC5" w14:textId="77777777" w:rsidR="002D2134" w:rsidRPr="00BD085D" w:rsidRDefault="002D2134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3278B4EC" w14:textId="77777777" w:rsidR="00A1484D" w:rsidRPr="00BD085D" w:rsidRDefault="00A1484D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>Obecné vymezení výzkumu (čl. 2)</w:t>
      </w:r>
    </w:p>
    <w:p w14:paraId="5BC194E7" w14:textId="77777777" w:rsidR="00A1484D" w:rsidRPr="00BD085D" w:rsidRDefault="00A1484D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>Jedná se především o obecné vymezení výzkumu a nastavení cíle, ke kterému výzkum směřuje</w:t>
      </w:r>
      <w:r w:rsidR="002D2134" w:rsidRPr="00BD085D">
        <w:rPr>
          <w:rFonts w:ascii="Cambria" w:hAnsi="Cambria"/>
          <w:sz w:val="24"/>
        </w:rPr>
        <w:t>.</w:t>
      </w:r>
    </w:p>
    <w:p w14:paraId="2C7A5396" w14:textId="77777777" w:rsidR="002D2134" w:rsidRPr="00BD085D" w:rsidRDefault="002D2134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6BE56A05" w14:textId="77777777" w:rsidR="00A1484D" w:rsidRPr="00BD085D" w:rsidRDefault="00A1484D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>Plán Výzkumu (čl. 3 + příloha)</w:t>
      </w:r>
    </w:p>
    <w:p w14:paraId="5B213B6C" w14:textId="77777777" w:rsidR="00A1484D" w:rsidRPr="00BD085D" w:rsidRDefault="00A1484D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 xml:space="preserve">Je nezbytné, aby výzkum nebyl definován jen obecně, je rovněž nutno stanovit jeho jednotlivé etapy, milníky apod., které by měly být ideálně uvedeny v příloze ke smlouvě a více a detailněji definovány. </w:t>
      </w:r>
    </w:p>
    <w:p w14:paraId="24F196F2" w14:textId="77777777" w:rsidR="002D2134" w:rsidRPr="00BD085D" w:rsidRDefault="002D2134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63388D4A" w14:textId="77777777" w:rsidR="00A1484D" w:rsidRPr="00BD085D" w:rsidRDefault="00A1484D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>Vstupní duševní vlastnictví (čl. 4)</w:t>
      </w:r>
    </w:p>
    <w:p w14:paraId="0B9145C0" w14:textId="77777777" w:rsidR="00A1484D" w:rsidRPr="00BD085D" w:rsidRDefault="00A1484D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>Je vhodné uvést, s jakým duševním vlastnictvím strany do spolupráce vstupují. To totiž po ukončení spolupráce ideálně zůstane v užívání té straně, která jej poskytla. Může se jednat o vnesené know-how, autorské dílo, obchodní tajemství či o jiné duševní vlastnictví (případně i registrované, jako např. patent).</w:t>
      </w:r>
    </w:p>
    <w:p w14:paraId="5F2D7F82" w14:textId="77777777" w:rsidR="002D2134" w:rsidRPr="00BD085D" w:rsidRDefault="002D2134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6F81973C" w14:textId="77777777" w:rsidR="00CD183F" w:rsidRPr="00BD085D" w:rsidRDefault="00CD183F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>Místo plnění, doba (čl. 6)</w:t>
      </w:r>
    </w:p>
    <w:p w14:paraId="5993C00C" w14:textId="77777777" w:rsidR="00CD183F" w:rsidRPr="00BD085D" w:rsidRDefault="00CD183F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 xml:space="preserve">Zde je určeno, kde dochází k plnění (místo), a po jak dlouhou dobu (zde lze nastavit obecný termín, jednotlivé časové etapy je pak vhodné více rozpracovat právě v příloze č. 1). </w:t>
      </w:r>
    </w:p>
    <w:p w14:paraId="143B71E4" w14:textId="77777777" w:rsidR="002D2134" w:rsidRPr="00BD085D" w:rsidRDefault="002D2134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478CF006" w14:textId="77777777" w:rsidR="00CD183F" w:rsidRPr="00BD085D" w:rsidRDefault="00CD183F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>Odpovědné osoby (čl. 7)</w:t>
      </w:r>
    </w:p>
    <w:p w14:paraId="04E0F8DD" w14:textId="77777777" w:rsidR="00CD183F" w:rsidRPr="00BD085D" w:rsidRDefault="00CD183F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>Identifikace odpovědných osob, které mají průběh spolupráce na starosti.</w:t>
      </w:r>
    </w:p>
    <w:p w14:paraId="45B7F23A" w14:textId="7D95AC40" w:rsidR="002D2134" w:rsidRDefault="002D2134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71FE11CD" w14:textId="77777777" w:rsidR="00BD085D" w:rsidRPr="00BD085D" w:rsidRDefault="00BD085D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3CD480E6" w14:textId="77777777" w:rsidR="00CD183F" w:rsidRPr="00BD085D" w:rsidRDefault="00CD183F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lastRenderedPageBreak/>
        <w:t>Doručovací adresy (čl. 8)</w:t>
      </w:r>
    </w:p>
    <w:p w14:paraId="3F61CBA0" w14:textId="77777777" w:rsidR="002D2134" w:rsidRPr="00BD085D" w:rsidRDefault="002D2134" w:rsidP="002D2134">
      <w:pPr>
        <w:pStyle w:val="Odstavecseseznamem"/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</w:p>
    <w:p w14:paraId="25CD8B53" w14:textId="77777777" w:rsidR="00CD183F" w:rsidRPr="00BD085D" w:rsidRDefault="00CD183F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>Cena za provádění výzkumu (čl. 9)</w:t>
      </w:r>
    </w:p>
    <w:p w14:paraId="5966AC98" w14:textId="77777777" w:rsidR="00CD183F" w:rsidRPr="00BD085D" w:rsidRDefault="00CD183F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 xml:space="preserve">Zde je stanovena cena za provádění výzkumu, případně její celková hodnota. Lze nastavit i jednotlivé etapy, kdy bude cena za provádění výzkumu placena postupně na základě zhotovení jednotlivých dílčích výsledků. </w:t>
      </w:r>
    </w:p>
    <w:p w14:paraId="52F81AF5" w14:textId="77777777" w:rsidR="002D2134" w:rsidRPr="00BD085D" w:rsidRDefault="002D2134" w:rsidP="002D2134">
      <w:pPr>
        <w:pStyle w:val="Odstavecseseznamem"/>
        <w:spacing w:line="240" w:lineRule="auto"/>
        <w:ind w:left="1440"/>
        <w:contextualSpacing w:val="0"/>
        <w:jc w:val="both"/>
        <w:rPr>
          <w:rFonts w:ascii="Cambria" w:hAnsi="Cambria"/>
          <w:sz w:val="24"/>
        </w:rPr>
      </w:pPr>
    </w:p>
    <w:p w14:paraId="132F1DBF" w14:textId="77777777" w:rsidR="00CD183F" w:rsidRPr="00BD085D" w:rsidRDefault="00CD183F" w:rsidP="002D2134">
      <w:pPr>
        <w:pStyle w:val="Odstavecseseznamem"/>
        <w:numPr>
          <w:ilvl w:val="0"/>
          <w:numId w:val="1"/>
        </w:numPr>
        <w:spacing w:line="240" w:lineRule="auto"/>
        <w:contextualSpacing w:val="0"/>
        <w:jc w:val="both"/>
        <w:rPr>
          <w:rFonts w:ascii="Cambria" w:hAnsi="Cambria"/>
          <w:b/>
          <w:sz w:val="24"/>
        </w:rPr>
      </w:pPr>
      <w:r w:rsidRPr="00BD085D">
        <w:rPr>
          <w:rFonts w:ascii="Cambria" w:hAnsi="Cambria"/>
          <w:b/>
          <w:sz w:val="24"/>
        </w:rPr>
        <w:t>Doba trvání (čl. 10)</w:t>
      </w:r>
    </w:p>
    <w:p w14:paraId="1194DBB7" w14:textId="77777777" w:rsidR="00CD183F" w:rsidRPr="00BD085D" w:rsidRDefault="00CD183F" w:rsidP="002D2134">
      <w:pPr>
        <w:pStyle w:val="Odstavecseseznamem"/>
        <w:numPr>
          <w:ilvl w:val="1"/>
          <w:numId w:val="1"/>
        </w:numPr>
        <w:spacing w:line="240" w:lineRule="auto"/>
        <w:contextualSpacing w:val="0"/>
        <w:jc w:val="both"/>
        <w:rPr>
          <w:rFonts w:ascii="Cambria" w:hAnsi="Cambria"/>
          <w:sz w:val="24"/>
        </w:rPr>
      </w:pPr>
      <w:r w:rsidRPr="00BD085D">
        <w:rPr>
          <w:rFonts w:ascii="Cambria" w:hAnsi="Cambria"/>
          <w:sz w:val="24"/>
        </w:rPr>
        <w:t xml:space="preserve">Zde je </w:t>
      </w:r>
      <w:r w:rsidR="002D2134" w:rsidRPr="00BD085D">
        <w:rPr>
          <w:rFonts w:ascii="Cambria" w:hAnsi="Cambria"/>
          <w:sz w:val="24"/>
        </w:rPr>
        <w:t xml:space="preserve">stanovena doba trvání spolupráce, která se nemusí shodovat se dnem odevzdání finálního výsledku (viz čl. 6). Neměla by ale zásadním způsobem překračovat tuto dobu, jedná se spíše o pokrytí případné závěrečné komunikace mezi stranami, případně doplňování finálních výsledků. </w:t>
      </w:r>
    </w:p>
    <w:sectPr w:rsidR="00CD183F" w:rsidRPr="00BD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70F7"/>
    <w:multiLevelType w:val="hybridMultilevel"/>
    <w:tmpl w:val="6682FB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55"/>
    <w:rsid w:val="002D2134"/>
    <w:rsid w:val="009129B8"/>
    <w:rsid w:val="00A1484D"/>
    <w:rsid w:val="00B40555"/>
    <w:rsid w:val="00BD085D"/>
    <w:rsid w:val="00C74D55"/>
    <w:rsid w:val="00CD183F"/>
    <w:rsid w:val="00D85628"/>
    <w:rsid w:val="3D2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0286"/>
  <w15:chartTrackingRefBased/>
  <w15:docId w15:val="{9ABA12CC-C98E-4DED-8E1D-5D307AE4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Loutocký</dc:creator>
  <cp:keywords/>
  <dc:description/>
  <cp:lastModifiedBy>Marcollová Daniela</cp:lastModifiedBy>
  <cp:revision>2</cp:revision>
  <dcterms:created xsi:type="dcterms:W3CDTF">2019-08-13T07:01:00Z</dcterms:created>
  <dcterms:modified xsi:type="dcterms:W3CDTF">2019-08-13T07:01:00Z</dcterms:modified>
</cp:coreProperties>
</file>