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676" w:rsidRDefault="00743676" w:rsidP="00743676">
      <w:pPr>
        <w:pStyle w:val="Vcdopisu"/>
        <w:rPr>
          <w:rFonts w:cs="Arial"/>
          <w:sz w:val="22"/>
        </w:rPr>
      </w:pPr>
      <w:r w:rsidRPr="00C456FB">
        <w:rPr>
          <w:rFonts w:cs="Arial"/>
          <w:sz w:val="22"/>
        </w:rPr>
        <w:t>Vzorové otázky pro přijímací řízení do nava</w:t>
      </w:r>
      <w:r>
        <w:rPr>
          <w:rFonts w:cs="Arial"/>
          <w:sz w:val="22"/>
        </w:rPr>
        <w:t xml:space="preserve">zujícího magisterského studia </w:t>
      </w:r>
    </w:p>
    <w:p w:rsidR="00743676" w:rsidRPr="00C456FB" w:rsidRDefault="00743676" w:rsidP="00743676">
      <w:pPr>
        <w:pStyle w:val="Vcdopisu"/>
        <w:spacing w:before="0"/>
        <w:jc w:val="center"/>
        <w:rPr>
          <w:rFonts w:cs="Arial"/>
          <w:sz w:val="22"/>
        </w:rPr>
      </w:pPr>
      <w:r w:rsidRPr="00C456FB">
        <w:rPr>
          <w:rFonts w:cs="Arial"/>
          <w:sz w:val="22"/>
        </w:rPr>
        <w:t>Regionální rozvoj</w:t>
      </w:r>
      <w:r>
        <w:rPr>
          <w:rFonts w:cs="Arial"/>
          <w:sz w:val="22"/>
        </w:rPr>
        <w:t xml:space="preserve"> a správa</w:t>
      </w:r>
    </w:p>
    <w:p w:rsidR="00743676" w:rsidRPr="00C456FB" w:rsidRDefault="00743676" w:rsidP="00743676">
      <w:pPr>
        <w:pStyle w:val="Tlodopisu"/>
        <w:jc w:val="both"/>
        <w:rPr>
          <w:i/>
        </w:rPr>
      </w:pPr>
      <w:r>
        <w:rPr>
          <w:i/>
        </w:rPr>
        <w:t xml:space="preserve">Rozsah testovaných znalostí odpovídá </w:t>
      </w:r>
      <w:r w:rsidRPr="00C456FB">
        <w:rPr>
          <w:i/>
        </w:rPr>
        <w:t xml:space="preserve">předpokládaným znalostem získaných na bakalářském stupni </w:t>
      </w:r>
      <w:r>
        <w:rPr>
          <w:i/>
        </w:rPr>
        <w:t xml:space="preserve">studia v oblasti ekonomických oborů se </w:t>
      </w:r>
      <w:r w:rsidRPr="00C456FB">
        <w:rPr>
          <w:i/>
        </w:rPr>
        <w:t>zaměření</w:t>
      </w:r>
      <w:r>
        <w:rPr>
          <w:i/>
        </w:rPr>
        <w:t>m na regionální problematiku</w:t>
      </w:r>
      <w:r w:rsidRPr="00C456FB">
        <w:rPr>
          <w:i/>
        </w:rPr>
        <w:t>.</w:t>
      </w:r>
      <w:r>
        <w:rPr>
          <w:i/>
        </w:rPr>
        <w:t xml:space="preserve"> Předmětem testu jsou znalosti z oblasti regionální ekonomie, regionální politiky, veřejné správy, evropské integrace, environmentální ekonomie, územního plánování a demografie.</w:t>
      </w:r>
    </w:p>
    <w:p w:rsidR="00743676" w:rsidRPr="00C456FB" w:rsidRDefault="00743676" w:rsidP="00743676">
      <w:pPr>
        <w:pStyle w:val="Tlodopisu"/>
        <w:jc w:val="both"/>
        <w:rPr>
          <w:i/>
        </w:rPr>
      </w:pPr>
      <w:r>
        <w:rPr>
          <w:i/>
        </w:rPr>
        <w:t>U každé otázky je na výběr ze čtyř možností, přičemž jenom jedna z nich je správná. Za</w:t>
      </w:r>
      <w:r w:rsidRPr="00C456FB">
        <w:rPr>
          <w:i/>
        </w:rPr>
        <w:t xml:space="preserve"> správně zodpovězenou otázku získá uchazeč 1 bod, za chybnou odpověď 0 bodů. 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43676" w:rsidRPr="00CF4C37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CF4C37">
        <w:rPr>
          <w:rFonts w:ascii="Arial" w:hAnsi="Arial" w:cs="Arial"/>
          <w:sz w:val="20"/>
          <w:szCs w:val="20"/>
        </w:rPr>
        <w:t>Weber, významný představitel regionální ekonomie, je spojován s: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b/>
          <w:sz w:val="20"/>
          <w:szCs w:val="20"/>
        </w:rPr>
      </w:pPr>
      <w:r w:rsidRPr="004202EC">
        <w:rPr>
          <w:rFonts w:ascii="Arial" w:hAnsi="Arial" w:cs="Arial"/>
          <w:b/>
          <w:sz w:val="20"/>
          <w:szCs w:val="20"/>
        </w:rPr>
        <w:t>teorií lokalizace průmyslu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202EC">
        <w:rPr>
          <w:rFonts w:ascii="Arial" w:hAnsi="Arial" w:cs="Arial"/>
          <w:sz w:val="20"/>
          <w:szCs w:val="20"/>
        </w:rPr>
        <w:t>modelem izolovaného hospodářství demonstrovaného na zemědělství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202EC">
        <w:rPr>
          <w:rFonts w:ascii="Arial" w:hAnsi="Arial" w:cs="Arial"/>
          <w:sz w:val="20"/>
          <w:szCs w:val="20"/>
        </w:rPr>
        <w:t>teorií přirozeného monopolu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="Arial" w:hAnsi="Arial" w:cs="Arial"/>
          <w:sz w:val="20"/>
          <w:szCs w:val="20"/>
        </w:rPr>
      </w:pPr>
      <w:r w:rsidRPr="004202EC">
        <w:rPr>
          <w:rFonts w:ascii="Arial" w:hAnsi="Arial" w:cs="Arial"/>
          <w:sz w:val="20"/>
          <w:szCs w:val="20"/>
        </w:rPr>
        <w:t>teorií polarizovaného rozvoje</w:t>
      </w: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Příkladem nodálního regionu je:</w:t>
      </w:r>
    </w:p>
    <w:p w:rsidR="00743676" w:rsidRDefault="00743676" w:rsidP="00743676">
      <w:pPr>
        <w:pStyle w:val="Odstavecseseznamem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venkovské území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2EC">
        <w:rPr>
          <w:rFonts w:ascii="Arial" w:hAnsi="Arial" w:cs="Arial"/>
          <w:b/>
          <w:sz w:val="20"/>
          <w:szCs w:val="20"/>
        </w:rPr>
        <w:t>město a jeho zázemí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horský region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městské území</w:t>
      </w: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Teorie polarizovaného rozvoje se zabývá</w:t>
      </w:r>
    </w:p>
    <w:p w:rsidR="00743676" w:rsidRDefault="00743676" w:rsidP="00743676">
      <w:pPr>
        <w:pStyle w:val="Odstavecseseznamem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faktory ovlivňujícími lokalizaci ekonomických aktivit</w:t>
      </w:r>
    </w:p>
    <w:p w:rsidR="00743676" w:rsidRDefault="00743676" w:rsidP="00743676">
      <w:pPr>
        <w:pStyle w:val="Odstavecseseznamem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formováním prostorové ekonomické rovnováhy</w:t>
      </w:r>
    </w:p>
    <w:p w:rsidR="00743676" w:rsidRPr="004202EC" w:rsidRDefault="00743676" w:rsidP="00743676">
      <w:pPr>
        <w:pStyle w:val="Odstavecseseznamem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202EC">
        <w:rPr>
          <w:rFonts w:ascii="Arial" w:hAnsi="Arial" w:cs="Arial"/>
          <w:b/>
          <w:sz w:val="20"/>
          <w:szCs w:val="20"/>
        </w:rPr>
        <w:t>skutečností, ekonomický růst se neprojevuje všude stejně, ale koncentruje se v určitých místech</w:t>
      </w:r>
    </w:p>
    <w:p w:rsidR="00743676" w:rsidRPr="00CF4C37" w:rsidRDefault="00743676" w:rsidP="00743676">
      <w:pPr>
        <w:pStyle w:val="Odstavecseseznamem"/>
        <w:widowControl w:val="0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F4C37">
        <w:rPr>
          <w:rFonts w:ascii="Arial" w:hAnsi="Arial" w:cs="Arial"/>
          <w:sz w:val="20"/>
          <w:szCs w:val="20"/>
        </w:rPr>
        <w:t>aglomeračními efekty vznikajícími díky přítomnost dalších aktérů v regionu</w:t>
      </w: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Pro endogenní regionální politiku je typické: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4B038D">
        <w:rPr>
          <w:rFonts w:ascii="Arial" w:hAnsi="Arial" w:cs="Arial"/>
          <w:sz w:val="20"/>
          <w:szCs w:val="20"/>
        </w:rPr>
        <w:t>ůraz na přilákání vnějších zdrojů do regionu</w:t>
      </w:r>
    </w:p>
    <w:p w:rsidR="00743676" w:rsidRPr="00173EFC" w:rsidRDefault="00743676" w:rsidP="00743676">
      <w:pPr>
        <w:pStyle w:val="Odstavecseseznamem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73EFC">
        <w:rPr>
          <w:rFonts w:ascii="Arial" w:hAnsi="Arial" w:cs="Arial"/>
          <w:b/>
          <w:sz w:val="20"/>
          <w:szCs w:val="20"/>
        </w:rPr>
        <w:t>posilování zdrojů přítomných uvnitř regionu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B038D">
        <w:rPr>
          <w:rFonts w:ascii="Arial" w:hAnsi="Arial" w:cs="Arial"/>
          <w:sz w:val="20"/>
          <w:szCs w:val="20"/>
        </w:rPr>
        <w:t>onechání řešení regionálních disparit na volné ruce trhu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B038D">
        <w:rPr>
          <w:rFonts w:ascii="Arial" w:hAnsi="Arial" w:cs="Arial"/>
          <w:sz w:val="20"/>
          <w:szCs w:val="20"/>
        </w:rPr>
        <w:t>oskytování dotací na stěhování občanů do regionů, kde je práce</w:t>
      </w: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Region soudržnosti Severovýchod tvoří: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DE3">
        <w:rPr>
          <w:rFonts w:ascii="Arial" w:hAnsi="Arial" w:cs="Arial"/>
          <w:b/>
          <w:sz w:val="20"/>
          <w:szCs w:val="20"/>
        </w:rPr>
        <w:t>Liberecký, Královéhradecký a Pardubický kraj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Královéhradecký a Pardubický kraj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Liberecký a Pardubický kraj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Olomoucký a Moravskoslezský</w:t>
      </w:r>
    </w:p>
    <w:p w:rsidR="00743676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keepNext/>
        <w:keepLines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Návrh operačních programů ČR pro období 2014-20 je obsažen v:</w:t>
      </w:r>
    </w:p>
    <w:p w:rsidR="00743676" w:rsidRPr="004B038D" w:rsidRDefault="00743676" w:rsidP="00743676">
      <w:pPr>
        <w:pStyle w:val="Odstavecseseznamem"/>
        <w:keepNext/>
        <w:keepLines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Zákoně o regionálním rozvoji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Národním strategickém referenčním rámci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DE3">
        <w:rPr>
          <w:rFonts w:ascii="Arial" w:hAnsi="Arial" w:cs="Arial"/>
          <w:b/>
          <w:sz w:val="20"/>
          <w:szCs w:val="20"/>
        </w:rPr>
        <w:lastRenderedPageBreak/>
        <w:t>Dohodě o partnerství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Strategii regionálního rozvoje ČR</w:t>
      </w:r>
    </w:p>
    <w:p w:rsidR="00743676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9F7E5F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9F7E5F">
        <w:rPr>
          <w:rFonts w:ascii="Arial" w:hAnsi="Arial" w:cs="Arial"/>
          <w:sz w:val="20"/>
          <w:szCs w:val="20"/>
        </w:rPr>
        <w:t>Který operační program není aktuálně realizován v České republice?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2DE3">
        <w:rPr>
          <w:rFonts w:ascii="Arial" w:hAnsi="Arial" w:cs="Arial"/>
          <w:sz w:val="20"/>
          <w:szCs w:val="20"/>
        </w:rPr>
        <w:t>OP Doprava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2DE3">
        <w:rPr>
          <w:rFonts w:ascii="Arial" w:hAnsi="Arial" w:cs="Arial"/>
          <w:sz w:val="20"/>
          <w:szCs w:val="20"/>
        </w:rPr>
        <w:t>OP Životní prostředí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2DE3">
        <w:rPr>
          <w:rFonts w:ascii="Arial" w:hAnsi="Arial" w:cs="Arial"/>
          <w:sz w:val="20"/>
          <w:szCs w:val="20"/>
        </w:rPr>
        <w:t>Integrovaný regionální operační program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DE3">
        <w:rPr>
          <w:rFonts w:ascii="Arial" w:hAnsi="Arial" w:cs="Arial"/>
          <w:b/>
          <w:sz w:val="20"/>
          <w:szCs w:val="20"/>
        </w:rPr>
        <w:t>OP Zdravotnictví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Česká republika se člení na:</w:t>
      </w:r>
    </w:p>
    <w:p w:rsidR="00743676" w:rsidRPr="00322DE3" w:rsidRDefault="00743676" w:rsidP="00743676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2DE3">
        <w:rPr>
          <w:rFonts w:ascii="Arial" w:hAnsi="Arial" w:cs="Arial"/>
          <w:b/>
          <w:sz w:val="20"/>
          <w:szCs w:val="20"/>
        </w:rPr>
        <w:t>14 regionů NUTS3 a 8 regionů NUTS2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7 regionů NUTS3 a 13 regionů NUTS2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75 regionů NUTS3 a 15 regionů NUTS2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27 regionů NUTS3 a 75 regionů NUTS2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Do které evropské instituce mohou volit všichni občané EU?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Evropské komise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Rady Evropské unie</w:t>
      </w:r>
    </w:p>
    <w:p w:rsidR="00743676" w:rsidRPr="00FC40FD" w:rsidRDefault="00743676" w:rsidP="00743676">
      <w:pPr>
        <w:pStyle w:val="Odstavecseseznamem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0FD">
        <w:rPr>
          <w:rFonts w:ascii="Arial" w:hAnsi="Arial" w:cs="Arial"/>
          <w:b/>
          <w:sz w:val="20"/>
          <w:szCs w:val="20"/>
        </w:rPr>
        <w:t>Evropského parlamentu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Evropské rady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Schengenský prostor je: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území EU, kde se platí eurem</w:t>
      </w:r>
    </w:p>
    <w:p w:rsidR="00743676" w:rsidRPr="00FC40FD" w:rsidRDefault="00743676" w:rsidP="00743676">
      <w:pPr>
        <w:pStyle w:val="Odstavecseseznamem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C40FD">
        <w:rPr>
          <w:rFonts w:ascii="Arial" w:hAnsi="Arial" w:cs="Arial"/>
          <w:b/>
          <w:sz w:val="20"/>
          <w:szCs w:val="20"/>
        </w:rPr>
        <w:t>prostor, kde nejsou uvnitř EU vykonávány hraniční kontroly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prostor, kde se nachází kandidátské země EU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území původních 15 zemí EU</w:t>
      </w:r>
    </w:p>
    <w:p w:rsidR="00743676" w:rsidRPr="004B038D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Kodaňská kritéria jsou určena pro: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 xml:space="preserve">přijetí eura </w:t>
      </w:r>
    </w:p>
    <w:p w:rsidR="00743676" w:rsidRPr="007B54BF" w:rsidRDefault="00743676" w:rsidP="00743676">
      <w:pPr>
        <w:pStyle w:val="Odstavecseseznamem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B54BF">
        <w:rPr>
          <w:rFonts w:ascii="Arial" w:hAnsi="Arial" w:cs="Arial"/>
          <w:b/>
          <w:sz w:val="20"/>
          <w:szCs w:val="20"/>
        </w:rPr>
        <w:t>vstup do EU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nárok na dotace z Kohezního fondu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vstup do Evropského hospodářského prostoru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Výbor regionů EU</w:t>
      </w:r>
    </w:p>
    <w:p w:rsidR="00743676" w:rsidRPr="007B54BF" w:rsidRDefault="00743676" w:rsidP="00743676">
      <w:pPr>
        <w:pStyle w:val="Odstavecseseznamem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B54BF">
        <w:rPr>
          <w:rFonts w:ascii="Arial" w:hAnsi="Arial" w:cs="Arial"/>
          <w:b/>
          <w:sz w:val="20"/>
          <w:szCs w:val="20"/>
        </w:rPr>
        <w:t>zastupuje v Evropské unii místní a regionální orgány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je součástí Evropské komise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je speciální frakcí v Evropském parlamentu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rozhoduje o rozdělování dotací do evropských regionů</w:t>
      </w:r>
    </w:p>
    <w:p w:rsidR="00743676" w:rsidRPr="004B038D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členské země EU nepatří: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 xml:space="preserve">Švédsko </w:t>
      </w:r>
    </w:p>
    <w:p w:rsidR="00743676" w:rsidRPr="007B54BF" w:rsidRDefault="00743676" w:rsidP="00743676">
      <w:pPr>
        <w:pStyle w:val="Odstavecseseznamem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B54BF">
        <w:rPr>
          <w:rFonts w:ascii="Arial" w:hAnsi="Arial" w:cs="Arial"/>
          <w:b/>
          <w:sz w:val="20"/>
          <w:szCs w:val="20"/>
        </w:rPr>
        <w:t>Norsko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Chorvatsko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Lotyško</w:t>
      </w:r>
    </w:p>
    <w:p w:rsidR="00743676" w:rsidRPr="004B038D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hlavní příjmy rozpočtu EU nepatří: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příspěvky z DPH</w:t>
      </w:r>
    </w:p>
    <w:p w:rsidR="00743676" w:rsidRPr="007B54BF" w:rsidRDefault="00743676" w:rsidP="00743676">
      <w:pPr>
        <w:pStyle w:val="Odstavecseseznamem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B54BF">
        <w:rPr>
          <w:rFonts w:ascii="Arial" w:hAnsi="Arial" w:cs="Arial"/>
          <w:b/>
          <w:sz w:val="20"/>
          <w:szCs w:val="20"/>
        </w:rPr>
        <w:t xml:space="preserve">příspěvky daně z příjmu právnických osob </w:t>
      </w: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příspěvky z celních poplatků</w:t>
      </w:r>
    </w:p>
    <w:p w:rsidR="00743676" w:rsidRPr="007B54BF" w:rsidRDefault="00743676" w:rsidP="00743676">
      <w:pPr>
        <w:pStyle w:val="Odstavecseseznamem"/>
        <w:widowControl w:val="0"/>
        <w:numPr>
          <w:ilvl w:val="0"/>
          <w:numId w:val="1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7B54BF">
        <w:rPr>
          <w:rFonts w:ascii="Arial" w:hAnsi="Arial" w:cs="Arial"/>
          <w:bCs/>
          <w:sz w:val="20"/>
          <w:szCs w:val="20"/>
        </w:rPr>
        <w:t>příspěvek z hrubého národního důchodu</w:t>
      </w:r>
      <w:r w:rsidRPr="007B54BF">
        <w:rPr>
          <w:rFonts w:ascii="Arial" w:hAnsi="Arial" w:cs="Arial"/>
          <w:sz w:val="20"/>
          <w:szCs w:val="20"/>
        </w:rPr>
        <w:t> členských států</w:t>
      </w:r>
    </w:p>
    <w:p w:rsidR="00743676" w:rsidRDefault="00743676" w:rsidP="00743676">
      <w:pPr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Počet obcí s rozšířenou působností je v České republice přibližně: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14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32B8">
        <w:rPr>
          <w:rFonts w:ascii="Arial" w:hAnsi="Arial" w:cs="Arial"/>
          <w:b/>
          <w:bCs/>
          <w:sz w:val="20"/>
          <w:szCs w:val="20"/>
        </w:rPr>
        <w:lastRenderedPageBreak/>
        <w:t>205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3400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1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6200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O zrušení obecně závazné vyhlášky vydané krajem, která je v rozporu se zákonem, rozhoduje: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Úřad na ochranu hospodářské soutěže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Evropský soud pro lidská práva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Ministerstvo dopravy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9B32B8">
        <w:rPr>
          <w:rFonts w:ascii="Arial" w:hAnsi="Arial" w:cs="Arial"/>
          <w:b/>
          <w:bCs/>
          <w:sz w:val="20"/>
          <w:szCs w:val="20"/>
        </w:rPr>
        <w:t>Ústavní soud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Přenesená působnost: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spočívá v plnění úkolu spadající do oblasti rozvoje obce a zvyšování kvality života občanů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</w:t>
      </w:r>
      <w:r w:rsidRPr="009B32B8">
        <w:rPr>
          <w:rFonts w:ascii="Arial" w:hAnsi="Arial" w:cs="Arial"/>
          <w:b/>
          <w:bCs/>
          <w:sz w:val="20"/>
          <w:szCs w:val="20"/>
        </w:rPr>
        <w:t>e vykonávána v určitém minimálním rozsahu všemi obcemi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je specifická tím, že za její výkon odpovídá zcela kraj nebo obec, protože ji činí svým vlastním jménem</w:t>
      </w:r>
    </w:p>
    <w:p w:rsidR="00743676" w:rsidRPr="009B32B8" w:rsidRDefault="00743676" w:rsidP="00743676">
      <w:pPr>
        <w:pStyle w:val="Odstavecseseznamem"/>
        <w:widowControl w:val="0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9B32B8">
        <w:rPr>
          <w:rFonts w:ascii="Arial" w:hAnsi="Arial" w:cs="Arial"/>
          <w:bCs/>
          <w:sz w:val="20"/>
          <w:szCs w:val="20"/>
        </w:rPr>
        <w:t>byla dříve nazývána působností „přirozenou“</w:t>
      </w:r>
    </w:p>
    <w:p w:rsidR="00743676" w:rsidRPr="004B038D" w:rsidRDefault="00743676" w:rsidP="00743676">
      <w:pPr>
        <w:pStyle w:val="Tlodopisu"/>
        <w:spacing w:after="0"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Rada obce: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</w:t>
      </w:r>
      <w:r w:rsidRPr="00EF0EDC">
        <w:rPr>
          <w:rFonts w:ascii="Arial" w:hAnsi="Arial" w:cs="Arial"/>
          <w:bCs/>
          <w:sz w:val="20"/>
          <w:szCs w:val="20"/>
        </w:rPr>
        <w:t>usí být zřízena v každé obci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</w:t>
      </w:r>
      <w:r w:rsidRPr="00EF0EDC">
        <w:rPr>
          <w:rFonts w:ascii="Arial" w:hAnsi="Arial" w:cs="Arial"/>
          <w:b/>
          <w:bCs/>
          <w:sz w:val="20"/>
          <w:szCs w:val="20"/>
        </w:rPr>
        <w:t>řizuje se pouze v obci, kde zastupitelnost má alespoň 15 členů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</w:t>
      </w:r>
      <w:r w:rsidRPr="00EF0EDC">
        <w:rPr>
          <w:rFonts w:ascii="Arial" w:hAnsi="Arial" w:cs="Arial"/>
          <w:bCs/>
          <w:sz w:val="20"/>
          <w:szCs w:val="20"/>
        </w:rPr>
        <w:t>e zřizována pouze ve statutárních městech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Pr="00EF0EDC">
        <w:rPr>
          <w:rFonts w:ascii="Arial" w:hAnsi="Arial" w:cs="Arial"/>
          <w:bCs/>
          <w:sz w:val="20"/>
          <w:szCs w:val="20"/>
        </w:rPr>
        <w:t xml:space="preserve"> jejím zřízení se rozhoduje v koaliční smlouvě po volbách do zastupitelstva</w:t>
      </w:r>
    </w:p>
    <w:p w:rsidR="00743676" w:rsidRPr="004B038D" w:rsidRDefault="00743676" w:rsidP="00743676">
      <w:pPr>
        <w:pStyle w:val="Funkce"/>
        <w:tabs>
          <w:tab w:val="left" w:pos="2430"/>
        </w:tabs>
        <w:spacing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Hejtman kraje: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je nadřízeným všech zaměstnanců kraje zařazených do krajského úřadu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0EDC">
        <w:rPr>
          <w:rFonts w:ascii="Arial" w:hAnsi="Arial" w:cs="Arial"/>
          <w:b/>
          <w:bCs/>
          <w:sz w:val="20"/>
          <w:szCs w:val="20"/>
        </w:rPr>
        <w:t>zastupuje kraj navenek a podepisuje právní předpisy kraje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je jmenován ministrem vnitra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nemůže být součástí rady kraje</w:t>
      </w:r>
    </w:p>
    <w:p w:rsidR="00743676" w:rsidRPr="004B038D" w:rsidRDefault="00743676" w:rsidP="00743676">
      <w:pPr>
        <w:pStyle w:val="Funkce"/>
        <w:tabs>
          <w:tab w:val="left" w:pos="2430"/>
        </w:tabs>
        <w:spacing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pravomoci zastupitelstva obce nepatří: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schvalovat rozpočet obce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F0EDC">
        <w:rPr>
          <w:rFonts w:ascii="Arial" w:hAnsi="Arial" w:cs="Arial"/>
          <w:b/>
          <w:bCs/>
          <w:sz w:val="20"/>
          <w:szCs w:val="20"/>
        </w:rPr>
        <w:t>zastupovat obec navenek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zřizovat a rušit příspěvkové organizace a organizační složky obce</w:t>
      </w:r>
    </w:p>
    <w:p w:rsidR="00743676" w:rsidRPr="00EF0EDC" w:rsidRDefault="00743676" w:rsidP="00743676">
      <w:pPr>
        <w:pStyle w:val="Odstavecseseznamem"/>
        <w:widowControl w:val="0"/>
        <w:numPr>
          <w:ilvl w:val="0"/>
          <w:numId w:val="2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EF0EDC">
        <w:rPr>
          <w:rFonts w:ascii="Arial" w:hAnsi="Arial" w:cs="Arial"/>
          <w:bCs/>
          <w:sz w:val="20"/>
          <w:szCs w:val="20"/>
        </w:rPr>
        <w:t>vydávat obecně závazné vyhlášky obce</w:t>
      </w:r>
    </w:p>
    <w:p w:rsidR="00743676" w:rsidRDefault="00743676" w:rsidP="00743676">
      <w:pPr>
        <w:pStyle w:val="Funkce"/>
        <w:tabs>
          <w:tab w:val="left" w:pos="2430"/>
        </w:tabs>
        <w:spacing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Do územně plánovacích podkladů v ČR patří:</w:t>
      </w:r>
    </w:p>
    <w:p w:rsidR="00743676" w:rsidRPr="00603875" w:rsidRDefault="00743676" w:rsidP="00743676">
      <w:pPr>
        <w:pStyle w:val="Odstavecseseznamem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03875">
        <w:rPr>
          <w:rFonts w:ascii="Arial" w:hAnsi="Arial" w:cs="Arial"/>
          <w:b/>
          <w:bCs/>
          <w:sz w:val="20"/>
          <w:szCs w:val="20"/>
        </w:rPr>
        <w:t>územní studie</w:t>
      </w:r>
    </w:p>
    <w:p w:rsidR="00743676" w:rsidRPr="00603875" w:rsidRDefault="00743676" w:rsidP="00743676">
      <w:pPr>
        <w:pStyle w:val="Odstavecseseznamem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03875">
        <w:rPr>
          <w:rFonts w:ascii="Arial" w:hAnsi="Arial" w:cs="Arial"/>
          <w:bCs/>
          <w:sz w:val="20"/>
          <w:szCs w:val="20"/>
        </w:rPr>
        <w:t>územní strategie</w:t>
      </w:r>
    </w:p>
    <w:p w:rsidR="00743676" w:rsidRPr="00603875" w:rsidRDefault="00743676" w:rsidP="00743676">
      <w:pPr>
        <w:pStyle w:val="Odstavecseseznamem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03875">
        <w:rPr>
          <w:rFonts w:ascii="Arial" w:hAnsi="Arial" w:cs="Arial"/>
          <w:bCs/>
          <w:sz w:val="20"/>
          <w:szCs w:val="20"/>
        </w:rPr>
        <w:t>územní plán</w:t>
      </w:r>
    </w:p>
    <w:p w:rsidR="00743676" w:rsidRPr="00603875" w:rsidRDefault="00743676" w:rsidP="00743676">
      <w:pPr>
        <w:pStyle w:val="Odstavecseseznamem"/>
        <w:widowControl w:val="0"/>
        <w:numPr>
          <w:ilvl w:val="0"/>
          <w:numId w:val="2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03875">
        <w:rPr>
          <w:rFonts w:ascii="Arial" w:hAnsi="Arial" w:cs="Arial"/>
          <w:bCs/>
          <w:sz w:val="20"/>
          <w:szCs w:val="20"/>
        </w:rPr>
        <w:t>regulační plán</w:t>
      </w:r>
    </w:p>
    <w:p w:rsidR="00743676" w:rsidRPr="004B038D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Působnost ve věcech územního plánování stavebním zákonem není svěřena:</w:t>
      </w:r>
    </w:p>
    <w:p w:rsidR="00743676" w:rsidRPr="00A24D84" w:rsidRDefault="00743676" w:rsidP="00743676">
      <w:pPr>
        <w:pStyle w:val="Odstavecseseznamem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4D84">
        <w:rPr>
          <w:rFonts w:ascii="Arial" w:hAnsi="Arial" w:cs="Arial"/>
          <w:b/>
          <w:bCs/>
          <w:sz w:val="20"/>
          <w:szCs w:val="20"/>
        </w:rPr>
        <w:t>Ministerstvu dopravy</w:t>
      </w:r>
    </w:p>
    <w:p w:rsidR="00743676" w:rsidRPr="006F5E18" w:rsidRDefault="00743676" w:rsidP="00743676">
      <w:pPr>
        <w:pStyle w:val="Odstavecseseznamem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F5E18">
        <w:rPr>
          <w:rFonts w:ascii="Arial" w:hAnsi="Arial" w:cs="Arial"/>
          <w:bCs/>
          <w:sz w:val="20"/>
          <w:szCs w:val="20"/>
        </w:rPr>
        <w:t>stavebnímu úřadu</w:t>
      </w:r>
    </w:p>
    <w:p w:rsidR="00743676" w:rsidRPr="006F5E18" w:rsidRDefault="00743676" w:rsidP="00743676">
      <w:pPr>
        <w:pStyle w:val="Odstavecseseznamem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F5E18">
        <w:rPr>
          <w:rFonts w:ascii="Arial" w:hAnsi="Arial" w:cs="Arial"/>
          <w:bCs/>
          <w:sz w:val="20"/>
          <w:szCs w:val="20"/>
        </w:rPr>
        <w:t>krajskému úřadu</w:t>
      </w:r>
    </w:p>
    <w:p w:rsidR="00743676" w:rsidRPr="006F5E18" w:rsidRDefault="00743676" w:rsidP="00743676">
      <w:pPr>
        <w:pStyle w:val="Odstavecseseznamem"/>
        <w:widowControl w:val="0"/>
        <w:numPr>
          <w:ilvl w:val="0"/>
          <w:numId w:val="2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6F5E18">
        <w:rPr>
          <w:rFonts w:ascii="Arial" w:hAnsi="Arial" w:cs="Arial"/>
          <w:bCs/>
          <w:sz w:val="20"/>
          <w:szCs w:val="20"/>
        </w:rPr>
        <w:t>Ministerstvu pro místní rozvoj</w:t>
      </w:r>
    </w:p>
    <w:p w:rsidR="00743676" w:rsidRPr="004B038D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keepNext/>
        <w:keepLines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základní nástroje územního plánování nepatří: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 xml:space="preserve"> </w:t>
      </w:r>
      <w:r w:rsidRPr="00A24D84">
        <w:rPr>
          <w:rFonts w:ascii="Arial" w:hAnsi="Arial" w:cs="Arial"/>
          <w:bCs/>
          <w:sz w:val="20"/>
          <w:szCs w:val="20"/>
        </w:rPr>
        <w:t>Politika územního rozvoje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24D84">
        <w:rPr>
          <w:rFonts w:ascii="Arial" w:hAnsi="Arial" w:cs="Arial"/>
          <w:bCs/>
          <w:sz w:val="20"/>
          <w:szCs w:val="20"/>
        </w:rPr>
        <w:t xml:space="preserve"> územně plánovací dokumentace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4D84">
        <w:rPr>
          <w:rFonts w:ascii="Arial" w:hAnsi="Arial" w:cs="Arial"/>
          <w:b/>
          <w:bCs/>
          <w:sz w:val="20"/>
          <w:szCs w:val="20"/>
        </w:rPr>
        <w:t xml:space="preserve"> program rozvoje kraje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24D84">
        <w:rPr>
          <w:rFonts w:ascii="Arial" w:hAnsi="Arial" w:cs="Arial"/>
          <w:bCs/>
          <w:sz w:val="20"/>
          <w:szCs w:val="20"/>
        </w:rPr>
        <w:t xml:space="preserve"> územně plánovací podklady</w:t>
      </w:r>
    </w:p>
    <w:p w:rsidR="00743676" w:rsidRPr="004B038D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Zásady územního rozvoje: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24D84">
        <w:rPr>
          <w:rFonts w:ascii="Arial" w:hAnsi="Arial" w:cs="Arial"/>
          <w:b/>
          <w:bCs/>
          <w:sz w:val="20"/>
          <w:szCs w:val="20"/>
        </w:rPr>
        <w:lastRenderedPageBreak/>
        <w:t>musí pořídit každý kraj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24D84">
        <w:rPr>
          <w:rFonts w:ascii="Arial" w:hAnsi="Arial" w:cs="Arial"/>
          <w:bCs/>
          <w:sz w:val="20"/>
          <w:szCs w:val="20"/>
        </w:rPr>
        <w:t>musí pořídit pouze Praha, pro ostatní kraje je pořízení dobrovolné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24D84">
        <w:rPr>
          <w:rFonts w:ascii="Arial" w:hAnsi="Arial" w:cs="Arial"/>
          <w:bCs/>
          <w:sz w:val="20"/>
          <w:szCs w:val="20"/>
        </w:rPr>
        <w:t>musí pořídit každý region soudržnosti</w:t>
      </w:r>
    </w:p>
    <w:p w:rsidR="00743676" w:rsidRPr="00A24D84" w:rsidRDefault="00743676" w:rsidP="00743676">
      <w:pPr>
        <w:pStyle w:val="Odstavecseseznamem"/>
        <w:keepNext/>
        <w:keepLines/>
        <w:widowControl w:val="0"/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A24D84">
        <w:rPr>
          <w:rFonts w:ascii="Arial" w:hAnsi="Arial" w:cs="Arial"/>
          <w:bCs/>
          <w:sz w:val="20"/>
          <w:szCs w:val="20"/>
        </w:rPr>
        <w:t>nejsou povinné, jejich pořízení závisí na rozhodnutí zastupitelstva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Úkolem územního plánování není:</w:t>
      </w:r>
    </w:p>
    <w:p w:rsidR="00743676" w:rsidRPr="008F7B0C" w:rsidRDefault="00743676" w:rsidP="00743676">
      <w:pPr>
        <w:pStyle w:val="Odstavecseseznamem"/>
        <w:keepNext/>
        <w:keepLines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7B0C">
        <w:rPr>
          <w:rFonts w:ascii="Arial" w:hAnsi="Arial" w:cs="Arial"/>
          <w:bCs/>
          <w:sz w:val="20"/>
          <w:szCs w:val="20"/>
        </w:rPr>
        <w:t>zjišťovat a posuzovat stav území, jeho přírodní, kulturní a civilizační hodnoty</w:t>
      </w:r>
    </w:p>
    <w:p w:rsidR="00743676" w:rsidRPr="008F7B0C" w:rsidRDefault="00743676" w:rsidP="00743676">
      <w:pPr>
        <w:pStyle w:val="Odstavecseseznamem"/>
        <w:keepNext/>
        <w:keepLines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7B0C">
        <w:rPr>
          <w:rFonts w:ascii="Arial" w:hAnsi="Arial" w:cs="Arial"/>
          <w:bCs/>
          <w:sz w:val="20"/>
          <w:szCs w:val="20"/>
        </w:rPr>
        <w:t xml:space="preserve">stanovovat koncepci rozvoje území, včetně urbanistické koncepce </w:t>
      </w:r>
    </w:p>
    <w:p w:rsidR="00743676" w:rsidRPr="008F7B0C" w:rsidRDefault="00743676" w:rsidP="00743676">
      <w:pPr>
        <w:pStyle w:val="Odstavecseseznamem"/>
        <w:keepNext/>
        <w:keepLines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F7B0C">
        <w:rPr>
          <w:rFonts w:ascii="Arial" w:hAnsi="Arial" w:cs="Arial"/>
          <w:b/>
          <w:bCs/>
          <w:sz w:val="20"/>
          <w:szCs w:val="20"/>
        </w:rPr>
        <w:t>řešit dlouhodobou nezaměstnanost a nízkou kvalifikaci uchazečů o zaměstnání</w:t>
      </w:r>
    </w:p>
    <w:p w:rsidR="00743676" w:rsidRPr="008F7B0C" w:rsidRDefault="00743676" w:rsidP="00743676">
      <w:pPr>
        <w:pStyle w:val="Odstavecseseznamem"/>
        <w:keepNext/>
        <w:keepLines/>
        <w:widowControl w:val="0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F7B0C">
        <w:rPr>
          <w:rFonts w:ascii="Arial" w:hAnsi="Arial" w:cs="Arial"/>
          <w:bCs/>
          <w:sz w:val="20"/>
          <w:szCs w:val="20"/>
        </w:rPr>
        <w:t xml:space="preserve">prověřovat a posuzovat potřebu změn v území a veřejný zájem na jejich provedení </w:t>
      </w:r>
    </w:p>
    <w:p w:rsidR="00743676" w:rsidRPr="004B038D" w:rsidRDefault="00743676" w:rsidP="00743676">
      <w:pPr>
        <w:pStyle w:val="Funkce"/>
        <w:tabs>
          <w:tab w:val="left" w:pos="2430"/>
        </w:tabs>
        <w:spacing w:line="240" w:lineRule="auto"/>
        <w:rPr>
          <w:rFonts w:cs="Arial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Státní instituce resortu životního prostředí, která zprostředkovává investice do ochrany a zlepšování životního prostředí v České republice, se nazývá: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FDF">
        <w:rPr>
          <w:rFonts w:ascii="Arial" w:hAnsi="Arial" w:cs="Arial"/>
          <w:b/>
          <w:bCs/>
          <w:sz w:val="20"/>
          <w:szCs w:val="20"/>
        </w:rPr>
        <w:t>Státní fond životního prostředí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Ministerstvo životního prostředí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Operační program Životní prostředí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Česká inspekce životního prostředí</w:t>
      </w:r>
    </w:p>
    <w:p w:rsidR="00743676" w:rsidRPr="004B038D" w:rsidRDefault="00743676" w:rsidP="00743676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Maximální přípustné meze na vypouštění škodlivin do ovzduší z určitého zdroje znečištění řeší: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FDF">
        <w:rPr>
          <w:rFonts w:ascii="Arial" w:hAnsi="Arial" w:cs="Arial"/>
          <w:b/>
          <w:bCs/>
          <w:sz w:val="20"/>
          <w:szCs w:val="20"/>
        </w:rPr>
        <w:t>emisní limity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inertní limity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imisní limity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integrované limity</w:t>
      </w:r>
    </w:p>
    <w:p w:rsidR="00743676" w:rsidRPr="004B038D" w:rsidRDefault="00743676" w:rsidP="00743676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metody netržního oceňování životního prostředí patří: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metoda kapitalizovaných čistých výnosů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>kombinovaná výnosová metoda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750FDF">
        <w:rPr>
          <w:rFonts w:ascii="Arial" w:hAnsi="Arial" w:cs="Arial"/>
          <w:bCs/>
          <w:sz w:val="20"/>
          <w:szCs w:val="20"/>
        </w:rPr>
        <w:t xml:space="preserve">metoda SMART </w:t>
      </w:r>
    </w:p>
    <w:p w:rsidR="00743676" w:rsidRPr="00750FDF" w:rsidRDefault="00743676" w:rsidP="00743676">
      <w:pPr>
        <w:pStyle w:val="Odstavecseseznamem"/>
        <w:keepNext/>
        <w:keepLines/>
        <w:widowControl w:val="0"/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50FDF">
        <w:rPr>
          <w:rFonts w:ascii="Arial" w:hAnsi="Arial" w:cs="Arial"/>
          <w:b/>
          <w:bCs/>
          <w:sz w:val="20"/>
          <w:szCs w:val="20"/>
        </w:rPr>
        <w:t>metoda ochoty platit</w:t>
      </w:r>
    </w:p>
    <w:p w:rsidR="00743676" w:rsidRPr="00750FDF" w:rsidRDefault="00743676" w:rsidP="00743676">
      <w:pPr>
        <w:pStyle w:val="Odstavecseseznamem"/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Mezi hlavní zpoplatněné znečišťující látky pro velké a střední zdroje znečišťování v ČR nepatří: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oxid síry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>freony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oxid dusíku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oxid uhelnatý</w:t>
      </w:r>
    </w:p>
    <w:p w:rsidR="00743676" w:rsidRPr="004B038D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Metoda E.I.A má charakter: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ú</w:t>
      </w:r>
      <w:r w:rsidRPr="00DD5C03">
        <w:rPr>
          <w:rFonts w:ascii="Arial" w:hAnsi="Arial" w:cs="Arial"/>
          <w:bCs/>
          <w:sz w:val="20"/>
          <w:szCs w:val="20"/>
        </w:rPr>
        <w:t>zemně-plánovacího podkladu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 xml:space="preserve">předběžného řízení nutného pro vydání územního rozhodnutí 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oponentního stanoviska nevládních organizací</w:t>
      </w:r>
    </w:p>
    <w:p w:rsidR="00743676" w:rsidRPr="00DD5C03" w:rsidRDefault="00743676" w:rsidP="00743676">
      <w:pPr>
        <w:pStyle w:val="Odstavecseseznamem"/>
        <w:keepNext/>
        <w:keepLines/>
        <w:widowControl w:val="0"/>
        <w:numPr>
          <w:ilvl w:val="0"/>
          <w:numId w:val="3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nepovinně zpracovávané dokumentace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Proces druhého demografického přechodu je v primárně spojený s: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 xml:space="preserve"> prudkým růstem úhrnné plodnosti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 xml:space="preserve"> prudkým poklesem kojenecké úmrtnosti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 xml:space="preserve"> prudkým růstem kojenecké úmrtnosti</w:t>
      </w:r>
    </w:p>
    <w:p w:rsidR="00743676" w:rsidRDefault="00743676" w:rsidP="00743676">
      <w:pPr>
        <w:pStyle w:val="Odstavecseseznamem"/>
        <w:widowControl w:val="0"/>
        <w:numPr>
          <w:ilvl w:val="0"/>
          <w:numId w:val="3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 xml:space="preserve"> prudkým poklesem úhrnné plodnosti</w:t>
      </w:r>
    </w:p>
    <w:p w:rsidR="00743676" w:rsidRPr="00DD5C03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Věková struktura obyvatelstva je modelově tvořena na základě: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>reprodukčního věku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průměrného věku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věkového mediánu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6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produktivního věku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lastRenderedPageBreak/>
        <w:t>Od kterého roku probíhá na našem území pravidelně co 10 let sčítání lidu: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1754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>1869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1961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1991</w:t>
      </w:r>
    </w:p>
    <w:p w:rsidR="00743676" w:rsidRPr="004B038D" w:rsidRDefault="00743676" w:rsidP="0074367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Součástí mechanického pohybu obyvatelstva není: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dojížďka za službami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>zvýšení kvalifikace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migrace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dojížďka za prací</w:t>
      </w:r>
    </w:p>
    <w:p w:rsidR="00743676" w:rsidRPr="004B038D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43676" w:rsidRPr="004B038D" w:rsidRDefault="00743676" w:rsidP="00743676">
      <w:pPr>
        <w:pStyle w:val="Odstavecseseznamem"/>
        <w:widowControl w:val="0"/>
        <w:numPr>
          <w:ilvl w:val="0"/>
          <w:numId w:val="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397" w:hanging="397"/>
        <w:rPr>
          <w:rFonts w:ascii="Arial" w:hAnsi="Arial" w:cs="Arial"/>
          <w:sz w:val="20"/>
          <w:szCs w:val="20"/>
        </w:rPr>
      </w:pPr>
      <w:r w:rsidRPr="004B038D">
        <w:rPr>
          <w:rFonts w:ascii="Arial" w:hAnsi="Arial" w:cs="Arial"/>
          <w:sz w:val="20"/>
          <w:szCs w:val="20"/>
        </w:rPr>
        <w:t>Novorozenecká úmrtnost je časově ohraničena v intervalu: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DD5C03">
        <w:rPr>
          <w:rFonts w:ascii="Arial" w:hAnsi="Arial" w:cs="Arial"/>
          <w:b/>
          <w:bCs/>
          <w:sz w:val="20"/>
          <w:szCs w:val="20"/>
        </w:rPr>
        <w:t>0-27 dní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0-6 dní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0-5 let</w:t>
      </w:r>
    </w:p>
    <w:p w:rsidR="00743676" w:rsidRPr="00DD5C03" w:rsidRDefault="00743676" w:rsidP="00743676">
      <w:pPr>
        <w:pStyle w:val="Odstavecseseznamem"/>
        <w:widowControl w:val="0"/>
        <w:numPr>
          <w:ilvl w:val="0"/>
          <w:numId w:val="3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DD5C03">
        <w:rPr>
          <w:rFonts w:ascii="Arial" w:hAnsi="Arial" w:cs="Arial"/>
          <w:bCs/>
          <w:sz w:val="20"/>
          <w:szCs w:val="20"/>
        </w:rPr>
        <w:t>0-1 rok</w:t>
      </w:r>
    </w:p>
    <w:p w:rsidR="00743676" w:rsidRPr="00DD5C03" w:rsidRDefault="00743676" w:rsidP="00743676">
      <w:pPr>
        <w:pStyle w:val="Odstavecseseznamem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B904AA" w:rsidRPr="00743676" w:rsidRDefault="00B904AA" w:rsidP="00743676"/>
    <w:sectPr w:rsidR="00B904AA" w:rsidRPr="00743676" w:rsidSect="002E76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53" w:right="1361" w:bottom="1928" w:left="1361" w:header="709" w:footer="839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FB5" w:rsidRDefault="005A2FB5">
      <w:r>
        <w:separator/>
      </w:r>
    </w:p>
  </w:endnote>
  <w:endnote w:type="continuationSeparator" w:id="0">
    <w:p w:rsidR="005A2FB5" w:rsidRDefault="005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FE" w:rsidRDefault="00A43F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F80" w:rsidRPr="00F53B0F" w:rsidRDefault="00710003" w:rsidP="00AD4F8E">
    <w:pPr>
      <w:pStyle w:val="Zpatsslovnmstrnky"/>
      <w:rPr>
        <w:rStyle w:val="slovnstran"/>
      </w:rPr>
    </w:pPr>
    <w:r w:rsidRPr="00F53B0F">
      <w:rPr>
        <w:rStyle w:val="slovnstran"/>
      </w:rPr>
      <w:fldChar w:fldCharType="begin"/>
    </w:r>
    <w:r w:rsidR="00AD4F8E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43676">
      <w:rPr>
        <w:rStyle w:val="slovnstran"/>
        <w:noProof/>
      </w:rPr>
      <w:t>5</w:t>
    </w:r>
    <w:r w:rsidRPr="00F53B0F">
      <w:rPr>
        <w:rStyle w:val="slovnstran"/>
      </w:rPr>
      <w:fldChar w:fldCharType="end"/>
    </w:r>
    <w:r w:rsidR="00AD4F8E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43676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AD4F8E" w:rsidRPr="00F53B0F">
      <w:rPr>
        <w:rStyle w:val="slovnstran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21A" w:rsidRDefault="00B36FA9" w:rsidP="00D54496">
    <w:pPr>
      <w:pStyle w:val="Zpat-univerzita4dkyadresy"/>
    </w:pPr>
    <w:r w:rsidRPr="00B36FA9">
      <w:t>Masarykova univerzita, Ekonomicko-správní fakulta</w:t>
    </w:r>
  </w:p>
  <w:p w:rsidR="003E1EB5" w:rsidRPr="003E1EB5" w:rsidRDefault="003E1EB5" w:rsidP="003E1EB5">
    <w:pPr>
      <w:pStyle w:val="Zpat"/>
    </w:pP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Lipová 507/41a, 602 00 Brno, Česká republika</w:t>
    </w:r>
  </w:p>
  <w:p w:rsidR="00B36FA9" w:rsidRPr="00B36FA9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T: +420 549 49 1710, E: info@econ.muni.cz, www.econ.muni.cz</w:t>
    </w:r>
  </w:p>
  <w:p w:rsidR="002D69EE" w:rsidRPr="00F86E6C" w:rsidRDefault="00B36FA9" w:rsidP="00B36FA9">
    <w:pPr>
      <w:pStyle w:val="Zpat"/>
      <w:rPr>
        <w:rFonts w:cs="Arial"/>
        <w:szCs w:val="14"/>
      </w:rPr>
    </w:pPr>
    <w:r w:rsidRPr="00B36FA9">
      <w:rPr>
        <w:rFonts w:cs="Arial"/>
        <w:szCs w:val="14"/>
      </w:rPr>
      <w:t>Bankovní spojení: KB Brno-město, ČÚ: 85636621/0100, IČ: 00216224, DIČ: CZ00216224</w:t>
    </w:r>
    <w:r w:rsidR="00102F12">
      <w:rPr>
        <w:rFonts w:cs="Arial"/>
        <w:szCs w:val="14"/>
      </w:rPr>
      <w:t xml:space="preserve"> </w:t>
    </w:r>
  </w:p>
  <w:p w:rsidR="00CA321A" w:rsidRDefault="00710003" w:rsidP="00FA10BD">
    <w:pPr>
      <w:pStyle w:val="Zpatsslovnmstrnky"/>
    </w:pPr>
    <w:r w:rsidRPr="00F53B0F">
      <w:rPr>
        <w:rStyle w:val="slovnstran"/>
      </w:rPr>
      <w:fldChar w:fldCharType="begin"/>
    </w:r>
    <w:r w:rsidR="00CA321A" w:rsidRPr="00F53B0F">
      <w:rPr>
        <w:rStyle w:val="slovnstran"/>
      </w:rPr>
      <w:instrText>PAGE   \* MERGEFORMAT</w:instrText>
    </w:r>
    <w:r w:rsidRPr="00F53B0F">
      <w:rPr>
        <w:rStyle w:val="slovnstran"/>
      </w:rPr>
      <w:fldChar w:fldCharType="separate"/>
    </w:r>
    <w:r w:rsidR="00743676">
      <w:rPr>
        <w:rStyle w:val="slovnstran"/>
        <w:noProof/>
      </w:rPr>
      <w:t>1</w:t>
    </w:r>
    <w:r w:rsidRPr="00F53B0F">
      <w:rPr>
        <w:rStyle w:val="slovnstran"/>
      </w:rPr>
      <w:fldChar w:fldCharType="end"/>
    </w:r>
    <w:r w:rsidR="00CA321A" w:rsidRPr="00F53B0F">
      <w:rPr>
        <w:rStyle w:val="slovnstran"/>
      </w:rPr>
      <w:t>/</w:t>
    </w:r>
    <w:r w:rsidR="00371A95" w:rsidRPr="00F53B0F">
      <w:rPr>
        <w:rStyle w:val="slovnstran"/>
      </w:rPr>
      <w:fldChar w:fldCharType="begin"/>
    </w:r>
    <w:r w:rsidR="00371A95" w:rsidRPr="00F53B0F">
      <w:rPr>
        <w:rStyle w:val="slovnstran"/>
      </w:rPr>
      <w:instrText xml:space="preserve"> SECTIONPAGES   \* MERGEFORMAT </w:instrText>
    </w:r>
    <w:r w:rsidR="00371A95" w:rsidRPr="00F53B0F">
      <w:rPr>
        <w:rStyle w:val="slovnstran"/>
      </w:rPr>
      <w:fldChar w:fldCharType="separate"/>
    </w:r>
    <w:r w:rsidR="00743676">
      <w:rPr>
        <w:rStyle w:val="slovnstran"/>
        <w:noProof/>
      </w:rPr>
      <w:t>5</w:t>
    </w:r>
    <w:r w:rsidR="00371A95" w:rsidRPr="00F53B0F">
      <w:rPr>
        <w:rStyle w:val="slovnstran"/>
      </w:rPr>
      <w:fldChar w:fldCharType="end"/>
    </w:r>
    <w:r w:rsidR="00CA321A">
      <w:tab/>
    </w:r>
    <w:r w:rsidR="00CA321A" w:rsidRPr="005D1F84">
      <w:t>V</w:t>
    </w:r>
    <w:r w:rsidR="00342316">
      <w:t> </w:t>
    </w:r>
    <w:r w:rsidR="00CA321A" w:rsidRPr="005D1F84">
      <w:t>odpovědi</w:t>
    </w:r>
    <w:r w:rsidR="00342316">
      <w:t>,</w:t>
    </w:r>
    <w:r w:rsidR="00CA321A" w:rsidRPr="005D1F84">
      <w:t xml:space="preserve"> prosím</w:t>
    </w:r>
    <w:r w:rsidR="00342316">
      <w:t>,</w:t>
    </w:r>
    <w:r w:rsidR="00CA321A" w:rsidRPr="005D1F84">
      <w:t xml:space="preserve"> uvádějte naše číslo jednací.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FB5" w:rsidRDefault="005A2FB5">
      <w:r>
        <w:separator/>
      </w:r>
    </w:p>
  </w:footnote>
  <w:footnote w:type="continuationSeparator" w:id="0">
    <w:p w:rsidR="005A2FB5" w:rsidRDefault="005A2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FE" w:rsidRDefault="00A43FF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FE" w:rsidRDefault="00A43FF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7E" w:rsidRPr="006E7DD3" w:rsidRDefault="006E7DD3" w:rsidP="006E7DD3">
    <w:pPr>
      <w:pStyle w:val="Zhlav"/>
    </w:pPr>
    <w:r>
      <w:rPr>
        <w:noProof/>
      </w:rPr>
      <w:drawing>
        <wp:anchor distT="0" distB="0" distL="114300" distR="114300" simplePos="0" relativeHeight="251657216" behindDoc="1" locked="1" layoutInCell="1" allowOverlap="1" wp14:anchorId="28EA8E16" wp14:editId="4959AA73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957600" cy="6480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itek_law_cz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76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8782A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4F08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814BB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391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870E5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EA448D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4561E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9178A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128E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E2C35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12344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0622D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11DCC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42F2D"/>
    <w:multiLevelType w:val="hybridMultilevel"/>
    <w:tmpl w:val="3968B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40CE8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C7240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E543D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B2F9B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E7ECE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F44EA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12D4C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613940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25B05"/>
    <w:multiLevelType w:val="hybridMultilevel"/>
    <w:tmpl w:val="30FEE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894474"/>
    <w:multiLevelType w:val="multilevel"/>
    <w:tmpl w:val="3CF2672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425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2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4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6" w:firstLine="0"/>
      </w:pPr>
      <w:rPr>
        <w:rFonts w:hint="default"/>
      </w:rPr>
    </w:lvl>
  </w:abstractNum>
  <w:abstractNum w:abstractNumId="24" w15:restartNumberingAfterBreak="0">
    <w:nsid w:val="55D1096D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C3115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04FA9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93B4A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1084C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724E5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E1987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033FC"/>
    <w:multiLevelType w:val="hybridMultilevel"/>
    <w:tmpl w:val="0E02DE12"/>
    <w:lvl w:ilvl="0" w:tplc="1BAE6A4A">
      <w:start w:val="1"/>
      <w:numFmt w:val="decimal"/>
      <w:lvlText w:val="[%1]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972FB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B706B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A4215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6B1443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02604C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641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773B3"/>
    <w:multiLevelType w:val="hybridMultilevel"/>
    <w:tmpl w:val="EC841E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23"/>
  </w:num>
  <w:num w:numId="4">
    <w:abstractNumId w:val="31"/>
  </w:num>
  <w:num w:numId="5">
    <w:abstractNumId w:val="6"/>
  </w:num>
  <w:num w:numId="6">
    <w:abstractNumId w:val="1"/>
  </w:num>
  <w:num w:numId="7">
    <w:abstractNumId w:val="21"/>
  </w:num>
  <w:num w:numId="8">
    <w:abstractNumId w:val="37"/>
  </w:num>
  <w:num w:numId="9">
    <w:abstractNumId w:val="4"/>
  </w:num>
  <w:num w:numId="10">
    <w:abstractNumId w:val="18"/>
  </w:num>
  <w:num w:numId="11">
    <w:abstractNumId w:val="20"/>
  </w:num>
  <w:num w:numId="12">
    <w:abstractNumId w:val="35"/>
  </w:num>
  <w:num w:numId="13">
    <w:abstractNumId w:val="24"/>
  </w:num>
  <w:num w:numId="14">
    <w:abstractNumId w:val="5"/>
  </w:num>
  <w:num w:numId="15">
    <w:abstractNumId w:val="7"/>
  </w:num>
  <w:num w:numId="16">
    <w:abstractNumId w:val="38"/>
  </w:num>
  <w:num w:numId="17">
    <w:abstractNumId w:val="12"/>
  </w:num>
  <w:num w:numId="18">
    <w:abstractNumId w:val="34"/>
  </w:num>
  <w:num w:numId="19">
    <w:abstractNumId w:val="26"/>
  </w:num>
  <w:num w:numId="20">
    <w:abstractNumId w:val="32"/>
  </w:num>
  <w:num w:numId="21">
    <w:abstractNumId w:val="27"/>
  </w:num>
  <w:num w:numId="22">
    <w:abstractNumId w:val="19"/>
  </w:num>
  <w:num w:numId="23">
    <w:abstractNumId w:val="28"/>
  </w:num>
  <w:num w:numId="24">
    <w:abstractNumId w:val="33"/>
  </w:num>
  <w:num w:numId="25">
    <w:abstractNumId w:val="10"/>
  </w:num>
  <w:num w:numId="26">
    <w:abstractNumId w:val="36"/>
  </w:num>
  <w:num w:numId="27">
    <w:abstractNumId w:val="17"/>
  </w:num>
  <w:num w:numId="28">
    <w:abstractNumId w:val="9"/>
  </w:num>
  <w:num w:numId="29">
    <w:abstractNumId w:val="14"/>
  </w:num>
  <w:num w:numId="30">
    <w:abstractNumId w:val="15"/>
  </w:num>
  <w:num w:numId="31">
    <w:abstractNumId w:val="16"/>
  </w:num>
  <w:num w:numId="32">
    <w:abstractNumId w:val="25"/>
  </w:num>
  <w:num w:numId="33">
    <w:abstractNumId w:val="11"/>
  </w:num>
  <w:num w:numId="34">
    <w:abstractNumId w:val="8"/>
  </w:num>
  <w:num w:numId="35">
    <w:abstractNumId w:val="0"/>
  </w:num>
  <w:num w:numId="36">
    <w:abstractNumId w:val="30"/>
  </w:num>
  <w:num w:numId="37">
    <w:abstractNumId w:val="29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FE"/>
    <w:rsid w:val="00003AEB"/>
    <w:rsid w:val="000218B9"/>
    <w:rsid w:val="000306AF"/>
    <w:rsid w:val="00042835"/>
    <w:rsid w:val="00086D29"/>
    <w:rsid w:val="000A5AD7"/>
    <w:rsid w:val="000C6547"/>
    <w:rsid w:val="000F6900"/>
    <w:rsid w:val="00102F12"/>
    <w:rsid w:val="001300AC"/>
    <w:rsid w:val="0013516D"/>
    <w:rsid w:val="00142099"/>
    <w:rsid w:val="00150B9D"/>
    <w:rsid w:val="00152F82"/>
    <w:rsid w:val="00157ACD"/>
    <w:rsid w:val="001636D3"/>
    <w:rsid w:val="00193F85"/>
    <w:rsid w:val="001A7E64"/>
    <w:rsid w:val="001B31DF"/>
    <w:rsid w:val="001B7010"/>
    <w:rsid w:val="00200387"/>
    <w:rsid w:val="00211F80"/>
    <w:rsid w:val="00221B36"/>
    <w:rsid w:val="00227BC5"/>
    <w:rsid w:val="00231021"/>
    <w:rsid w:val="00247E5F"/>
    <w:rsid w:val="002879AE"/>
    <w:rsid w:val="002A469F"/>
    <w:rsid w:val="002A52F4"/>
    <w:rsid w:val="002B6D09"/>
    <w:rsid w:val="002C0A32"/>
    <w:rsid w:val="002C33A9"/>
    <w:rsid w:val="002D69EE"/>
    <w:rsid w:val="002E764E"/>
    <w:rsid w:val="00304F72"/>
    <w:rsid w:val="00310D63"/>
    <w:rsid w:val="00323952"/>
    <w:rsid w:val="00332338"/>
    <w:rsid w:val="00342316"/>
    <w:rsid w:val="0036682E"/>
    <w:rsid w:val="00371A95"/>
    <w:rsid w:val="00380A0F"/>
    <w:rsid w:val="00394B2D"/>
    <w:rsid w:val="003C2B73"/>
    <w:rsid w:val="003D4425"/>
    <w:rsid w:val="003E1EB5"/>
    <w:rsid w:val="003F2066"/>
    <w:rsid w:val="004055F9"/>
    <w:rsid w:val="004067DE"/>
    <w:rsid w:val="0041218C"/>
    <w:rsid w:val="00421B09"/>
    <w:rsid w:val="0042387A"/>
    <w:rsid w:val="00466430"/>
    <w:rsid w:val="00490F37"/>
    <w:rsid w:val="004B5E58"/>
    <w:rsid w:val="004F3B9D"/>
    <w:rsid w:val="00511E3C"/>
    <w:rsid w:val="00532849"/>
    <w:rsid w:val="0056170E"/>
    <w:rsid w:val="00582DFC"/>
    <w:rsid w:val="00592634"/>
    <w:rsid w:val="005A2FB5"/>
    <w:rsid w:val="005B357E"/>
    <w:rsid w:val="005B615F"/>
    <w:rsid w:val="005C1BC3"/>
    <w:rsid w:val="005C2CF0"/>
    <w:rsid w:val="005D1F84"/>
    <w:rsid w:val="005E34C4"/>
    <w:rsid w:val="005F4CB2"/>
    <w:rsid w:val="005F57B0"/>
    <w:rsid w:val="00611EAC"/>
    <w:rsid w:val="00616507"/>
    <w:rsid w:val="00625529"/>
    <w:rsid w:val="006509F1"/>
    <w:rsid w:val="00652548"/>
    <w:rsid w:val="00653BC4"/>
    <w:rsid w:val="0067390A"/>
    <w:rsid w:val="006A39DF"/>
    <w:rsid w:val="006A4F1F"/>
    <w:rsid w:val="006D0AE9"/>
    <w:rsid w:val="006E7DD3"/>
    <w:rsid w:val="00700BDD"/>
    <w:rsid w:val="00702F1D"/>
    <w:rsid w:val="007068F7"/>
    <w:rsid w:val="00710003"/>
    <w:rsid w:val="00715382"/>
    <w:rsid w:val="00721AA4"/>
    <w:rsid w:val="007272DA"/>
    <w:rsid w:val="0073428B"/>
    <w:rsid w:val="00742A86"/>
    <w:rsid w:val="00743676"/>
    <w:rsid w:val="00756259"/>
    <w:rsid w:val="00767E6F"/>
    <w:rsid w:val="00775DB9"/>
    <w:rsid w:val="007814A2"/>
    <w:rsid w:val="00790002"/>
    <w:rsid w:val="0079758E"/>
    <w:rsid w:val="007C738C"/>
    <w:rsid w:val="007D77E7"/>
    <w:rsid w:val="007E3048"/>
    <w:rsid w:val="00804FF8"/>
    <w:rsid w:val="00810299"/>
    <w:rsid w:val="00824279"/>
    <w:rsid w:val="008300B3"/>
    <w:rsid w:val="00860CFB"/>
    <w:rsid w:val="008640E6"/>
    <w:rsid w:val="008758CC"/>
    <w:rsid w:val="008A1753"/>
    <w:rsid w:val="008A6EBC"/>
    <w:rsid w:val="008B5304"/>
    <w:rsid w:val="00927D65"/>
    <w:rsid w:val="0093108E"/>
    <w:rsid w:val="00935080"/>
    <w:rsid w:val="009645A8"/>
    <w:rsid w:val="009929DF"/>
    <w:rsid w:val="00993F65"/>
    <w:rsid w:val="009A05B9"/>
    <w:rsid w:val="009F27E4"/>
    <w:rsid w:val="00A02235"/>
    <w:rsid w:val="00A27490"/>
    <w:rsid w:val="00A43FFE"/>
    <w:rsid w:val="00A63644"/>
    <w:rsid w:val="00A71A6E"/>
    <w:rsid w:val="00AB451F"/>
    <w:rsid w:val="00AC2D36"/>
    <w:rsid w:val="00AC6B6B"/>
    <w:rsid w:val="00AD4F8E"/>
    <w:rsid w:val="00B36FA9"/>
    <w:rsid w:val="00B43F1E"/>
    <w:rsid w:val="00B44F80"/>
    <w:rsid w:val="00B904AA"/>
    <w:rsid w:val="00BC1CE3"/>
    <w:rsid w:val="00C06373"/>
    <w:rsid w:val="00C20847"/>
    <w:rsid w:val="00C35FD1"/>
    <w:rsid w:val="00C3745F"/>
    <w:rsid w:val="00C44C72"/>
    <w:rsid w:val="00C65576"/>
    <w:rsid w:val="00CA321A"/>
    <w:rsid w:val="00CC2597"/>
    <w:rsid w:val="00CC48E7"/>
    <w:rsid w:val="00CE5D2D"/>
    <w:rsid w:val="00D140C3"/>
    <w:rsid w:val="00D15C5D"/>
    <w:rsid w:val="00D4417E"/>
    <w:rsid w:val="00D45579"/>
    <w:rsid w:val="00D47639"/>
    <w:rsid w:val="00D54496"/>
    <w:rsid w:val="00D65140"/>
    <w:rsid w:val="00D80C2F"/>
    <w:rsid w:val="00D84EC1"/>
    <w:rsid w:val="00D87462"/>
    <w:rsid w:val="00DB0117"/>
    <w:rsid w:val="00DE590E"/>
    <w:rsid w:val="00E02F97"/>
    <w:rsid w:val="00E05F2B"/>
    <w:rsid w:val="00E26CA3"/>
    <w:rsid w:val="00E43F09"/>
    <w:rsid w:val="00E760BF"/>
    <w:rsid w:val="00E80B96"/>
    <w:rsid w:val="00E84342"/>
    <w:rsid w:val="00EB0CFF"/>
    <w:rsid w:val="00EC6F09"/>
    <w:rsid w:val="00EC70A0"/>
    <w:rsid w:val="00EF1356"/>
    <w:rsid w:val="00F02D6F"/>
    <w:rsid w:val="00F1232B"/>
    <w:rsid w:val="00F15F08"/>
    <w:rsid w:val="00F32999"/>
    <w:rsid w:val="00F53B0F"/>
    <w:rsid w:val="00F57086"/>
    <w:rsid w:val="00F65574"/>
    <w:rsid w:val="00F870DB"/>
    <w:rsid w:val="00FA10BD"/>
    <w:rsid w:val="00FC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8DC4A"/>
  <w15:docId w15:val="{04453E3E-B8B1-4F66-8518-18E6D7212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4FF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adpis"/>
    <w:rsid w:val="00710003"/>
    <w:pPr>
      <w:outlineLvl w:val="0"/>
    </w:pPr>
  </w:style>
  <w:style w:type="paragraph" w:styleId="Nadpis2">
    <w:name w:val="heading 2"/>
    <w:basedOn w:val="Nadpis"/>
    <w:rsid w:val="00710003"/>
    <w:pPr>
      <w:outlineLvl w:val="1"/>
    </w:pPr>
  </w:style>
  <w:style w:type="paragraph" w:styleId="Nadpis3">
    <w:name w:val="heading 3"/>
    <w:basedOn w:val="Nadpis"/>
    <w:rsid w:val="00710003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618F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F45EA"/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F6900"/>
    <w:rPr>
      <w:rFonts w:ascii="Arial" w:hAnsi="Arial"/>
      <w:color w:val="0000DC"/>
      <w:sz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F107BA"/>
    <w:rPr>
      <w:color w:val="00000A"/>
      <w:u w:val="none"/>
    </w:rPr>
  </w:style>
  <w:style w:type="paragraph" w:customStyle="1" w:styleId="Nadpis">
    <w:name w:val="Nadpis"/>
    <w:basedOn w:val="Normln"/>
    <w:next w:val="Tlotextu"/>
    <w:rsid w:val="007100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rsid w:val="00710003"/>
    <w:pPr>
      <w:spacing w:after="140" w:line="288" w:lineRule="auto"/>
    </w:pPr>
  </w:style>
  <w:style w:type="paragraph" w:styleId="Seznam">
    <w:name w:val="List"/>
    <w:basedOn w:val="Tlotextu"/>
    <w:rsid w:val="00710003"/>
    <w:rPr>
      <w:rFonts w:cs="Mangal"/>
    </w:rPr>
  </w:style>
  <w:style w:type="paragraph" w:customStyle="1" w:styleId="Popisek">
    <w:name w:val="Popisek"/>
    <w:basedOn w:val="Normln"/>
    <w:rsid w:val="00710003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rsid w:val="00710003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618F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F45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F6900"/>
    <w:pPr>
      <w:tabs>
        <w:tab w:val="center" w:pos="4536"/>
        <w:tab w:val="right" w:pos="9072"/>
      </w:tabs>
      <w:spacing w:line="240" w:lineRule="exact"/>
    </w:pPr>
    <w:rPr>
      <w:rFonts w:ascii="Arial" w:hAnsi="Arial"/>
      <w:color w:val="0000DC"/>
      <w:sz w:val="16"/>
    </w:rPr>
  </w:style>
  <w:style w:type="paragraph" w:customStyle="1" w:styleId="Quotations">
    <w:name w:val="Quotations"/>
    <w:basedOn w:val="Normln"/>
    <w:rsid w:val="00710003"/>
  </w:style>
  <w:style w:type="paragraph" w:styleId="Nzev">
    <w:name w:val="Title"/>
    <w:basedOn w:val="Nadpis"/>
    <w:rsid w:val="00710003"/>
  </w:style>
  <w:style w:type="paragraph" w:styleId="Podnadpis">
    <w:name w:val="Subtitle"/>
    <w:basedOn w:val="Nadpis"/>
    <w:rsid w:val="00710003"/>
  </w:style>
  <w:style w:type="paragraph" w:customStyle="1" w:styleId="Adresa">
    <w:name w:val="Adresa"/>
    <w:qFormat/>
    <w:rsid w:val="002E764E"/>
    <w:pPr>
      <w:spacing w:line="290" w:lineRule="exact"/>
      <w:ind w:left="5046"/>
    </w:pPr>
    <w:rPr>
      <w:rFonts w:ascii="Arial" w:hAnsi="Arial"/>
      <w:b/>
      <w:sz w:val="24"/>
    </w:rPr>
  </w:style>
  <w:style w:type="paragraph" w:customStyle="1" w:styleId="Vc">
    <w:name w:val="Věc"/>
    <w:qFormat/>
    <w:rsid w:val="000F6900"/>
    <w:pPr>
      <w:tabs>
        <w:tab w:val="left" w:pos="2126"/>
        <w:tab w:val="left" w:pos="5046"/>
        <w:tab w:val="left" w:pos="7088"/>
      </w:tabs>
      <w:spacing w:before="840" w:line="280" w:lineRule="exact"/>
    </w:pPr>
    <w:rPr>
      <w:rFonts w:ascii="Arial" w:hAnsi="Arial"/>
      <w:color w:val="0000DC"/>
      <w:sz w:val="16"/>
    </w:rPr>
  </w:style>
  <w:style w:type="character" w:styleId="Hypertextovodkaz">
    <w:name w:val="Hyperlink"/>
    <w:basedOn w:val="Standardnpsmoodstavce"/>
    <w:uiPriority w:val="99"/>
    <w:unhideWhenUsed/>
    <w:rsid w:val="00EF1356"/>
    <w:rPr>
      <w:color w:val="0000FF" w:themeColor="hyperlink"/>
      <w:u w:val="single"/>
    </w:rPr>
  </w:style>
  <w:style w:type="paragraph" w:customStyle="1" w:styleId="Vcdopisu">
    <w:name w:val="Věc dopisu"/>
    <w:basedOn w:val="Tlodopisu"/>
    <w:next w:val="Tlodopisu"/>
    <w:qFormat/>
    <w:rsid w:val="000F6900"/>
    <w:pPr>
      <w:spacing w:before="720" w:line="290" w:lineRule="exact"/>
    </w:pPr>
    <w:rPr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4067DE"/>
    <w:pPr>
      <w:spacing w:before="100" w:beforeAutospacing="1" w:after="100" w:afterAutospacing="1"/>
    </w:pPr>
  </w:style>
  <w:style w:type="paragraph" w:customStyle="1" w:styleId="JmnoPjmen">
    <w:name w:val="Jméno Příjmení"/>
    <w:qFormat/>
    <w:rsid w:val="002E764E"/>
    <w:pPr>
      <w:spacing w:line="280" w:lineRule="exact"/>
    </w:pPr>
    <w:rPr>
      <w:rFonts w:ascii="Arial" w:hAnsi="Arial"/>
      <w:b/>
      <w:sz w:val="20"/>
    </w:rPr>
  </w:style>
  <w:style w:type="paragraph" w:customStyle="1" w:styleId="Funkce">
    <w:name w:val="Funkce"/>
    <w:basedOn w:val="JmnoPjmen"/>
    <w:qFormat/>
    <w:rsid w:val="00AC2D36"/>
    <w:rPr>
      <w:b w:val="0"/>
    </w:rPr>
  </w:style>
  <w:style w:type="paragraph" w:customStyle="1" w:styleId="Zpat-univerzita">
    <w:name w:val="Zápatí - univerzita"/>
    <w:basedOn w:val="Zpat"/>
    <w:next w:val="Zpat"/>
    <w:rsid w:val="007D77E7"/>
    <w:rPr>
      <w:b/>
    </w:rPr>
  </w:style>
  <w:style w:type="paragraph" w:customStyle="1" w:styleId="Vc-nsledujcdky">
    <w:name w:val="Věc - následující řádky"/>
    <w:basedOn w:val="Vc"/>
    <w:qFormat/>
    <w:rsid w:val="00A27490"/>
    <w:pPr>
      <w:spacing w:before="0"/>
    </w:pPr>
    <w:rPr>
      <w:color w:val="auto"/>
    </w:rPr>
  </w:style>
  <w:style w:type="paragraph" w:customStyle="1" w:styleId="Zpatsslovnmstrnky">
    <w:name w:val="Zápatí s číslováním stránky"/>
    <w:basedOn w:val="Zpat"/>
    <w:qFormat/>
    <w:rsid w:val="000F6900"/>
    <w:pPr>
      <w:tabs>
        <w:tab w:val="clear" w:pos="4536"/>
        <w:tab w:val="clear" w:pos="9072"/>
        <w:tab w:val="left" w:pos="0"/>
      </w:tabs>
      <w:ind w:left="-680"/>
    </w:pPr>
    <w:rPr>
      <w:rFonts w:cs="Arial"/>
      <w:szCs w:val="14"/>
    </w:rPr>
  </w:style>
  <w:style w:type="paragraph" w:customStyle="1" w:styleId="Zpat-univerzita4dkyadresy">
    <w:name w:val="Zápatí - univerzita (4 řádky adresy)"/>
    <w:basedOn w:val="Zpat-univerzita"/>
    <w:next w:val="Zpat"/>
    <w:qFormat/>
    <w:rsid w:val="00D80C2F"/>
    <w:rPr>
      <w:rFonts w:cs="Arial"/>
      <w:szCs w:val="16"/>
    </w:rPr>
  </w:style>
  <w:style w:type="paragraph" w:customStyle="1" w:styleId="Tlodopisu">
    <w:name w:val="Tělo dopisu"/>
    <w:qFormat/>
    <w:rsid w:val="00E84342"/>
    <w:pPr>
      <w:spacing w:after="280" w:line="280" w:lineRule="exact"/>
    </w:pPr>
    <w:rPr>
      <w:rFonts w:ascii="Arial" w:hAnsi="Arial"/>
      <w:sz w:val="20"/>
    </w:rPr>
  </w:style>
  <w:style w:type="character" w:customStyle="1" w:styleId="slovnstran">
    <w:name w:val="Číslování stran"/>
    <w:basedOn w:val="Standardnpsmoodstavce"/>
    <w:uiPriority w:val="1"/>
    <w:qFormat/>
    <w:rsid w:val="00F53B0F"/>
    <w:rPr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43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6460\Desktop\SO%20roztridene\Hlavickovy%20papir\Nov&#253;%20vizual%202018\econ_univerzalni_dopis_cz_bar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0776-6BBD-46FA-AA39-2E2A20478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econ_univerzalni_dopis_cz_barva.dotx</Template>
  <TotalTime>0</TotalTime>
  <Pages>5</Pages>
  <Words>995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muni</vt:lpstr>
    </vt:vector>
  </TitlesOfParts>
  <Company>ATC</Company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muni</dc:title>
  <dc:creator>Vavřinová Marta</dc:creator>
  <cp:lastModifiedBy>Mikulášová Zuzana</cp:lastModifiedBy>
  <cp:revision>2</cp:revision>
  <cp:lastPrinted>2018-09-12T18:52:00Z</cp:lastPrinted>
  <dcterms:created xsi:type="dcterms:W3CDTF">2018-11-06T13:58:00Z</dcterms:created>
  <dcterms:modified xsi:type="dcterms:W3CDTF">2018-11-06T13:58:00Z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