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D" w:rsidRPr="001650A3" w:rsidRDefault="005B096D" w:rsidP="005B096D">
      <w:pPr>
        <w:pStyle w:val="Nadpis1"/>
        <w:jc w:val="both"/>
        <w:rPr>
          <w:lang w:val="cs-CZ"/>
        </w:rPr>
      </w:pPr>
      <w:r w:rsidRPr="001650A3">
        <w:rPr>
          <w:lang w:val="cs-CZ"/>
        </w:rPr>
        <w:t>Hospodaření v roce 201</w:t>
      </w:r>
      <w:r w:rsidR="00786B53">
        <w:rPr>
          <w:lang w:val="cs-CZ"/>
        </w:rPr>
        <w:t>6</w:t>
      </w:r>
    </w:p>
    <w:p w:rsidR="005B096D" w:rsidRPr="008B7E0B" w:rsidRDefault="005B096D" w:rsidP="005B096D">
      <w:pPr>
        <w:spacing w:after="120"/>
        <w:jc w:val="both"/>
        <w:rPr>
          <w:lang w:val="cs-CZ"/>
        </w:rPr>
      </w:pPr>
      <w:r w:rsidRPr="008B7E0B">
        <w:rPr>
          <w:lang w:val="cs-CZ"/>
        </w:rPr>
        <w:t>V roce 201</w:t>
      </w:r>
      <w:r w:rsidR="00786B53" w:rsidRPr="008B7E0B">
        <w:rPr>
          <w:lang w:val="cs-CZ"/>
        </w:rPr>
        <w:t>6</w:t>
      </w:r>
      <w:r w:rsidRPr="008B7E0B">
        <w:rPr>
          <w:lang w:val="cs-CZ"/>
        </w:rPr>
        <w:t xml:space="preserve"> hospodařila Fakulta informatiky s cca 3</w:t>
      </w:r>
      <w:r w:rsidR="00725B20" w:rsidRPr="008B7E0B">
        <w:rPr>
          <w:lang w:val="cs-CZ"/>
        </w:rPr>
        <w:t>19</w:t>
      </w:r>
      <w:r w:rsidRPr="008B7E0B">
        <w:rPr>
          <w:lang w:val="cs-CZ"/>
        </w:rPr>
        <w:t xml:space="preserve"> mil. Kč</w:t>
      </w:r>
      <w:r w:rsidR="00452BBF" w:rsidRPr="008B7E0B">
        <w:rPr>
          <w:lang w:val="cs-CZ"/>
        </w:rPr>
        <w:t xml:space="preserve"> </w:t>
      </w:r>
      <w:r w:rsidR="00725B20" w:rsidRPr="008B7E0B">
        <w:rPr>
          <w:lang w:val="cs-CZ"/>
        </w:rPr>
        <w:t>neinvestičních prostředků</w:t>
      </w:r>
      <w:r w:rsidRPr="008B7E0B">
        <w:rPr>
          <w:lang w:val="cs-CZ"/>
        </w:rPr>
        <w:t xml:space="preserve">, přičemž </w:t>
      </w:r>
      <w:r w:rsidR="00725B20" w:rsidRPr="008B7E0B">
        <w:rPr>
          <w:lang w:val="cs-CZ"/>
        </w:rPr>
        <w:t>senátem schválený návrh rozpočtu pro rok 2016 počítal s </w:t>
      </w:r>
      <w:r w:rsidRPr="008B7E0B">
        <w:rPr>
          <w:lang w:val="cs-CZ"/>
        </w:rPr>
        <w:t>cca 2</w:t>
      </w:r>
      <w:r w:rsidR="00786B53" w:rsidRPr="008B7E0B">
        <w:rPr>
          <w:lang w:val="cs-CZ"/>
        </w:rPr>
        <w:t>80</w:t>
      </w:r>
      <w:r w:rsidRPr="008B7E0B">
        <w:rPr>
          <w:lang w:val="cs-CZ"/>
        </w:rPr>
        <w:t xml:space="preserve"> mil. Kč. Navýšení bylo tradičně způsobeno zejména projekty, které </w:t>
      </w:r>
      <w:r w:rsidR="008B7E0B" w:rsidRPr="008B7E0B">
        <w:rPr>
          <w:lang w:val="cs-CZ"/>
        </w:rPr>
        <w:t>při sestavování plánu rozpočtu nemohou být do rozpočtu FI započteny – spoluřešitelské projekty, projekty GA MU, RP apod., vyrovnání s Přírodovědeckou fakultou za výuku matematiky pro FI. Ke konci roku 2016 také MU obdržela dodatečný příspěvek na vzdělávací činnost</w:t>
      </w:r>
      <w:r w:rsidR="008B7E0B">
        <w:rPr>
          <w:lang w:val="cs-CZ"/>
        </w:rPr>
        <w:t xml:space="preserve">. Čerpání NEI prostředků v podstatě odpovídalo schválenému plánu rozpočtu na rok 2016 se zohledněným výše uvedených </w:t>
      </w:r>
      <w:r w:rsidR="008B7E0B" w:rsidRPr="008B7E0B">
        <w:rPr>
          <w:lang w:val="cs-CZ"/>
        </w:rPr>
        <w:t xml:space="preserve">změn. </w:t>
      </w:r>
      <w:r w:rsidRPr="008B7E0B">
        <w:rPr>
          <w:lang w:val="cs-CZ"/>
        </w:rPr>
        <w:t>Podíl hlavních zdrojů financování byl následující:</w:t>
      </w:r>
    </w:p>
    <w:p w:rsidR="005B096D" w:rsidRPr="008B7E0B" w:rsidRDefault="005B096D" w:rsidP="005B096D">
      <w:pPr>
        <w:tabs>
          <w:tab w:val="right" w:pos="6804"/>
        </w:tabs>
        <w:spacing w:line="240" w:lineRule="auto"/>
        <w:rPr>
          <w:lang w:val="cs-CZ"/>
        </w:rPr>
      </w:pPr>
      <w:r w:rsidRPr="008B7E0B">
        <w:rPr>
          <w:lang w:val="cs-CZ"/>
        </w:rPr>
        <w:t xml:space="preserve">- příspěvek MŠMT na vzdělávací činnost, vč. dotace na PhD: 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32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>- institucionální podpora: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12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 xml:space="preserve">- centralizované prostředky (vč. IRP) pro IS: </w:t>
      </w:r>
      <w:r w:rsidRPr="008B7E0B">
        <w:rPr>
          <w:lang w:val="cs-CZ"/>
        </w:rPr>
        <w:tab/>
      </w:r>
      <w:r w:rsidR="00D92602" w:rsidRPr="008B7E0B">
        <w:rPr>
          <w:lang w:val="cs-CZ"/>
        </w:rPr>
        <w:t>12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>- projekty celkem: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23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>- vlastní činnost</w:t>
      </w:r>
      <w:r w:rsidR="00D92602" w:rsidRPr="008B7E0B">
        <w:rPr>
          <w:lang w:val="cs-CZ"/>
        </w:rPr>
        <w:t xml:space="preserve"> (vč. tvorby fondů a dotačních odpisů):</w:t>
      </w:r>
      <w:r w:rsidRPr="008B7E0B">
        <w:rPr>
          <w:lang w:val="cs-CZ"/>
        </w:rPr>
        <w:t xml:space="preserve"> </w:t>
      </w:r>
      <w:r w:rsidRPr="008B7E0B">
        <w:rPr>
          <w:lang w:val="cs-CZ"/>
        </w:rPr>
        <w:tab/>
      </w:r>
      <w:r w:rsidR="00D92602" w:rsidRPr="008B7E0B">
        <w:rPr>
          <w:lang w:val="cs-CZ"/>
        </w:rPr>
        <w:t>19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>- čerpání fondů:</w:t>
      </w:r>
      <w:r w:rsidRPr="008B7E0B">
        <w:rPr>
          <w:lang w:val="cs-CZ"/>
        </w:rPr>
        <w:tab/>
      </w:r>
      <w:r w:rsidR="00D92602" w:rsidRPr="008B7E0B">
        <w:rPr>
          <w:lang w:val="cs-CZ"/>
        </w:rPr>
        <w:t>2</w:t>
      </w:r>
      <w:r w:rsidRPr="008B7E0B">
        <w:rPr>
          <w:lang w:val="cs-CZ"/>
        </w:rPr>
        <w:t xml:space="preserve"> %</w:t>
      </w:r>
    </w:p>
    <w:p w:rsidR="005B096D" w:rsidRPr="008B7E0B" w:rsidRDefault="005B096D" w:rsidP="005B096D">
      <w:pPr>
        <w:spacing w:after="120"/>
        <w:rPr>
          <w:lang w:val="cs-CZ"/>
        </w:rPr>
      </w:pPr>
      <w:r w:rsidRPr="008B7E0B">
        <w:rPr>
          <w:lang w:val="cs-CZ"/>
        </w:rPr>
        <w:t>Projekty dle „typu“ (procenta vztažena k celkové částce za projekty):</w:t>
      </w:r>
    </w:p>
    <w:p w:rsidR="005B096D" w:rsidRPr="008B7E0B" w:rsidRDefault="005B096D" w:rsidP="00D92602">
      <w:pPr>
        <w:tabs>
          <w:tab w:val="right" w:pos="6804"/>
        </w:tabs>
        <w:spacing w:line="240" w:lineRule="auto"/>
        <w:rPr>
          <w:lang w:val="cs-CZ"/>
        </w:rPr>
      </w:pPr>
      <w:r w:rsidRPr="008B7E0B">
        <w:rPr>
          <w:lang w:val="cs-CZ"/>
        </w:rPr>
        <w:t>- rozvojové projekty: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10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 xml:space="preserve">- projekty </w:t>
      </w:r>
      <w:proofErr w:type="spellStart"/>
      <w:r w:rsidRPr="008B7E0B">
        <w:rPr>
          <w:lang w:val="cs-CZ"/>
        </w:rPr>
        <w:t>VaV</w:t>
      </w:r>
      <w:proofErr w:type="spellEnd"/>
      <w:r w:rsidRPr="008B7E0B">
        <w:rPr>
          <w:lang w:val="cs-CZ"/>
        </w:rPr>
        <w:t>: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72</w:t>
      </w:r>
      <w:r w:rsidRPr="008B7E0B">
        <w:rPr>
          <w:lang w:val="cs-CZ"/>
        </w:rPr>
        <w:t xml:space="preserve"> %</w:t>
      </w:r>
      <w:r w:rsidRPr="008B7E0B">
        <w:rPr>
          <w:lang w:val="cs-CZ"/>
        </w:rPr>
        <w:br/>
        <w:t xml:space="preserve">- zahraniční projekty </w:t>
      </w:r>
      <w:r w:rsidR="00452BBF" w:rsidRPr="008B7E0B">
        <w:rPr>
          <w:lang w:val="cs-CZ"/>
        </w:rPr>
        <w:t>(vč. dofinancování MŠMT)</w:t>
      </w:r>
      <w:r w:rsidRPr="008B7E0B">
        <w:rPr>
          <w:lang w:val="cs-CZ"/>
        </w:rPr>
        <w:t xml:space="preserve">: </w:t>
      </w:r>
      <w:r w:rsidRPr="008B7E0B">
        <w:rPr>
          <w:lang w:val="cs-CZ"/>
        </w:rPr>
        <w:tab/>
      </w:r>
      <w:r w:rsidR="00786B53" w:rsidRPr="008B7E0B">
        <w:rPr>
          <w:lang w:val="cs-CZ"/>
        </w:rPr>
        <w:t>18</w:t>
      </w:r>
      <w:r w:rsidRPr="008B7E0B">
        <w:rPr>
          <w:lang w:val="cs-CZ"/>
        </w:rPr>
        <w:t xml:space="preserve"> %</w:t>
      </w:r>
    </w:p>
    <w:p w:rsidR="005102C5" w:rsidRDefault="00B0469D">
      <w:pPr>
        <w:rPr>
          <w:lang w:val="cs-CZ"/>
        </w:rPr>
      </w:pPr>
      <w:r>
        <w:rPr>
          <w:lang w:val="cs-CZ"/>
        </w:rPr>
        <w:t xml:space="preserve">Rozpočet </w:t>
      </w:r>
      <w:r w:rsidR="008B7E0B" w:rsidRPr="008B7E0B">
        <w:rPr>
          <w:lang w:val="cs-CZ"/>
        </w:rPr>
        <w:t xml:space="preserve">investiční části </w:t>
      </w:r>
      <w:r>
        <w:rPr>
          <w:lang w:val="cs-CZ"/>
        </w:rPr>
        <w:t>v roce 2016 činil cca. 5,8 mil. Kč.</w:t>
      </w:r>
    </w:p>
    <w:p w:rsidR="00B0469D" w:rsidRPr="008B7E0B" w:rsidRDefault="00B0469D">
      <w:pPr>
        <w:rPr>
          <w:lang w:val="cs-CZ"/>
        </w:rPr>
      </w:pPr>
      <w:r>
        <w:rPr>
          <w:lang w:val="cs-CZ"/>
        </w:rPr>
        <w:t>Podrobně, včetně informace o stavu fo</w:t>
      </w:r>
      <w:bookmarkStart w:id="0" w:name="_GoBack"/>
      <w:bookmarkEnd w:id="0"/>
      <w:r>
        <w:rPr>
          <w:lang w:val="cs-CZ"/>
        </w:rPr>
        <w:t>ndů, viz tabulka v příloze.</w:t>
      </w:r>
    </w:p>
    <w:sectPr w:rsidR="00B0469D" w:rsidRPr="008B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D"/>
    <w:rsid w:val="00452BBF"/>
    <w:rsid w:val="005102C5"/>
    <w:rsid w:val="005B096D"/>
    <w:rsid w:val="00725B20"/>
    <w:rsid w:val="00786B53"/>
    <w:rsid w:val="008B7E0B"/>
    <w:rsid w:val="00B0469D"/>
    <w:rsid w:val="00C72E0C"/>
    <w:rsid w:val="00D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C31D"/>
  <w15:docId w15:val="{67F2935A-095D-40C9-AEEB-C198E5B2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96D"/>
    <w:pPr>
      <w:spacing w:after="200" w:line="276" w:lineRule="auto"/>
    </w:pPr>
    <w:rPr>
      <w:rFonts w:ascii="Calibri" w:eastAsia="MS Mincho" w:hAnsi="Calibri" w:cs="Arial"/>
      <w:lang w:val="en-US" w:eastAsia="ja-JP" w:bidi="he-IL"/>
    </w:rPr>
  </w:style>
  <w:style w:type="paragraph" w:styleId="Nadpis1">
    <w:name w:val="heading 1"/>
    <w:basedOn w:val="Normln"/>
    <w:next w:val="Normln"/>
    <w:link w:val="Nadpis1Char"/>
    <w:uiPriority w:val="9"/>
    <w:qFormat/>
    <w:rsid w:val="005B096D"/>
    <w:pPr>
      <w:keepNext/>
      <w:keepLines/>
      <w:spacing w:before="480" w:after="16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96D"/>
    <w:rPr>
      <w:rFonts w:ascii="Cambria" w:eastAsia="MS Gothic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lenbar</dc:creator>
  <cp:lastModifiedBy>Lenka Bartošková</cp:lastModifiedBy>
  <cp:revision>6</cp:revision>
  <dcterms:created xsi:type="dcterms:W3CDTF">2017-05-14T06:50:00Z</dcterms:created>
  <dcterms:modified xsi:type="dcterms:W3CDTF">2017-05-21T14:35:00Z</dcterms:modified>
</cp:coreProperties>
</file>