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CCA" w:rsidRDefault="00502E77">
      <w:r>
        <w:rPr>
          <w:rFonts w:ascii="Arial" w:hAnsi="Arial" w:cs="Arial"/>
          <w:color w:val="0A0A0A"/>
          <w:sz w:val="20"/>
          <w:szCs w:val="20"/>
        </w:rPr>
        <w:t>Ve druhém díle dvoudílné monografie se autor zabývá systémovými přístupy a systémovým pojetím tělesné kultury. Monografie je členěna do osmi kapitol, ve kterých se mimo základního systémového přístupu věnuje hodnotovým problémům, rozvíjejícím procesům tělesné kultury, organizaci, institucím a řízení tělesné kultury, jakož i vztahu systému tělesné kultury ke svému okolí, systém právní, ekonomický, zaměstnanost, životní styl, zdraví, pracovní výkonnost.</w:t>
      </w:r>
      <w:bookmarkStart w:id="0" w:name="_GoBack"/>
      <w:bookmarkEnd w:id="0"/>
    </w:p>
    <w:sectPr w:rsidR="004B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77"/>
    <w:rsid w:val="004B5CCA"/>
    <w:rsid w:val="0050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22BCE-724F-4E95-A86F-FC8966D6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2021-05-27T07:20:00Z</dcterms:created>
  <dcterms:modified xsi:type="dcterms:W3CDTF">2021-05-27T07:20:00Z</dcterms:modified>
</cp:coreProperties>
</file>