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08" w:rsidRPr="00F05AC5" w:rsidRDefault="00D77508" w:rsidP="003B1B08">
      <w:pPr>
        <w:pStyle w:val="Title"/>
      </w:pPr>
      <w:r w:rsidRPr="00F05AC5">
        <w:t>Výzkumný záměr pro doktorské studium</w:t>
      </w:r>
    </w:p>
    <w:p w:rsidR="00D77508" w:rsidRPr="00F05AC5" w:rsidRDefault="00D77508" w:rsidP="00A2316C">
      <w:r w:rsidRPr="00F05AC5">
        <w:rPr>
          <w:b/>
        </w:rPr>
        <w:t xml:space="preserve">Autor: </w:t>
      </w:r>
      <w:r w:rsidRPr="00F05AC5">
        <w:t>Zdeněk Rous (52218)</w:t>
      </w:r>
    </w:p>
    <w:p w:rsidR="00D77508" w:rsidRPr="00F05AC5" w:rsidRDefault="00D77508" w:rsidP="00A2316C">
      <w:pPr>
        <w:rPr>
          <w:b/>
        </w:rPr>
      </w:pPr>
      <w:r w:rsidRPr="00F05AC5">
        <w:rPr>
          <w:b/>
        </w:rPr>
        <w:t xml:space="preserve">Datum vypracování: </w:t>
      </w:r>
      <w:r>
        <w:t>14</w:t>
      </w:r>
      <w:r w:rsidRPr="00F05AC5">
        <w:t>. 6. 2011</w:t>
      </w:r>
    </w:p>
    <w:p w:rsidR="00D77508" w:rsidRPr="00F05AC5" w:rsidRDefault="00D77508" w:rsidP="00A2316C"/>
    <w:p w:rsidR="00D77508" w:rsidRPr="00F05AC5" w:rsidRDefault="00D77508" w:rsidP="006F35BF">
      <w:r w:rsidRPr="00F05AC5">
        <w:rPr>
          <w:b/>
        </w:rPr>
        <w:t>Předběžný název:</w:t>
      </w:r>
      <w:r w:rsidRPr="00F05AC5">
        <w:t xml:space="preserve"> </w:t>
      </w:r>
      <w:r>
        <w:t>Městská m</w:t>
      </w:r>
      <w:r w:rsidRPr="00F05AC5">
        <w:t>arginalita v ČR (Brně) jako funkce sociální sociální a politické historie.</w:t>
      </w:r>
    </w:p>
    <w:p w:rsidR="00D77508" w:rsidRPr="00F05AC5" w:rsidRDefault="00D77508" w:rsidP="006F35BF"/>
    <w:p w:rsidR="00D77508" w:rsidRPr="00F05AC5" w:rsidRDefault="00D77508" w:rsidP="007E04DE">
      <w:pPr>
        <w:rPr>
          <w:b/>
        </w:rPr>
      </w:pPr>
      <w:r w:rsidRPr="00F05AC5">
        <w:rPr>
          <w:b/>
        </w:rPr>
        <w:t>Proč lze téma považovat za zajímavé?</w:t>
      </w:r>
    </w:p>
    <w:p w:rsidR="00D77508" w:rsidRPr="00F05AC5" w:rsidRDefault="00D77508" w:rsidP="006F35BF">
      <w:r w:rsidRPr="00F05AC5">
        <w:t xml:space="preserve">Umožní přispět ke kolektivní práci konstrukce teorie marginality prostřednictvím rozšíření poznání vývoje marginality v postkomunistické zemi a prostřednictvím mezinárodní komparace. Má okamžitou relevanci pro oblast veřejné politiky.  </w:t>
      </w:r>
    </w:p>
    <w:p w:rsidR="00D77508" w:rsidRPr="00F05AC5" w:rsidRDefault="00D77508" w:rsidP="006F35BF"/>
    <w:p w:rsidR="00D77508" w:rsidRPr="00F05AC5" w:rsidRDefault="00D77508" w:rsidP="006F35BF">
      <w:r w:rsidRPr="00F05AC5">
        <w:rPr>
          <w:b/>
        </w:rPr>
        <w:t xml:space="preserve">Výzkumná otázka: </w:t>
      </w:r>
      <w:r w:rsidRPr="00F05AC5">
        <w:t>Jak se každý z šesti specifických prvků pokročilé marginality specifikuje v České republice (Brně) jako funkce sociální a politické historie? Jak se tato konkrétní specifikace jednotlivých prvků pokročilé marginality odlišuje/podobá v rámci mezinárodního porovnání?</w:t>
      </w:r>
    </w:p>
    <w:p w:rsidR="00D77508" w:rsidRPr="00F05AC5" w:rsidRDefault="00D77508" w:rsidP="006F35BF">
      <w:pPr>
        <w:rPr>
          <w:b/>
        </w:rPr>
      </w:pPr>
    </w:p>
    <w:p w:rsidR="00D77508" w:rsidRPr="00F05AC5" w:rsidRDefault="00D77508" w:rsidP="00F553EE">
      <w:r w:rsidRPr="00F05AC5">
        <w:rPr>
          <w:b/>
        </w:rPr>
        <w:t>Teoretické paradigma:</w:t>
      </w:r>
      <w:r w:rsidRPr="00F05AC5">
        <w:t xml:space="preserve"> makrokřídlo durkheimovské tradice (Bourdieu, Wacquant) a konfliktualismus (Weber, neomarxismus, Collins). " ... paradigmata nejsou pravdivá či nepravdivá; jako způsoby dívání se jsou pouze více či méně užitečná." (Babbie, 2010: 34).</w:t>
      </w:r>
    </w:p>
    <w:p w:rsidR="00D77508" w:rsidRPr="00F05AC5" w:rsidRDefault="00D77508" w:rsidP="006F35BF"/>
    <w:p w:rsidR="00D77508" w:rsidRPr="00F05AC5" w:rsidRDefault="00D77508" w:rsidP="006F35BF">
      <w:pPr>
        <w:rPr>
          <w:b/>
        </w:rPr>
      </w:pPr>
      <w:r w:rsidRPr="00F05AC5">
        <w:rPr>
          <w:b/>
        </w:rPr>
        <w:t xml:space="preserve">Teoretický kontext: </w:t>
      </w:r>
    </w:p>
    <w:p w:rsidR="00D77508" w:rsidRPr="00F05AC5" w:rsidRDefault="00D77508" w:rsidP="00E967A4">
      <w:pPr>
        <w:pStyle w:val="FreeFormB"/>
        <w:spacing w:after="240"/>
        <w:rPr>
          <w:rFonts w:ascii="Cambria" w:hAnsi="Cambria"/>
          <w:lang w:val="cs-CZ"/>
        </w:rPr>
      </w:pPr>
      <w:r w:rsidRPr="00F05AC5">
        <w:rPr>
          <w:rFonts w:ascii="Cambria" w:hAnsi="Cambria"/>
          <w:lang w:val="cs-CZ"/>
        </w:rPr>
        <w:t>Pokročilá marginalita charakterizuje nový režim chudoby a městské marginality vynořující se v post-fordistické, post-keynesyánské éře</w:t>
      </w:r>
      <w:r>
        <w:rPr>
          <w:rFonts w:ascii="Cambria" w:hAnsi="Cambria"/>
          <w:lang w:val="cs-CZ"/>
        </w:rPr>
        <w:t xml:space="preserve"> v rozvinutých společnostech</w:t>
      </w:r>
      <w:r w:rsidRPr="00F05AC5">
        <w:rPr>
          <w:rFonts w:ascii="Cambria" w:hAnsi="Cambria"/>
          <w:lang w:val="cs-CZ"/>
        </w:rPr>
        <w:t xml:space="preserve">. Lze ji charakterizovat následujícími prvky, které ji odlišují od marginality fordistického období. </w:t>
      </w:r>
    </w:p>
    <w:p w:rsidR="00D77508" w:rsidRPr="00F05AC5" w:rsidRDefault="00D77508" w:rsidP="00E967A4">
      <w:pPr>
        <w:pStyle w:val="FreeFormB"/>
        <w:numPr>
          <w:ilvl w:val="0"/>
          <w:numId w:val="5"/>
        </w:numPr>
        <w:spacing w:after="240"/>
        <w:ind w:hanging="260"/>
        <w:rPr>
          <w:rFonts w:ascii="Cambria" w:hAnsi="Cambria"/>
          <w:lang w:val="cs-CZ"/>
        </w:rPr>
      </w:pPr>
      <w:r w:rsidRPr="00F05AC5">
        <w:rPr>
          <w:rFonts w:ascii="Cambria" w:hAnsi="Cambria"/>
          <w:lang w:val="cs-CZ"/>
        </w:rPr>
        <w:t>Námezdní práce sama se stala zdrojem sociální nejis</w:t>
      </w:r>
      <w:r>
        <w:rPr>
          <w:rFonts w:ascii="Cambria" w:hAnsi="Cambria"/>
          <w:lang w:val="cs-CZ"/>
        </w:rPr>
        <w:t xml:space="preserve">toty, nestability a prekérnosti – prekérní práce jako součást problému. </w:t>
      </w:r>
    </w:p>
    <w:p w:rsidR="00D77508" w:rsidRPr="00F05AC5" w:rsidRDefault="00D77508" w:rsidP="00E967A4">
      <w:pPr>
        <w:pStyle w:val="FreeFormB"/>
        <w:numPr>
          <w:ilvl w:val="0"/>
          <w:numId w:val="5"/>
        </w:numPr>
        <w:spacing w:after="240"/>
        <w:ind w:hanging="2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Funkční odpojení</w:t>
      </w:r>
      <w:r w:rsidRPr="00F05AC5">
        <w:rPr>
          <w:rFonts w:ascii="Cambria" w:hAnsi="Cambria"/>
          <w:lang w:val="cs-CZ"/>
        </w:rPr>
        <w:t xml:space="preserve"> </w:t>
      </w:r>
      <w:r>
        <w:rPr>
          <w:rFonts w:ascii="Cambria" w:hAnsi="Cambria"/>
          <w:lang w:val="cs-CZ"/>
        </w:rPr>
        <w:t xml:space="preserve">marginality </w:t>
      </w:r>
      <w:r w:rsidRPr="00F05AC5">
        <w:rPr>
          <w:rFonts w:ascii="Cambria" w:hAnsi="Cambria"/>
          <w:lang w:val="cs-CZ"/>
        </w:rPr>
        <w:t>od makroekonomických tre</w:t>
      </w:r>
      <w:r>
        <w:rPr>
          <w:rFonts w:ascii="Cambria" w:hAnsi="Cambria"/>
          <w:lang w:val="cs-CZ"/>
        </w:rPr>
        <w:t>ndů -</w:t>
      </w:r>
      <w:r w:rsidRPr="00F05AC5">
        <w:rPr>
          <w:rFonts w:ascii="Cambria" w:hAnsi="Cambria"/>
          <w:lang w:val="cs-CZ"/>
        </w:rPr>
        <w:t xml:space="preserve"> expanzivní fáze ekonomiky na ní mají jen nízký pozitivní efekt. </w:t>
      </w:r>
    </w:p>
    <w:p w:rsidR="00D77508" w:rsidRDefault="00D77508" w:rsidP="00A932C9">
      <w:pPr>
        <w:pStyle w:val="FreeFormB"/>
        <w:numPr>
          <w:ilvl w:val="0"/>
          <w:numId w:val="6"/>
        </w:numPr>
        <w:spacing w:after="240"/>
        <w:ind w:hanging="2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T</w:t>
      </w:r>
      <w:r w:rsidRPr="00F05AC5">
        <w:rPr>
          <w:rFonts w:ascii="Cambria" w:hAnsi="Cambria"/>
          <w:lang w:val="cs-CZ"/>
        </w:rPr>
        <w:t>erito</w:t>
      </w:r>
      <w:r>
        <w:rPr>
          <w:rFonts w:ascii="Cambria" w:hAnsi="Cambria"/>
          <w:lang w:val="cs-CZ"/>
        </w:rPr>
        <w:t>riálně fixovaná a stigmatizace</w:t>
      </w:r>
      <w:r w:rsidRPr="00F05AC5">
        <w:rPr>
          <w:rFonts w:ascii="Cambria" w:hAnsi="Cambria"/>
          <w:lang w:val="cs-CZ"/>
        </w:rPr>
        <w:t xml:space="preserve"> - má tendenci se koncentrovat v ohraničených teritoriích vnímaných </w:t>
      </w:r>
      <w:r w:rsidRPr="00F05AC5">
        <w:rPr>
          <w:rFonts w:ascii="Cambria Italic" w:hAnsi="Cambria Italic"/>
          <w:lang w:val="cs-CZ"/>
        </w:rPr>
        <w:t>outsidery</w:t>
      </w:r>
      <w:r w:rsidRPr="00F05AC5">
        <w:rPr>
          <w:rFonts w:ascii="Cambria" w:hAnsi="Cambria"/>
          <w:lang w:val="cs-CZ"/>
        </w:rPr>
        <w:t xml:space="preserve"> i </w:t>
      </w:r>
      <w:r w:rsidRPr="00F05AC5">
        <w:rPr>
          <w:rFonts w:ascii="Cambria Italic" w:hAnsi="Cambria Italic"/>
          <w:lang w:val="cs-CZ"/>
        </w:rPr>
        <w:t>insidery</w:t>
      </w:r>
      <w:r w:rsidRPr="00F05AC5">
        <w:rPr>
          <w:rFonts w:ascii="Cambria" w:hAnsi="Cambria"/>
          <w:lang w:val="cs-CZ"/>
        </w:rPr>
        <w:t xml:space="preserve"> jako “místa zla”. Dochází k produkci a cirkulaci negativní kolektivní reprezentace. </w:t>
      </w:r>
    </w:p>
    <w:p w:rsidR="00D77508" w:rsidRDefault="00D77508" w:rsidP="00A932C9">
      <w:pPr>
        <w:pStyle w:val="FreeFormB"/>
        <w:numPr>
          <w:ilvl w:val="0"/>
          <w:numId w:val="6"/>
        </w:numPr>
        <w:spacing w:after="240"/>
        <w:ind w:hanging="260"/>
        <w:rPr>
          <w:rFonts w:ascii="Cambria" w:hAnsi="Cambria"/>
          <w:lang w:val="cs-CZ"/>
        </w:rPr>
      </w:pPr>
      <w:r w:rsidRPr="00A932C9">
        <w:rPr>
          <w:rFonts w:ascii="Cambria" w:hAnsi="Cambria"/>
          <w:lang w:val="cs-CZ"/>
        </w:rPr>
        <w:t xml:space="preserve">Rozklad „místa“ (humanizované a kulturně známé lokality s níž se lze identifikovat a cítit se v ní doma) a jeho nahrazení prostorem, ve kterém se odehrává soutěžení a zápas o přežití. </w:t>
      </w:r>
    </w:p>
    <w:p w:rsidR="00D77508" w:rsidRPr="00A932C9" w:rsidRDefault="00D77508" w:rsidP="00A932C9">
      <w:pPr>
        <w:pStyle w:val="FreeFormB"/>
        <w:numPr>
          <w:ilvl w:val="0"/>
          <w:numId w:val="6"/>
        </w:numPr>
        <w:spacing w:after="240"/>
        <w:ind w:hanging="260"/>
        <w:rPr>
          <w:rFonts w:ascii="Cambria" w:hAnsi="Cambria"/>
          <w:lang w:val="cs-CZ"/>
        </w:rPr>
      </w:pPr>
      <w:r w:rsidRPr="00A932C9">
        <w:rPr>
          <w:rFonts w:ascii="Cambria" w:hAnsi="Cambria"/>
          <w:lang w:val="cs-CZ"/>
        </w:rPr>
        <w:t xml:space="preserve">Ztráta </w:t>
      </w:r>
      <w:r w:rsidRPr="00A932C9">
        <w:rPr>
          <w:rFonts w:ascii="Cambria Italic" w:hAnsi="Cambria Italic"/>
          <w:lang w:val="cs-CZ"/>
        </w:rPr>
        <w:t>zázemí</w:t>
      </w:r>
      <w:r w:rsidRPr="00A932C9">
        <w:rPr>
          <w:rFonts w:ascii="Cambria" w:hAnsi="Cambria"/>
          <w:lang w:val="cs-CZ"/>
        </w:rPr>
        <w:t xml:space="preserve">, kam se lidé mohli uchýlit a kde mohli přečkat období ekonomických recesí (např. sousedství, komunální ghetto či vesnice). </w:t>
      </w:r>
    </w:p>
    <w:p w:rsidR="00D77508" w:rsidRPr="00074D19" w:rsidRDefault="00D77508" w:rsidP="00E967A4">
      <w:pPr>
        <w:pStyle w:val="FreeFormB"/>
        <w:numPr>
          <w:ilvl w:val="0"/>
          <w:numId w:val="9"/>
        </w:numPr>
        <w:spacing w:after="240"/>
        <w:ind w:hanging="260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 Třídní rozklad na dně sociální struktury a symbolické</w:t>
      </w:r>
      <w:r w:rsidRPr="00074D19">
        <w:rPr>
          <w:rFonts w:ascii="Cambria" w:hAnsi="Cambria"/>
          <w:lang w:val="cs-CZ"/>
        </w:rPr>
        <w:t xml:space="preserve"> odloučení “prekariátu”.</w:t>
      </w:r>
    </w:p>
    <w:p w:rsidR="00D77508" w:rsidRPr="007B3B9E" w:rsidRDefault="00D77508" w:rsidP="007B3B9E">
      <w:pPr>
        <w:pStyle w:val="FreeFormB"/>
        <w:spacing w:after="240"/>
        <w:rPr>
          <w:rFonts w:ascii="Cambria" w:hAnsi="Cambria"/>
          <w:lang w:val="cs-CZ"/>
        </w:rPr>
      </w:pPr>
      <w:r w:rsidRPr="00F05AC5">
        <w:rPr>
          <w:rFonts w:ascii="Cambria" w:hAnsi="Cambria"/>
          <w:lang w:val="cs-CZ"/>
        </w:rPr>
        <w:t xml:space="preserve">V dlouhodobé perspektivě </w:t>
      </w:r>
      <w:r>
        <w:rPr>
          <w:rFonts w:ascii="Cambria" w:hAnsi="Cambria"/>
          <w:lang w:val="cs-CZ"/>
        </w:rPr>
        <w:t>mohou být</w:t>
      </w:r>
      <w:r w:rsidRPr="00F05AC5">
        <w:rPr>
          <w:rFonts w:ascii="Cambria" w:hAnsi="Cambria"/>
          <w:lang w:val="cs-CZ"/>
        </w:rPr>
        <w:t xml:space="preserve"> vlastnost</w:t>
      </w:r>
      <w:r>
        <w:rPr>
          <w:rFonts w:ascii="Cambria" w:hAnsi="Cambria"/>
          <w:lang w:val="cs-CZ"/>
        </w:rPr>
        <w:t xml:space="preserve">í pokročilé marginality chápány </w:t>
      </w:r>
      <w:r w:rsidRPr="00F05AC5">
        <w:rPr>
          <w:rFonts w:ascii="Cambria" w:hAnsi="Cambria"/>
          <w:lang w:val="cs-CZ"/>
        </w:rPr>
        <w:t>jak</w:t>
      </w:r>
      <w:r>
        <w:rPr>
          <w:rFonts w:ascii="Cambria" w:hAnsi="Cambria"/>
          <w:lang w:val="cs-CZ"/>
        </w:rPr>
        <w:t>o produkt čtyř logik (struktur</w:t>
      </w:r>
      <w:r w:rsidRPr="00F05AC5">
        <w:rPr>
          <w:rFonts w:ascii="Cambria" w:hAnsi="Cambria"/>
          <w:lang w:val="cs-CZ"/>
        </w:rPr>
        <w:t>ních dynamik</w:t>
      </w:r>
      <w:r>
        <w:rPr>
          <w:rFonts w:ascii="Cambria" w:hAnsi="Cambria"/>
          <w:lang w:val="cs-CZ"/>
        </w:rPr>
        <w:t>)</w:t>
      </w:r>
      <w:r w:rsidRPr="00F05AC5">
        <w:rPr>
          <w:rFonts w:ascii="Cambria" w:hAnsi="Cambria"/>
          <w:lang w:val="cs-CZ"/>
        </w:rPr>
        <w:t>, které společně tvarují tyto vlastnosti městské chudoby a které lze souhrnně nazvat jako polariz</w:t>
      </w:r>
      <w:r>
        <w:rPr>
          <w:rFonts w:ascii="Cambria" w:hAnsi="Cambria"/>
          <w:lang w:val="cs-CZ"/>
        </w:rPr>
        <w:t>aci zdola (sociální struktury). Jedná se o dynamiku</w:t>
      </w:r>
      <w:r w:rsidRPr="00F05AC5">
        <w:rPr>
          <w:rFonts w:ascii="Cambria" w:hAnsi="Cambria"/>
          <w:lang w:val="cs-CZ"/>
        </w:rPr>
        <w:t xml:space="preserve"> makrosociální, znamenající dualizaci zaměstnanecké struk</w:t>
      </w:r>
      <w:r>
        <w:rPr>
          <w:rFonts w:ascii="Cambria" w:hAnsi="Cambria"/>
          <w:lang w:val="cs-CZ"/>
        </w:rPr>
        <w:t>tury a růst nerovnosti; dynamiku ekonomickou</w:t>
      </w:r>
      <w:r w:rsidRPr="00F05AC5">
        <w:rPr>
          <w:rFonts w:ascii="Cambria" w:hAnsi="Cambria"/>
          <w:lang w:val="cs-CZ"/>
        </w:rPr>
        <w:t xml:space="preserve"> znamenající desocializaci a fragmentaci ná</w:t>
      </w:r>
      <w:r>
        <w:rPr>
          <w:rFonts w:ascii="Cambria" w:hAnsi="Cambria"/>
          <w:lang w:val="cs-CZ"/>
        </w:rPr>
        <w:t>mezdní práce; dynamika politickou</w:t>
      </w:r>
      <w:r w:rsidRPr="00F05AC5">
        <w:rPr>
          <w:rFonts w:ascii="Cambria" w:hAnsi="Cambria"/>
          <w:lang w:val="cs-CZ"/>
        </w:rPr>
        <w:t xml:space="preserve"> znamenající ústup a d</w:t>
      </w:r>
      <w:r>
        <w:rPr>
          <w:rFonts w:ascii="Cambria" w:hAnsi="Cambria"/>
          <w:lang w:val="cs-CZ"/>
        </w:rPr>
        <w:t>isartikulaci sociálního státu; dynamiku prostorovou</w:t>
      </w:r>
      <w:r w:rsidRPr="00F05AC5">
        <w:rPr>
          <w:rFonts w:ascii="Cambria" w:hAnsi="Cambria"/>
          <w:lang w:val="cs-CZ"/>
        </w:rPr>
        <w:t xml:space="preserve"> znamenající koncentraci obyvatel v deprivovaných lokalitách a je</w:t>
      </w:r>
      <w:r>
        <w:rPr>
          <w:rFonts w:ascii="Cambria" w:hAnsi="Cambria"/>
          <w:lang w:val="cs-CZ"/>
        </w:rPr>
        <w:t>jich hanobení na základě</w:t>
      </w:r>
      <w:r w:rsidRPr="00F05AC5">
        <w:rPr>
          <w:rFonts w:ascii="Cambria" w:hAnsi="Cambria"/>
          <w:lang w:val="cs-CZ"/>
        </w:rPr>
        <w:t xml:space="preserve"> teritoriálního stigma</w:t>
      </w:r>
      <w:r>
        <w:rPr>
          <w:rFonts w:ascii="Cambria" w:hAnsi="Cambria"/>
          <w:lang w:val="cs-CZ"/>
        </w:rPr>
        <w:t xml:space="preserve">tu. (blíže: </w:t>
      </w:r>
      <w:hyperlink r:id="rId5" w:history="1">
        <w:r w:rsidRPr="00F05AC5">
          <w:rPr>
            <w:rStyle w:val="Hyperlink"/>
          </w:rPr>
          <w:t>http://is.muni.cz/th/52218/fss_m_a3/?lang=en;id=207294</w:t>
        </w:r>
      </w:hyperlink>
      <w:r>
        <w:t>)</w:t>
      </w:r>
    </w:p>
    <w:p w:rsidR="00D77508" w:rsidRPr="00F05AC5" w:rsidRDefault="00D77508" w:rsidP="006F35BF">
      <w:r w:rsidRPr="00F05AC5">
        <w:t>Předpokládané využívané koncepty:</w:t>
      </w:r>
    </w:p>
    <w:p w:rsidR="00D77508" w:rsidRPr="00F05AC5" w:rsidRDefault="00D77508" w:rsidP="00346AB1">
      <w:pPr>
        <w:pStyle w:val="ListParagraph"/>
        <w:numPr>
          <w:ilvl w:val="0"/>
          <w:numId w:val="1"/>
        </w:numPr>
      </w:pPr>
      <w:r w:rsidRPr="00F05AC5">
        <w:t>Pokročilá marginalita, sociální polarizace zdola (Wacquant)</w:t>
      </w:r>
    </w:p>
    <w:p w:rsidR="00D77508" w:rsidRPr="00F05AC5" w:rsidRDefault="00D77508" w:rsidP="00346AB1">
      <w:pPr>
        <w:pStyle w:val="ListParagraph"/>
        <w:numPr>
          <w:ilvl w:val="0"/>
          <w:numId w:val="1"/>
        </w:numPr>
      </w:pPr>
      <w:r w:rsidRPr="00F05AC5">
        <w:t>Režim akumulace kapitálu, mód regulace</w:t>
      </w:r>
      <w:r>
        <w:t xml:space="preserve"> (neomarxismus)</w:t>
      </w:r>
      <w:r w:rsidRPr="00F05AC5">
        <w:t xml:space="preserve">, mód regulace pracovního trhu </w:t>
      </w:r>
      <w:r>
        <w:t>(Peck)</w:t>
      </w:r>
    </w:p>
    <w:p w:rsidR="00D77508" w:rsidRPr="00F05AC5" w:rsidRDefault="00D77508" w:rsidP="003B1B08">
      <w:pPr>
        <w:pStyle w:val="ListParagraph"/>
        <w:numPr>
          <w:ilvl w:val="0"/>
          <w:numId w:val="1"/>
        </w:numPr>
      </w:pPr>
      <w:r w:rsidRPr="00F05AC5">
        <w:t xml:space="preserve">Bourdieu: habitus, kapitál (kulturní, ekonomický, sociální, symbolický), objektivní systém pozic a subjektivní sada </w:t>
      </w:r>
      <w:r>
        <w:t xml:space="preserve">dispozic, </w:t>
      </w:r>
      <w:r w:rsidRPr="00F05AC5">
        <w:t xml:space="preserve">symbolické násilí </w:t>
      </w:r>
    </w:p>
    <w:p w:rsidR="00D77508" w:rsidRPr="00F05AC5" w:rsidRDefault="00D77508" w:rsidP="003B1B08">
      <w:pPr>
        <w:pStyle w:val="ListParagraph"/>
        <w:numPr>
          <w:ilvl w:val="0"/>
          <w:numId w:val="1"/>
        </w:numPr>
      </w:pPr>
      <w:r w:rsidRPr="00F05AC5">
        <w:t>Stigma (Goffman) a teritoriální stigma (Wacquant)</w:t>
      </w:r>
    </w:p>
    <w:p w:rsidR="00D77508" w:rsidRPr="00F05AC5" w:rsidRDefault="00D77508" w:rsidP="00810CC5">
      <w:pPr>
        <w:pStyle w:val="ListParagraph"/>
        <w:numPr>
          <w:ilvl w:val="0"/>
          <w:numId w:val="1"/>
        </w:numPr>
      </w:pPr>
      <w:r w:rsidRPr="00F05AC5">
        <w:t>Sociální uzavírání (Weber)</w:t>
      </w:r>
    </w:p>
    <w:p w:rsidR="00D77508" w:rsidRPr="00F05AC5" w:rsidRDefault="00D77508" w:rsidP="006F35BF">
      <w:pPr>
        <w:pStyle w:val="ListParagraph"/>
        <w:numPr>
          <w:ilvl w:val="0"/>
          <w:numId w:val="1"/>
        </w:numPr>
      </w:pPr>
      <w:r>
        <w:t>Sociální třída (možné stra</w:t>
      </w:r>
      <w:r w:rsidRPr="00F05AC5">
        <w:t>tifikační schemata</w:t>
      </w:r>
      <w:r>
        <w:t xml:space="preserve"> v postindustriální společnosti</w:t>
      </w:r>
      <w:bookmarkStart w:id="0" w:name="_GoBack"/>
      <w:bookmarkEnd w:id="0"/>
      <w:r>
        <w:t xml:space="preserve"> </w:t>
      </w:r>
      <w:r w:rsidRPr="00F05AC5">
        <w:t>viz Keller (2010) či Standing (2009</w:t>
      </w:r>
      <w:r>
        <w:t>))</w:t>
      </w:r>
      <w:r w:rsidRPr="00F05AC5">
        <w:t>, optická komunita (Zerubavel)</w:t>
      </w:r>
    </w:p>
    <w:p w:rsidR="00D77508" w:rsidRPr="00F05AC5" w:rsidRDefault="00D77508" w:rsidP="006F35BF"/>
    <w:p w:rsidR="00D77508" w:rsidRPr="00F05AC5" w:rsidRDefault="00D77508" w:rsidP="006F35BF">
      <w:pPr>
        <w:rPr>
          <w:b/>
        </w:rPr>
      </w:pPr>
      <w:r w:rsidRPr="00F05AC5">
        <w:rPr>
          <w:b/>
        </w:rPr>
        <w:t xml:space="preserve">Zdroje dat:  </w:t>
      </w:r>
    </w:p>
    <w:p w:rsidR="00D77508" w:rsidRPr="00F05AC5" w:rsidRDefault="00D77508" w:rsidP="006F35BF">
      <w:r w:rsidRPr="00F05AC5">
        <w:t xml:space="preserve">Osobně sesbíraná data prostřednictvím etnografie a rozhovorů. Studie věnující se problematice marginality v ČR přímo či okrajově. Kvantitativní data z oficiálních statistik a kvantitativních výzkumů. </w:t>
      </w:r>
    </w:p>
    <w:p w:rsidR="00D77508" w:rsidRPr="00F05AC5" w:rsidRDefault="00D77508" w:rsidP="006F35BF">
      <w:r w:rsidRPr="00F05AC5">
        <w:t xml:space="preserve">Data pro mezinárodní komparaci – monografie venující se této problematice v jiných geografických kontextech – např. </w:t>
      </w:r>
      <w:r>
        <w:t>Waquant (</w:t>
      </w:r>
      <w:r w:rsidRPr="00F05AC5">
        <w:t xml:space="preserve">USA, Francie), </w:t>
      </w:r>
      <w:r>
        <w:t>Perlman (</w:t>
      </w:r>
      <w:r w:rsidRPr="00F05AC5">
        <w:t xml:space="preserve">Brazílie), </w:t>
      </w:r>
      <w:r>
        <w:t>Damer (</w:t>
      </w:r>
      <w:r w:rsidRPr="00F05AC5">
        <w:t xml:space="preserve">Skotsko). Za účelem identifikace vhodných zdrojů dat budou konzultováni odborníci. </w:t>
      </w:r>
    </w:p>
    <w:p w:rsidR="00D77508" w:rsidRPr="00F05AC5" w:rsidRDefault="00D77508" w:rsidP="006F35BF"/>
    <w:p w:rsidR="00D77508" w:rsidRPr="00F05AC5" w:rsidRDefault="00D77508" w:rsidP="006F35BF">
      <w:pPr>
        <w:rPr>
          <w:b/>
        </w:rPr>
      </w:pPr>
      <w:r w:rsidRPr="00F05AC5">
        <w:rPr>
          <w:b/>
        </w:rPr>
        <w:t>Metodologický postup:</w:t>
      </w:r>
    </w:p>
    <w:p w:rsidR="00D77508" w:rsidRPr="00F05AC5" w:rsidRDefault="00D77508" w:rsidP="006F35BF">
      <w:r w:rsidRPr="00F05AC5">
        <w:rPr>
          <w:rFonts w:eastAsia="Times New Roman"/>
        </w:rPr>
        <w:t>„</w:t>
      </w:r>
      <w:r>
        <w:rPr>
          <w:rFonts w:eastAsia="Times New Roman"/>
          <w:i/>
        </w:rPr>
        <w:t>T</w:t>
      </w:r>
      <w:r w:rsidRPr="00F05AC5">
        <w:rPr>
          <w:rFonts w:eastAsia="Times New Roman"/>
          <w:i/>
        </w:rPr>
        <w:t>here is no methodological fix“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(Collins, 2</w:t>
      </w:r>
      <w:r w:rsidRPr="00F05AC5">
        <w:rPr>
          <w:rFonts w:eastAsia="Times New Roman"/>
        </w:rPr>
        <w:t>010</w:t>
      </w:r>
      <w:r>
        <w:t xml:space="preserve">: 5). Při snaze budovat teorii marginality je důležité být metodologicky flexibilní. Spolu s Wacquantem však lze zdůraznit nutnost jak </w:t>
      </w:r>
      <w:r w:rsidRPr="00F05AC5">
        <w:rPr>
          <w:rFonts w:eastAsia="Times New Roman"/>
        </w:rPr>
        <w:t>strukturní ana</w:t>
      </w:r>
      <w:r>
        <w:rPr>
          <w:rFonts w:eastAsia="Times New Roman"/>
        </w:rPr>
        <w:t>lýzy, tak</w:t>
      </w:r>
      <w:r w:rsidRPr="00F05AC5">
        <w:rPr>
          <w:rFonts w:eastAsia="Times New Roman"/>
        </w:rPr>
        <w:t xml:space="preserve"> i etnografické</w:t>
      </w:r>
      <w:r>
        <w:rPr>
          <w:rFonts w:eastAsia="Times New Roman"/>
        </w:rPr>
        <w:t>ho pozorování. Je tedy</w:t>
      </w:r>
      <w:r w:rsidRPr="00F05AC5">
        <w:rPr>
          <w:rFonts w:eastAsia="Times New Roman"/>
        </w:rPr>
        <w:t xml:space="preserve"> </w:t>
      </w:r>
      <w:r>
        <w:rPr>
          <w:rFonts w:eastAsia="Times New Roman"/>
        </w:rPr>
        <w:t>nutné</w:t>
      </w:r>
      <w:r w:rsidRPr="00F05AC5">
        <w:rPr>
          <w:rFonts w:eastAsia="Times New Roman"/>
        </w:rPr>
        <w:t xml:space="preserve"> analyzovat kvantitativní</w:t>
      </w:r>
      <w:r w:rsidRPr="00F05AC5">
        <w:t xml:space="preserve"> data (z oficiálních statistik apod.), stejně jako kvalitativní data ze zůčastněného pozorování (v marginalizované lokalitě), hloubkových rozhovorů (obyvatelé marginalizovaných lokalit, zástupci samosprávy a organizací působících </w:t>
      </w:r>
      <w:r w:rsidRPr="00F05AC5">
        <w:rPr>
          <w:rFonts w:eastAsia="Times New Roman"/>
        </w:rPr>
        <w:t xml:space="preserve">v marginalizovaných lokalitách) </w:t>
      </w:r>
      <w:r w:rsidRPr="00F05AC5">
        <w:t>či dokumentů (samosprávy a organizací působících v marginalizovaných lokalitách)</w:t>
      </w:r>
      <w:r w:rsidRPr="00F05AC5">
        <w:rPr>
          <w:rFonts w:eastAsia="Times New Roman"/>
        </w:rPr>
        <w:t xml:space="preserve">. </w:t>
      </w:r>
      <w:r w:rsidRPr="00F05AC5">
        <w:t>Za účelem kvalitní etnografie zvažuji nastěhování se do</w:t>
      </w:r>
      <w:r>
        <w:t xml:space="preserve"> marginalizované lokality a žít v ní. </w:t>
      </w:r>
      <w:r w:rsidRPr="00F05AC5">
        <w:t xml:space="preserve">Přesnější metodologický postup se bude vyjasňovat v průběhu realizace </w:t>
      </w:r>
      <w:r>
        <w:t xml:space="preserve">projektu a za asistence odborníků. </w:t>
      </w:r>
      <w:r w:rsidRPr="00F05AC5">
        <w:t>Kvalitatativní data budou zpracována za využití programu atlas.ti. Zjištění ohledně marginality v ČR budou porovnána se zjištěními z</w:t>
      </w:r>
      <w:r>
        <w:t> </w:t>
      </w:r>
      <w:r w:rsidRPr="00F05AC5">
        <w:t>j</w:t>
      </w:r>
      <w:r>
        <w:t>iných zemí.</w:t>
      </w:r>
    </w:p>
    <w:p w:rsidR="00D77508" w:rsidRPr="00F05AC5" w:rsidRDefault="00D77508" w:rsidP="006F35BF"/>
    <w:p w:rsidR="00D77508" w:rsidRPr="00F05AC5" w:rsidRDefault="00D77508" w:rsidP="006F35BF">
      <w:r>
        <w:t>K postupu a metodologii (Bourdieu, Wacquant)</w:t>
      </w:r>
      <w:r w:rsidRPr="00F05AC5">
        <w:t xml:space="preserve">: </w:t>
      </w:r>
    </w:p>
    <w:p w:rsidR="00D77508" w:rsidRPr="00F05AC5" w:rsidRDefault="00D77508" w:rsidP="00EE6284">
      <w:pPr>
        <w:pStyle w:val="ListParagraph"/>
        <w:numPr>
          <w:ilvl w:val="0"/>
          <w:numId w:val="11"/>
        </w:numPr>
      </w:pPr>
      <w:r w:rsidRPr="00F05AC5">
        <w:t xml:space="preserve">soustředění se na dva stavy sociálního – objektivní a subjektivní struktury </w:t>
      </w:r>
    </w:p>
    <w:p w:rsidR="00D77508" w:rsidRPr="00F05AC5" w:rsidRDefault="00D77508" w:rsidP="00EE6284">
      <w:pPr>
        <w:pStyle w:val="ListParagraph"/>
        <w:numPr>
          <w:ilvl w:val="0"/>
          <w:numId w:val="11"/>
        </w:numPr>
      </w:pPr>
      <w:r>
        <w:t>o</w:t>
      </w:r>
      <w:r w:rsidRPr="00F05AC5">
        <w:t xml:space="preserve">dlišení folk konceptů od analytických konceptů </w:t>
      </w:r>
    </w:p>
    <w:p w:rsidR="00D77508" w:rsidRPr="00F05AC5" w:rsidRDefault="00D77508" w:rsidP="00EE6284">
      <w:pPr>
        <w:pStyle w:val="ListParagraph"/>
        <w:numPr>
          <w:ilvl w:val="0"/>
          <w:numId w:val="11"/>
        </w:numPr>
        <w:rPr>
          <w:rStyle w:val="Emphasis"/>
          <w:i w:val="0"/>
          <w:iCs w:val="0"/>
        </w:rPr>
      </w:pPr>
      <w:r w:rsidRPr="00F05AC5">
        <w:t>radikální historizace</w:t>
      </w:r>
      <w:r>
        <w:t xml:space="preserve"> </w:t>
      </w:r>
      <w:r w:rsidRPr="00F05AC5">
        <w:t xml:space="preserve">– přeměnit stav a osud sousedství v </w:t>
      </w:r>
      <w:r w:rsidRPr="00F05AC5">
        <w:rPr>
          <w:rStyle w:val="Emphasis"/>
        </w:rPr>
        <w:t xml:space="preserve">časovou sekvenci historických transformací </w:t>
      </w:r>
      <w:r w:rsidRPr="00F05AC5">
        <w:rPr>
          <w:rStyle w:val="Emphasis"/>
          <w:i w:val="0"/>
        </w:rPr>
        <w:t>jichž jsou materiálním vyjádřením</w:t>
      </w:r>
    </w:p>
    <w:p w:rsidR="00D77508" w:rsidRPr="00F05AC5" w:rsidRDefault="00D77508" w:rsidP="00BE514B">
      <w:pPr>
        <w:pStyle w:val="ListParagraph"/>
        <w:numPr>
          <w:ilvl w:val="0"/>
          <w:numId w:val="4"/>
        </w:numPr>
        <w:rPr>
          <w:i/>
        </w:rPr>
      </w:pPr>
      <w:r w:rsidRPr="00F05AC5">
        <w:rPr>
          <w:rStyle w:val="Emphasis"/>
          <w:i w:val="0"/>
        </w:rPr>
        <w:t xml:space="preserve">Za účelem komparace: </w:t>
      </w:r>
      <w:r w:rsidRPr="00F05AC5">
        <w:rPr>
          <w:rStyle w:val="Emphasis"/>
          <w:rFonts w:eastAsia="Times New Roman"/>
          <w:i w:val="0"/>
        </w:rPr>
        <w:t xml:space="preserve">rozlišit mezi </w:t>
      </w:r>
      <w:r w:rsidRPr="00F05AC5">
        <w:rPr>
          <w:rStyle w:val="Emphasis"/>
          <w:rFonts w:eastAsia="Times New Roman"/>
        </w:rPr>
        <w:t xml:space="preserve">pozici </w:t>
      </w:r>
      <w:r w:rsidRPr="00F05AC5">
        <w:t>v hierarchizované struktuře míst, měřené dvojitým metrem materiální a symbolické hodnoty (</w:t>
      </w:r>
      <w:r w:rsidRPr="00F05AC5">
        <w:rPr>
          <w:rFonts w:eastAsia="Times New Roman"/>
        </w:rPr>
        <w:t xml:space="preserve">materiální deprivovace a stigmatizace sousedství), </w:t>
      </w:r>
      <w:r w:rsidRPr="00F05AC5">
        <w:rPr>
          <w:rStyle w:val="Emphasis"/>
          <w:rFonts w:eastAsia="Times New Roman"/>
        </w:rPr>
        <w:t>a funkcí</w:t>
      </w:r>
      <w:r w:rsidRPr="00F05AC5">
        <w:t>, kterou plní pro širší metropolitní systém (zdroj levné pracovní síly, skladiště pro přebytečnou populaci, prostorové kontajnery pro ostrakizaci nežádoucích kategorií a jednání)</w:t>
      </w:r>
      <w:r w:rsidRPr="00F05AC5">
        <w:rPr>
          <w:rFonts w:eastAsia="Times New Roman"/>
        </w:rPr>
        <w:t xml:space="preserve">; specifikovat </w:t>
      </w:r>
      <w:r w:rsidRPr="00F05AC5">
        <w:rPr>
          <w:rStyle w:val="Emphasis"/>
        </w:rPr>
        <w:t xml:space="preserve">stupeň a formu státní penetrace v sousedstvích relegace </w:t>
      </w:r>
      <w:r w:rsidRPr="00F05AC5">
        <w:t>stejně jako měnící se vztahy, které obyvatelé udržují s různými veřejnými agenturami</w:t>
      </w:r>
      <w:r>
        <w:rPr>
          <w:rFonts w:eastAsia="Times New Roman"/>
        </w:rPr>
        <w:t xml:space="preserve"> a jejich zástupci</w:t>
      </w:r>
    </w:p>
    <w:p w:rsidR="00D77508" w:rsidRDefault="00D77508" w:rsidP="000F3150">
      <w:pPr>
        <w:pStyle w:val="ListParagraph"/>
        <w:numPr>
          <w:ilvl w:val="0"/>
          <w:numId w:val="4"/>
        </w:numPr>
      </w:pPr>
      <w:r w:rsidRPr="00F05AC5">
        <w:t xml:space="preserve">pozor na symbolickou moc, </w:t>
      </w:r>
      <w:r>
        <w:t>která působí na všechny (i na sociálního analytika)</w:t>
      </w:r>
    </w:p>
    <w:p w:rsidR="00D77508" w:rsidRPr="00F05AC5" w:rsidRDefault="00D77508" w:rsidP="00F05AC5">
      <w:pPr>
        <w:pStyle w:val="ListParagraph"/>
      </w:pPr>
    </w:p>
    <w:p w:rsidR="00D77508" w:rsidRPr="00F05AC5" w:rsidRDefault="00D77508" w:rsidP="004A5374">
      <w:pPr>
        <w:rPr>
          <w:b/>
        </w:rPr>
      </w:pPr>
      <w:r>
        <w:rPr>
          <w:b/>
        </w:rPr>
        <w:t>Nejdůležitější publikace</w:t>
      </w:r>
      <w:r w:rsidRPr="00F05AC5">
        <w:rPr>
          <w:b/>
        </w:rPr>
        <w:t>:</w:t>
      </w:r>
    </w:p>
    <w:p w:rsidR="00D77508" w:rsidRDefault="00D77508" w:rsidP="004A5374">
      <w:r w:rsidRPr="00F05AC5">
        <w:t>Bourgois, P., and Jeff Schonberg. 2009. Righteous dopefiend. University of California Press.</w:t>
      </w:r>
    </w:p>
    <w:p w:rsidR="00D77508" w:rsidRPr="00F05AC5" w:rsidRDefault="00D77508" w:rsidP="004A5374">
      <w:r w:rsidRPr="004A5374">
        <w:t>Keller, Jan. 2010. Tři sociální světy. Sociální struktura postindutriální společnosti. Praha: Sociologické nakladatelství.</w:t>
      </w:r>
    </w:p>
    <w:p w:rsidR="00D77508" w:rsidRPr="00F05AC5" w:rsidRDefault="00D77508" w:rsidP="004A5374">
      <w:r w:rsidRPr="00F05AC5">
        <w:t>Standing, Guy. 2009. Work after Globalization. Edward Elgar.</w:t>
      </w:r>
    </w:p>
    <w:p w:rsidR="00D77508" w:rsidRPr="00F05AC5" w:rsidRDefault="00D77508" w:rsidP="004A5374">
      <w:r w:rsidRPr="00F05AC5">
        <w:t>Wacquant, Loïc. 2008. Urban Outcasts: A Comparative Sociolog</w:t>
      </w:r>
      <w:r>
        <w:t>y of Advanced Marginality. Cambr</w:t>
      </w:r>
      <w:r w:rsidRPr="00F05AC5">
        <w:t>idge: Polity.</w:t>
      </w:r>
    </w:p>
    <w:p w:rsidR="00D77508" w:rsidRPr="00F05AC5" w:rsidRDefault="00D77508" w:rsidP="004A5374">
      <w:r w:rsidRPr="00F05AC5">
        <w:t>Wacquant, Loïc. 2009. Punishing the Poor. Duke University Press.</w:t>
      </w:r>
    </w:p>
    <w:p w:rsidR="00D77508" w:rsidRPr="00F05AC5" w:rsidRDefault="00D77508" w:rsidP="006F35BF"/>
    <w:p w:rsidR="00D77508" w:rsidRPr="00F05AC5" w:rsidRDefault="00D77508" w:rsidP="006F35BF">
      <w:pPr>
        <w:rPr>
          <w:b/>
        </w:rPr>
      </w:pPr>
      <w:r w:rsidRPr="00F05AC5">
        <w:rPr>
          <w:b/>
        </w:rPr>
        <w:t>Anotace magisterské diplomové práce:</w:t>
      </w:r>
    </w:p>
    <w:p w:rsidR="00D77508" w:rsidRPr="00F05AC5" w:rsidRDefault="00D77508" w:rsidP="00FC727B">
      <w:r w:rsidRPr="00F05AC5">
        <w:t>Práce je přehledovou statí teorií zabývajících se problematikou marginality ve městech. Nejdříve stručně v historické posloupnosti představuje teorie vycházející ze studia amerického černošského ghetta, poté představuje práci Loica Wacquant, který, na základě komparativní sociologie amerického ghetta a francouzských banlieue konstruuje ideální typ pokročilé marginality. Marginalita postfordistického období je dle něj poháněna procesem sociální polarizace zdola, v němž kromě politicko-ekonomických sil hraje významnou roli síla teritoriální stigmatizace. Práce rovněž představuje studie soustředící se na mikroúroveň kognice a jednání, která jsou vnímány v kontextu strukturních sil – kognitivně sociologickou studii marginalizovaných mladých Afroameričanů a dvě etnografie věnující se ekonomice a kultuře pouličních dealerů drog a sociálnímu utrpení na heroinu závislých bezdomovců.</w:t>
      </w:r>
      <w:r>
        <w:t xml:space="preserve"> </w:t>
      </w:r>
    </w:p>
    <w:p w:rsidR="00D77508" w:rsidRPr="00F05AC5" w:rsidRDefault="00D77508" w:rsidP="00FC727B"/>
    <w:p w:rsidR="00D77508" w:rsidRPr="006F35BF" w:rsidRDefault="00D77508" w:rsidP="00FC727B"/>
    <w:p w:rsidR="00D77508" w:rsidRDefault="00D77508">
      <w:pPr>
        <w:rPr>
          <w:noProof w:val="0"/>
          <w:sz w:val="20"/>
          <w:lang w:val="en-US" w:eastAsia="en-US"/>
        </w:rPr>
      </w:pPr>
    </w:p>
    <w:sectPr w:rsidR="00D77508" w:rsidSect="00FE2E14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60"/>
        </w:tabs>
        <w:ind w:left="2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firstLine="9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firstLine="17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firstLine="24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firstLine="31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firstLine="38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firstLine="45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firstLine="53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firstLine="602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3"/>
      <w:numFmt w:val="decimal"/>
      <w:isLgl/>
      <w:lvlText w:val="%1)"/>
      <w:lvlJc w:val="left"/>
      <w:pPr>
        <w:tabs>
          <w:tab w:val="num" w:pos="260"/>
        </w:tabs>
        <w:ind w:left="2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firstLine="9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firstLine="17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firstLine="24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firstLine="31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firstLine="38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firstLine="45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firstLine="53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firstLine="6020"/>
      </w:pPr>
      <w:rPr>
        <w:rFonts w:cs="Times New Roman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4"/>
      <w:numFmt w:val="decimal"/>
      <w:isLgl/>
      <w:lvlText w:val="%1)"/>
      <w:lvlJc w:val="left"/>
      <w:pPr>
        <w:tabs>
          <w:tab w:val="num" w:pos="260"/>
        </w:tabs>
        <w:ind w:left="2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firstLine="9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firstLine="17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firstLine="24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firstLine="31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firstLine="38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firstLine="45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firstLine="53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firstLine="6020"/>
      </w:pPr>
      <w:rPr>
        <w:rFonts w:cs="Times New Roman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5"/>
      <w:numFmt w:val="decimal"/>
      <w:isLgl/>
      <w:lvlText w:val="%1)"/>
      <w:lvlJc w:val="left"/>
      <w:pPr>
        <w:tabs>
          <w:tab w:val="num" w:pos="284"/>
        </w:tabs>
        <w:ind w:left="284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24" w:firstLine="9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left="24" w:firstLine="17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left="24" w:firstLine="24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left="24" w:firstLine="31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left="24" w:firstLine="38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left="24" w:firstLine="45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left="24" w:firstLine="53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left="24" w:firstLine="6020"/>
      </w:pPr>
      <w:rPr>
        <w:rFonts w:cs="Times New Roman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6"/>
      <w:numFmt w:val="decimal"/>
      <w:isLgl/>
      <w:lvlText w:val="%1)"/>
      <w:lvlJc w:val="left"/>
      <w:pPr>
        <w:tabs>
          <w:tab w:val="num" w:pos="260"/>
        </w:tabs>
        <w:ind w:left="2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firstLine="9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firstLine="17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firstLine="24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firstLine="31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firstLine="38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firstLine="45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firstLine="53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firstLine="6020"/>
      </w:pPr>
      <w:rPr>
        <w:rFonts w:cs="Times New Roman" w:hint="default"/>
        <w:color w:val="000000"/>
        <w:position w:val="0"/>
        <w:sz w:val="24"/>
      </w:rPr>
    </w:lvl>
  </w:abstractNum>
  <w:abstractNum w:abstractNumId="5">
    <w:nsid w:val="131A7228"/>
    <w:multiLevelType w:val="hybridMultilevel"/>
    <w:tmpl w:val="60BE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1574A"/>
    <w:multiLevelType w:val="hybridMultilevel"/>
    <w:tmpl w:val="EB968A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1C733F"/>
    <w:multiLevelType w:val="hybridMultilevel"/>
    <w:tmpl w:val="EB3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C7016"/>
    <w:multiLevelType w:val="hybridMultilevel"/>
    <w:tmpl w:val="AA7A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E6E97"/>
    <w:multiLevelType w:val="hybridMultilevel"/>
    <w:tmpl w:val="B99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830E3"/>
    <w:multiLevelType w:val="hybridMultilevel"/>
    <w:tmpl w:val="5292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A4"/>
    <w:rsid w:val="00002113"/>
    <w:rsid w:val="00011927"/>
    <w:rsid w:val="0001232E"/>
    <w:rsid w:val="00074D19"/>
    <w:rsid w:val="000E34A8"/>
    <w:rsid w:val="000F3150"/>
    <w:rsid w:val="001566AB"/>
    <w:rsid w:val="00181FFF"/>
    <w:rsid w:val="001D4339"/>
    <w:rsid w:val="0023166B"/>
    <w:rsid w:val="002637B2"/>
    <w:rsid w:val="002A26AC"/>
    <w:rsid w:val="002B3AAA"/>
    <w:rsid w:val="00301F44"/>
    <w:rsid w:val="00346AB1"/>
    <w:rsid w:val="00386CCA"/>
    <w:rsid w:val="003959F2"/>
    <w:rsid w:val="003B1B08"/>
    <w:rsid w:val="003F24F2"/>
    <w:rsid w:val="00440662"/>
    <w:rsid w:val="0045325A"/>
    <w:rsid w:val="004637AF"/>
    <w:rsid w:val="004A5374"/>
    <w:rsid w:val="004D0A58"/>
    <w:rsid w:val="004D6D55"/>
    <w:rsid w:val="004F1B66"/>
    <w:rsid w:val="00527D26"/>
    <w:rsid w:val="005360A0"/>
    <w:rsid w:val="00566ED8"/>
    <w:rsid w:val="00574162"/>
    <w:rsid w:val="00580FBD"/>
    <w:rsid w:val="005C007B"/>
    <w:rsid w:val="005E348B"/>
    <w:rsid w:val="00610916"/>
    <w:rsid w:val="006A0A27"/>
    <w:rsid w:val="006F35BF"/>
    <w:rsid w:val="006F794F"/>
    <w:rsid w:val="00705214"/>
    <w:rsid w:val="00720C80"/>
    <w:rsid w:val="00772B53"/>
    <w:rsid w:val="007B3B9E"/>
    <w:rsid w:val="007E04DE"/>
    <w:rsid w:val="00810CC5"/>
    <w:rsid w:val="00834A6A"/>
    <w:rsid w:val="00893AA4"/>
    <w:rsid w:val="008D275F"/>
    <w:rsid w:val="00904D60"/>
    <w:rsid w:val="0092378F"/>
    <w:rsid w:val="009445F2"/>
    <w:rsid w:val="009A17FC"/>
    <w:rsid w:val="00A027F6"/>
    <w:rsid w:val="00A15464"/>
    <w:rsid w:val="00A20C8E"/>
    <w:rsid w:val="00A2316C"/>
    <w:rsid w:val="00A92CE1"/>
    <w:rsid w:val="00A932C9"/>
    <w:rsid w:val="00BB4CF4"/>
    <w:rsid w:val="00BE514B"/>
    <w:rsid w:val="00BE7C04"/>
    <w:rsid w:val="00C5799E"/>
    <w:rsid w:val="00D54F3B"/>
    <w:rsid w:val="00D67B3F"/>
    <w:rsid w:val="00D77508"/>
    <w:rsid w:val="00DE1A27"/>
    <w:rsid w:val="00E152B2"/>
    <w:rsid w:val="00E91D88"/>
    <w:rsid w:val="00E967A4"/>
    <w:rsid w:val="00EE6284"/>
    <w:rsid w:val="00EF32EE"/>
    <w:rsid w:val="00F05AC5"/>
    <w:rsid w:val="00F471C3"/>
    <w:rsid w:val="00F553EE"/>
    <w:rsid w:val="00FC1D74"/>
    <w:rsid w:val="00FC727B"/>
    <w:rsid w:val="00FE2079"/>
    <w:rsid w:val="00FE2E14"/>
    <w:rsid w:val="00FF6527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14"/>
    <w:rPr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E14"/>
    <w:pPr>
      <w:keepNext/>
      <w:keepLines/>
      <w:spacing w:before="480"/>
      <w:outlineLvl w:val="0"/>
    </w:pPr>
    <w:rPr>
      <w:rFonts w:ascii="Calibri" w:eastAsia="MS Gothi" w:hAnsi="Calibri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E14"/>
    <w:pPr>
      <w:keepNext/>
      <w:keepLines/>
      <w:spacing w:before="200"/>
      <w:outlineLvl w:val="1"/>
    </w:pPr>
    <w:rPr>
      <w:rFonts w:ascii="Calibri" w:eastAsia="MS Gothi" w:hAnsi="Calibr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E14"/>
    <w:pPr>
      <w:keepNext/>
      <w:spacing w:before="240" w:after="60"/>
      <w:outlineLvl w:val="2"/>
    </w:pPr>
    <w:rPr>
      <w:rFonts w:ascii="Calibri" w:eastAsia="MS Gothi" w:hAnsi="Calibr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E14"/>
    <w:rPr>
      <w:rFonts w:ascii="Calibri" w:eastAsia="MS Gothi" w:hAnsi="Calibri"/>
      <w:b/>
      <w:noProof/>
      <w:color w:val="000000"/>
      <w:sz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2E14"/>
    <w:rPr>
      <w:rFonts w:ascii="Calibri" w:eastAsia="MS Gothi" w:hAnsi="Calibri"/>
      <w:b/>
      <w:noProof/>
      <w:color w:val="000000"/>
      <w:sz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4"/>
    <w:rPr>
      <w:rFonts w:ascii="Calibri" w:eastAsia="MS Gothi" w:hAnsi="Calibri"/>
      <w:b/>
      <w:noProof/>
      <w:color w:val="000000"/>
      <w:sz w:val="26"/>
      <w:lang w:val="cs-CZ" w:eastAsia="cs-CZ"/>
    </w:rPr>
  </w:style>
  <w:style w:type="paragraph" w:styleId="Title">
    <w:name w:val="Title"/>
    <w:basedOn w:val="Normal"/>
    <w:next w:val="Normal"/>
    <w:link w:val="TitleChar"/>
    <w:uiPriority w:val="99"/>
    <w:qFormat/>
    <w:rsid w:val="00FE2E14"/>
    <w:pPr>
      <w:pBdr>
        <w:bottom w:val="single" w:sz="8" w:space="4" w:color="4F81BD"/>
      </w:pBdr>
      <w:spacing w:after="300"/>
      <w:contextualSpacing/>
    </w:pPr>
    <w:rPr>
      <w:rFonts w:ascii="Calibri" w:eastAsia="MS Gothi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E2E14"/>
    <w:rPr>
      <w:rFonts w:ascii="Calibri" w:eastAsia="MS Gothi" w:hAnsi="Calibri"/>
      <w:noProof/>
      <w:color w:val="17365D"/>
      <w:spacing w:val="5"/>
      <w:kern w:val="28"/>
      <w:sz w:val="52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FE2E1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E2E14"/>
    <w:rPr>
      <w:noProof/>
      <w:sz w:val="20"/>
      <w:lang w:val="cs-CZ" w:eastAsia="cs-CZ"/>
    </w:rPr>
  </w:style>
  <w:style w:type="paragraph" w:styleId="NormalWeb">
    <w:name w:val="Normal (Web)"/>
    <w:basedOn w:val="Normal"/>
    <w:uiPriority w:val="99"/>
    <w:semiHidden/>
    <w:rsid w:val="006F35BF"/>
    <w:pPr>
      <w:spacing w:before="100" w:beforeAutospacing="1" w:after="100" w:afterAutospacing="1"/>
    </w:pPr>
    <w:rPr>
      <w:rFonts w:ascii="Times" w:hAnsi="Times"/>
      <w:noProof w:val="0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6F35B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0CC5"/>
    <w:pPr>
      <w:ind w:left="720"/>
      <w:contextualSpacing/>
    </w:pPr>
  </w:style>
  <w:style w:type="paragraph" w:customStyle="1" w:styleId="Body">
    <w:name w:val="Body"/>
    <w:uiPriority w:val="99"/>
    <w:rsid w:val="002A26AC"/>
    <w:pPr>
      <w:spacing w:before="120" w:after="200" w:line="360" w:lineRule="auto"/>
    </w:pPr>
    <w:rPr>
      <w:rFonts w:eastAsia="?????? Pro W3"/>
      <w:color w:val="000000"/>
      <w:sz w:val="24"/>
      <w:szCs w:val="20"/>
      <w:lang w:val="en-US" w:eastAsia="en-US"/>
    </w:rPr>
  </w:style>
  <w:style w:type="paragraph" w:customStyle="1" w:styleId="FreeFormB">
    <w:name w:val="Free Form B"/>
    <w:uiPriority w:val="99"/>
    <w:rsid w:val="00E967A4"/>
    <w:rPr>
      <w:rFonts w:ascii="Helvetica" w:eastAsia="?????? Pro W3" w:hAnsi="Helvetica"/>
      <w:color w:val="000000"/>
      <w:sz w:val="24"/>
      <w:szCs w:val="20"/>
      <w:lang w:val="en-US" w:eastAsia="en-US"/>
    </w:rPr>
  </w:style>
  <w:style w:type="paragraph" w:customStyle="1" w:styleId="FreeForm">
    <w:name w:val="Free Form"/>
    <w:uiPriority w:val="99"/>
    <w:rsid w:val="005E348B"/>
    <w:rPr>
      <w:rFonts w:ascii="Helvetica" w:eastAsia="?????? Pro W3" w:hAnsi="Helvetica"/>
      <w:color w:val="000000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61091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.muni.cz/th/52218/fss_m_a3/?lang=en;id=207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1052</Words>
  <Characters>6211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Výzkumný záměr pro doktorské studium</dc:title>
  <dc:subject/>
  <dc:creator>ugh mugh</dc:creator>
  <cp:keywords/>
  <dc:description/>
  <cp:lastModifiedBy>user</cp:lastModifiedBy>
  <cp:revision>2</cp:revision>
  <dcterms:created xsi:type="dcterms:W3CDTF">2011-06-15T12:16:00Z</dcterms:created>
  <dcterms:modified xsi:type="dcterms:W3CDTF">2011-06-15T12:16:00Z</dcterms:modified>
</cp:coreProperties>
</file>