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AA3" w:rsidRPr="00C53F0C" w:rsidRDefault="000F0AA3" w:rsidP="00C340CE">
      <w:pPr>
        <w:spacing w:line="480" w:lineRule="auto"/>
        <w:ind w:left="1440" w:firstLine="720"/>
        <w:jc w:val="both"/>
        <w:rPr>
          <w:rFonts w:ascii="Times New Roman" w:hAnsi="Times New Roman"/>
        </w:rPr>
      </w:pPr>
      <w:r w:rsidRPr="00C53F0C">
        <w:rPr>
          <w:rFonts w:ascii="Times New Roman" w:hAnsi="Times New Roman"/>
        </w:rPr>
        <w:t>Cultural Sociology and Ethnography</w:t>
      </w:r>
    </w:p>
    <w:p w:rsidR="00C340CE" w:rsidRDefault="00C340CE" w:rsidP="00607DAE">
      <w:pPr>
        <w:spacing w:line="48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Ali T</w:t>
      </w:r>
      <w:r>
        <w:rPr>
          <w:rFonts w:ascii="Times New Roman" w:hAnsi="Times New Roman"/>
          <w:lang w:val="tr-TR"/>
        </w:rPr>
        <w:t>ürünz</w:t>
      </w:r>
      <w:r w:rsidR="000F0AA3" w:rsidRPr="00C53F0C">
        <w:rPr>
          <w:rFonts w:ascii="Times New Roman" w:hAnsi="Times New Roman"/>
        </w:rPr>
        <w:t xml:space="preserve"> </w:t>
      </w:r>
      <w:r w:rsidR="000F0AA3">
        <w:rPr>
          <w:rFonts w:ascii="Times New Roman" w:hAnsi="Times New Roman"/>
        </w:rPr>
        <w:tab/>
      </w:r>
    </w:p>
    <w:p w:rsidR="000F0AA3" w:rsidRPr="00C53F0C" w:rsidRDefault="000F0AA3" w:rsidP="00CB08AD">
      <w:pPr>
        <w:spacing w:line="480" w:lineRule="auto"/>
        <w:ind w:firstLine="720"/>
        <w:jc w:val="both"/>
        <w:rPr>
          <w:rFonts w:ascii="Times New Roman" w:hAnsi="Times New Roman"/>
        </w:rPr>
      </w:pPr>
      <w:r w:rsidRPr="00C53F0C">
        <w:rPr>
          <w:rFonts w:ascii="Times New Roman" w:hAnsi="Times New Roman"/>
        </w:rPr>
        <w:t>The aim of this paper is to discuss how cultural sociology may contribute to ethnographic writing. First, the paper will introduce the term “cultural sociology” and discuss how Jeffrey Alexander and Philip Smith distinguish it from the “sociology of culture” (2003). Then, it will discuss the similarities and contrasts between the current discourse of constructivist ethnography writing and that of cultural sociology. Finally, it will argue that cultural sociology, which promises to bring “analytic”</w:t>
      </w:r>
      <w:r>
        <w:rPr>
          <w:rStyle w:val="FootnoteReference"/>
          <w:rFonts w:ascii="Times New Roman" w:hAnsi="Times New Roman"/>
        </w:rPr>
        <w:footnoteReference w:id="1"/>
      </w:r>
      <w:r w:rsidRPr="00C53F0C">
        <w:rPr>
          <w:rFonts w:ascii="Times New Roman" w:hAnsi="Times New Roman"/>
        </w:rPr>
        <w:t xml:space="preserve"> perspectives to sociology, may help ethnography writing to reformulate its discourse.</w:t>
      </w:r>
    </w:p>
    <w:p w:rsidR="000F0AA3" w:rsidRDefault="000F0AA3" w:rsidP="00EB0DBA">
      <w:pPr>
        <w:spacing w:line="480" w:lineRule="auto"/>
        <w:ind w:firstLine="720"/>
        <w:jc w:val="both"/>
        <w:rPr>
          <w:rFonts w:ascii="Times New Roman" w:hAnsi="Times New Roman"/>
        </w:rPr>
      </w:pPr>
      <w:r w:rsidRPr="00C53F0C">
        <w:rPr>
          <w:rFonts w:ascii="Times New Roman" w:hAnsi="Times New Roman"/>
        </w:rPr>
        <w:t xml:space="preserve">Jeffrey C. Alexander, a prominent cultural sociologist, draws the lines of demarcation between “cultural sociology” and “sociology of culture”. He states that according to the former, culture is as an “independent variable,” whereas, it is a “dependent variable” for the latter. (Alexander 2003: 12). He is also critical of the Marxist understanding of culture because it reduces culture to something that belongs to the superstructure and thus, to something determined by the “base” (Alexander and Seidman 1990: 2-3). By proposing that sociology of culture seeks to assign culture a space out of “the domain of meaning”, he implicitly puts forward that meaning is important to cultural sociologists (Alexander and Seidman 1990: 2-3). Spillman also confirms the centrality of “meaning-making” to cultural sociology (2002: 1). The discourse of some ethnographical works that follow the constructivist approach and cultural sociology intersect in that both seek to avoid a reductionist view of culture; “meaning and interpretation are active and fluid processes”, as Spillman puts it (2002: 4). </w:t>
      </w:r>
    </w:p>
    <w:p w:rsidR="00F90CEF" w:rsidRPr="00AE2296" w:rsidRDefault="00F90CEF" w:rsidP="00607DAE">
      <w:pPr>
        <w:spacing w:line="480" w:lineRule="auto"/>
        <w:ind w:firstLine="720"/>
        <w:jc w:val="both"/>
        <w:rPr>
          <w:rFonts w:ascii="Times New Roman" w:hAnsi="Times New Roman"/>
        </w:rPr>
      </w:pPr>
      <w:r w:rsidRPr="00C53F0C">
        <w:rPr>
          <w:rFonts w:ascii="Times New Roman" w:hAnsi="Times New Roman"/>
        </w:rPr>
        <w:t xml:space="preserve">In light of the new perspectives in cultural sociology, in particular, the Strong Program, could ethnographic writing be enriched? As Spillman claims that it was formerly one of the studies that were presented with another name and, thus not directly associated with cultural sociology, although it is related to “collective meaning-making”. (Spillman 2002: 6). Her main dissatisfaction with ethnographic writing lies in the fact that it only focuses on the “deviant and powerless” and somehow ignores the “mainstream culture” (Ibid). What seems plausible for ethnography studies is to accept the “autonomy of culture” and to seek to “discover the nature of internal and subjective structures”, as discussed by Alexander and Seidman in their account of “hermeneutics” (1990: 3). </w:t>
      </w:r>
      <w:r>
        <w:rPr>
          <w:rFonts w:ascii="Times New Roman" w:hAnsi="Times New Roman"/>
        </w:rPr>
        <w:t xml:space="preserve"> </w:t>
      </w:r>
    </w:p>
    <w:p w:rsidR="00006AAE" w:rsidRPr="00B80437" w:rsidRDefault="00A33267" w:rsidP="00607DAE">
      <w:pPr>
        <w:spacing w:line="480" w:lineRule="auto"/>
        <w:ind w:firstLine="720"/>
        <w:jc w:val="both"/>
        <w:rPr>
          <w:rFonts w:ascii="Times New Roman" w:hAnsi="Times New Roman"/>
          <w:lang w:val="tr-TR"/>
        </w:rPr>
      </w:pPr>
      <w:r>
        <w:rPr>
          <w:rFonts w:ascii="Times New Roman" w:hAnsi="Times New Roman"/>
        </w:rPr>
        <w:t>In parallel to Alexander’s and Spillman’s arguments</w:t>
      </w:r>
      <w:r w:rsidR="00006AAE">
        <w:rPr>
          <w:rFonts w:ascii="Times New Roman" w:hAnsi="Times New Roman"/>
        </w:rPr>
        <w:t xml:space="preserve">, scholars such as Martiniello and </w:t>
      </w:r>
      <w:r w:rsidR="00120595">
        <w:rPr>
          <w:rFonts w:ascii="Times New Roman" w:hAnsi="Times New Roman"/>
        </w:rPr>
        <w:t xml:space="preserve">Lafleur call attention to the </w:t>
      </w:r>
      <w:r>
        <w:rPr>
          <w:rFonts w:ascii="Times New Roman" w:hAnsi="Times New Roman"/>
        </w:rPr>
        <w:t>independent comprehension of</w:t>
      </w:r>
      <w:r w:rsidR="00120595">
        <w:rPr>
          <w:rFonts w:ascii="Times New Roman" w:hAnsi="Times New Roman"/>
        </w:rPr>
        <w:t xml:space="preserve"> “cultural and artistic practices”</w:t>
      </w:r>
      <w:r>
        <w:rPr>
          <w:rFonts w:ascii="Times New Roman" w:hAnsi="Times New Roman"/>
        </w:rPr>
        <w:t xml:space="preserve"> and the way it people recognize it (Martiniello and Lafleur 2008: 1199).</w:t>
      </w:r>
      <w:r w:rsidR="00120595">
        <w:rPr>
          <w:rFonts w:ascii="Times New Roman" w:hAnsi="Times New Roman"/>
        </w:rPr>
        <w:t xml:space="preserve"> They allude to the contemporary music studies that dismiss the “passive” </w:t>
      </w:r>
      <w:r w:rsidR="004F39A6">
        <w:rPr>
          <w:rFonts w:ascii="Times New Roman" w:hAnsi="Times New Roman"/>
        </w:rPr>
        <w:t>position of the public in experiencing music in the age of globalization, unlike some critical thinkers of th</w:t>
      </w:r>
      <w:r w:rsidR="00EA11E9">
        <w:rPr>
          <w:rFonts w:ascii="Times New Roman" w:hAnsi="Times New Roman"/>
        </w:rPr>
        <w:t>e twentieth century. They mention</w:t>
      </w:r>
      <w:r w:rsidR="004F39A6">
        <w:rPr>
          <w:rFonts w:ascii="Times New Roman" w:hAnsi="Times New Roman"/>
        </w:rPr>
        <w:t xml:space="preserve"> the views of Bourdieu, Adorno and Gramsci, according to whom </w:t>
      </w:r>
      <w:r w:rsidR="00EA11E9">
        <w:rPr>
          <w:rFonts w:ascii="Times New Roman" w:hAnsi="Times New Roman"/>
        </w:rPr>
        <w:t xml:space="preserve">the “individual” does not have a chance to select his/her music. </w:t>
      </w:r>
      <w:r w:rsidR="00120595">
        <w:rPr>
          <w:rFonts w:ascii="Times New Roman" w:hAnsi="Times New Roman"/>
        </w:rPr>
        <w:t xml:space="preserve"> </w:t>
      </w:r>
      <w:r w:rsidR="007D5893">
        <w:rPr>
          <w:rFonts w:ascii="Times New Roman" w:hAnsi="Times New Roman"/>
        </w:rPr>
        <w:t xml:space="preserve">They imply that in today’s cultural scene, it is problematic to apply </w:t>
      </w:r>
      <w:r w:rsidR="00EA11E9">
        <w:rPr>
          <w:rFonts w:ascii="Times New Roman" w:hAnsi="Times New Roman"/>
        </w:rPr>
        <w:t>Bourdieu’s “habitus”, Adorno’s “culture industry” and Gramsci’s “organic intellectuals”</w:t>
      </w:r>
      <w:r w:rsidR="0097406C">
        <w:rPr>
          <w:rFonts w:ascii="Times New Roman" w:hAnsi="Times New Roman"/>
        </w:rPr>
        <w:t xml:space="preserve"> as</w:t>
      </w:r>
      <w:r w:rsidR="00C61A62">
        <w:rPr>
          <w:rFonts w:ascii="Times New Roman" w:hAnsi="Times New Roman"/>
        </w:rPr>
        <w:t xml:space="preserve"> if</w:t>
      </w:r>
      <w:r w:rsidR="0097406C">
        <w:rPr>
          <w:rFonts w:ascii="Times New Roman" w:hAnsi="Times New Roman"/>
        </w:rPr>
        <w:t xml:space="preserve"> the</w:t>
      </w:r>
      <w:r w:rsidR="00C61A62">
        <w:rPr>
          <w:rFonts w:ascii="Times New Roman" w:hAnsi="Times New Roman"/>
        </w:rPr>
        <w:t xml:space="preserve">y were the </w:t>
      </w:r>
      <w:r w:rsidR="0097406C">
        <w:rPr>
          <w:rFonts w:ascii="Times New Roman" w:hAnsi="Times New Roman"/>
        </w:rPr>
        <w:t>determiners</w:t>
      </w:r>
      <w:r w:rsidR="00C61A62">
        <w:rPr>
          <w:rFonts w:ascii="Times New Roman" w:hAnsi="Times New Roman"/>
        </w:rPr>
        <w:t xml:space="preserve"> in the way music would be</w:t>
      </w:r>
      <w:r w:rsidR="004B48C4">
        <w:rPr>
          <w:rFonts w:ascii="Times New Roman" w:hAnsi="Times New Roman"/>
        </w:rPr>
        <w:t xml:space="preserve"> “imposed” (Ibid). </w:t>
      </w:r>
      <w:r w:rsidR="0097406C">
        <w:rPr>
          <w:rFonts w:ascii="Times New Roman" w:hAnsi="Times New Roman"/>
        </w:rPr>
        <w:t>Another significant argument they make about music is relate</w:t>
      </w:r>
      <w:r w:rsidR="004B48C4">
        <w:rPr>
          <w:rFonts w:ascii="Times New Roman" w:hAnsi="Times New Roman"/>
        </w:rPr>
        <w:t>d to the meaning-making aspect. This is rather to do with making sense of self-orientation through music. Drawing from Martin Stokes, they stress the function of music that</w:t>
      </w:r>
      <w:r w:rsidR="00DA454D">
        <w:rPr>
          <w:rFonts w:ascii="Times New Roman" w:hAnsi="Times New Roman"/>
        </w:rPr>
        <w:t xml:space="preserve"> is to offer </w:t>
      </w:r>
      <w:r w:rsidR="00C61A62">
        <w:rPr>
          <w:rFonts w:ascii="Times New Roman" w:hAnsi="Times New Roman"/>
        </w:rPr>
        <w:t xml:space="preserve">the public a </w:t>
      </w:r>
      <w:r w:rsidR="00DA454D">
        <w:rPr>
          <w:rFonts w:ascii="Times New Roman" w:hAnsi="Times New Roman"/>
        </w:rPr>
        <w:t>perception of “identities and places, and the boundaries which separate them” (</w:t>
      </w:r>
      <w:r w:rsidR="00A10599">
        <w:rPr>
          <w:rFonts w:ascii="Times New Roman" w:hAnsi="Times New Roman"/>
        </w:rPr>
        <w:t>Stokes cited in Martinello and Lafleur: 1199</w:t>
      </w:r>
      <w:r w:rsidR="00DA454D">
        <w:rPr>
          <w:rFonts w:ascii="Times New Roman" w:hAnsi="Times New Roman"/>
        </w:rPr>
        <w:t>).</w:t>
      </w:r>
    </w:p>
    <w:p w:rsidR="000F0AA3" w:rsidRDefault="000F0AA3" w:rsidP="00607DAE">
      <w:pPr>
        <w:spacing w:line="480" w:lineRule="auto"/>
        <w:ind w:firstLine="720"/>
        <w:jc w:val="both"/>
        <w:rPr>
          <w:rFonts w:ascii="Times New Roman" w:hAnsi="Times New Roman"/>
          <w:lang w:val="en-GB"/>
        </w:rPr>
      </w:pPr>
      <w:r w:rsidRPr="00C53F0C">
        <w:rPr>
          <w:rFonts w:ascii="Times New Roman" w:hAnsi="Times New Roman"/>
        </w:rPr>
        <w:t xml:space="preserve">According to many constructivist ethnographic works, culture is “syncretic, bricolage, creolized, translated, crossover, cut’n mix, hybrid, alternate, mélange” (Kaya 2001: 80). In many cases, cultural sociologists will not oppose this constructivism unless the arguments are formed rationally. However, what distinguishes these two approaches is that the former seems to create a rhetoric that attempts to vindicate the challenge of the youth subcultures in the transnational field. </w:t>
      </w:r>
      <w:r>
        <w:rPr>
          <w:rStyle w:val="FootnoteReference"/>
          <w:rFonts w:ascii="Times New Roman" w:hAnsi="Times New Roman"/>
        </w:rPr>
        <w:footnoteReference w:id="2"/>
      </w:r>
      <w:r w:rsidRPr="00C53F0C">
        <w:rPr>
          <w:rFonts w:ascii="Times New Roman" w:hAnsi="Times New Roman"/>
        </w:rPr>
        <w:t xml:space="preserve"> In other words, the works tend to side with the underdog. In the example of Kaya´s work, this rather optimistic but not necessarily questioning approach emphasizes that the transnational musical space Kreuzberg in Berlin means for the working-class Turkish hip</w:t>
      </w:r>
      <w:r w:rsidR="00806F79">
        <w:rPr>
          <w:rFonts w:ascii="Times New Roman" w:hAnsi="Times New Roman"/>
        </w:rPr>
        <w:t>-</w:t>
      </w:r>
      <w:r w:rsidRPr="00C53F0C">
        <w:rPr>
          <w:rFonts w:ascii="Times New Roman" w:hAnsi="Times New Roman"/>
        </w:rPr>
        <w:t>hop youth a “fortress against discrimination” (Kaya 2001:151). While Alexander acknowledges this kind of ethnography writing (in the example of the works of the Birmingham school) as having the potential of being “brilliantly illuminating”, he finds it flawed due to the lack of interest in “the cultural autonomy” (Alexander 2003: 17). This kind of ethnographic writing is what Alexander calls “sociology of culture,”</w:t>
      </w:r>
      <w:r>
        <w:rPr>
          <w:rStyle w:val="FootnoteReference"/>
          <w:rFonts w:ascii="Times New Roman" w:hAnsi="Times New Roman"/>
        </w:rPr>
        <w:footnoteReference w:id="3"/>
      </w:r>
      <w:r w:rsidR="00C21887">
        <w:rPr>
          <w:rFonts w:ascii="Times New Roman" w:hAnsi="Times New Roman"/>
        </w:rPr>
        <w:t xml:space="preserve"> </w:t>
      </w:r>
      <w:r w:rsidRPr="00C53F0C">
        <w:rPr>
          <w:rFonts w:ascii="Times New Roman" w:hAnsi="Times New Roman"/>
        </w:rPr>
        <w:t xml:space="preserve">which relates “cultural forms to social structure” in with the overtones of “hegemony” (Ibid).  </w:t>
      </w:r>
      <w:r>
        <w:rPr>
          <w:rFonts w:ascii="Times New Roman" w:hAnsi="Times New Roman"/>
        </w:rPr>
        <w:t>As it is expressed in Kaya’s text like in the above-mentioned role of hip</w:t>
      </w:r>
      <w:r w:rsidR="00806F79">
        <w:rPr>
          <w:rFonts w:ascii="Times New Roman" w:hAnsi="Times New Roman"/>
        </w:rPr>
        <w:t>-</w:t>
      </w:r>
      <w:r>
        <w:rPr>
          <w:rFonts w:ascii="Times New Roman" w:hAnsi="Times New Roman"/>
        </w:rPr>
        <w:t>hop in Kreuzberg against ‘discrimination’, that the identity claims due to the “violent ethnic con</w:t>
      </w:r>
      <w:r>
        <w:rPr>
          <w:rFonts w:ascii="Times New Roman" w:hAnsi="Times New Roman"/>
          <w:lang w:val="cs-CZ"/>
        </w:rPr>
        <w:t>flicts in the 1980s and 1990s</w:t>
      </w:r>
      <w:r>
        <w:rPr>
          <w:rFonts w:ascii="Times New Roman" w:hAnsi="Times New Roman"/>
        </w:rPr>
        <w:t xml:space="preserve">” </w:t>
      </w:r>
      <w:r>
        <w:rPr>
          <w:rFonts w:ascii="Times New Roman" w:hAnsi="Times New Roman"/>
          <w:lang w:val="cs-CZ"/>
        </w:rPr>
        <w:t xml:space="preserve">(Moya and Hames-Garcia 2002: 2) </w:t>
      </w:r>
      <w:r>
        <w:rPr>
          <w:rFonts w:ascii="Times New Roman" w:hAnsi="Times New Roman"/>
        </w:rPr>
        <w:t xml:space="preserve">brought about </w:t>
      </w:r>
      <w:r>
        <w:rPr>
          <w:rFonts w:ascii="Times New Roman" w:hAnsi="Times New Roman"/>
          <w:lang w:val="cs-CZ"/>
        </w:rPr>
        <w:t xml:space="preserve">changes in cultural expressions. Kosnick, in this respect, refers to </w:t>
      </w:r>
      <w:r>
        <w:rPr>
          <w:rFonts w:ascii="Times New Roman" w:hAnsi="Times New Roman"/>
          <w:lang w:val="en-GB"/>
        </w:rPr>
        <w:t xml:space="preserve">“German social work and cultural policy environment” which regards hip-hop as an ideal tool for the young migrants to articulate “their  own marginalized experiences” (Kosnick 2007: 85).  </w:t>
      </w:r>
    </w:p>
    <w:p w:rsidR="000F0AA3" w:rsidRPr="00D936AF" w:rsidRDefault="000F0AA3" w:rsidP="005750BE">
      <w:pPr>
        <w:spacing w:line="480" w:lineRule="auto"/>
        <w:ind w:firstLine="720"/>
        <w:jc w:val="both"/>
        <w:rPr>
          <w:rFonts w:ascii="Times New Roman" w:hAnsi="Times New Roman"/>
          <w:b/>
        </w:rPr>
      </w:pPr>
      <w:r>
        <w:rPr>
          <w:rFonts w:ascii="Times New Roman" w:hAnsi="Times New Roman"/>
          <w:lang w:val="en-GB"/>
        </w:rPr>
        <w:tab/>
      </w:r>
      <w:r>
        <w:rPr>
          <w:rFonts w:ascii="Times New Roman" w:hAnsi="Times New Roman"/>
          <w:b/>
        </w:rPr>
        <w:t>Analysis of Ethnographies</w:t>
      </w:r>
      <w:r w:rsidRPr="00D936AF">
        <w:rPr>
          <w:rFonts w:ascii="Times New Roman" w:hAnsi="Times New Roman"/>
          <w:b/>
        </w:rPr>
        <w:t xml:space="preserve"> from a Cultural Sociology’ Perspective:</w:t>
      </w:r>
    </w:p>
    <w:p w:rsidR="000F0AA3" w:rsidRDefault="000F0AA3" w:rsidP="005750BE">
      <w:pPr>
        <w:spacing w:line="480" w:lineRule="auto"/>
        <w:ind w:firstLine="720"/>
        <w:jc w:val="both"/>
        <w:rPr>
          <w:rFonts w:ascii="Times New Roman" w:hAnsi="Times New Roman"/>
        </w:rPr>
      </w:pPr>
      <w:r>
        <w:rPr>
          <w:rFonts w:ascii="Times New Roman" w:hAnsi="Times New Roman"/>
        </w:rPr>
        <w:t>Studying cultural sociology enhances scholars to read ethnographies according to the scopes of the weak and strong program in Alexanderian sense. Although making a clear-cut distinction and claim whether the ethnographies on the Turkish musical scene in Europe follow the “Strong” or “Weak”</w:t>
      </w:r>
      <w:r w:rsidR="008E3E20">
        <w:rPr>
          <w:rStyle w:val="FootnoteReference"/>
          <w:rFonts w:ascii="Times New Roman" w:hAnsi="Times New Roman"/>
        </w:rPr>
        <w:footnoteReference w:id="4"/>
      </w:r>
      <w:r>
        <w:rPr>
          <w:rFonts w:ascii="Times New Roman" w:hAnsi="Times New Roman"/>
        </w:rPr>
        <w:t xml:space="preserve"> programs, it is possible to interpret the literature according to these scopes and discuss the tendencies. The texts which accord with the cultural sociology and the Strong program should not at least, disregard the mainstream and meaning. In plain words, cultural sociologists can investigate the subaltern groups, such as the hip-hop youths however, they should perhaps also refer to the relationship between the subaltern and the mainstream. At the same time, cultural sociologists should be able to point out social class diffe</w:t>
      </w:r>
      <w:r w:rsidR="00EB0DBA">
        <w:rPr>
          <w:rFonts w:ascii="Times New Roman" w:hAnsi="Times New Roman"/>
        </w:rPr>
        <w:t>rences when it is necessary</w:t>
      </w:r>
      <w:r>
        <w:rPr>
          <w:rFonts w:ascii="Times New Roman" w:hAnsi="Times New Roman"/>
        </w:rPr>
        <w:t xml:space="preserve">. Nonetheless, their chief interest in meaning should not keep in the background. </w:t>
      </w:r>
    </w:p>
    <w:p w:rsidR="000F0AA3" w:rsidRDefault="000F0AA3" w:rsidP="00607DAE">
      <w:pPr>
        <w:spacing w:line="480" w:lineRule="auto"/>
        <w:ind w:firstLine="720"/>
        <w:jc w:val="both"/>
        <w:rPr>
          <w:rFonts w:ascii="Times New Roman" w:hAnsi="Times New Roman"/>
        </w:rPr>
      </w:pPr>
      <w:r>
        <w:rPr>
          <w:rFonts w:ascii="Times New Roman" w:hAnsi="Times New Roman"/>
        </w:rPr>
        <w:t xml:space="preserve">While focusing on meaning, cultural sociologists should pay attention to the meaning that arises primarily in the minds of the participants. This does not mean that he/she will use the same language or construct the same ultimate meaning with the participant. As Holloway and Wheeler reminds us: </w:t>
      </w:r>
    </w:p>
    <w:p w:rsidR="003E5673" w:rsidRDefault="003E5673" w:rsidP="00607DAE">
      <w:pPr>
        <w:spacing w:line="480" w:lineRule="auto"/>
        <w:ind w:left="720"/>
        <w:jc w:val="both"/>
        <w:rPr>
          <w:rFonts w:ascii="Times New Roman" w:hAnsi="Times New Roman"/>
          <w:i/>
          <w:sz w:val="20"/>
        </w:rPr>
      </w:pPr>
    </w:p>
    <w:p w:rsidR="003E5673" w:rsidRDefault="000F0AA3" w:rsidP="00607DAE">
      <w:pPr>
        <w:spacing w:line="480" w:lineRule="auto"/>
        <w:ind w:left="720"/>
        <w:jc w:val="both"/>
        <w:rPr>
          <w:rFonts w:ascii="Times New Roman" w:hAnsi="Times New Roman"/>
          <w:i/>
          <w:sz w:val="20"/>
        </w:rPr>
      </w:pPr>
      <w:r w:rsidRPr="00FD1F98">
        <w:rPr>
          <w:rFonts w:ascii="Times New Roman" w:hAnsi="Times New Roman"/>
          <w:i/>
          <w:sz w:val="20"/>
        </w:rPr>
        <w:t>The meaning of the participants differs from scientific interpretations.  Researchers move back and forth, from the reality of informants to scientific interpretations, but they must find a balance between</w:t>
      </w:r>
      <w:r>
        <w:rPr>
          <w:rFonts w:ascii="Times New Roman" w:hAnsi="Times New Roman"/>
          <w:i/>
          <w:sz w:val="20"/>
        </w:rPr>
        <w:t xml:space="preserve"> involvement in the culture they study and scientific reflections and ideas </w:t>
      </w:r>
    </w:p>
    <w:p w:rsidR="000F0AA3" w:rsidRDefault="000F0AA3" w:rsidP="00607DAE">
      <w:pPr>
        <w:spacing w:line="480" w:lineRule="auto"/>
        <w:ind w:left="720"/>
        <w:jc w:val="both"/>
        <w:rPr>
          <w:rFonts w:ascii="Times New Roman" w:hAnsi="Times New Roman"/>
        </w:rPr>
      </w:pPr>
      <w:r>
        <w:rPr>
          <w:rFonts w:ascii="Times New Roman" w:hAnsi="Times New Roman"/>
          <w:i/>
          <w:sz w:val="20"/>
        </w:rPr>
        <w:t xml:space="preserve">about the beliefs and practices within that culture </w:t>
      </w:r>
      <w:r w:rsidRPr="00B8645E">
        <w:rPr>
          <w:rFonts w:ascii="Times New Roman" w:hAnsi="Times New Roman"/>
          <w:sz w:val="20"/>
        </w:rPr>
        <w:t>(Holloway and Wheeler 1996: 143).</w:t>
      </w:r>
    </w:p>
    <w:p w:rsidR="003E5673" w:rsidRDefault="003E5673" w:rsidP="00607DAE">
      <w:pPr>
        <w:spacing w:line="480" w:lineRule="auto"/>
        <w:jc w:val="both"/>
        <w:rPr>
          <w:rFonts w:ascii="Times New Roman" w:hAnsi="Times New Roman"/>
        </w:rPr>
      </w:pPr>
    </w:p>
    <w:p w:rsidR="00701D36" w:rsidRDefault="000F0AA3" w:rsidP="00607DAE">
      <w:pPr>
        <w:spacing w:line="480" w:lineRule="auto"/>
        <w:jc w:val="both"/>
        <w:rPr>
          <w:rFonts w:ascii="Times New Roman" w:hAnsi="Times New Roman"/>
        </w:rPr>
      </w:pPr>
      <w:r>
        <w:rPr>
          <w:rFonts w:ascii="Times New Roman" w:hAnsi="Times New Roman"/>
        </w:rPr>
        <w:t>This is important when the researcher constructs meaning from the data he/she receives from the fieldwork. In the works that correspond to the weak program, theoreticians sometimes have claims that reflect ideology-making in stead of meaning-making, thus they are not compatible with the goals of cultural sociology. This is clearl</w:t>
      </w:r>
      <w:r w:rsidR="00D274CA">
        <w:rPr>
          <w:rFonts w:ascii="Times New Roman" w:hAnsi="Times New Roman"/>
        </w:rPr>
        <w:t>y visible in Kaya</w:t>
      </w:r>
      <w:r w:rsidR="00F8071D">
        <w:rPr>
          <w:rFonts w:ascii="Times New Roman" w:hAnsi="Times New Roman"/>
        </w:rPr>
        <w:t>’s ethnography</w:t>
      </w:r>
      <w:r w:rsidR="00D274CA">
        <w:rPr>
          <w:rFonts w:ascii="Times New Roman" w:hAnsi="Times New Roman"/>
        </w:rPr>
        <w:t xml:space="preserve">. In many ways, he follows a “weak program.” </w:t>
      </w:r>
      <w:r>
        <w:rPr>
          <w:rFonts w:ascii="Times New Roman" w:hAnsi="Times New Roman"/>
        </w:rPr>
        <w:t xml:space="preserve"> </w:t>
      </w:r>
      <w:r w:rsidR="00701D36" w:rsidRPr="00C53F0C">
        <w:rPr>
          <w:rFonts w:ascii="Times New Roman" w:hAnsi="Times New Roman"/>
        </w:rPr>
        <w:t>In “Rhizomatic Diasporic Space: Cultural Identity of the Berlin-Turkish Working-Class Youth,”</w:t>
      </w:r>
      <w:r w:rsidR="00701D36">
        <w:rPr>
          <w:rFonts w:ascii="Times New Roman" w:hAnsi="Times New Roman"/>
        </w:rPr>
        <w:t xml:space="preserve"> h</w:t>
      </w:r>
      <w:r w:rsidRPr="00C53F0C">
        <w:rPr>
          <w:rFonts w:ascii="Times New Roman" w:hAnsi="Times New Roman"/>
        </w:rPr>
        <w:t>e puts forward a very contestable argument that renders a Gramscian “organic intellectual” role to the Berlin-Turkish hip</w:t>
      </w:r>
      <w:r w:rsidR="00806F79">
        <w:rPr>
          <w:rFonts w:ascii="Times New Roman" w:hAnsi="Times New Roman"/>
        </w:rPr>
        <w:t>-</w:t>
      </w:r>
      <w:r w:rsidRPr="00C53F0C">
        <w:rPr>
          <w:rFonts w:ascii="Times New Roman" w:hAnsi="Times New Roman"/>
        </w:rPr>
        <w:t>hop youth</w:t>
      </w:r>
      <w:r>
        <w:rPr>
          <w:rStyle w:val="FootnoteReference"/>
          <w:rFonts w:ascii="Times New Roman" w:hAnsi="Times New Roman"/>
        </w:rPr>
        <w:footnoteReference w:id="5"/>
      </w:r>
      <w:r w:rsidRPr="00C53F0C">
        <w:rPr>
          <w:rFonts w:ascii="Times New Roman" w:hAnsi="Times New Roman"/>
        </w:rPr>
        <w:t xml:space="preserve">  (Kaya 2001</w:t>
      </w:r>
      <w:r>
        <w:rPr>
          <w:rFonts w:ascii="Times New Roman" w:hAnsi="Times New Roman"/>
        </w:rPr>
        <w:t>b</w:t>
      </w:r>
      <w:r w:rsidRPr="00C53F0C">
        <w:rPr>
          <w:rFonts w:ascii="Times New Roman" w:hAnsi="Times New Roman"/>
        </w:rPr>
        <w:t>: 15). Besides being a less important constituent for cultural sociology in terms of not relating chiefly to “meaning”, Kosnick criticizes this simplistic attitude by reminding us that the Gramscian organic intellectual’s task is to render its mass “an awareness of its function” (Kosnick 2007: 79).</w:t>
      </w:r>
      <w:r>
        <w:rPr>
          <w:rFonts w:ascii="Times New Roman" w:hAnsi="Times New Roman"/>
        </w:rPr>
        <w:t xml:space="preserve"> A</w:t>
      </w:r>
      <w:r w:rsidRPr="00C53F0C">
        <w:rPr>
          <w:rFonts w:ascii="Times New Roman" w:hAnsi="Times New Roman"/>
        </w:rPr>
        <w:t>nother “weakness” of Kaya’s theorization in the sense of Alexander’s term of the “weak program” and from the perspective of cultural sociology dominates Kaya’s text. The overtones of sociology of culture are highly visible when Kaya reduces Berlin-Turkish hip</w:t>
      </w:r>
      <w:r w:rsidR="00806F79">
        <w:rPr>
          <w:rFonts w:ascii="Times New Roman" w:hAnsi="Times New Roman"/>
          <w:lang w:val="cs-CZ"/>
        </w:rPr>
        <w:t>-</w:t>
      </w:r>
      <w:r w:rsidRPr="00C53F0C">
        <w:rPr>
          <w:rFonts w:ascii="Times New Roman" w:hAnsi="Times New Roman"/>
        </w:rPr>
        <w:t>hop youth to a subculture, which according to him, “establishes solidarity networks against the major clusters of modernity such as capitalism, industrialism, surveillance and militari</w:t>
      </w:r>
      <w:r>
        <w:rPr>
          <w:rFonts w:ascii="Times New Roman" w:hAnsi="Times New Roman"/>
        </w:rPr>
        <w:t xml:space="preserve">sm” (Kaya 2001b: 29). </w:t>
      </w:r>
    </w:p>
    <w:p w:rsidR="00701D36" w:rsidRPr="00C53F0C" w:rsidRDefault="00701D36" w:rsidP="00607DAE">
      <w:pPr>
        <w:spacing w:line="480" w:lineRule="auto"/>
        <w:ind w:firstLine="720"/>
        <w:jc w:val="both"/>
        <w:rPr>
          <w:rFonts w:ascii="Times New Roman" w:hAnsi="Times New Roman"/>
        </w:rPr>
      </w:pPr>
      <w:r w:rsidRPr="00C53F0C">
        <w:rPr>
          <w:rFonts w:ascii="Times New Roman" w:hAnsi="Times New Roman"/>
        </w:rPr>
        <w:t>Kaya makes it cle</w:t>
      </w:r>
      <w:r>
        <w:rPr>
          <w:rFonts w:ascii="Times New Roman" w:hAnsi="Times New Roman"/>
        </w:rPr>
        <w:t xml:space="preserve">ar from the beginning of his account </w:t>
      </w:r>
      <w:r w:rsidRPr="00C53F0C">
        <w:rPr>
          <w:rFonts w:ascii="Times New Roman" w:hAnsi="Times New Roman"/>
        </w:rPr>
        <w:t>that his aim is to reveal an “alternative picture of Turkish youth, commonly portrayed as destructive, Islamic, fundamentalist and problematic by the majority society”. (Kaya 2001b: 1) This kind of approach whose final goal is stated in the beginning runs the risk of overshadowing the partial rightfulness of the arguments or the dominant picture depicted in the other sources. It would not be unethical to put forward directly, for instance, the so-called “destructive” or “problematic” aspects of the Turkish youth. As Spillman accentuates, “ethnographic studies of subcultures ‘were distanced from the mainstream concerns which engaged the field’: (“others” might have culture, but mainstream culture was less visible)” (Spillman 2002:</w:t>
      </w:r>
      <w:r w:rsidR="00E554E7">
        <w:rPr>
          <w:rFonts w:ascii="Times New Roman" w:hAnsi="Times New Roman"/>
        </w:rPr>
        <w:t xml:space="preserve"> </w:t>
      </w:r>
      <w:r w:rsidRPr="00C53F0C">
        <w:rPr>
          <w:rFonts w:ascii="Times New Roman" w:hAnsi="Times New Roman"/>
        </w:rPr>
        <w:t xml:space="preserve">6). </w:t>
      </w:r>
    </w:p>
    <w:p w:rsidR="000F0AA3" w:rsidRPr="00C53F0C" w:rsidRDefault="000F0AA3" w:rsidP="00607DAE">
      <w:pPr>
        <w:spacing w:line="480" w:lineRule="auto"/>
        <w:ind w:firstLine="720"/>
        <w:jc w:val="both"/>
        <w:rPr>
          <w:rFonts w:ascii="Times New Roman" w:hAnsi="Times New Roman"/>
        </w:rPr>
      </w:pPr>
      <w:r w:rsidRPr="00C53F0C">
        <w:rPr>
          <w:rFonts w:ascii="Times New Roman" w:hAnsi="Times New Roman"/>
        </w:rPr>
        <w:t>Kaya argues in a rather generalizing way that German-Turkish youth has the propensity to constitute a “bricolage of cultures and identities” (Kaya 2001b: 3). This is, in my view, partially true; however, it is not valid for all the social classes. More specifically, it is hardly valid for the working-class Turkish diasporic youth in Berlin that Kaya examines. Kaya gives an account of formal works that define, according to him, with “stereotypical notions” like “identity crisis”, “in-betweennness”, “lost generation”, “split identities” and “disoriented children” and reasons that this is the logic that establishes “adaptation schools for the returnees children in Turkey with the co-operation of Turkish and German governments” (Ibid). This assertion might have grounds, but we as scholars do not have to follow that discourse in the same way that the governments use it. Rather we, as social scientists, should stick to the “category of analysis” in the Bourdieuian sense</w:t>
      </w:r>
      <w:r>
        <w:rPr>
          <w:rStyle w:val="FootnoteReference"/>
          <w:rFonts w:ascii="Times New Roman" w:hAnsi="Times New Roman"/>
        </w:rPr>
        <w:footnoteReference w:id="6"/>
      </w:r>
      <w:r w:rsidRPr="00C53F0C">
        <w:rPr>
          <w:rFonts w:ascii="Times New Roman" w:hAnsi="Times New Roman"/>
        </w:rPr>
        <w:t xml:space="preserve">  and set aside what else has been done outside academia. Examining conflicts in identiti</w:t>
      </w:r>
      <w:r w:rsidR="005D6F63">
        <w:rPr>
          <w:rFonts w:ascii="Times New Roman" w:hAnsi="Times New Roman"/>
        </w:rPr>
        <w:t>es will not eventually relegate</w:t>
      </w:r>
      <w:r w:rsidRPr="00C53F0C">
        <w:rPr>
          <w:rFonts w:ascii="Times New Roman" w:hAnsi="Times New Roman"/>
        </w:rPr>
        <w:t xml:space="preserve"> scholars to becoming discriminatory politicians. </w:t>
      </w:r>
    </w:p>
    <w:p w:rsidR="000F0AA3" w:rsidRPr="00C53F0C" w:rsidRDefault="000F0AA3" w:rsidP="00607DAE">
      <w:pPr>
        <w:spacing w:line="480" w:lineRule="auto"/>
        <w:ind w:firstLine="720"/>
        <w:jc w:val="both"/>
        <w:rPr>
          <w:rFonts w:ascii="Times New Roman" w:hAnsi="Times New Roman"/>
        </w:rPr>
      </w:pPr>
      <w:r w:rsidRPr="00C53F0C">
        <w:rPr>
          <w:rFonts w:ascii="Times New Roman" w:hAnsi="Times New Roman"/>
        </w:rPr>
        <w:t xml:space="preserve">The straightforward, short and often generalized analyses, thus suspend the sociologists or anthropologists to reach “meaning”. At this point, Geertz’s “thick description” should guide the researcher, as Alexander points out, “of the codes, narratives and symbols that create the textured webs of social meaning” (Alexander 2003: 13). As Geertz puts it, ethnographic narrative depends on “the degree to which he is able to clarify what goes on in such places, to reduce the puzzlement – what manner of men are these?” (Geertz cited in Spillman 2002: 66-67). It is then a weakness that Kaya’s work lacks textual support, which reveals the actors’ ways of thinking. It is rather facile to state this without much elaboration, as such: “The second generation, often described in melodramatic terms as ‘caught between two cultures but part of neither’” (Kaya 2001b: 3). During my ethnographic research in Hamburg, I have likewise heard so many times similar statement in the form of self-identification, not only from the second generation, but also from the third or fourth, from the persons involved in musical activity ranging from middle school to university graduates.  </w:t>
      </w:r>
    </w:p>
    <w:p w:rsidR="00C21887" w:rsidRDefault="000F0AA3" w:rsidP="00607DAE">
      <w:pPr>
        <w:spacing w:line="480" w:lineRule="auto"/>
        <w:ind w:firstLine="720"/>
        <w:jc w:val="both"/>
        <w:rPr>
          <w:rFonts w:ascii="Times New Roman" w:hAnsi="Times New Roman"/>
        </w:rPr>
      </w:pPr>
      <w:r w:rsidRPr="00C53F0C">
        <w:rPr>
          <w:rFonts w:ascii="Times New Roman" w:hAnsi="Times New Roman"/>
        </w:rPr>
        <w:t>Despite its weaknesses, Kaya’s text occasionally acquires a certain extent of value from the perspective of cultural sociology. When the text focuses on issues such as the “symbolic bridge” between Germany and Turkey by means of their summer vacation and their habit of listening to music that is produced in both lands (</w:t>
      </w:r>
      <w:r>
        <w:rPr>
          <w:rFonts w:ascii="Times New Roman" w:hAnsi="Times New Roman"/>
        </w:rPr>
        <w:t>Kaya 2001b</w:t>
      </w:r>
      <w:r w:rsidRPr="00C53F0C">
        <w:rPr>
          <w:rFonts w:ascii="Times New Roman" w:hAnsi="Times New Roman"/>
        </w:rPr>
        <w:t>: 6), then it makes sense for cultural sociology. At the same time, there are issues such as “symbolic ethnicity” that the hiphop youth reflects in their understanding of religion by wearing or carrying certain “ethnic symbols”. What it means to carry a “Turkish flag”, “grey wolf with a crescent moon”, and “Koran necklace” for the Right and “forked sword”, the picture of the Chaliph Ali and or Pir Sultan Abdal for the Alevites”, Kaya at least briefly explains these in his text (Ibid: 6-7).</w:t>
      </w:r>
      <w:r w:rsidR="00181D84">
        <w:rPr>
          <w:rStyle w:val="FootnoteReference"/>
          <w:rFonts w:ascii="Times New Roman" w:hAnsi="Times New Roman"/>
        </w:rPr>
        <w:footnoteReference w:id="7"/>
      </w:r>
    </w:p>
    <w:p w:rsidR="00C340CE" w:rsidRDefault="00C340CE" w:rsidP="00607DAE">
      <w:pPr>
        <w:spacing w:line="480" w:lineRule="auto"/>
        <w:ind w:firstLine="720"/>
        <w:jc w:val="both"/>
        <w:rPr>
          <w:rFonts w:ascii="Times New Roman" w:hAnsi="Times New Roman"/>
          <w:b/>
        </w:rPr>
      </w:pPr>
    </w:p>
    <w:p w:rsidR="00C340CE" w:rsidRDefault="00C340CE" w:rsidP="00607DAE">
      <w:pPr>
        <w:spacing w:line="480" w:lineRule="auto"/>
        <w:ind w:firstLine="720"/>
        <w:jc w:val="both"/>
        <w:rPr>
          <w:rFonts w:ascii="Times New Roman" w:hAnsi="Times New Roman"/>
          <w:b/>
        </w:rPr>
      </w:pPr>
    </w:p>
    <w:p w:rsidR="005750BE" w:rsidRDefault="005750BE" w:rsidP="00C340CE">
      <w:pPr>
        <w:spacing w:line="480" w:lineRule="auto"/>
        <w:ind w:left="720" w:firstLine="720"/>
        <w:jc w:val="both"/>
        <w:rPr>
          <w:rFonts w:ascii="Times New Roman" w:hAnsi="Times New Roman"/>
          <w:b/>
        </w:rPr>
      </w:pPr>
    </w:p>
    <w:p w:rsidR="00A9318A" w:rsidRDefault="00C21887" w:rsidP="00C340CE">
      <w:pPr>
        <w:spacing w:line="480" w:lineRule="auto"/>
        <w:ind w:left="720" w:firstLine="720"/>
        <w:jc w:val="both"/>
        <w:rPr>
          <w:rFonts w:ascii="Times New Roman" w:hAnsi="Times New Roman"/>
          <w:b/>
        </w:rPr>
      </w:pPr>
      <w:r w:rsidRPr="00C21887">
        <w:rPr>
          <w:rFonts w:ascii="Times New Roman" w:hAnsi="Times New Roman"/>
          <w:b/>
        </w:rPr>
        <w:t>Intimations of the Strong Program in Ethnography</w:t>
      </w:r>
    </w:p>
    <w:p w:rsidR="002F7280" w:rsidRDefault="003A3FBA" w:rsidP="005750BE">
      <w:pPr>
        <w:spacing w:line="480" w:lineRule="auto"/>
        <w:ind w:firstLine="720"/>
        <w:jc w:val="both"/>
        <w:rPr>
          <w:rFonts w:ascii="Times New Roman" w:hAnsi="Times New Roman"/>
        </w:rPr>
      </w:pPr>
      <w:r>
        <w:rPr>
          <w:rFonts w:ascii="Times New Roman" w:hAnsi="Times New Roman"/>
        </w:rPr>
        <w:t xml:space="preserve">Following a Barthesian reading of the symbols, messages and statements provide the ethnographer the tool to </w:t>
      </w:r>
      <w:r w:rsidR="00466F45">
        <w:rPr>
          <w:rFonts w:ascii="Times New Roman" w:hAnsi="Times New Roman"/>
        </w:rPr>
        <w:t>describe the field with rich interpr</w:t>
      </w:r>
      <w:r w:rsidR="009951C0">
        <w:rPr>
          <w:rFonts w:ascii="Times New Roman" w:hAnsi="Times New Roman"/>
        </w:rPr>
        <w:t xml:space="preserve">etations. </w:t>
      </w:r>
      <w:r w:rsidR="00466F45">
        <w:rPr>
          <w:rFonts w:ascii="Times New Roman" w:hAnsi="Times New Roman"/>
        </w:rPr>
        <w:t>Alexander name</w:t>
      </w:r>
      <w:r w:rsidR="00617A49">
        <w:rPr>
          <w:rFonts w:ascii="Times New Roman" w:hAnsi="Times New Roman"/>
        </w:rPr>
        <w:t>s</w:t>
      </w:r>
      <w:r w:rsidR="00466F45">
        <w:rPr>
          <w:rFonts w:ascii="Times New Roman" w:hAnsi="Times New Roman"/>
        </w:rPr>
        <w:t xml:space="preserve"> him among the authors whose “approaches remain too abstracted”, and did not achieve to “spec</w:t>
      </w:r>
      <w:r w:rsidR="009951C0">
        <w:rPr>
          <w:rFonts w:ascii="Times New Roman" w:hAnsi="Times New Roman"/>
        </w:rPr>
        <w:t>ify agency and causal dynamics”. However, he qualifies him as one</w:t>
      </w:r>
      <w:r w:rsidR="00466F45">
        <w:rPr>
          <w:rFonts w:ascii="Times New Roman" w:hAnsi="Times New Roman"/>
        </w:rPr>
        <w:t xml:space="preserve"> of the </w:t>
      </w:r>
      <w:r w:rsidR="009951C0">
        <w:rPr>
          <w:rFonts w:ascii="Times New Roman" w:hAnsi="Times New Roman"/>
        </w:rPr>
        <w:t>contributors of “hermeneutic and theoretical resources to establish the autonomy of culture” and acknowledged him as one of the pioneers of “a strong program” (Alexander 2003: 16-17).</w:t>
      </w:r>
      <w:r w:rsidR="002F1115">
        <w:rPr>
          <w:rFonts w:ascii="Times New Roman" w:hAnsi="Times New Roman"/>
        </w:rPr>
        <w:t xml:space="preserve"> Ethnographers </w:t>
      </w:r>
      <w:r w:rsidR="005C5094">
        <w:rPr>
          <w:rFonts w:ascii="Times New Roman" w:hAnsi="Times New Roman"/>
        </w:rPr>
        <w:t xml:space="preserve">should be </w:t>
      </w:r>
      <w:r w:rsidR="005C372F">
        <w:rPr>
          <w:rFonts w:ascii="Times New Roman" w:hAnsi="Times New Roman"/>
        </w:rPr>
        <w:t>able</w:t>
      </w:r>
      <w:r w:rsidR="005C5094">
        <w:rPr>
          <w:rFonts w:ascii="Times New Roman" w:hAnsi="Times New Roman"/>
        </w:rPr>
        <w:t xml:space="preserve"> to offer multiple layers of the representations </w:t>
      </w:r>
      <w:r w:rsidR="000324AD">
        <w:rPr>
          <w:rFonts w:ascii="Times New Roman" w:hAnsi="Times New Roman"/>
        </w:rPr>
        <w:t xml:space="preserve">for </w:t>
      </w:r>
      <w:r w:rsidR="005C5094">
        <w:rPr>
          <w:rFonts w:ascii="Times New Roman" w:hAnsi="Times New Roman"/>
        </w:rPr>
        <w:t>cultural sociology in a similar sense with</w:t>
      </w:r>
      <w:r w:rsidR="009E0A96">
        <w:rPr>
          <w:rFonts w:ascii="Times New Roman" w:hAnsi="Times New Roman"/>
        </w:rPr>
        <w:t xml:space="preserve"> the semiologists.  </w:t>
      </w:r>
      <w:r w:rsidR="000324AD">
        <w:rPr>
          <w:rFonts w:ascii="Times New Roman" w:hAnsi="Times New Roman"/>
        </w:rPr>
        <w:t>In this sense, there can be a parallel between the reading of the “myth” in Barthesian sense and the interpretation of actors’ or institutions’ discourses or symbols</w:t>
      </w:r>
      <w:r w:rsidR="00033F54">
        <w:rPr>
          <w:rFonts w:ascii="Times New Roman" w:hAnsi="Times New Roman"/>
        </w:rPr>
        <w:t xml:space="preserve"> through connotations</w:t>
      </w:r>
      <w:r w:rsidR="000324AD">
        <w:rPr>
          <w:rFonts w:ascii="Times New Roman" w:hAnsi="Times New Roman"/>
        </w:rPr>
        <w:t xml:space="preserve">. </w:t>
      </w:r>
      <w:r w:rsidR="009E0A96">
        <w:rPr>
          <w:rFonts w:ascii="Times New Roman" w:hAnsi="Times New Roman"/>
        </w:rPr>
        <w:t xml:space="preserve">Rojek refers to </w:t>
      </w:r>
      <w:r w:rsidR="00033F54">
        <w:rPr>
          <w:rFonts w:ascii="Times New Roman" w:hAnsi="Times New Roman"/>
        </w:rPr>
        <w:t xml:space="preserve">the “denotation” and the “connotation” that Barthes uses to describe the “myth”. Accordingly </w:t>
      </w:r>
      <w:r w:rsidR="004214F7">
        <w:rPr>
          <w:rFonts w:ascii="Times New Roman" w:hAnsi="Times New Roman"/>
        </w:rPr>
        <w:t>he relates that denotation is associated with</w:t>
      </w:r>
      <w:r w:rsidR="00033F54">
        <w:rPr>
          <w:rFonts w:ascii="Times New Roman" w:hAnsi="Times New Roman"/>
        </w:rPr>
        <w:t xml:space="preserve"> the “factual articulation of an idea or graphic image”, whereas, the connotation </w:t>
      </w:r>
      <w:r w:rsidR="004214F7">
        <w:rPr>
          <w:rFonts w:ascii="Times New Roman" w:hAnsi="Times New Roman"/>
        </w:rPr>
        <w:t xml:space="preserve">is associated with “the chain of representations that the idea or graphic image signifies” </w:t>
      </w:r>
      <w:r w:rsidR="005C5094">
        <w:rPr>
          <w:rFonts w:ascii="Times New Roman" w:hAnsi="Times New Roman"/>
        </w:rPr>
        <w:t>(</w:t>
      </w:r>
      <w:r w:rsidR="00A10599">
        <w:rPr>
          <w:rFonts w:ascii="Times New Roman" w:hAnsi="Times New Roman"/>
        </w:rPr>
        <w:t xml:space="preserve">Rojek cited in </w:t>
      </w:r>
      <w:r w:rsidR="005C5094">
        <w:rPr>
          <w:rFonts w:ascii="Times New Roman" w:hAnsi="Times New Roman"/>
        </w:rPr>
        <w:t xml:space="preserve">Elliott and Turner 2001: 169). </w:t>
      </w:r>
      <w:r w:rsidR="005C372F">
        <w:rPr>
          <w:rFonts w:ascii="Times New Roman" w:hAnsi="Times New Roman"/>
        </w:rPr>
        <w:t xml:space="preserve"> </w:t>
      </w:r>
      <w:r w:rsidR="004F58E9">
        <w:rPr>
          <w:rFonts w:ascii="Times New Roman" w:hAnsi="Times New Roman"/>
        </w:rPr>
        <w:t>The study of  “</w:t>
      </w:r>
      <w:r w:rsidR="00852AD1">
        <w:rPr>
          <w:rFonts w:ascii="Times New Roman" w:hAnsi="Times New Roman"/>
        </w:rPr>
        <w:t xml:space="preserve">denotations and </w:t>
      </w:r>
      <w:r w:rsidR="004F58E9">
        <w:rPr>
          <w:rFonts w:ascii="Times New Roman" w:hAnsi="Times New Roman"/>
        </w:rPr>
        <w:t>connotations”</w:t>
      </w:r>
      <w:r w:rsidR="00852AD1">
        <w:rPr>
          <w:rFonts w:ascii="Times New Roman" w:hAnsi="Times New Roman"/>
        </w:rPr>
        <w:t xml:space="preserve"> despite not being openly stated</w:t>
      </w:r>
      <w:r w:rsidR="004F58E9">
        <w:rPr>
          <w:rFonts w:ascii="Times New Roman" w:hAnsi="Times New Roman"/>
        </w:rPr>
        <w:t>,</w:t>
      </w:r>
      <w:r w:rsidR="00181D84">
        <w:rPr>
          <w:rFonts w:ascii="Times New Roman" w:hAnsi="Times New Roman"/>
        </w:rPr>
        <w:t xml:space="preserve"> is present in Maria Wurm’s article</w:t>
      </w:r>
      <w:r w:rsidR="0068493A">
        <w:rPr>
          <w:rFonts w:ascii="Times New Roman" w:hAnsi="Times New Roman"/>
        </w:rPr>
        <w:t>, titled “Turkish Popular Music in Germany”. The author</w:t>
      </w:r>
      <w:r w:rsidR="004F58E9">
        <w:rPr>
          <w:rFonts w:ascii="Times New Roman" w:hAnsi="Times New Roman"/>
        </w:rPr>
        <w:t xml:space="preserve">, drawing from Ayse Caglar, </w:t>
      </w:r>
      <w:r w:rsidR="0068493A">
        <w:rPr>
          <w:rFonts w:ascii="Times New Roman" w:hAnsi="Times New Roman"/>
        </w:rPr>
        <w:t>addresses the way that th</w:t>
      </w:r>
      <w:r w:rsidR="004F58E9">
        <w:rPr>
          <w:rFonts w:ascii="Times New Roman" w:hAnsi="Times New Roman"/>
        </w:rPr>
        <w:t>e modern Turkish clubs are represented</w:t>
      </w:r>
      <w:r w:rsidR="0068493A">
        <w:rPr>
          <w:rFonts w:ascii="Times New Roman" w:hAnsi="Times New Roman"/>
        </w:rPr>
        <w:t xml:space="preserve"> in German cities.</w:t>
      </w:r>
      <w:r w:rsidR="004F58E9">
        <w:rPr>
          <w:rFonts w:ascii="Times New Roman" w:hAnsi="Times New Roman"/>
        </w:rPr>
        <w:t xml:space="preserve"> She refers to the selection of the names of the clubs from the “metropolitan and urban places like Taksim Square in Istanbul”. In this respect, </w:t>
      </w:r>
      <w:r w:rsidR="00852AD1">
        <w:rPr>
          <w:rFonts w:ascii="Times New Roman" w:hAnsi="Times New Roman"/>
        </w:rPr>
        <w:t xml:space="preserve">if </w:t>
      </w:r>
      <w:r w:rsidR="004F58E9">
        <w:rPr>
          <w:rFonts w:ascii="Times New Roman" w:hAnsi="Times New Roman"/>
        </w:rPr>
        <w:t xml:space="preserve">the </w:t>
      </w:r>
      <w:r w:rsidR="00852AD1">
        <w:rPr>
          <w:rFonts w:ascii="Times New Roman" w:hAnsi="Times New Roman"/>
        </w:rPr>
        <w:t xml:space="preserve">clubs names are the denotations, the </w:t>
      </w:r>
      <w:r w:rsidR="00181D84">
        <w:rPr>
          <w:rFonts w:ascii="Times New Roman" w:hAnsi="Times New Roman"/>
        </w:rPr>
        <w:t>connotations of having such names refer</w:t>
      </w:r>
      <w:r w:rsidR="00852AD1">
        <w:rPr>
          <w:rFonts w:ascii="Times New Roman" w:hAnsi="Times New Roman"/>
        </w:rPr>
        <w:t xml:space="preserve"> to</w:t>
      </w:r>
      <w:r w:rsidR="004F58E9">
        <w:rPr>
          <w:rFonts w:ascii="Times New Roman" w:hAnsi="Times New Roman"/>
        </w:rPr>
        <w:t xml:space="preserve"> “ the social rose of the owner and the guests of the place” (Wurm cited in Al-Hamarneh and J</w:t>
      </w:r>
      <w:r w:rsidR="004F58E9">
        <w:rPr>
          <w:rFonts w:ascii="Times New Roman" w:hAnsi="Times New Roman"/>
          <w:lang w:val="tr-TR"/>
        </w:rPr>
        <w:t>örn Thielmann 2008</w:t>
      </w:r>
      <w:r w:rsidR="004F58E9">
        <w:rPr>
          <w:rFonts w:ascii="Times New Roman" w:hAnsi="Times New Roman"/>
          <w:lang w:val="cs-CZ"/>
        </w:rPr>
        <w:t xml:space="preserve">: </w:t>
      </w:r>
      <w:r w:rsidR="00852AD1">
        <w:rPr>
          <w:rFonts w:ascii="Times New Roman" w:hAnsi="Times New Roman"/>
          <w:lang w:val="cs-CZ"/>
        </w:rPr>
        <w:t>378).</w:t>
      </w:r>
      <w:r w:rsidR="004F58E9">
        <w:rPr>
          <w:rFonts w:ascii="Times New Roman" w:hAnsi="Times New Roman"/>
        </w:rPr>
        <w:t xml:space="preserve"> </w:t>
      </w:r>
    </w:p>
    <w:p w:rsidR="00605218" w:rsidRDefault="00290B14" w:rsidP="00607DAE">
      <w:pPr>
        <w:spacing w:line="480" w:lineRule="auto"/>
        <w:jc w:val="both"/>
        <w:rPr>
          <w:rFonts w:ascii="Times New Roman" w:hAnsi="Times New Roman"/>
        </w:rPr>
      </w:pPr>
      <w:r>
        <w:rPr>
          <w:rFonts w:ascii="Times New Roman" w:hAnsi="Times New Roman"/>
        </w:rPr>
        <w:tab/>
      </w:r>
      <w:r w:rsidR="00680807">
        <w:rPr>
          <w:rFonts w:ascii="Times New Roman" w:hAnsi="Times New Roman"/>
        </w:rPr>
        <w:t>Meanin</w:t>
      </w:r>
      <w:r w:rsidR="000246C8">
        <w:rPr>
          <w:rFonts w:ascii="Times New Roman" w:hAnsi="Times New Roman"/>
        </w:rPr>
        <w:t>g-oriented ethnographic writing</w:t>
      </w:r>
      <w:r w:rsidR="00680807">
        <w:rPr>
          <w:rFonts w:ascii="Times New Roman" w:hAnsi="Times New Roman"/>
        </w:rPr>
        <w:t xml:space="preserve"> that combines openness to the mainstream has been </w:t>
      </w:r>
      <w:r w:rsidR="00A04433">
        <w:rPr>
          <w:rFonts w:ascii="Times New Roman" w:hAnsi="Times New Roman"/>
        </w:rPr>
        <w:t xml:space="preserve">actually recently present. </w:t>
      </w:r>
      <w:r w:rsidR="000246C8">
        <w:rPr>
          <w:rFonts w:ascii="Times New Roman" w:hAnsi="Times New Roman"/>
        </w:rPr>
        <w:t>The above-mentioned resentments of Spillman, due to the mainstream</w:t>
      </w:r>
      <w:r w:rsidR="00C508BE">
        <w:rPr>
          <w:rFonts w:ascii="Times New Roman" w:hAnsi="Times New Roman"/>
        </w:rPr>
        <w:t>’s</w:t>
      </w:r>
      <w:r w:rsidR="000246C8">
        <w:rPr>
          <w:rFonts w:ascii="Times New Roman" w:hAnsi="Times New Roman"/>
        </w:rPr>
        <w:t xml:space="preserve"> keeping in the background, and </w:t>
      </w:r>
      <w:r w:rsidR="00C61A62">
        <w:rPr>
          <w:rFonts w:ascii="Times New Roman" w:hAnsi="Times New Roman"/>
        </w:rPr>
        <w:t xml:space="preserve">the trend, supporting </w:t>
      </w:r>
      <w:r w:rsidR="000246C8">
        <w:rPr>
          <w:rFonts w:ascii="Times New Roman" w:hAnsi="Times New Roman"/>
        </w:rPr>
        <w:t>the active positioning of the public in making sense of the musi</w:t>
      </w:r>
      <w:r w:rsidR="00C508BE">
        <w:rPr>
          <w:rFonts w:ascii="Times New Roman" w:hAnsi="Times New Roman"/>
        </w:rPr>
        <w:t>c in contemporary music studies seem to have found a voice in this ethnographic writing.</w:t>
      </w:r>
      <w:r w:rsidR="00E554E7">
        <w:rPr>
          <w:rFonts w:ascii="Times New Roman" w:hAnsi="Times New Roman"/>
        </w:rPr>
        <w:t xml:space="preserve"> Wurms’article in many </w:t>
      </w:r>
      <w:r w:rsidR="00EE6600">
        <w:rPr>
          <w:rFonts w:ascii="Times New Roman" w:hAnsi="Times New Roman"/>
        </w:rPr>
        <w:t>aspects embodies with the characteristics of cultural sociology and the Strong Program.</w:t>
      </w:r>
      <w:r w:rsidR="00C508BE">
        <w:rPr>
          <w:rFonts w:ascii="Times New Roman" w:hAnsi="Times New Roman"/>
        </w:rPr>
        <w:t xml:space="preserve"> </w:t>
      </w:r>
      <w:r w:rsidR="00EE6600">
        <w:rPr>
          <w:rFonts w:ascii="Times New Roman" w:hAnsi="Times New Roman"/>
        </w:rPr>
        <w:t>In</w:t>
      </w:r>
      <w:r w:rsidR="0068493A">
        <w:rPr>
          <w:rFonts w:ascii="Times New Roman" w:hAnsi="Times New Roman"/>
        </w:rPr>
        <w:t xml:space="preserve"> </w:t>
      </w:r>
      <w:r w:rsidR="006C0DB9">
        <w:rPr>
          <w:rFonts w:ascii="Times New Roman" w:hAnsi="Times New Roman"/>
        </w:rPr>
        <w:t xml:space="preserve">Wurm’s study, the author describes music as an instrumental “leitmotif”, through which Turkish youth in Germany feel “affiliated” to certain groups and develop a </w:t>
      </w:r>
      <w:r w:rsidR="00A10599">
        <w:rPr>
          <w:rFonts w:ascii="Times New Roman" w:hAnsi="Times New Roman"/>
        </w:rPr>
        <w:t>sense of “safety”</w:t>
      </w:r>
      <w:r w:rsidR="0041782A">
        <w:rPr>
          <w:rFonts w:ascii="Times New Roman" w:hAnsi="Times New Roman"/>
        </w:rPr>
        <w:t>. At the same time, she draws from</w:t>
      </w:r>
      <w:r w:rsidR="008156D6">
        <w:rPr>
          <w:rFonts w:ascii="Times New Roman" w:hAnsi="Times New Roman"/>
        </w:rPr>
        <w:t xml:space="preserve"> Johannes Moser </w:t>
      </w:r>
      <w:r w:rsidR="007D5893">
        <w:rPr>
          <w:rFonts w:ascii="Times New Roman" w:hAnsi="Times New Roman"/>
        </w:rPr>
        <w:t xml:space="preserve">who dismisses </w:t>
      </w:r>
      <w:r w:rsidR="00C61A62">
        <w:rPr>
          <w:rFonts w:ascii="Times New Roman" w:hAnsi="Times New Roman"/>
        </w:rPr>
        <w:t xml:space="preserve">the idea that today people still belong </w:t>
      </w:r>
      <w:r w:rsidR="007D5893">
        <w:rPr>
          <w:rFonts w:ascii="Times New Roman" w:hAnsi="Times New Roman"/>
        </w:rPr>
        <w:t xml:space="preserve">the classical </w:t>
      </w:r>
      <w:r w:rsidR="00C61A62">
        <w:rPr>
          <w:rFonts w:ascii="Times New Roman" w:hAnsi="Times New Roman"/>
        </w:rPr>
        <w:t>“</w:t>
      </w:r>
      <w:r w:rsidR="007D5893">
        <w:rPr>
          <w:rFonts w:ascii="Times New Roman" w:hAnsi="Times New Roman"/>
        </w:rPr>
        <w:t>class</w:t>
      </w:r>
      <w:r w:rsidR="00C61A62">
        <w:rPr>
          <w:rFonts w:ascii="Times New Roman" w:hAnsi="Times New Roman"/>
        </w:rPr>
        <w:t>” formations. In stead</w:t>
      </w:r>
      <w:r w:rsidR="00191E68">
        <w:rPr>
          <w:rFonts w:ascii="Times New Roman" w:hAnsi="Times New Roman"/>
          <w:lang w:val="cs-CZ"/>
        </w:rPr>
        <w:t>,</w:t>
      </w:r>
      <w:r w:rsidR="00C61A62">
        <w:rPr>
          <w:rFonts w:ascii="Times New Roman" w:hAnsi="Times New Roman"/>
        </w:rPr>
        <w:t xml:space="preserve"> she relates Moser’s proposition</w:t>
      </w:r>
      <w:r w:rsidR="007D5893">
        <w:rPr>
          <w:rFonts w:ascii="Times New Roman" w:hAnsi="Times New Roman"/>
        </w:rPr>
        <w:t xml:space="preserve"> that “contexts, necessities and needs” determine </w:t>
      </w:r>
      <w:r w:rsidR="00C61A62">
        <w:rPr>
          <w:rFonts w:ascii="Times New Roman" w:hAnsi="Times New Roman"/>
        </w:rPr>
        <w:t>the “network” that people should join</w:t>
      </w:r>
      <w:r w:rsidR="00680E17">
        <w:rPr>
          <w:rFonts w:ascii="Times New Roman" w:hAnsi="Times New Roman"/>
        </w:rPr>
        <w:t xml:space="preserve"> in parallel with the “individualization of life situations”</w:t>
      </w:r>
      <w:r w:rsidR="00C61A62">
        <w:rPr>
          <w:rFonts w:ascii="Times New Roman" w:hAnsi="Times New Roman"/>
        </w:rPr>
        <w:t>.</w:t>
      </w:r>
      <w:r w:rsidR="007D5893">
        <w:rPr>
          <w:rFonts w:ascii="Times New Roman" w:hAnsi="Times New Roman"/>
        </w:rPr>
        <w:t xml:space="preserve"> </w:t>
      </w:r>
      <w:r w:rsidR="0041782A">
        <w:rPr>
          <w:rFonts w:ascii="Times New Roman" w:hAnsi="Times New Roman"/>
        </w:rPr>
        <w:t xml:space="preserve"> </w:t>
      </w:r>
      <w:r w:rsidR="00A10599">
        <w:rPr>
          <w:rFonts w:ascii="Times New Roman" w:hAnsi="Times New Roman"/>
        </w:rPr>
        <w:t>(Wurm cited in Al Hamarneh and J</w:t>
      </w:r>
      <w:r w:rsidR="00A10599">
        <w:rPr>
          <w:rFonts w:ascii="Times New Roman" w:hAnsi="Times New Roman"/>
          <w:lang w:val="tr-TR"/>
        </w:rPr>
        <w:t>ö</w:t>
      </w:r>
      <w:r w:rsidR="00A10599">
        <w:rPr>
          <w:rFonts w:ascii="Times New Roman" w:hAnsi="Times New Roman"/>
        </w:rPr>
        <w:t xml:space="preserve">rn Thielmann </w:t>
      </w:r>
      <w:r w:rsidR="00A10599">
        <w:rPr>
          <w:rFonts w:ascii="Times New Roman" w:hAnsi="Times New Roman"/>
          <w:lang w:val="cs-CZ"/>
        </w:rPr>
        <w:t>2008: 388-389).</w:t>
      </w:r>
      <w:r w:rsidR="00C61A62">
        <w:rPr>
          <w:rFonts w:ascii="Times New Roman" w:hAnsi="Times New Roman"/>
          <w:lang w:val="cs-CZ"/>
        </w:rPr>
        <w:t xml:space="preserve"> </w:t>
      </w:r>
      <w:r w:rsidR="00680E17">
        <w:rPr>
          <w:rFonts w:ascii="Times New Roman" w:hAnsi="Times New Roman"/>
          <w:lang w:val="cs-CZ"/>
        </w:rPr>
        <w:t xml:space="preserve">At this point, it should be noted that this argument has mutual grounds with the above-mentioned </w:t>
      </w:r>
      <w:r w:rsidR="00680E17">
        <w:rPr>
          <w:rFonts w:ascii="Times New Roman" w:hAnsi="Times New Roman"/>
        </w:rPr>
        <w:t>“autonomy of culture” for cult</w:t>
      </w:r>
      <w:r w:rsidR="005D3543">
        <w:rPr>
          <w:rFonts w:ascii="Times New Roman" w:hAnsi="Times New Roman"/>
        </w:rPr>
        <w:t xml:space="preserve">ural sociology, because it </w:t>
      </w:r>
      <w:r w:rsidR="00680E17">
        <w:rPr>
          <w:rFonts w:ascii="Times New Roman" w:hAnsi="Times New Roman"/>
        </w:rPr>
        <w:t>advocates the</w:t>
      </w:r>
      <w:r w:rsidR="005D3543">
        <w:rPr>
          <w:rFonts w:ascii="Times New Roman" w:hAnsi="Times New Roman"/>
        </w:rPr>
        <w:t xml:space="preserve"> existence of fluidity in group memberships. Thereby, it also implies that the artistic taste steadily becomes a matter of individual choice and thereby freed from </w:t>
      </w:r>
      <w:r w:rsidR="002E68F5">
        <w:rPr>
          <w:rFonts w:ascii="Times New Roman" w:hAnsi="Times New Roman"/>
        </w:rPr>
        <w:t xml:space="preserve">the </w:t>
      </w:r>
      <w:r w:rsidR="007A484C">
        <w:rPr>
          <w:rFonts w:ascii="Times New Roman" w:hAnsi="Times New Roman"/>
        </w:rPr>
        <w:t xml:space="preserve">confined class </w:t>
      </w:r>
      <w:r w:rsidR="007E300D">
        <w:rPr>
          <w:rFonts w:ascii="Times New Roman" w:hAnsi="Times New Roman"/>
        </w:rPr>
        <w:t xml:space="preserve">position. While Kaya’s text as a “weak program” did </w:t>
      </w:r>
      <w:r w:rsidR="00C16DE4">
        <w:rPr>
          <w:rFonts w:ascii="Times New Roman" w:hAnsi="Times New Roman"/>
        </w:rPr>
        <w:t xml:space="preserve">not </w:t>
      </w:r>
      <w:r w:rsidR="007E300D">
        <w:rPr>
          <w:rFonts w:ascii="Times New Roman" w:hAnsi="Times New Roman"/>
        </w:rPr>
        <w:t>pay importance to the relationship between the Turkish hip-hop youth and the mainstream Turkish yout</w:t>
      </w:r>
      <w:r w:rsidR="00F6309C">
        <w:rPr>
          <w:rFonts w:ascii="Times New Roman" w:hAnsi="Times New Roman"/>
        </w:rPr>
        <w:t xml:space="preserve">h; </w:t>
      </w:r>
      <w:r w:rsidR="007E300D">
        <w:rPr>
          <w:rFonts w:ascii="Times New Roman" w:hAnsi="Times New Roman"/>
        </w:rPr>
        <w:t>Wurm emphasized the attitude of the Turkish mainstream youth toward the oth</w:t>
      </w:r>
      <w:r w:rsidR="00F6309C">
        <w:rPr>
          <w:rFonts w:ascii="Times New Roman" w:hAnsi="Times New Roman"/>
        </w:rPr>
        <w:t>e</w:t>
      </w:r>
      <w:r w:rsidR="00C16DE4">
        <w:rPr>
          <w:rFonts w:ascii="Times New Roman" w:hAnsi="Times New Roman"/>
        </w:rPr>
        <w:t>r “youth cultures”. Wurm stresses</w:t>
      </w:r>
      <w:r w:rsidR="00F6309C">
        <w:rPr>
          <w:rFonts w:ascii="Times New Roman" w:hAnsi="Times New Roman"/>
        </w:rPr>
        <w:t xml:space="preserve"> the collective meaning of being mainstream among the </w:t>
      </w:r>
      <w:r w:rsidR="0075760E">
        <w:rPr>
          <w:rFonts w:ascii="Times New Roman" w:hAnsi="Times New Roman"/>
        </w:rPr>
        <w:t xml:space="preserve">Turkish youth in Germany </w:t>
      </w:r>
      <w:r w:rsidR="00F6309C">
        <w:rPr>
          <w:rFonts w:ascii="Times New Roman" w:hAnsi="Times New Roman"/>
        </w:rPr>
        <w:t xml:space="preserve">is to seem </w:t>
      </w:r>
      <w:r w:rsidR="0075760E">
        <w:rPr>
          <w:rFonts w:ascii="Times New Roman" w:hAnsi="Times New Roman"/>
        </w:rPr>
        <w:t>“non-resistant and unob</w:t>
      </w:r>
      <w:r w:rsidR="00C16DE4">
        <w:rPr>
          <w:rFonts w:ascii="Times New Roman" w:hAnsi="Times New Roman"/>
        </w:rPr>
        <w:t xml:space="preserve">trusive”. Wurm maintains that the mainstream </w:t>
      </w:r>
      <w:r w:rsidR="00605218">
        <w:rPr>
          <w:rFonts w:ascii="Times New Roman" w:hAnsi="Times New Roman"/>
        </w:rPr>
        <w:t xml:space="preserve">Turkish </w:t>
      </w:r>
      <w:r w:rsidR="00C16DE4">
        <w:rPr>
          <w:rFonts w:ascii="Times New Roman" w:hAnsi="Times New Roman"/>
        </w:rPr>
        <w:t>youth, thus distances itself from the</w:t>
      </w:r>
      <w:r w:rsidR="00605218">
        <w:rPr>
          <w:rFonts w:ascii="Times New Roman" w:hAnsi="Times New Roman"/>
        </w:rPr>
        <w:t xml:space="preserve"> subcultures and Turkish</w:t>
      </w:r>
      <w:r w:rsidR="00C16DE4">
        <w:rPr>
          <w:rFonts w:ascii="Times New Roman" w:hAnsi="Times New Roman"/>
        </w:rPr>
        <w:t xml:space="preserve"> hip-hop youth. Their association with the mainstream, according to Wurm provides them “distinction” and </w:t>
      </w:r>
      <w:r w:rsidR="00605218">
        <w:rPr>
          <w:rFonts w:ascii="Times New Roman" w:hAnsi="Times New Roman"/>
        </w:rPr>
        <w:t xml:space="preserve">“expression of </w:t>
      </w:r>
      <w:r w:rsidR="00C16DE4">
        <w:rPr>
          <w:rFonts w:ascii="Times New Roman" w:hAnsi="Times New Roman"/>
        </w:rPr>
        <w:t>self-</w:t>
      </w:r>
      <w:r w:rsidR="00605218">
        <w:rPr>
          <w:rFonts w:ascii="Times New Roman" w:hAnsi="Times New Roman"/>
        </w:rPr>
        <w:t>image” (Wurm cited in Al Hamarneh and Jörn Thielmann 2008</w:t>
      </w:r>
      <w:r w:rsidR="00605218">
        <w:rPr>
          <w:rFonts w:ascii="Times New Roman" w:hAnsi="Times New Roman"/>
          <w:lang w:val="cs-CZ"/>
        </w:rPr>
        <w:t xml:space="preserve">: 389-390). </w:t>
      </w:r>
      <w:r w:rsidR="00C16DE4">
        <w:rPr>
          <w:rFonts w:ascii="Times New Roman" w:hAnsi="Times New Roman"/>
        </w:rPr>
        <w:t xml:space="preserve">By doing this theorization, </w:t>
      </w:r>
      <w:r w:rsidR="00605218">
        <w:rPr>
          <w:rFonts w:ascii="Times New Roman" w:hAnsi="Times New Roman"/>
        </w:rPr>
        <w:t>Wurm adheres to the participants’</w:t>
      </w:r>
      <w:r w:rsidR="003E5673">
        <w:rPr>
          <w:rFonts w:ascii="Times New Roman" w:hAnsi="Times New Roman"/>
        </w:rPr>
        <w:t xml:space="preserve"> </w:t>
      </w:r>
      <w:r w:rsidR="00605218">
        <w:rPr>
          <w:rFonts w:ascii="Times New Roman" w:hAnsi="Times New Roman"/>
        </w:rPr>
        <w:t>statements:</w:t>
      </w:r>
    </w:p>
    <w:p w:rsidR="003E5673" w:rsidRDefault="003E5673" w:rsidP="00607DAE">
      <w:pPr>
        <w:spacing w:line="480" w:lineRule="auto"/>
        <w:ind w:left="720"/>
        <w:jc w:val="both"/>
        <w:rPr>
          <w:rFonts w:ascii="Times New Roman" w:hAnsi="Times New Roman"/>
          <w:i/>
          <w:sz w:val="20"/>
        </w:rPr>
      </w:pPr>
    </w:p>
    <w:p w:rsidR="00191E68" w:rsidRPr="003E5673" w:rsidRDefault="00605218" w:rsidP="00607DAE">
      <w:pPr>
        <w:spacing w:line="480" w:lineRule="auto"/>
        <w:ind w:left="720"/>
        <w:jc w:val="both"/>
        <w:rPr>
          <w:rFonts w:ascii="Times New Roman" w:hAnsi="Times New Roman"/>
          <w:sz w:val="20"/>
          <w:lang w:val="cs-CZ"/>
        </w:rPr>
      </w:pPr>
      <w:r w:rsidRPr="00605218">
        <w:rPr>
          <w:rFonts w:ascii="Times New Roman" w:hAnsi="Times New Roman"/>
          <w:i/>
          <w:sz w:val="20"/>
        </w:rPr>
        <w:t>These punks, for example […], just because of their outward appearance tjey are written off somehow. I don’t want to judge whether they are stupid or not, I don’t know […] Just because I think one shouldn’t wall oneself off from society</w:t>
      </w:r>
      <w:r w:rsidR="003E5673">
        <w:rPr>
          <w:rFonts w:ascii="Times New Roman" w:hAnsi="Times New Roman"/>
          <w:i/>
          <w:sz w:val="20"/>
        </w:rPr>
        <w:t xml:space="preserve"> and only hang around with your own kind of people which doesn’t mean that I’m a follower or want to suck up people.</w:t>
      </w:r>
      <w:r w:rsidRPr="00605218">
        <w:rPr>
          <w:rFonts w:ascii="Times New Roman" w:hAnsi="Times New Roman"/>
          <w:i/>
          <w:sz w:val="20"/>
        </w:rPr>
        <w:t xml:space="preserve"> </w:t>
      </w:r>
      <w:r w:rsidRPr="00605218">
        <w:rPr>
          <w:rFonts w:ascii="Times New Roman" w:hAnsi="Times New Roman"/>
          <w:sz w:val="20"/>
        </w:rPr>
        <w:t>(excerpt from the citation</w:t>
      </w:r>
      <w:r w:rsidRPr="00605218">
        <w:rPr>
          <w:rFonts w:ascii="Times New Roman" w:hAnsi="Times New Roman"/>
          <w:i/>
          <w:sz w:val="20"/>
        </w:rPr>
        <w:t xml:space="preserve">). </w:t>
      </w:r>
      <w:r>
        <w:rPr>
          <w:rFonts w:ascii="Times New Roman" w:hAnsi="Times New Roman"/>
          <w:sz w:val="20"/>
        </w:rPr>
        <w:t xml:space="preserve">(Wurm cited in </w:t>
      </w:r>
      <w:r w:rsidR="0075760E">
        <w:rPr>
          <w:rFonts w:ascii="Times New Roman" w:hAnsi="Times New Roman"/>
          <w:sz w:val="20"/>
        </w:rPr>
        <w:t>Al Hamarneh and J</w:t>
      </w:r>
      <w:r w:rsidR="0075760E">
        <w:rPr>
          <w:rFonts w:ascii="Times New Roman" w:hAnsi="Times New Roman"/>
          <w:sz w:val="20"/>
          <w:lang w:val="tr-TR"/>
        </w:rPr>
        <w:t>örn Thielmann</w:t>
      </w:r>
      <w:r w:rsidRPr="00605218">
        <w:rPr>
          <w:rFonts w:ascii="Times New Roman" w:hAnsi="Times New Roman"/>
          <w:i/>
          <w:sz w:val="20"/>
        </w:rPr>
        <w:t xml:space="preserve"> </w:t>
      </w:r>
      <w:r w:rsidR="003E5673">
        <w:rPr>
          <w:rFonts w:ascii="Times New Roman" w:hAnsi="Times New Roman"/>
          <w:sz w:val="20"/>
        </w:rPr>
        <w:t>2008</w:t>
      </w:r>
      <w:r w:rsidR="003E5673">
        <w:rPr>
          <w:rFonts w:ascii="Times New Roman" w:hAnsi="Times New Roman"/>
          <w:sz w:val="20"/>
          <w:lang w:val="cs-CZ"/>
        </w:rPr>
        <w:t>: 389).</w:t>
      </w:r>
    </w:p>
    <w:p w:rsidR="00AE2296" w:rsidRPr="00605218" w:rsidRDefault="00191E68" w:rsidP="00607DAE">
      <w:pPr>
        <w:spacing w:line="480" w:lineRule="auto"/>
        <w:jc w:val="both"/>
        <w:rPr>
          <w:rFonts w:ascii="Times New Roman" w:hAnsi="Times New Roman"/>
          <w:i/>
          <w:sz w:val="20"/>
          <w:lang w:val="cs-CZ"/>
        </w:rPr>
      </w:pPr>
      <w:r w:rsidRPr="00605218">
        <w:rPr>
          <w:rFonts w:ascii="Times New Roman" w:hAnsi="Times New Roman"/>
          <w:i/>
          <w:sz w:val="20"/>
          <w:lang w:val="cs-CZ"/>
        </w:rPr>
        <w:tab/>
      </w:r>
    </w:p>
    <w:p w:rsidR="003E5673" w:rsidRPr="0068493A" w:rsidRDefault="001F36E5" w:rsidP="00607DAE">
      <w:pPr>
        <w:spacing w:line="480" w:lineRule="auto"/>
        <w:ind w:firstLine="720"/>
        <w:jc w:val="both"/>
        <w:rPr>
          <w:rFonts w:ascii="Times New Roman" w:hAnsi="Times New Roman"/>
        </w:rPr>
      </w:pPr>
      <w:r>
        <w:rPr>
          <w:rFonts w:ascii="Times New Roman" w:hAnsi="Times New Roman"/>
        </w:rPr>
        <w:t>“</w:t>
      </w:r>
      <w:r w:rsidR="00A95D1E">
        <w:rPr>
          <w:rFonts w:ascii="Times New Roman" w:hAnsi="Times New Roman"/>
        </w:rPr>
        <w:t>Emotions</w:t>
      </w:r>
      <w:r>
        <w:rPr>
          <w:rFonts w:ascii="Times New Roman" w:hAnsi="Times New Roman"/>
        </w:rPr>
        <w:t>”</w:t>
      </w:r>
      <w:r w:rsidR="00A95D1E">
        <w:rPr>
          <w:rFonts w:ascii="Times New Roman" w:hAnsi="Times New Roman"/>
        </w:rPr>
        <w:t xml:space="preserve"> and its relation to music in terms of meaning-making process is perhaps one of the conspicuous domains about which sociology of culture cannot much speculate. However, Wurms text, seemingly from the cultural sociology perspective, pay</w:t>
      </w:r>
      <w:r>
        <w:rPr>
          <w:rFonts w:ascii="Times New Roman" w:hAnsi="Times New Roman"/>
        </w:rPr>
        <w:t>s</w:t>
      </w:r>
      <w:r w:rsidR="00A95D1E">
        <w:rPr>
          <w:rFonts w:ascii="Times New Roman" w:hAnsi="Times New Roman"/>
        </w:rPr>
        <w:t xml:space="preserve"> attention to </w:t>
      </w:r>
      <w:r>
        <w:rPr>
          <w:rFonts w:ascii="Times New Roman" w:hAnsi="Times New Roman"/>
        </w:rPr>
        <w:t xml:space="preserve">the </w:t>
      </w:r>
      <w:r w:rsidR="00A95D1E">
        <w:rPr>
          <w:rFonts w:ascii="Times New Roman" w:hAnsi="Times New Roman"/>
        </w:rPr>
        <w:t>con</w:t>
      </w:r>
      <w:r w:rsidR="00E07523">
        <w:rPr>
          <w:rFonts w:ascii="Times New Roman" w:hAnsi="Times New Roman"/>
        </w:rPr>
        <w:t xml:space="preserve">cepts such as “home”, and “family life” that are reminiscent of </w:t>
      </w:r>
      <w:r w:rsidR="00A95D1E">
        <w:rPr>
          <w:rFonts w:ascii="Times New Roman" w:hAnsi="Times New Roman"/>
        </w:rPr>
        <w:t>“emotional warmth”</w:t>
      </w:r>
      <w:r w:rsidR="00E07523">
        <w:rPr>
          <w:rFonts w:ascii="Times New Roman" w:hAnsi="Times New Roman"/>
        </w:rPr>
        <w:t xml:space="preserve"> for the young Turkish music audience, who associates them as the constituents of the “Turkish context”.</w:t>
      </w:r>
      <w:r>
        <w:rPr>
          <w:rFonts w:ascii="Times New Roman" w:hAnsi="Times New Roman"/>
        </w:rPr>
        <w:t xml:space="preserve"> It highlights the fact that “German or English context” is reminiscent of “school” and  “job”, therefore with the feelings of refusal and estrangement (Wurm cited in Al-Hamarneh and J</w:t>
      </w:r>
      <w:r>
        <w:rPr>
          <w:rFonts w:ascii="Times New Roman" w:hAnsi="Times New Roman"/>
          <w:lang w:val="tr-TR"/>
        </w:rPr>
        <w:t>örn Thielmann 2008: 383</w:t>
      </w:r>
      <w:r w:rsidR="0016506D">
        <w:rPr>
          <w:rFonts w:ascii="Times New Roman" w:hAnsi="Times New Roman"/>
          <w:lang w:val="cs-CZ"/>
        </w:rPr>
        <w:t xml:space="preserve">). The author does not </w:t>
      </w:r>
      <w:r>
        <w:rPr>
          <w:rFonts w:ascii="Times New Roman" w:hAnsi="Times New Roman"/>
          <w:lang w:val="cs-CZ"/>
        </w:rPr>
        <w:t xml:space="preserve">intend to make essentialist claims by distinguishing Germanness or Turkishness, rather she </w:t>
      </w:r>
      <w:r w:rsidR="0096023E">
        <w:rPr>
          <w:rFonts w:ascii="Times New Roman" w:hAnsi="Times New Roman"/>
          <w:lang w:val="cs-CZ"/>
        </w:rPr>
        <w:t>attemp</w:t>
      </w:r>
      <w:r w:rsidR="0016506D">
        <w:rPr>
          <w:rFonts w:ascii="Times New Roman" w:hAnsi="Times New Roman"/>
          <w:lang w:val="cs-CZ"/>
        </w:rPr>
        <w:t>ts to interpret</w:t>
      </w:r>
      <w:r>
        <w:rPr>
          <w:rFonts w:ascii="Times New Roman" w:hAnsi="Times New Roman"/>
          <w:lang w:val="cs-CZ"/>
        </w:rPr>
        <w:t xml:space="preserve"> </w:t>
      </w:r>
      <w:r w:rsidR="0096023E">
        <w:rPr>
          <w:rFonts w:ascii="Times New Roman" w:hAnsi="Times New Roman"/>
          <w:lang w:val="cs-CZ"/>
        </w:rPr>
        <w:t>these feelings through how participa</w:t>
      </w:r>
      <w:r w:rsidR="0016506D">
        <w:rPr>
          <w:rFonts w:ascii="Times New Roman" w:hAnsi="Times New Roman"/>
          <w:lang w:val="cs-CZ"/>
        </w:rPr>
        <w:t>nts‘ statements. Similarly, I have also received</w:t>
      </w:r>
      <w:r w:rsidR="0068493A">
        <w:rPr>
          <w:rFonts w:ascii="Times New Roman" w:hAnsi="Times New Roman"/>
          <w:lang w:val="cs-CZ"/>
        </w:rPr>
        <w:t xml:space="preserve"> answers</w:t>
      </w:r>
      <w:r w:rsidR="0096023E">
        <w:rPr>
          <w:rFonts w:ascii="Times New Roman" w:hAnsi="Times New Roman"/>
          <w:lang w:val="cs-CZ"/>
        </w:rPr>
        <w:t xml:space="preserve"> </w:t>
      </w:r>
      <w:r w:rsidR="0016506D">
        <w:rPr>
          <w:rFonts w:ascii="Times New Roman" w:hAnsi="Times New Roman"/>
          <w:lang w:val="cs-CZ"/>
        </w:rPr>
        <w:t xml:space="preserve">during my </w:t>
      </w:r>
      <w:r w:rsidR="0096023E">
        <w:rPr>
          <w:rFonts w:ascii="Times New Roman" w:hAnsi="Times New Roman"/>
          <w:lang w:val="cs-CZ"/>
        </w:rPr>
        <w:t>e</w:t>
      </w:r>
      <w:r w:rsidR="00E554E7">
        <w:rPr>
          <w:rFonts w:ascii="Times New Roman" w:hAnsi="Times New Roman"/>
          <w:lang w:val="cs-CZ"/>
        </w:rPr>
        <w:t xml:space="preserve">thnographic work in Hamburg such as, </w:t>
      </w:r>
      <w:r w:rsidR="0016506D">
        <w:rPr>
          <w:rFonts w:ascii="Times New Roman" w:hAnsi="Times New Roman"/>
          <w:lang w:val="cs-CZ"/>
        </w:rPr>
        <w:t xml:space="preserve"> singing in the choruses of Turkish classical or folk music provides</w:t>
      </w:r>
      <w:r w:rsidR="00E9783F">
        <w:rPr>
          <w:rFonts w:ascii="Times New Roman" w:hAnsi="Times New Roman"/>
          <w:lang w:val="cs-CZ"/>
        </w:rPr>
        <w:t xml:space="preserve"> the chorus members</w:t>
      </w:r>
      <w:r w:rsidR="0068493A">
        <w:rPr>
          <w:rFonts w:ascii="Times New Roman" w:hAnsi="Times New Roman"/>
          <w:lang w:val="cs-CZ"/>
        </w:rPr>
        <w:t xml:space="preserve"> the effect</w:t>
      </w:r>
      <w:r w:rsidR="0016506D">
        <w:rPr>
          <w:rFonts w:ascii="Times New Roman" w:hAnsi="Times New Roman"/>
          <w:lang w:val="cs-CZ"/>
        </w:rPr>
        <w:t xml:space="preserve"> of</w:t>
      </w:r>
      <w:r w:rsidR="0068493A">
        <w:rPr>
          <w:rFonts w:ascii="Times New Roman" w:hAnsi="Times New Roman"/>
          <w:lang w:val="cs-CZ"/>
        </w:rPr>
        <w:t xml:space="preserve"> a </w:t>
      </w:r>
      <w:r w:rsidR="0016506D">
        <w:rPr>
          <w:rFonts w:ascii="Times New Roman" w:hAnsi="Times New Roman"/>
          <w:lang w:val="cs-CZ"/>
        </w:rPr>
        <w:t xml:space="preserve"> </w:t>
      </w:r>
      <w:r w:rsidR="0068493A">
        <w:rPr>
          <w:rFonts w:ascii="Times New Roman" w:hAnsi="Times New Roman"/>
        </w:rPr>
        <w:t xml:space="preserve">“therapy”. The participants, however could not or did not want to express the meaning of this word. My interpretation is </w:t>
      </w:r>
      <w:r w:rsidR="00E9783F">
        <w:rPr>
          <w:rFonts w:ascii="Times New Roman" w:hAnsi="Times New Roman"/>
        </w:rPr>
        <w:t>that, by means of choruses, the participants</w:t>
      </w:r>
      <w:r w:rsidR="0068493A">
        <w:rPr>
          <w:rFonts w:ascii="Times New Roman" w:hAnsi="Times New Roman"/>
        </w:rPr>
        <w:t xml:space="preserve"> are able to establish collectivity and </w:t>
      </w:r>
      <w:r w:rsidR="00E554E7">
        <w:rPr>
          <w:rFonts w:ascii="Times New Roman" w:hAnsi="Times New Roman"/>
        </w:rPr>
        <w:t xml:space="preserve">thus, </w:t>
      </w:r>
      <w:r w:rsidR="0068493A">
        <w:rPr>
          <w:rFonts w:ascii="Times New Roman" w:hAnsi="Times New Roman"/>
        </w:rPr>
        <w:t>in parallel to Wurm</w:t>
      </w:r>
      <w:r w:rsidR="0068493A">
        <w:rPr>
          <w:rFonts w:ascii="Times New Roman" w:hAnsi="Times New Roman"/>
          <w:lang w:val="cs-CZ"/>
        </w:rPr>
        <w:t>’s suggestion</w:t>
      </w:r>
      <w:r w:rsidR="00E07523">
        <w:rPr>
          <w:rFonts w:ascii="Times New Roman" w:hAnsi="Times New Roman"/>
          <w:lang w:val="cs-CZ"/>
        </w:rPr>
        <w:t xml:space="preserve"> above</w:t>
      </w:r>
      <w:r w:rsidR="0068493A">
        <w:rPr>
          <w:rFonts w:ascii="Times New Roman" w:hAnsi="Times New Roman"/>
          <w:lang w:val="cs-CZ"/>
        </w:rPr>
        <w:t>, they exper</w:t>
      </w:r>
      <w:r w:rsidR="00E554E7">
        <w:rPr>
          <w:rFonts w:ascii="Times New Roman" w:hAnsi="Times New Roman"/>
          <w:lang w:val="cs-CZ"/>
        </w:rPr>
        <w:t>ience to</w:t>
      </w:r>
      <w:r w:rsidR="00E9783F">
        <w:rPr>
          <w:rFonts w:ascii="Times New Roman" w:hAnsi="Times New Roman"/>
          <w:lang w:val="cs-CZ"/>
        </w:rPr>
        <w:t xml:space="preserve"> be in a secure shelter by singing </w:t>
      </w:r>
      <w:r w:rsidR="00E07523">
        <w:rPr>
          <w:rFonts w:ascii="Times New Roman" w:hAnsi="Times New Roman"/>
          <w:lang w:val="cs-CZ"/>
        </w:rPr>
        <w:t xml:space="preserve">Turkish </w:t>
      </w:r>
      <w:r w:rsidR="00E554E7">
        <w:rPr>
          <w:rFonts w:ascii="Times New Roman" w:hAnsi="Times New Roman"/>
          <w:lang w:val="cs-CZ"/>
        </w:rPr>
        <w:t xml:space="preserve">music. </w:t>
      </w:r>
    </w:p>
    <w:p w:rsidR="004B48C4" w:rsidRPr="00181D84" w:rsidRDefault="00B317D3" w:rsidP="00607DAE">
      <w:pPr>
        <w:spacing w:line="480" w:lineRule="auto"/>
        <w:ind w:firstLine="720"/>
        <w:jc w:val="both"/>
        <w:rPr>
          <w:rFonts w:ascii="Times New Roman" w:hAnsi="Times New Roman"/>
        </w:rPr>
      </w:pPr>
      <w:r>
        <w:rPr>
          <w:rFonts w:ascii="Times New Roman" w:hAnsi="Times New Roman"/>
        </w:rPr>
        <w:t>To conclude, c</w:t>
      </w:r>
      <w:r w:rsidR="004B48C4" w:rsidRPr="00C53F0C">
        <w:rPr>
          <w:rFonts w:ascii="Times New Roman" w:hAnsi="Times New Roman"/>
        </w:rPr>
        <w:t>ultural sociology fulfills a significant role in offering well-organized perspectives that criticize the logic of the sociology of culture – which sees culture as a dependent variable. Ethnographic writing, as discussed above, has the potential to benefit from cultural sociology. In order to achieve this, cultural sociology implies that it should free itself from sociology of culture and the habit of forming arguments that are dependent on the base. Instead, cultural sociology suggests ethnographic works following a</w:t>
      </w:r>
      <w:r w:rsidR="004B48C4">
        <w:rPr>
          <w:rFonts w:ascii="Times New Roman" w:hAnsi="Times New Roman"/>
        </w:rPr>
        <w:t xml:space="preserve"> line of thinking that is chiefly</w:t>
      </w:r>
      <w:r w:rsidR="004B48C4" w:rsidRPr="00C53F0C">
        <w:rPr>
          <w:rFonts w:ascii="Times New Roman" w:hAnsi="Times New Roman"/>
        </w:rPr>
        <w:t xml:space="preserve"> meaning-oriented. </w:t>
      </w:r>
      <w:r w:rsidR="002F5CDE">
        <w:rPr>
          <w:rFonts w:ascii="Times New Roman" w:hAnsi="Times New Roman"/>
        </w:rPr>
        <w:t xml:space="preserve">In this </w:t>
      </w:r>
      <w:r w:rsidR="00E554E7">
        <w:rPr>
          <w:rFonts w:ascii="Times New Roman" w:hAnsi="Times New Roman"/>
        </w:rPr>
        <w:t xml:space="preserve">paper, I have attempted to apply </w:t>
      </w:r>
      <w:r w:rsidR="00181D84">
        <w:rPr>
          <w:rFonts w:ascii="Times New Roman" w:hAnsi="Times New Roman"/>
        </w:rPr>
        <w:t xml:space="preserve">Alexander’s concept of weak and </w:t>
      </w:r>
      <w:r w:rsidR="002F5CDE">
        <w:rPr>
          <w:rFonts w:ascii="Times New Roman" w:hAnsi="Times New Roman"/>
        </w:rPr>
        <w:t>strong</w:t>
      </w:r>
      <w:r w:rsidR="00181D84">
        <w:rPr>
          <w:rFonts w:ascii="Times New Roman" w:hAnsi="Times New Roman"/>
        </w:rPr>
        <w:t xml:space="preserve"> programs to the ethnographical writing on the Turkish musical scene in Germany. </w:t>
      </w:r>
      <w:r w:rsidR="00EE6600">
        <w:rPr>
          <w:rFonts w:ascii="Times New Roman" w:hAnsi="Times New Roman"/>
        </w:rPr>
        <w:t xml:space="preserve">The ideological overtones in Kaya’s work and his fascination with the anti-hegemonic epithet of the Turkish working class hip-hop youth leave almost no space for meaning in Kaya’s account. If the author followed a rather disinterested track and </w:t>
      </w:r>
      <w:r w:rsidR="0074556B">
        <w:rPr>
          <w:rFonts w:ascii="Times New Roman" w:hAnsi="Times New Roman"/>
        </w:rPr>
        <w:t xml:space="preserve">attempted to employ semiotics, he would approach the strong program. Whereas, </w:t>
      </w:r>
      <w:r w:rsidR="00EE6600">
        <w:rPr>
          <w:rFonts w:ascii="Times New Roman" w:hAnsi="Times New Roman"/>
        </w:rPr>
        <w:t>Wurm’s study</w:t>
      </w:r>
      <w:r w:rsidR="0074556B">
        <w:rPr>
          <w:rFonts w:ascii="Times New Roman" w:hAnsi="Times New Roman"/>
        </w:rPr>
        <w:t>, despite being a shorter article, contain muc</w:t>
      </w:r>
      <w:r w:rsidR="00607DAE">
        <w:rPr>
          <w:rFonts w:ascii="Times New Roman" w:hAnsi="Times New Roman"/>
        </w:rPr>
        <w:t xml:space="preserve">h value in terms of focusing on </w:t>
      </w:r>
      <w:r w:rsidR="0074556B">
        <w:rPr>
          <w:rFonts w:ascii="Times New Roman" w:hAnsi="Times New Roman"/>
        </w:rPr>
        <w:t xml:space="preserve">“meaning” and acknowledging the “autonomy of culture”; thus, deserves to be categorized as a strong program.  </w:t>
      </w:r>
    </w:p>
    <w:p w:rsidR="004B48C4" w:rsidRPr="00C53F0C" w:rsidRDefault="004B48C4" w:rsidP="00607DAE">
      <w:pPr>
        <w:spacing w:line="480" w:lineRule="auto"/>
        <w:jc w:val="both"/>
        <w:rPr>
          <w:rFonts w:ascii="Times New Roman" w:hAnsi="Times New Roman"/>
        </w:rPr>
      </w:pPr>
    </w:p>
    <w:p w:rsidR="000F0AA3" w:rsidRPr="00C53F0C" w:rsidRDefault="000F0AA3" w:rsidP="00607DAE">
      <w:pPr>
        <w:spacing w:line="480" w:lineRule="auto"/>
        <w:jc w:val="both"/>
        <w:rPr>
          <w:rFonts w:ascii="Times New Roman" w:hAnsi="Times New Roman"/>
        </w:rPr>
      </w:pPr>
    </w:p>
    <w:p w:rsidR="000F0AA3" w:rsidRPr="00C53F0C" w:rsidRDefault="000F0AA3" w:rsidP="00607DAE">
      <w:pPr>
        <w:spacing w:line="480" w:lineRule="auto"/>
        <w:jc w:val="both"/>
        <w:rPr>
          <w:rFonts w:ascii="Times New Roman" w:hAnsi="Times New Roman"/>
        </w:rPr>
      </w:pPr>
      <w:r>
        <w:rPr>
          <w:rFonts w:ascii="Times New Roman" w:hAnsi="Times New Roman"/>
        </w:rPr>
        <w:tab/>
      </w:r>
    </w:p>
    <w:p w:rsidR="00607DAE" w:rsidRDefault="00607DAE" w:rsidP="00607DAE">
      <w:pPr>
        <w:spacing w:line="480" w:lineRule="auto"/>
        <w:jc w:val="both"/>
        <w:rPr>
          <w:rFonts w:ascii="Times New Roman" w:hAnsi="Times New Roman"/>
        </w:rPr>
      </w:pPr>
    </w:p>
    <w:p w:rsidR="00B317D3" w:rsidRDefault="00B317D3" w:rsidP="00607DAE">
      <w:pPr>
        <w:spacing w:line="480" w:lineRule="auto"/>
        <w:jc w:val="both"/>
        <w:rPr>
          <w:rFonts w:ascii="Times New Roman" w:hAnsi="Times New Roman"/>
        </w:rPr>
      </w:pPr>
    </w:p>
    <w:p w:rsidR="00B317D3" w:rsidRDefault="00B317D3" w:rsidP="00607DAE">
      <w:pPr>
        <w:spacing w:line="480" w:lineRule="auto"/>
        <w:jc w:val="both"/>
        <w:rPr>
          <w:rFonts w:ascii="Times New Roman" w:hAnsi="Times New Roman"/>
        </w:rPr>
      </w:pPr>
    </w:p>
    <w:p w:rsidR="00B317D3" w:rsidRDefault="00B317D3" w:rsidP="00607DAE">
      <w:pPr>
        <w:spacing w:line="480" w:lineRule="auto"/>
        <w:jc w:val="both"/>
        <w:rPr>
          <w:rFonts w:ascii="Times New Roman" w:hAnsi="Times New Roman"/>
        </w:rPr>
      </w:pPr>
    </w:p>
    <w:p w:rsidR="00C340CE" w:rsidRDefault="00C340CE" w:rsidP="00B317D3">
      <w:pPr>
        <w:jc w:val="both"/>
        <w:rPr>
          <w:rFonts w:ascii="Times New Roman" w:hAnsi="Times New Roman"/>
        </w:rPr>
      </w:pPr>
    </w:p>
    <w:p w:rsidR="00C340CE" w:rsidRDefault="00C340CE" w:rsidP="00B317D3">
      <w:pPr>
        <w:jc w:val="both"/>
        <w:rPr>
          <w:rFonts w:ascii="Times New Roman" w:hAnsi="Times New Roman"/>
        </w:rPr>
      </w:pPr>
    </w:p>
    <w:p w:rsidR="00C340CE" w:rsidRDefault="00C340CE" w:rsidP="00B317D3">
      <w:pPr>
        <w:jc w:val="both"/>
        <w:rPr>
          <w:rFonts w:ascii="Times New Roman" w:hAnsi="Times New Roman"/>
        </w:rPr>
      </w:pPr>
    </w:p>
    <w:p w:rsidR="00C340CE" w:rsidRDefault="00C340CE" w:rsidP="00B317D3">
      <w:pPr>
        <w:jc w:val="both"/>
        <w:rPr>
          <w:rFonts w:ascii="Times New Roman" w:hAnsi="Times New Roman"/>
        </w:rPr>
      </w:pPr>
    </w:p>
    <w:p w:rsidR="00F26E74" w:rsidRDefault="000F0AA3" w:rsidP="00B317D3">
      <w:pPr>
        <w:jc w:val="both"/>
        <w:rPr>
          <w:rFonts w:ascii="Times New Roman Bold" w:hAnsi="Times New Roman Bold"/>
        </w:rPr>
      </w:pPr>
      <w:r w:rsidRPr="00F26E74">
        <w:rPr>
          <w:rFonts w:ascii="Times New Roman Bold" w:hAnsi="Times New Roman Bold"/>
        </w:rPr>
        <w:t>Literature:</w:t>
      </w:r>
    </w:p>
    <w:p w:rsidR="000F0AA3" w:rsidRPr="00F26E74" w:rsidRDefault="000F0AA3" w:rsidP="00B317D3">
      <w:pPr>
        <w:jc w:val="both"/>
        <w:rPr>
          <w:rFonts w:ascii="Times New Roman Bold" w:hAnsi="Times New Roman Bold"/>
        </w:rPr>
      </w:pPr>
    </w:p>
    <w:p w:rsidR="0041782A" w:rsidRPr="0041782A" w:rsidRDefault="0041782A" w:rsidP="00B317D3">
      <w:pPr>
        <w:jc w:val="both"/>
        <w:rPr>
          <w:rFonts w:ascii="Times New Roman" w:hAnsi="Times New Roman"/>
          <w:lang w:val="cs-CZ"/>
        </w:rPr>
      </w:pPr>
      <w:r>
        <w:rPr>
          <w:rFonts w:ascii="Times New Roman" w:hAnsi="Times New Roman"/>
        </w:rPr>
        <w:t>Ala Al-Hamarneh and J</w:t>
      </w:r>
      <w:r>
        <w:rPr>
          <w:rFonts w:ascii="Times New Roman" w:hAnsi="Times New Roman"/>
          <w:lang w:val="tr-TR"/>
        </w:rPr>
        <w:t>örn Thielmann, ed</w:t>
      </w:r>
      <w:r>
        <w:rPr>
          <w:rFonts w:ascii="Times New Roman" w:hAnsi="Times New Roman"/>
          <w:lang w:val="cs-CZ"/>
        </w:rPr>
        <w:t xml:space="preserve">. (2008) </w:t>
      </w:r>
      <w:r w:rsidRPr="0041782A">
        <w:rPr>
          <w:rFonts w:ascii="Times New Roman" w:hAnsi="Times New Roman"/>
          <w:i/>
          <w:lang w:val="cs-CZ"/>
        </w:rPr>
        <w:t>Islam and Muslims in Germany.</w:t>
      </w:r>
      <w:r w:rsidR="00112486">
        <w:rPr>
          <w:rFonts w:ascii="Times New Roman" w:hAnsi="Times New Roman"/>
          <w:lang w:val="cs-CZ"/>
        </w:rPr>
        <w:t xml:space="preserve"> </w:t>
      </w:r>
      <w:r w:rsidR="008156D6">
        <w:rPr>
          <w:rFonts w:ascii="Times New Roman" w:hAnsi="Times New Roman"/>
          <w:lang w:val="cs-CZ"/>
        </w:rPr>
        <w:t xml:space="preserve">Leiden: Brill. </w:t>
      </w:r>
    </w:p>
    <w:p w:rsidR="00B317D3" w:rsidRDefault="00B317D3" w:rsidP="00B317D3">
      <w:pPr>
        <w:jc w:val="both"/>
        <w:rPr>
          <w:rFonts w:ascii="Times New Roman" w:hAnsi="Times New Roman"/>
        </w:rPr>
      </w:pPr>
    </w:p>
    <w:p w:rsidR="000F0AA3" w:rsidRPr="00C53F0C" w:rsidRDefault="000F0AA3" w:rsidP="00B317D3">
      <w:pPr>
        <w:jc w:val="both"/>
        <w:rPr>
          <w:rFonts w:ascii="Times New Roman" w:hAnsi="Times New Roman"/>
        </w:rPr>
      </w:pPr>
      <w:r w:rsidRPr="00C53F0C">
        <w:rPr>
          <w:rFonts w:ascii="Times New Roman" w:hAnsi="Times New Roman"/>
        </w:rPr>
        <w:t xml:space="preserve">Alexander, Jeffrey C and Steven Seidman.(1990) </w:t>
      </w:r>
      <w:r w:rsidRPr="00B2431E">
        <w:rPr>
          <w:rFonts w:ascii="Times New Roman" w:hAnsi="Times New Roman"/>
          <w:i/>
        </w:rPr>
        <w:t>Culture and Society: Contemporary Debates.</w:t>
      </w:r>
      <w:r w:rsidRPr="00C53F0C">
        <w:rPr>
          <w:rFonts w:ascii="Times New Roman" w:hAnsi="Times New Roman"/>
        </w:rPr>
        <w:t xml:space="preserve"> Cambridge: Cambridge University Press.</w:t>
      </w:r>
    </w:p>
    <w:p w:rsidR="00B317D3" w:rsidRDefault="00B317D3" w:rsidP="00B317D3">
      <w:pPr>
        <w:jc w:val="both"/>
        <w:rPr>
          <w:rFonts w:ascii="Times New Roman" w:hAnsi="Times New Roman"/>
        </w:rPr>
      </w:pPr>
    </w:p>
    <w:p w:rsidR="000F0AA3" w:rsidRPr="00C53F0C" w:rsidRDefault="000F0AA3" w:rsidP="00B317D3">
      <w:pPr>
        <w:jc w:val="both"/>
        <w:rPr>
          <w:rFonts w:ascii="Times New Roman" w:hAnsi="Times New Roman"/>
        </w:rPr>
      </w:pPr>
      <w:r w:rsidRPr="00C53F0C">
        <w:rPr>
          <w:rFonts w:ascii="Times New Roman" w:hAnsi="Times New Roman"/>
        </w:rPr>
        <w:t xml:space="preserve">Alexander, Jeffrey C. (2003). </w:t>
      </w:r>
      <w:r w:rsidRPr="00B2431E">
        <w:rPr>
          <w:rFonts w:ascii="Times New Roman" w:hAnsi="Times New Roman"/>
          <w:i/>
        </w:rPr>
        <w:t>The Meanings of Social Life: A Cultural Sociology</w:t>
      </w:r>
      <w:r w:rsidRPr="00C53F0C">
        <w:rPr>
          <w:rFonts w:ascii="Times New Roman" w:hAnsi="Times New Roman"/>
        </w:rPr>
        <w:t>. New York: Oxford University Press.</w:t>
      </w:r>
    </w:p>
    <w:p w:rsidR="00B317D3" w:rsidRDefault="00B317D3" w:rsidP="00B317D3">
      <w:pPr>
        <w:jc w:val="both"/>
      </w:pPr>
    </w:p>
    <w:p w:rsidR="000F0AA3" w:rsidRPr="004B48C4" w:rsidRDefault="004B48C4" w:rsidP="00B317D3">
      <w:pPr>
        <w:jc w:val="both"/>
        <w:rPr>
          <w:rFonts w:ascii="Times New Roman" w:hAnsi="Times New Roman"/>
        </w:rPr>
      </w:pPr>
      <w:r w:rsidRPr="004B48C4">
        <w:t xml:space="preserve">Brubaker, Rogers (2004) </w:t>
      </w:r>
      <w:r w:rsidRPr="004B48C4">
        <w:rPr>
          <w:i/>
        </w:rPr>
        <w:t>Ethnicity without Groups</w:t>
      </w:r>
      <w:r w:rsidRPr="004B48C4">
        <w:t>. Cambridge, Mass. : Harvard University Press, 2004.</w:t>
      </w:r>
    </w:p>
    <w:p w:rsidR="00B317D3" w:rsidRDefault="00B317D3" w:rsidP="00B317D3">
      <w:pPr>
        <w:jc w:val="both"/>
        <w:rPr>
          <w:rFonts w:ascii="Times New Roman" w:hAnsi="Times New Roman"/>
        </w:rPr>
      </w:pPr>
    </w:p>
    <w:p w:rsidR="004214F7" w:rsidRDefault="00B317D3" w:rsidP="00B317D3">
      <w:pPr>
        <w:jc w:val="both"/>
        <w:rPr>
          <w:rFonts w:ascii="Times New Roman" w:hAnsi="Times New Roman"/>
        </w:rPr>
      </w:pPr>
      <w:r>
        <w:rPr>
          <w:rFonts w:ascii="Times New Roman" w:hAnsi="Times New Roman"/>
        </w:rPr>
        <w:t xml:space="preserve">Elliott, </w:t>
      </w:r>
      <w:r w:rsidR="004214F7">
        <w:rPr>
          <w:rFonts w:ascii="Times New Roman" w:hAnsi="Times New Roman"/>
        </w:rPr>
        <w:t>Anthony and Bryan C. Turner</w:t>
      </w:r>
      <w:r w:rsidR="008156D6">
        <w:rPr>
          <w:rFonts w:ascii="Times New Roman" w:hAnsi="Times New Roman"/>
        </w:rPr>
        <w:t>, ed.</w:t>
      </w:r>
      <w:r w:rsidR="004214F7">
        <w:rPr>
          <w:rFonts w:ascii="Times New Roman" w:hAnsi="Times New Roman"/>
        </w:rPr>
        <w:t xml:space="preserve"> (2001)</w:t>
      </w:r>
      <w:r w:rsidR="005C5EAB">
        <w:rPr>
          <w:rFonts w:ascii="Times New Roman" w:hAnsi="Times New Roman"/>
        </w:rPr>
        <w:t>.</w:t>
      </w:r>
      <w:r w:rsidR="004214F7">
        <w:rPr>
          <w:rFonts w:ascii="Times New Roman" w:hAnsi="Times New Roman"/>
        </w:rPr>
        <w:t xml:space="preserve"> </w:t>
      </w:r>
      <w:r w:rsidR="004214F7" w:rsidRPr="00B2431E">
        <w:rPr>
          <w:rFonts w:ascii="Times New Roman" w:hAnsi="Times New Roman"/>
          <w:i/>
        </w:rPr>
        <w:t>Profiles in Contemporary Sociology.</w:t>
      </w:r>
      <w:r w:rsidR="004214F7">
        <w:rPr>
          <w:rFonts w:ascii="Times New Roman" w:hAnsi="Times New Roman"/>
        </w:rPr>
        <w:t xml:space="preserve"> London: Sage Publications. </w:t>
      </w:r>
    </w:p>
    <w:p w:rsidR="00B317D3" w:rsidRDefault="00B317D3" w:rsidP="00B317D3">
      <w:pPr>
        <w:jc w:val="both"/>
        <w:rPr>
          <w:rFonts w:ascii="Times New Roman" w:hAnsi="Times New Roman"/>
        </w:rPr>
      </w:pPr>
    </w:p>
    <w:p w:rsidR="000F0AA3" w:rsidRPr="00C53F0C" w:rsidRDefault="000F0AA3" w:rsidP="00B317D3">
      <w:pPr>
        <w:jc w:val="both"/>
        <w:rPr>
          <w:rFonts w:ascii="Times New Roman" w:hAnsi="Times New Roman"/>
        </w:rPr>
      </w:pPr>
      <w:r>
        <w:rPr>
          <w:rFonts w:ascii="Times New Roman" w:hAnsi="Times New Roman"/>
        </w:rPr>
        <w:t>Holloway, Immy and Stephanie Wheeler (1996</w:t>
      </w:r>
      <w:r w:rsidRPr="00B2431E">
        <w:rPr>
          <w:rFonts w:ascii="Times New Roman" w:hAnsi="Times New Roman"/>
          <w:i/>
        </w:rPr>
        <w:t>)</w:t>
      </w:r>
      <w:r w:rsidR="005C5EAB" w:rsidRPr="00B2431E">
        <w:rPr>
          <w:rFonts w:ascii="Times New Roman" w:hAnsi="Times New Roman"/>
          <w:i/>
        </w:rPr>
        <w:t>.</w:t>
      </w:r>
      <w:r w:rsidRPr="00B2431E">
        <w:rPr>
          <w:rFonts w:ascii="Times New Roman" w:hAnsi="Times New Roman"/>
          <w:i/>
        </w:rPr>
        <w:t xml:space="preserve"> Qualitative Research in Nursing.</w:t>
      </w:r>
      <w:r>
        <w:rPr>
          <w:rFonts w:ascii="Times New Roman" w:hAnsi="Times New Roman"/>
        </w:rPr>
        <w:t xml:space="preserve"> Malden: Blackwell Publishing. </w:t>
      </w:r>
    </w:p>
    <w:p w:rsidR="00B317D3" w:rsidRDefault="00B317D3" w:rsidP="00B317D3">
      <w:pPr>
        <w:jc w:val="both"/>
        <w:rPr>
          <w:rFonts w:ascii="Times New Roman" w:hAnsi="Times New Roman"/>
        </w:rPr>
      </w:pPr>
    </w:p>
    <w:p w:rsidR="000F0AA3" w:rsidRPr="00C53F0C" w:rsidRDefault="000F0AA3" w:rsidP="00B317D3">
      <w:pPr>
        <w:jc w:val="both"/>
        <w:rPr>
          <w:rFonts w:ascii="Times New Roman" w:hAnsi="Times New Roman"/>
        </w:rPr>
      </w:pPr>
      <w:r w:rsidRPr="00C53F0C">
        <w:rPr>
          <w:rFonts w:ascii="Times New Roman" w:hAnsi="Times New Roman"/>
        </w:rPr>
        <w:t>Kaya, Ayhan. (2001)</w:t>
      </w:r>
      <w:r w:rsidR="005C5EAB">
        <w:rPr>
          <w:rFonts w:ascii="Times New Roman" w:hAnsi="Times New Roman"/>
        </w:rPr>
        <w:t>.</w:t>
      </w:r>
      <w:r w:rsidRPr="00C53F0C">
        <w:rPr>
          <w:rFonts w:ascii="Times New Roman" w:hAnsi="Times New Roman"/>
        </w:rPr>
        <w:t xml:space="preserve"> </w:t>
      </w:r>
      <w:r w:rsidRPr="00B2431E">
        <w:rPr>
          <w:rFonts w:ascii="Times New Roman" w:hAnsi="Times New Roman"/>
          <w:i/>
        </w:rPr>
        <w:t>Sicher in Kreuzberg : Constructing Diasporas : Turkish Hip-hop Youth in Berlin.</w:t>
      </w:r>
      <w:r w:rsidRPr="00C53F0C">
        <w:rPr>
          <w:rFonts w:ascii="Times New Roman" w:hAnsi="Times New Roman"/>
        </w:rPr>
        <w:t xml:space="preserve"> [Bielefeld]: Transcript; Piscataway, NJ: Distributed in North America by Transaction Publishers. </w:t>
      </w:r>
    </w:p>
    <w:p w:rsidR="00B317D3" w:rsidRDefault="00B317D3" w:rsidP="00B317D3">
      <w:pPr>
        <w:jc w:val="both"/>
        <w:rPr>
          <w:rFonts w:ascii="Times New Roman" w:hAnsi="Times New Roman"/>
        </w:rPr>
      </w:pPr>
    </w:p>
    <w:p w:rsidR="000F0AA3" w:rsidRPr="00C53F0C" w:rsidRDefault="000F0AA3" w:rsidP="00B317D3">
      <w:pPr>
        <w:jc w:val="both"/>
        <w:rPr>
          <w:rFonts w:ascii="Times New Roman" w:hAnsi="Times New Roman"/>
        </w:rPr>
      </w:pPr>
      <w:r w:rsidRPr="00C53F0C">
        <w:rPr>
          <w:rFonts w:ascii="Times New Roman" w:hAnsi="Times New Roman"/>
        </w:rPr>
        <w:t>Kaya, Ayhan (2001b)</w:t>
      </w:r>
      <w:r w:rsidR="005C5EAB">
        <w:rPr>
          <w:rFonts w:ascii="Times New Roman" w:hAnsi="Times New Roman"/>
        </w:rPr>
        <w:t>.</w:t>
      </w:r>
      <w:r w:rsidRPr="00C53F0C">
        <w:rPr>
          <w:rFonts w:ascii="Times New Roman" w:hAnsi="Times New Roman"/>
        </w:rPr>
        <w:t xml:space="preserve"> “Rhizomatic Diasporic Space: Cultural Identity of the Berlin-Turkish Working-Class Youth”. German-Turkish Summer Institute 2000-2001 Working Paper No. 5/2001. The Border-Crossing Expansion of Spaces Between Germany and Turkey.</w:t>
      </w:r>
    </w:p>
    <w:p w:rsidR="00B317D3" w:rsidRDefault="00B317D3" w:rsidP="00B317D3">
      <w:pPr>
        <w:jc w:val="both"/>
        <w:rPr>
          <w:rFonts w:ascii="Times New Roman" w:hAnsi="Times New Roman"/>
        </w:rPr>
      </w:pPr>
    </w:p>
    <w:p w:rsidR="000F0AA3" w:rsidRPr="00C53F0C" w:rsidRDefault="000F0AA3" w:rsidP="00B317D3">
      <w:pPr>
        <w:jc w:val="both"/>
        <w:rPr>
          <w:rFonts w:ascii="Times New Roman" w:hAnsi="Times New Roman"/>
        </w:rPr>
      </w:pPr>
      <w:r w:rsidRPr="00C53F0C">
        <w:rPr>
          <w:rFonts w:ascii="Times New Roman" w:hAnsi="Times New Roman"/>
        </w:rPr>
        <w:t xml:space="preserve">Kosnick Kira (2007) </w:t>
      </w:r>
      <w:r w:rsidRPr="00B2431E">
        <w:rPr>
          <w:rFonts w:ascii="Times New Roman" w:hAnsi="Times New Roman"/>
          <w:i/>
        </w:rPr>
        <w:t>Migrant Media: Turkish Broadcasting and Multicultural Politics in Berlin.</w:t>
      </w:r>
      <w:r w:rsidRPr="00C53F0C">
        <w:rPr>
          <w:rFonts w:ascii="Times New Roman" w:hAnsi="Times New Roman"/>
        </w:rPr>
        <w:t xml:space="preserve"> Indiana: Indiana University Press. </w:t>
      </w:r>
    </w:p>
    <w:p w:rsidR="000F0AA3" w:rsidRPr="00C53F0C" w:rsidRDefault="000F0AA3" w:rsidP="00B317D3">
      <w:pPr>
        <w:jc w:val="both"/>
        <w:rPr>
          <w:rFonts w:ascii="Times New Roman" w:hAnsi="Times New Roman"/>
        </w:rPr>
      </w:pPr>
    </w:p>
    <w:p w:rsidR="005C5EAB" w:rsidRDefault="005C5EAB" w:rsidP="00B317D3">
      <w:pPr>
        <w:jc w:val="both"/>
        <w:outlineLvl w:val="0"/>
        <w:rPr>
          <w:rFonts w:ascii="Times New Roman" w:hAnsi="Times New Roman"/>
        </w:rPr>
      </w:pPr>
      <w:r>
        <w:rPr>
          <w:rFonts w:ascii="Times New Roman" w:hAnsi="Times New Roman"/>
        </w:rPr>
        <w:t>Martiniello, Marco and Jean-Michel La</w:t>
      </w:r>
      <w:r w:rsidR="00B2431E">
        <w:rPr>
          <w:rFonts w:ascii="Times New Roman" w:hAnsi="Times New Roman"/>
        </w:rPr>
        <w:t xml:space="preserve">fleur (2008). “Ethnic Minorities’Cultural and Artistic Practices as Forms of Political Expression: A Review of the Literature and a Theoretical Discussion on Music”. </w:t>
      </w:r>
      <w:r w:rsidR="00B2431E" w:rsidRPr="00B2431E">
        <w:rPr>
          <w:rFonts w:ascii="Times New Roman" w:hAnsi="Times New Roman"/>
          <w:i/>
        </w:rPr>
        <w:t>Journal of Ethnic and Migration Studies.</w:t>
      </w:r>
      <w:r w:rsidR="00B2431E">
        <w:rPr>
          <w:rFonts w:ascii="Times New Roman" w:hAnsi="Times New Roman"/>
        </w:rPr>
        <w:t xml:space="preserve"> 34(8).</w:t>
      </w:r>
    </w:p>
    <w:p w:rsidR="00B317D3" w:rsidRDefault="00B317D3" w:rsidP="00B317D3">
      <w:pPr>
        <w:jc w:val="both"/>
        <w:outlineLvl w:val="0"/>
        <w:rPr>
          <w:rFonts w:ascii="Times New Roman" w:hAnsi="Times New Roman"/>
        </w:rPr>
      </w:pPr>
    </w:p>
    <w:p w:rsidR="000F0AA3" w:rsidRDefault="000F0AA3" w:rsidP="00B317D3">
      <w:pPr>
        <w:jc w:val="both"/>
        <w:outlineLvl w:val="0"/>
        <w:rPr>
          <w:rFonts w:ascii="Times New Roman" w:hAnsi="Times New Roman"/>
        </w:rPr>
      </w:pPr>
      <w:r>
        <w:rPr>
          <w:rFonts w:ascii="Times New Roman" w:hAnsi="Times New Roman"/>
        </w:rPr>
        <w:t>Moya, Paola M.L and Michael R. Hames-Garcia (2002)</w:t>
      </w:r>
      <w:r w:rsidR="005C5EAB">
        <w:rPr>
          <w:rFonts w:ascii="Times New Roman" w:hAnsi="Times New Roman"/>
        </w:rPr>
        <w:t>.</w:t>
      </w:r>
      <w:r>
        <w:rPr>
          <w:rFonts w:ascii="Times New Roman" w:hAnsi="Times New Roman"/>
        </w:rPr>
        <w:t xml:space="preserve"> </w:t>
      </w:r>
      <w:r w:rsidRPr="00B2431E">
        <w:rPr>
          <w:rFonts w:ascii="Times New Roman" w:hAnsi="Times New Roman"/>
          <w:i/>
        </w:rPr>
        <w:t xml:space="preserve">Reclaiming Identity: Realist </w:t>
      </w:r>
      <w:r w:rsidR="008156D6">
        <w:rPr>
          <w:rFonts w:ascii="Times New Roman" w:hAnsi="Times New Roman"/>
          <w:i/>
        </w:rPr>
        <w:t>Theory and Predicament of Postm</w:t>
      </w:r>
      <w:r w:rsidRPr="00B2431E">
        <w:rPr>
          <w:rFonts w:ascii="Times New Roman" w:hAnsi="Times New Roman"/>
          <w:i/>
        </w:rPr>
        <w:t>odernism.</w:t>
      </w:r>
      <w:r>
        <w:rPr>
          <w:rFonts w:ascii="Times New Roman" w:hAnsi="Times New Roman"/>
        </w:rPr>
        <w:t xml:space="preserve"> Berkeley and Los Angeles: University of California Press. </w:t>
      </w:r>
    </w:p>
    <w:p w:rsidR="00B317D3" w:rsidRDefault="00B317D3" w:rsidP="00B317D3">
      <w:pPr>
        <w:jc w:val="both"/>
        <w:outlineLvl w:val="0"/>
        <w:rPr>
          <w:rFonts w:ascii="Times New Roman" w:hAnsi="Times New Roman"/>
        </w:rPr>
      </w:pPr>
    </w:p>
    <w:p w:rsidR="000F0AA3" w:rsidRPr="00C53F0C" w:rsidRDefault="000F0AA3" w:rsidP="00B317D3">
      <w:pPr>
        <w:jc w:val="both"/>
        <w:outlineLvl w:val="0"/>
        <w:rPr>
          <w:rFonts w:ascii="Times New Roman" w:hAnsi="Times New Roman"/>
        </w:rPr>
      </w:pPr>
      <w:r w:rsidRPr="00C53F0C">
        <w:rPr>
          <w:rFonts w:ascii="Times New Roman" w:hAnsi="Times New Roman"/>
        </w:rPr>
        <w:t>Spillman, Lyn</w:t>
      </w:r>
      <w:r w:rsidR="008156D6">
        <w:rPr>
          <w:rFonts w:ascii="Times New Roman" w:hAnsi="Times New Roman"/>
        </w:rPr>
        <w:t>, ed.</w:t>
      </w:r>
      <w:r w:rsidRPr="00C53F0C">
        <w:rPr>
          <w:rFonts w:ascii="Times New Roman" w:hAnsi="Times New Roman"/>
        </w:rPr>
        <w:t xml:space="preserve"> (2002)</w:t>
      </w:r>
      <w:r w:rsidR="005C5EAB">
        <w:rPr>
          <w:rFonts w:ascii="Times New Roman" w:hAnsi="Times New Roman"/>
        </w:rPr>
        <w:t>.</w:t>
      </w:r>
      <w:r w:rsidRPr="00C53F0C">
        <w:rPr>
          <w:rFonts w:ascii="Times New Roman" w:hAnsi="Times New Roman"/>
        </w:rPr>
        <w:t xml:space="preserve"> </w:t>
      </w:r>
      <w:r w:rsidRPr="00B2431E">
        <w:rPr>
          <w:rFonts w:ascii="Times New Roman" w:hAnsi="Times New Roman"/>
          <w:i/>
        </w:rPr>
        <w:t>Cultural Sociology</w:t>
      </w:r>
      <w:r w:rsidRPr="00C53F0C">
        <w:rPr>
          <w:rFonts w:ascii="Times New Roman" w:hAnsi="Times New Roman"/>
        </w:rPr>
        <w:t>. Oxford: Blackwell Publishers.</w:t>
      </w:r>
    </w:p>
    <w:p w:rsidR="000F0AA3" w:rsidRPr="00C53F0C" w:rsidRDefault="000F0AA3" w:rsidP="00B317D3">
      <w:pPr>
        <w:jc w:val="both"/>
        <w:rPr>
          <w:rFonts w:ascii="Times New Roman" w:hAnsi="Times New Roman"/>
        </w:rPr>
      </w:pPr>
    </w:p>
    <w:p w:rsidR="000F0AA3" w:rsidRPr="00C53F0C" w:rsidRDefault="000F0AA3" w:rsidP="00B317D3">
      <w:pPr>
        <w:jc w:val="both"/>
        <w:rPr>
          <w:rFonts w:ascii="Times New Roman" w:hAnsi="Times New Roman"/>
        </w:rPr>
      </w:pPr>
    </w:p>
    <w:p w:rsidR="000F0AA3" w:rsidRPr="00C53F0C" w:rsidRDefault="000F0AA3" w:rsidP="00B317D3">
      <w:pPr>
        <w:jc w:val="both"/>
        <w:rPr>
          <w:rFonts w:ascii="Times New Roman" w:hAnsi="Times New Roman"/>
        </w:rPr>
      </w:pPr>
    </w:p>
    <w:p w:rsidR="000F0AA3" w:rsidRPr="00C53F0C" w:rsidRDefault="000F0AA3" w:rsidP="00B317D3">
      <w:pPr>
        <w:jc w:val="both"/>
        <w:rPr>
          <w:rFonts w:ascii="Times New Roman" w:hAnsi="Times New Roman"/>
        </w:rPr>
      </w:pPr>
    </w:p>
    <w:p w:rsidR="000F0AA3" w:rsidRPr="00C53F0C" w:rsidRDefault="000F0AA3" w:rsidP="00B317D3">
      <w:pPr>
        <w:jc w:val="both"/>
        <w:rPr>
          <w:rFonts w:ascii="Times New Roman" w:hAnsi="Times New Roman"/>
        </w:rPr>
      </w:pPr>
    </w:p>
    <w:p w:rsidR="008E3E20" w:rsidRPr="000F0AA3" w:rsidRDefault="008E3E20" w:rsidP="00B317D3">
      <w:pPr>
        <w:jc w:val="both"/>
        <w:rPr>
          <w:rFonts w:ascii="Times New Roman" w:hAnsi="Times New Roman"/>
        </w:rPr>
      </w:pPr>
    </w:p>
    <w:sectPr w:rsidR="008E3E20" w:rsidRPr="000F0AA3" w:rsidSect="00DA15FA">
      <w:footerReference w:type="even" r:id="rId6"/>
      <w:footerReference w:type="default" r:id="rId7"/>
      <w:pgSz w:w="11900" w:h="16840"/>
      <w:pgMar w:top="1440" w:right="1800" w:bottom="1440" w:left="1800" w:header="708" w:footer="708" w:gutter="0"/>
      <w:cols w:space="708"/>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4AB" w:rsidRDefault="004024AB" w:rsidP="001E37C1">
      <w:r>
        <w:separator/>
      </w:r>
    </w:p>
  </w:endnote>
  <w:endnote w:type="continuationSeparator" w:id="0">
    <w:p w:rsidR="004024AB" w:rsidRDefault="004024AB" w:rsidP="001E37C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AB" w:rsidRDefault="00861CF6" w:rsidP="004024AB">
    <w:pPr>
      <w:pStyle w:val="Footer"/>
      <w:framePr w:wrap="around" w:vAnchor="text" w:hAnchor="margin" w:xAlign="right" w:y="1"/>
      <w:rPr>
        <w:rStyle w:val="PageNumber"/>
      </w:rPr>
    </w:pPr>
    <w:r>
      <w:rPr>
        <w:rStyle w:val="PageNumber"/>
      </w:rPr>
      <w:fldChar w:fldCharType="begin"/>
    </w:r>
    <w:r w:rsidR="004024AB">
      <w:rPr>
        <w:rStyle w:val="PageNumber"/>
      </w:rPr>
      <w:instrText xml:space="preserve">PAGE  </w:instrText>
    </w:r>
    <w:r>
      <w:rPr>
        <w:rStyle w:val="PageNumber"/>
      </w:rPr>
      <w:fldChar w:fldCharType="end"/>
    </w:r>
  </w:p>
  <w:p w:rsidR="004024AB" w:rsidRDefault="004024AB" w:rsidP="00DA15F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AB" w:rsidRDefault="00861CF6" w:rsidP="004024AB">
    <w:pPr>
      <w:pStyle w:val="Footer"/>
      <w:framePr w:wrap="around" w:vAnchor="text" w:hAnchor="margin" w:xAlign="right" w:y="1"/>
      <w:rPr>
        <w:rStyle w:val="PageNumber"/>
      </w:rPr>
    </w:pPr>
    <w:r>
      <w:rPr>
        <w:rStyle w:val="PageNumber"/>
      </w:rPr>
      <w:fldChar w:fldCharType="begin"/>
    </w:r>
    <w:r w:rsidR="004024AB">
      <w:rPr>
        <w:rStyle w:val="PageNumber"/>
      </w:rPr>
      <w:instrText xml:space="preserve">PAGE  </w:instrText>
    </w:r>
    <w:r>
      <w:rPr>
        <w:rStyle w:val="PageNumber"/>
      </w:rPr>
      <w:fldChar w:fldCharType="separate"/>
    </w:r>
    <w:r w:rsidR="00F26E74">
      <w:rPr>
        <w:rStyle w:val="PageNumber"/>
        <w:noProof/>
      </w:rPr>
      <w:t>12</w:t>
    </w:r>
    <w:r>
      <w:rPr>
        <w:rStyle w:val="PageNumber"/>
      </w:rPr>
      <w:fldChar w:fldCharType="end"/>
    </w:r>
  </w:p>
  <w:p w:rsidR="004024AB" w:rsidRDefault="004024AB" w:rsidP="00DA15FA">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4AB" w:rsidRDefault="004024AB" w:rsidP="001E37C1">
      <w:r>
        <w:separator/>
      </w:r>
    </w:p>
  </w:footnote>
  <w:footnote w:type="continuationSeparator" w:id="0">
    <w:p w:rsidR="004024AB" w:rsidRDefault="004024AB" w:rsidP="001E37C1">
      <w:r>
        <w:continuationSeparator/>
      </w:r>
    </w:p>
  </w:footnote>
  <w:footnote w:id="1">
    <w:p w:rsidR="004024AB" w:rsidRDefault="004024AB" w:rsidP="000F0AA3">
      <w:pPr>
        <w:pStyle w:val="Heading1"/>
      </w:pPr>
      <w:r w:rsidRPr="00C53F0C">
        <w:rPr>
          <w:rStyle w:val="FootnoteReference"/>
          <w:b w:val="0"/>
          <w:sz w:val="20"/>
        </w:rPr>
        <w:footnoteRef/>
      </w:r>
      <w:r>
        <w:t xml:space="preserve"> </w:t>
      </w:r>
      <w:r w:rsidRPr="009162AF">
        <w:rPr>
          <w:b w:val="0"/>
          <w:sz w:val="20"/>
          <w:szCs w:val="20"/>
        </w:rPr>
        <w:t>Here I am refering to Jeffrey C. Alexander´s article which is titled</w:t>
      </w:r>
      <w:r>
        <w:rPr>
          <w:b w:val="0"/>
          <w:sz w:val="20"/>
          <w:szCs w:val="20"/>
        </w:rPr>
        <w:t xml:space="preserve"> </w:t>
      </w:r>
      <w:r w:rsidRPr="00D82FE3">
        <w:rPr>
          <w:b w:val="0"/>
          <w:sz w:val="20"/>
          <w:szCs w:val="20"/>
          <w:lang w:val="en-US"/>
        </w:rPr>
        <w:t>“</w:t>
      </w:r>
      <w:r w:rsidRPr="009162AF">
        <w:rPr>
          <w:b w:val="0"/>
          <w:sz w:val="20"/>
          <w:szCs w:val="20"/>
        </w:rPr>
        <w:t xml:space="preserve">Analytic debates: Understanding the relative </w:t>
      </w:r>
      <w:r>
        <w:rPr>
          <w:b w:val="0"/>
          <w:sz w:val="20"/>
          <w:szCs w:val="20"/>
        </w:rPr>
        <w:t>autonomy of culture</w:t>
      </w:r>
      <w:r w:rsidRPr="00D82FE3">
        <w:rPr>
          <w:b w:val="0"/>
          <w:sz w:val="20"/>
          <w:szCs w:val="20"/>
          <w:lang w:val="en-US"/>
        </w:rPr>
        <w:t>”</w:t>
      </w:r>
      <w:r w:rsidRPr="009162AF">
        <w:rPr>
          <w:b w:val="0"/>
          <w:sz w:val="20"/>
          <w:szCs w:val="20"/>
        </w:rPr>
        <w:t xml:space="preserve"> in</w:t>
      </w:r>
      <w:r>
        <w:t xml:space="preserve"> </w:t>
      </w:r>
      <w:r w:rsidRPr="009162AF">
        <w:rPr>
          <w:b w:val="0"/>
          <w:sz w:val="20"/>
          <w:szCs w:val="20"/>
        </w:rPr>
        <w:t>Alexander, Jeffrey C and Steven Seidman.</w:t>
      </w:r>
      <w:r>
        <w:rPr>
          <w:b w:val="0"/>
          <w:sz w:val="20"/>
          <w:szCs w:val="20"/>
        </w:rPr>
        <w:t xml:space="preserve"> </w:t>
      </w:r>
      <w:r w:rsidRPr="009162AF">
        <w:rPr>
          <w:b w:val="0"/>
          <w:sz w:val="20"/>
          <w:szCs w:val="20"/>
        </w:rPr>
        <w:t>(1990</w:t>
      </w:r>
      <w:r w:rsidRPr="009162AF">
        <w:rPr>
          <w:b w:val="0"/>
          <w:i/>
          <w:sz w:val="20"/>
          <w:szCs w:val="20"/>
        </w:rPr>
        <w:t>) Culture and Society: Contemporary Debates</w:t>
      </w:r>
      <w:r w:rsidRPr="009162AF">
        <w:rPr>
          <w:b w:val="0"/>
          <w:sz w:val="20"/>
          <w:szCs w:val="20"/>
        </w:rPr>
        <w:t>. Cambridge: Cambridge University Press</w:t>
      </w:r>
      <w:r>
        <w:rPr>
          <w:b w:val="0"/>
          <w:sz w:val="24"/>
          <w:szCs w:val="24"/>
        </w:rPr>
        <w:t>.</w:t>
      </w:r>
    </w:p>
    <w:p w:rsidR="004024AB" w:rsidRDefault="004024AB" w:rsidP="000F0AA3">
      <w:pPr>
        <w:pStyle w:val="Heading1"/>
      </w:pPr>
    </w:p>
  </w:footnote>
  <w:footnote w:id="2">
    <w:p w:rsidR="004024AB" w:rsidRPr="000F0AA3" w:rsidRDefault="004024AB" w:rsidP="000F0AA3">
      <w:pPr>
        <w:pStyle w:val="FootnoteText"/>
        <w:rPr>
          <w:rFonts w:ascii="Times New Roman" w:hAnsi="Times New Roman"/>
          <w:sz w:val="20"/>
        </w:rPr>
      </w:pPr>
      <w:r w:rsidRPr="006C1ADD">
        <w:rPr>
          <w:rStyle w:val="FootnoteReference"/>
          <w:sz w:val="20"/>
        </w:rPr>
        <w:footnoteRef/>
      </w:r>
      <w:r>
        <w:rPr>
          <w:rFonts w:ascii="Times New Roman" w:hAnsi="Times New Roman"/>
          <w:sz w:val="20"/>
        </w:rPr>
        <w:t xml:space="preserve"> </w:t>
      </w:r>
      <w:r w:rsidRPr="006C1ADD">
        <w:rPr>
          <w:sz w:val="20"/>
          <w:lang w:val="tr-TR"/>
        </w:rPr>
        <w:t>The author wr</w:t>
      </w:r>
      <w:r w:rsidRPr="006C1ADD">
        <w:rPr>
          <w:sz w:val="20"/>
        </w:rPr>
        <w:t>ites a doctoral dissertation about the role of Turkish and Kurdish music into the lives of emigrants from Turkey in Germany. Much of the recent literature on the musical fields are ethnographic works, influenced by constructivist theories, thus it seems interesting for the author to compare th</w:t>
      </w:r>
      <w:r w:rsidRPr="006C1ADD">
        <w:rPr>
          <w:rFonts w:ascii="Times New Roman" w:hAnsi="Times New Roman"/>
          <w:sz w:val="20"/>
        </w:rPr>
        <w:t>is</w:t>
      </w:r>
      <w:r w:rsidRPr="006C1ADD">
        <w:rPr>
          <w:sz w:val="20"/>
        </w:rPr>
        <w:t xml:space="preserve"> literature with the discourse of cultural sociology.</w:t>
      </w:r>
    </w:p>
  </w:footnote>
  <w:footnote w:id="3">
    <w:p w:rsidR="004024AB" w:rsidRDefault="004024AB" w:rsidP="000F0AA3">
      <w:pPr>
        <w:pStyle w:val="FootnoteText"/>
      </w:pPr>
      <w:r>
        <w:rPr>
          <w:rStyle w:val="FootnoteReference"/>
        </w:rPr>
        <w:footnoteRef/>
      </w:r>
      <w:r>
        <w:t xml:space="preserve"> </w:t>
      </w:r>
      <w:r w:rsidRPr="000A70A3">
        <w:rPr>
          <w:sz w:val="20"/>
          <w:lang w:val="cs-CZ"/>
        </w:rPr>
        <w:t xml:space="preserve">Jeffrey Alexander, here also gives an example of </w:t>
      </w:r>
      <w:r w:rsidRPr="000A70A3">
        <w:rPr>
          <w:sz w:val="20"/>
        </w:rPr>
        <w:t xml:space="preserve">“Paul Willis’s ethnographic study of working-class school kids” </w:t>
      </w:r>
      <w:r w:rsidRPr="000A70A3">
        <w:rPr>
          <w:sz w:val="20"/>
          <w:lang w:val="cs-CZ"/>
        </w:rPr>
        <w:t>(Alexander 2003: 17).</w:t>
      </w:r>
    </w:p>
  </w:footnote>
  <w:footnote w:id="4">
    <w:p w:rsidR="004024AB" w:rsidRPr="00AE7C5D" w:rsidRDefault="004024AB">
      <w:pPr>
        <w:pStyle w:val="FootnoteText"/>
        <w:rPr>
          <w:rFonts w:ascii="Times New Roman" w:hAnsi="Times New Roman"/>
          <w:sz w:val="20"/>
        </w:rPr>
      </w:pPr>
      <w:r w:rsidRPr="00AE7C5D">
        <w:rPr>
          <w:rStyle w:val="FootnoteReference"/>
          <w:sz w:val="20"/>
        </w:rPr>
        <w:footnoteRef/>
      </w:r>
      <w:r w:rsidRPr="00AE7C5D">
        <w:rPr>
          <w:sz w:val="20"/>
        </w:rPr>
        <w:t xml:space="preserve"> </w:t>
      </w:r>
      <w:r w:rsidRPr="00AE7C5D">
        <w:rPr>
          <w:rFonts w:ascii="Times New Roman" w:hAnsi="Times New Roman"/>
          <w:sz w:val="20"/>
        </w:rPr>
        <w:t>I am referring to the chapter titled “The Strong Program in Cultural Sociology”  (Alexander 2003) and the sub–title “Weak Programs in Contemporary Cultural Theory”, p.17.</w:t>
      </w:r>
    </w:p>
  </w:footnote>
  <w:footnote w:id="5">
    <w:p w:rsidR="004024AB" w:rsidRPr="0068252F" w:rsidRDefault="004024AB" w:rsidP="000F0AA3">
      <w:pPr>
        <w:pStyle w:val="FootnoteText"/>
        <w:rPr>
          <w:rFonts w:ascii="Times New Roman" w:hAnsi="Times New Roman"/>
        </w:rPr>
      </w:pPr>
      <w:r>
        <w:rPr>
          <w:rStyle w:val="FootnoteReference"/>
        </w:rPr>
        <w:footnoteRef/>
      </w:r>
      <w:r>
        <w:t xml:space="preserve"> </w:t>
      </w:r>
      <w:r w:rsidRPr="00D936AF">
        <w:rPr>
          <w:sz w:val="20"/>
        </w:rPr>
        <w:t xml:space="preserve">Alexander (2003) notes that “neo-Gramscian theorizing exhibits the telltale weak program ambiguities over the role of culture”…(page: 17) </w:t>
      </w:r>
    </w:p>
    <w:p w:rsidR="004024AB" w:rsidRPr="00AE7C5D" w:rsidRDefault="004024AB" w:rsidP="000F0AA3">
      <w:pPr>
        <w:pStyle w:val="FootnoteText"/>
        <w:rPr>
          <w:rFonts w:ascii="Times New Roman" w:hAnsi="Times New Roman"/>
        </w:rPr>
      </w:pPr>
    </w:p>
  </w:footnote>
  <w:footnote w:id="6">
    <w:p w:rsidR="004024AB" w:rsidRPr="00852AD1" w:rsidRDefault="004024AB" w:rsidP="000F0AA3">
      <w:pPr>
        <w:pStyle w:val="FootnoteText"/>
        <w:rPr>
          <w:rFonts w:ascii="Times New Roman" w:hAnsi="Times New Roman"/>
        </w:rPr>
      </w:pPr>
      <w:r>
        <w:rPr>
          <w:rStyle w:val="FootnoteReference"/>
        </w:rPr>
        <w:footnoteRef/>
      </w:r>
      <w:r>
        <w:t xml:space="preserve"> </w:t>
      </w:r>
      <w:r>
        <w:rPr>
          <w:sz w:val="20"/>
        </w:rPr>
        <w:t xml:space="preserve">See: Brubaker, </w:t>
      </w:r>
      <w:r w:rsidRPr="00D936AF">
        <w:rPr>
          <w:sz w:val="20"/>
        </w:rPr>
        <w:t xml:space="preserve">Rogers (2004) </w:t>
      </w:r>
      <w:r w:rsidRPr="00D936AF">
        <w:rPr>
          <w:i/>
          <w:sz w:val="20"/>
        </w:rPr>
        <w:t>Ethnicity without Groups</w:t>
      </w:r>
      <w:r w:rsidRPr="00D936AF">
        <w:rPr>
          <w:sz w:val="20"/>
        </w:rPr>
        <w:t>. Cambridge, Mass. : Harvard University Press, 2004. p.31.</w:t>
      </w:r>
    </w:p>
  </w:footnote>
  <w:footnote w:id="7">
    <w:p w:rsidR="004024AB" w:rsidRPr="00E554E7" w:rsidRDefault="004024AB">
      <w:pPr>
        <w:pStyle w:val="FootnoteText"/>
        <w:rPr>
          <w:rFonts w:ascii="Times New Roman" w:hAnsi="Times New Roman"/>
          <w:sz w:val="20"/>
          <w:lang w:val="cs-CZ"/>
        </w:rPr>
      </w:pPr>
      <w:r w:rsidRPr="00E554E7">
        <w:rPr>
          <w:rStyle w:val="FootnoteReference"/>
          <w:sz w:val="20"/>
        </w:rPr>
        <w:footnoteRef/>
      </w:r>
      <w:r w:rsidRPr="00E554E7">
        <w:rPr>
          <w:sz w:val="20"/>
        </w:rPr>
        <w:t xml:space="preserve"> The importance of studying symbols in ethnograph</w:t>
      </w:r>
      <w:r w:rsidRPr="00E554E7">
        <w:rPr>
          <w:rFonts w:ascii="Times New Roman" w:hAnsi="Times New Roman"/>
          <w:sz w:val="20"/>
        </w:rPr>
        <w:t xml:space="preserve">y </w:t>
      </w:r>
      <w:r w:rsidRPr="00E554E7">
        <w:rPr>
          <w:sz w:val="20"/>
        </w:rPr>
        <w:t xml:space="preserve">is discussed below within the framework of </w:t>
      </w:r>
      <w:r w:rsidRPr="00E554E7">
        <w:rPr>
          <w:rFonts w:ascii="Times New Roman" w:hAnsi="Times New Roman"/>
          <w:sz w:val="20"/>
        </w:rPr>
        <w:t>“</w:t>
      </w:r>
      <w:r w:rsidRPr="00E554E7">
        <w:rPr>
          <w:sz w:val="20"/>
        </w:rPr>
        <w:t>denotation</w:t>
      </w:r>
      <w:r w:rsidRPr="00E554E7">
        <w:rPr>
          <w:rFonts w:ascii="Times New Roman" w:hAnsi="Times New Roman"/>
          <w:sz w:val="20"/>
        </w:rPr>
        <w:t>”</w:t>
      </w:r>
      <w:r w:rsidRPr="00E554E7">
        <w:rPr>
          <w:sz w:val="20"/>
        </w:rPr>
        <w:t xml:space="preserve"> and </w:t>
      </w:r>
      <w:r w:rsidRPr="00E554E7">
        <w:rPr>
          <w:rFonts w:ascii="Times New Roman" w:hAnsi="Times New Roman"/>
          <w:sz w:val="20"/>
        </w:rPr>
        <w:t>“</w:t>
      </w:r>
      <w:r w:rsidRPr="00E554E7">
        <w:rPr>
          <w:sz w:val="20"/>
        </w:rPr>
        <w:t>connotation</w:t>
      </w:r>
      <w:r w:rsidRPr="00E554E7">
        <w:rPr>
          <w:rFonts w:ascii="Times New Roman" w:hAnsi="Times New Roman"/>
          <w:sz w:val="20"/>
        </w:rPr>
        <w:t>”</w:t>
      </w:r>
      <w:r w:rsidRPr="00E554E7">
        <w:rPr>
          <w:sz w:val="20"/>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0F0AA3"/>
    <w:rsid w:val="00006AAE"/>
    <w:rsid w:val="000246C8"/>
    <w:rsid w:val="000324AD"/>
    <w:rsid w:val="00033F54"/>
    <w:rsid w:val="000F0AA3"/>
    <w:rsid w:val="00112486"/>
    <w:rsid w:val="00120595"/>
    <w:rsid w:val="0016506D"/>
    <w:rsid w:val="00181D84"/>
    <w:rsid w:val="00191E68"/>
    <w:rsid w:val="001E37C1"/>
    <w:rsid w:val="001F36E5"/>
    <w:rsid w:val="00290B14"/>
    <w:rsid w:val="002E68F5"/>
    <w:rsid w:val="002F1115"/>
    <w:rsid w:val="002F5CDE"/>
    <w:rsid w:val="002F7280"/>
    <w:rsid w:val="00324A14"/>
    <w:rsid w:val="003A3FBA"/>
    <w:rsid w:val="003E5673"/>
    <w:rsid w:val="003F425C"/>
    <w:rsid w:val="004024AB"/>
    <w:rsid w:val="0041782A"/>
    <w:rsid w:val="004214F7"/>
    <w:rsid w:val="00466F45"/>
    <w:rsid w:val="004B48C4"/>
    <w:rsid w:val="004C5686"/>
    <w:rsid w:val="004F39A6"/>
    <w:rsid w:val="004F58E9"/>
    <w:rsid w:val="0054231F"/>
    <w:rsid w:val="005750BE"/>
    <w:rsid w:val="005C372F"/>
    <w:rsid w:val="005C5094"/>
    <w:rsid w:val="005C5EAB"/>
    <w:rsid w:val="005D3543"/>
    <w:rsid w:val="005D6F63"/>
    <w:rsid w:val="00605218"/>
    <w:rsid w:val="00607DAE"/>
    <w:rsid w:val="00617A49"/>
    <w:rsid w:val="00680807"/>
    <w:rsid w:val="00680E17"/>
    <w:rsid w:val="0068493A"/>
    <w:rsid w:val="006C0DB9"/>
    <w:rsid w:val="00701D36"/>
    <w:rsid w:val="0074556B"/>
    <w:rsid w:val="0075760E"/>
    <w:rsid w:val="007A484C"/>
    <w:rsid w:val="007D5893"/>
    <w:rsid w:val="007E300D"/>
    <w:rsid w:val="00806F79"/>
    <w:rsid w:val="008156D6"/>
    <w:rsid w:val="00852AD1"/>
    <w:rsid w:val="00861CF6"/>
    <w:rsid w:val="008E3E20"/>
    <w:rsid w:val="00913ADD"/>
    <w:rsid w:val="0096023E"/>
    <w:rsid w:val="0097406C"/>
    <w:rsid w:val="009946E9"/>
    <w:rsid w:val="009951C0"/>
    <w:rsid w:val="009E0A96"/>
    <w:rsid w:val="00A04433"/>
    <w:rsid w:val="00A10599"/>
    <w:rsid w:val="00A33267"/>
    <w:rsid w:val="00A87A0C"/>
    <w:rsid w:val="00A9318A"/>
    <w:rsid w:val="00A95D1E"/>
    <w:rsid w:val="00AE2296"/>
    <w:rsid w:val="00AE7C5D"/>
    <w:rsid w:val="00B2431E"/>
    <w:rsid w:val="00B317D3"/>
    <w:rsid w:val="00B512D3"/>
    <w:rsid w:val="00B52A9E"/>
    <w:rsid w:val="00B80437"/>
    <w:rsid w:val="00BB3668"/>
    <w:rsid w:val="00C13B10"/>
    <w:rsid w:val="00C16DE4"/>
    <w:rsid w:val="00C21887"/>
    <w:rsid w:val="00C2610B"/>
    <w:rsid w:val="00C340CE"/>
    <w:rsid w:val="00C508BE"/>
    <w:rsid w:val="00C61A62"/>
    <w:rsid w:val="00CB08AD"/>
    <w:rsid w:val="00D274CA"/>
    <w:rsid w:val="00DA15FA"/>
    <w:rsid w:val="00DA454D"/>
    <w:rsid w:val="00E07523"/>
    <w:rsid w:val="00E554E7"/>
    <w:rsid w:val="00E9783F"/>
    <w:rsid w:val="00EA11E9"/>
    <w:rsid w:val="00EA35B7"/>
    <w:rsid w:val="00EB0DBA"/>
    <w:rsid w:val="00EE6600"/>
    <w:rsid w:val="00F26E74"/>
    <w:rsid w:val="00F34D63"/>
    <w:rsid w:val="00F6309C"/>
    <w:rsid w:val="00F8071D"/>
    <w:rsid w:val="00F90CEF"/>
    <w:rsid w:val="00FE3DF8"/>
    <w:rsid w:val="00FF3965"/>
  </w:rsids>
  <m:mathPr>
    <m:mathFont m:val="Times New Roman Bold"/>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AA3"/>
    <w:rPr>
      <w:rFonts w:ascii="Cambria" w:eastAsia="Cambria" w:hAnsi="Cambria" w:cs="Times New Roman"/>
    </w:rPr>
  </w:style>
  <w:style w:type="paragraph" w:styleId="Heading1">
    <w:name w:val="heading 1"/>
    <w:basedOn w:val="Normal"/>
    <w:link w:val="Heading1Char"/>
    <w:uiPriority w:val="99"/>
    <w:qFormat/>
    <w:rsid w:val="000F0AA3"/>
    <w:pPr>
      <w:spacing w:before="100" w:beforeAutospacing="1" w:after="100" w:afterAutospacing="1"/>
      <w:outlineLvl w:val="0"/>
    </w:pPr>
    <w:rPr>
      <w:rFonts w:ascii="Times New Roman" w:eastAsia="Times New Roman" w:hAnsi="Times New Roman"/>
      <w:b/>
      <w:bCs/>
      <w:kern w:val="36"/>
      <w:sz w:val="48"/>
      <w:szCs w:val="48"/>
      <w:lang w:val="cs-CZ" w:eastAsia="cs-CZ"/>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0F0AA3"/>
    <w:rPr>
      <w:rFonts w:ascii="Times New Roman" w:eastAsia="Times New Roman" w:hAnsi="Times New Roman" w:cs="Times New Roman"/>
      <w:b/>
      <w:bCs/>
      <w:kern w:val="36"/>
      <w:sz w:val="48"/>
      <w:szCs w:val="48"/>
      <w:lang w:val="cs-CZ" w:eastAsia="cs-CZ"/>
    </w:rPr>
  </w:style>
  <w:style w:type="paragraph" w:styleId="FootnoteText">
    <w:name w:val="footnote text"/>
    <w:basedOn w:val="Normal"/>
    <w:link w:val="FootnoteTextChar"/>
    <w:uiPriority w:val="99"/>
    <w:semiHidden/>
    <w:rsid w:val="000F0AA3"/>
  </w:style>
  <w:style w:type="character" w:customStyle="1" w:styleId="FootnoteTextChar">
    <w:name w:val="Footnote Text Char"/>
    <w:basedOn w:val="DefaultParagraphFont"/>
    <w:link w:val="FootnoteText"/>
    <w:uiPriority w:val="99"/>
    <w:semiHidden/>
    <w:rsid w:val="000F0AA3"/>
    <w:rPr>
      <w:rFonts w:ascii="Cambria" w:eastAsia="Cambria" w:hAnsi="Cambria" w:cs="Times New Roman"/>
    </w:rPr>
  </w:style>
  <w:style w:type="character" w:styleId="FootnoteReference">
    <w:name w:val="footnote reference"/>
    <w:basedOn w:val="DefaultParagraphFont"/>
    <w:uiPriority w:val="99"/>
    <w:semiHidden/>
    <w:rsid w:val="000F0AA3"/>
    <w:rPr>
      <w:rFonts w:cs="Times New Roman"/>
      <w:vertAlign w:val="superscript"/>
    </w:rPr>
  </w:style>
  <w:style w:type="paragraph" w:styleId="Footer">
    <w:name w:val="footer"/>
    <w:basedOn w:val="Normal"/>
    <w:link w:val="FooterChar"/>
    <w:uiPriority w:val="99"/>
    <w:semiHidden/>
    <w:unhideWhenUsed/>
    <w:rsid w:val="00DA15FA"/>
    <w:pPr>
      <w:tabs>
        <w:tab w:val="center" w:pos="4320"/>
        <w:tab w:val="right" w:pos="8640"/>
      </w:tabs>
    </w:pPr>
  </w:style>
  <w:style w:type="character" w:customStyle="1" w:styleId="FooterChar">
    <w:name w:val="Footer Char"/>
    <w:basedOn w:val="DefaultParagraphFont"/>
    <w:link w:val="Footer"/>
    <w:uiPriority w:val="99"/>
    <w:semiHidden/>
    <w:rsid w:val="00DA15FA"/>
    <w:rPr>
      <w:rFonts w:ascii="Cambria" w:eastAsia="Cambria" w:hAnsi="Cambria" w:cs="Times New Roman"/>
    </w:rPr>
  </w:style>
  <w:style w:type="character" w:styleId="PageNumber">
    <w:name w:val="page number"/>
    <w:basedOn w:val="DefaultParagraphFont"/>
    <w:uiPriority w:val="99"/>
    <w:semiHidden/>
    <w:unhideWhenUsed/>
    <w:rsid w:val="00DA15F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3108</Words>
  <Characters>17720</Characters>
  <Application>Microsoft Macintosh Word</Application>
  <DocSecurity>0</DocSecurity>
  <Lines>147</Lines>
  <Paragraphs>35</Paragraphs>
  <ScaleCrop>false</ScaleCrop>
  <Company/>
  <LinksUpToDate>false</LinksUpToDate>
  <CharactersWithSpaces>21761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Turunz</dc:creator>
  <cp:keywords/>
  <cp:lastModifiedBy>Ali Turunz</cp:lastModifiedBy>
  <cp:revision>3</cp:revision>
  <dcterms:created xsi:type="dcterms:W3CDTF">2011-12-09T12:18:00Z</dcterms:created>
  <dcterms:modified xsi:type="dcterms:W3CDTF">2011-12-09T12:19:00Z</dcterms:modified>
</cp:coreProperties>
</file>