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C6" w:rsidRDefault="000F13AF" w:rsidP="000F13AF">
      <w:r>
        <w:t>Publikace se zabývá právní úpravou umění na vnitrostátní i mezinárodní úrovni. V první části jsou rozebrána obecná témata jako kulturní politika a ty aspekty autorského práva, které jsou pro umění relevantní. V druhé části jsou pojednány ty vybrané umělecké oblasti, které nejsou zatím z právního hlediska dosud dostatečně uchopeny. Cílem publikace je představit novou právní oblast, které dosud nebyla v českém kontextu věnována dostatečná pozornost navzdory rostoucí poptávce z praxe.</w:t>
      </w:r>
      <w:bookmarkStart w:id="0" w:name="_GoBack"/>
      <w:bookmarkEnd w:id="0"/>
    </w:p>
    <w:sectPr w:rsidR="0039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AF"/>
    <w:rsid w:val="000F13AF"/>
    <w:rsid w:val="003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8DB77-1BFF-42C0-8109-928D1D2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2</cp:revision>
  <dcterms:created xsi:type="dcterms:W3CDTF">2017-09-06T06:14:00Z</dcterms:created>
  <dcterms:modified xsi:type="dcterms:W3CDTF">2017-09-06T06:14:00Z</dcterms:modified>
</cp:coreProperties>
</file>