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AC" w:rsidRDefault="001D7C29" w:rsidP="001D7C29">
      <w:r>
        <w:t>Publikace je učební pomůckou kurzu Obchodní právo II. Jde o sbírku příkladů, které mohou být se studenty řešeny na seminářích. Publikace je dimenzována tak, aby na magisterské úrovni pokryla všechna podstatná témata práva obchodních korporací. Slouží také jako pomůcka při přípravě studentů k postupové zkoušce z Obchodního práva.</w:t>
      </w:r>
      <w:bookmarkStart w:id="0" w:name="_GoBack"/>
      <w:bookmarkEnd w:id="0"/>
    </w:p>
    <w:sectPr w:rsidR="0026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29"/>
    <w:rsid w:val="001D7C29"/>
    <w:rsid w:val="00264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DE0D-3F12-4EA9-89E6-FB273BD1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284</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Maťašová</dc:creator>
  <cp:keywords/>
  <dc:description/>
  <cp:lastModifiedBy>Zdeňka Maťašová</cp:lastModifiedBy>
  <cp:revision>1</cp:revision>
  <dcterms:created xsi:type="dcterms:W3CDTF">2018-09-07T10:38:00Z</dcterms:created>
  <dcterms:modified xsi:type="dcterms:W3CDTF">2018-09-07T10:39:00Z</dcterms:modified>
</cp:coreProperties>
</file>