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04" w:rsidRDefault="00E56531">
      <w:r>
        <w:t>Tento komentář obsahuje především případy, které jsou probírány v prvním semestru výuky předmětu Právo Evropské unie na Právnické fakultě Masarykovy univerzity. Jde o ty nejvýznamnější případy řešené Soudním dvorem Evropské unie za více než 60 let jeho existence, které zásadním způsobem přispěly k formování nejdříve Evropského společenství, nyní i Evropské unie a jejich právního řádu. Případy, které byly do tohoto díla zařazeny, tak představují to nejlepší ze zlatého fondu judikatury této instituce.</w:t>
      </w:r>
      <w:bookmarkStart w:id="0" w:name="_GoBack"/>
      <w:bookmarkEnd w:id="0"/>
    </w:p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31"/>
    <w:rsid w:val="00E27604"/>
    <w:rsid w:val="00E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3524-01F4-40A2-A3B4-277CA73E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2021-03-11T10:39:00Z</dcterms:created>
  <dcterms:modified xsi:type="dcterms:W3CDTF">2021-03-11T10:46:00Z</dcterms:modified>
</cp:coreProperties>
</file>