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604" w:rsidRDefault="00791870">
      <w:r>
        <w:t xml:space="preserve">Účelem publikace, a jejího již 2. vydání, je zachytit obsah tzv. zvláštní části správního práva (někdy označované též jako správní </w:t>
      </w:r>
      <w:r>
        <w:br/>
        <w:t>právo hmotné), a to prostřednictvím otázek, úkolů a praktických příkladů. Publikace je ve stručnosti označ</w:t>
      </w:r>
      <w:r>
        <w:t>o</w:t>
      </w:r>
      <w:r>
        <w:t xml:space="preserve">vána jako </w:t>
      </w:r>
      <w:r>
        <w:br/>
        <w:t xml:space="preserve">„cvičebnici“, neboť ke cvičení a procvičování má především sloužit. Základním účelem této publikace je přiblížit obsah tzv. zvláštní části správního práva prostřednictvím praktického pohledu. Za tím účelem jsou zvoleny jednotlivé otázky, úkoly a příklady. Tato publikace by měla sloužit k rozvoji, lepšímu pochopení a prohloubení teoretických znalostí a napomoci jejich správnému </w:t>
      </w:r>
      <w:r>
        <w:br/>
        <w:t>uplatnění v praxi. Lze ji využít jak pro opakování, tak i v rámci výuky.</w:t>
      </w:r>
      <w:bookmarkStart w:id="0" w:name="_GoBack"/>
      <w:bookmarkEnd w:id="0"/>
    </w:p>
    <w:sectPr w:rsidR="00E27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70"/>
    <w:rsid w:val="00791870"/>
    <w:rsid w:val="00E2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BF9F"/>
  <w15:chartTrackingRefBased/>
  <w15:docId w15:val="{F0F643FC-C3BD-49B0-AFF0-EC7153F6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Maťašová</dc:creator>
  <cp:keywords/>
  <dc:description/>
  <cp:lastModifiedBy>Zdeňka Maťašová</cp:lastModifiedBy>
  <cp:revision>1</cp:revision>
  <dcterms:created xsi:type="dcterms:W3CDTF">2021-03-11T11:05:00Z</dcterms:created>
  <dcterms:modified xsi:type="dcterms:W3CDTF">2021-03-11T11:07:00Z</dcterms:modified>
</cp:coreProperties>
</file>