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6293" w14:textId="66849BC9" w:rsidR="00F12F5E" w:rsidRPr="00F12F5E" w:rsidRDefault="00F12F5E" w:rsidP="00F1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2F5E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 je určena posluchačům bakalářských studijních oborů a je zaměřena na zvláštní část trestního práva hmotného a procesního.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12F5E">
        <w:rPr>
          <w:rFonts w:ascii="Times New Roman" w:eastAsia="Times New Roman" w:hAnsi="Times New Roman" w:cs="Times New Roman"/>
          <w:sz w:val="24"/>
          <w:szCs w:val="24"/>
          <w:lang w:eastAsia="cs-CZ"/>
        </w:rPr>
        <w:t>ohledem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2F5E">
        <w:rPr>
          <w:rFonts w:ascii="Times New Roman" w:eastAsia="Times New Roman" w:hAnsi="Times New Roman" w:cs="Times New Roman"/>
          <w:sz w:val="24"/>
          <w:szCs w:val="24"/>
          <w:lang w:eastAsia="cs-CZ"/>
        </w:rPr>
        <w:t>na zachycení změn v trestním zákoníku a trestním řádu by mohla být část týkající se zvláštní části trestního práva hmotného přínosná i pro stávající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2F5E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magisterské studenty či odbornou veřejnost. Součástí skript „Trestní právo hmotné a procesní – zvláštní část“ je i soubor praktických příkladů uvedených k jednotlivým kapitolám. Cílem těchto příkladů je zopakování, procvičení a zafixování si teoretických poznatků obsažených v kapitolách a taktéž i podnícení schopnosti studenta uvažovat o nich v širších souvislostech právní úpravy obsažené v trestním zákonu a řádu.</w:t>
      </w:r>
    </w:p>
    <w:p w14:paraId="5C7A6416" w14:textId="77777777" w:rsidR="00F12F5E" w:rsidRPr="00F12F5E" w:rsidRDefault="00F12F5E" w:rsidP="00F1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2F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7F6FCDF" w14:textId="77777777" w:rsidR="00E27604" w:rsidRDefault="00E27604"/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5E"/>
    <w:rsid w:val="00E27604"/>
    <w:rsid w:val="00F1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0BD5"/>
  <w15:chartTrackingRefBased/>
  <w15:docId w15:val="{99495E02-D319-4A72-BE0C-67A9EAD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2023-04-13T07:48:00Z</dcterms:created>
  <dcterms:modified xsi:type="dcterms:W3CDTF">2023-04-13T07:51:00Z</dcterms:modified>
</cp:coreProperties>
</file>