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667" w:rsidRDefault="00BA0006">
      <w:r>
        <w:rPr>
          <w:rFonts w:ascii="Verdana" w:hAnsi="Verdana"/>
          <w:color w:val="000000"/>
          <w:sz w:val="18"/>
          <w:szCs w:val="18"/>
        </w:rPr>
        <w:t xml:space="preserve">Multimediální učební text Trestní právo hmotné a procesní. Zvláštní část, je autorsky zpracován jako 2. doplněné a přepracované vydání. Učebnice je určena především posluchačům bakalářských studijních oborů na Právnické fakultě </w:t>
      </w:r>
      <w:proofErr w:type="gramStart"/>
      <w:r>
        <w:rPr>
          <w:rFonts w:ascii="Verdana" w:hAnsi="Verdana"/>
          <w:color w:val="000000"/>
          <w:sz w:val="18"/>
          <w:szCs w:val="18"/>
        </w:rPr>
        <w:t>MU</w:t>
      </w:r>
      <w:proofErr w:type="gramEnd"/>
      <w:r>
        <w:rPr>
          <w:rFonts w:ascii="Verdana" w:hAnsi="Verdana"/>
          <w:color w:val="000000"/>
          <w:sz w:val="18"/>
          <w:szCs w:val="18"/>
        </w:rPr>
        <w:t>, ale je volně přístupná i veřejnosti. Trestněprávní materie je zaměřena na zvláštní část trestního práva hmotného a procesního a je zpracována s přihlédnutím k potřebám a cílům bakalářského studia. Součástí skript je i soubor praktických příkladů uspořádaných formou multimediální a přiřazených jejím jednotlivým kapitolám. Cílem těchto příkladů je zopakování, procvičení a zafixování si teoretických poznatků obsažených v jednotlivých kapitolách a taktéž i podnícení schopnosti studenta uvažovat o nich v širších souvislostech právní úpravy obsažené v trestním řádu.</w:t>
      </w:r>
      <w:bookmarkStart w:id="0" w:name="_GoBack"/>
      <w:bookmarkEnd w:id="0"/>
    </w:p>
    <w:sectPr w:rsidR="00B01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006"/>
    <w:rsid w:val="00B01667"/>
    <w:rsid w:val="00BA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 Maťašová</dc:creator>
  <cp:lastModifiedBy>Zdeňka Maťašová</cp:lastModifiedBy>
  <cp:revision>1</cp:revision>
  <dcterms:created xsi:type="dcterms:W3CDTF">2014-12-11T12:31:00Z</dcterms:created>
  <dcterms:modified xsi:type="dcterms:W3CDTF">2014-12-11T12:34:00Z</dcterms:modified>
</cp:coreProperties>
</file>