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67" w:rsidRDefault="00190584">
      <w:r>
        <w:rPr>
          <w:rFonts w:ascii="Verdana" w:hAnsi="Verdana"/>
          <w:sz w:val="18"/>
          <w:szCs w:val="18"/>
        </w:rPr>
        <w:t>Publikace pojednává o tzv. správním právu procesním, kterému se věnuje formou příkladů a otázek. Jde o doplněk základní studijní literatury, která se má zaměřit na konkrétní a praktické znalosti studentů, resp. jejich získání a osvojení. Publikaci lze využít jak pro formu samostudia, tak i jako podklad pro seminární výuku.</w:t>
      </w:r>
      <w:bookmarkStart w:id="0" w:name="_GoBack"/>
      <w:bookmarkEnd w:id="0"/>
    </w:p>
    <w:sectPr w:rsidR="00B01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84"/>
    <w:rsid w:val="00190584"/>
    <w:rsid w:val="00B0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Maťašová</dc:creator>
  <cp:lastModifiedBy>Zdeňka Maťašová</cp:lastModifiedBy>
  <cp:revision>1</cp:revision>
  <dcterms:created xsi:type="dcterms:W3CDTF">2015-09-09T07:53:00Z</dcterms:created>
  <dcterms:modified xsi:type="dcterms:W3CDTF">2015-09-09T07:54:00Z</dcterms:modified>
</cp:coreProperties>
</file>