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4F5D14">
      <w:r>
        <w:rPr>
          <w:rFonts w:ascii="Verdana" w:hAnsi="Verdana"/>
          <w:color w:val="000000"/>
          <w:sz w:val="18"/>
          <w:szCs w:val="18"/>
        </w:rPr>
        <w:t xml:space="preserve">Multimediální učební text „Trestní právo hmotné a procesní – Obecná část“ je autorsky zpracován již jako 4. doplněné a přepracované vydání. Učebnice je určena především posluchačům bakalářských studijních oborů na </w:t>
      </w:r>
      <w:proofErr w:type="spellStart"/>
      <w:r>
        <w:rPr>
          <w:rFonts w:ascii="Verdana" w:hAnsi="Verdana"/>
          <w:color w:val="000000"/>
          <w:sz w:val="18"/>
          <w:szCs w:val="18"/>
        </w:rPr>
        <w:t>PrF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MU, ale je přístupná i veřejnosti. Trestněprávní materie je zaměřena na obecnou část trestního práva hmotného a procesního a je zpracována s přihlédnutím k potřebám a cílům bakalářského studia. Součástí skript je i soubor praktických příkladů uspořádaných formou multimediální a přiřazených jejím jednotlivým kapitolám. Cílem těchto příkladů je zopakování, procvičení a zafixování si teoretických poznatků obsažených v jednotlivých kapitolách a taktéž i podnícení schopnosti studenta uvažovat o nich v širších souvislostech právní úpravy obsažené v trestním řádu.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14"/>
    <w:rsid w:val="004F5D14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2016-01-28T07:37:00Z</dcterms:created>
  <dcterms:modified xsi:type="dcterms:W3CDTF">2016-01-28T07:39:00Z</dcterms:modified>
</cp:coreProperties>
</file>