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0B" w:rsidRDefault="00F877F9" w:rsidP="00F877F9">
      <w:r>
        <w:t>Tématu dělby moci je v současném ústavním právu věnována velká pozornost, často však zůstávají opomenuty důležité filosofické kontexty této ideje. Právě na jejich zkoumání se zaměřuje tato práce. Klade si otázky jako: Je dělba moci dostatečně určitým principem na to, aby z ní bylo možno vyvodit konkrétní institucionální aplikace, nebo je její obsah určován historickými nahodilostmi? Není ve skutečnosti jen metafyzickou konstrukcí, kterou bychom mohli nahradit jinou a jasnější soustavou pojmů? Jednou z nejcitlivějších oblastí, ve které se dnes idea dělby moci projevuje, je justice, zejména problematika její nezávislosti. Analýze jejich vzájemných vazeb a možných dopadů upozadění rozebírané ideje je věnována závěrečná část práce.</w:t>
      </w:r>
      <w:bookmarkStart w:id="0" w:name="_GoBack"/>
      <w:bookmarkEnd w:id="0"/>
    </w:p>
    <w:sectPr w:rsidR="00CA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F9"/>
    <w:rsid w:val="00CA570B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81F5-C455-4385-946C-A5B4C7CF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2017-02-21T07:54:00Z</dcterms:created>
  <dcterms:modified xsi:type="dcterms:W3CDTF">2017-02-21T07:54:00Z</dcterms:modified>
</cp:coreProperties>
</file>