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214BE8">
        <w:rPr>
          <w:b w:val="0"/>
          <w:sz w:val="22"/>
        </w:rPr>
        <w:t>Prof. JUDr. Vladimír Týč, CSc.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214BE8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Mezinárodní právo veřejné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214BE8">
        <w:rPr>
          <w:rFonts w:cs="Arial"/>
          <w:b w:val="0"/>
          <w:sz w:val="22"/>
        </w:rPr>
        <w:t>25. března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>Mezinárodní právo veřejné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>Mezinárodní právo veřejné</w:t>
      </w:r>
    </w:p>
    <w:p w:rsidR="00D545C9" w:rsidRPr="00D545C9" w:rsidRDefault="00214BE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Kateřiny Uhlířové, Ph.D.,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LL.M.</w:t>
      </w:r>
      <w:proofErr w:type="gram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2B01B3">
        <w:rPr>
          <w:rFonts w:ascii="Arial" w:hAnsi="Arial" w:cs="Arial"/>
          <w:b/>
          <w:bCs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března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15.00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14B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14BE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14BC0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2279-BEDA-4CC1-8AF5-E459A75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300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2019-03-25T06:40:00Z</cp:lastPrinted>
  <dcterms:created xsi:type="dcterms:W3CDTF">2019-03-25T06:37:00Z</dcterms:created>
  <dcterms:modified xsi:type="dcterms:W3CDTF">2019-03-25T11:37:00Z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