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63" w:rsidRDefault="00081A6C">
      <w:pPr>
        <w:pStyle w:val="Title"/>
        <w:rPr>
          <w:lang w:val="en-GB"/>
        </w:rPr>
      </w:pPr>
      <w:r>
        <w:rPr>
          <w:noProof/>
          <w:lang w:val="en-GB" w:eastAsia="en-GB"/>
        </w:rPr>
        <w:drawing>
          <wp:anchor distT="0" distB="0" distL="114300" distR="114300" simplePos="0" relativeHeight="251657728" behindDoc="1" locked="0" layoutInCell="1" allowOverlap="1">
            <wp:simplePos x="0" y="0"/>
            <wp:positionH relativeFrom="column">
              <wp:posOffset>-19050</wp:posOffset>
            </wp:positionH>
            <wp:positionV relativeFrom="paragraph">
              <wp:posOffset>-523875</wp:posOffset>
            </wp:positionV>
            <wp:extent cx="2286000" cy="1295400"/>
            <wp:effectExtent l="19050" t="0" r="0" b="0"/>
            <wp:wrapTight wrapText="bothSides">
              <wp:wrapPolygon edited="0">
                <wp:start x="-180" y="0"/>
                <wp:lineTo x="-180" y="21282"/>
                <wp:lineTo x="21600" y="21282"/>
                <wp:lineTo x="21600" y="0"/>
                <wp:lineTo x="-18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917" t="34525" r="36905" b="29048"/>
                    <a:stretch>
                      <a:fillRect/>
                    </a:stretch>
                  </pic:blipFill>
                  <pic:spPr bwMode="auto">
                    <a:xfrm>
                      <a:off x="0" y="0"/>
                      <a:ext cx="2286000" cy="1295400"/>
                    </a:xfrm>
                    <a:prstGeom prst="rect">
                      <a:avLst/>
                    </a:prstGeom>
                    <a:noFill/>
                    <a:ln w="9525">
                      <a:noFill/>
                      <a:miter lim="800000"/>
                      <a:headEnd/>
                      <a:tailEnd/>
                    </a:ln>
                  </pic:spPr>
                </pic:pic>
              </a:graphicData>
            </a:graphic>
          </wp:anchor>
        </w:drawing>
      </w:r>
      <w:r w:rsidR="003679E1">
        <w:rPr>
          <w:lang w:val="en-GB"/>
        </w:rPr>
        <w:t>Minutes</w:t>
      </w:r>
    </w:p>
    <w:p w:rsidR="00163B63" w:rsidRDefault="00163B63">
      <w:pPr>
        <w:rPr>
          <w:lang w:val="en-GB"/>
        </w:rPr>
      </w:pPr>
    </w:p>
    <w:p w:rsidR="00163B63" w:rsidRDefault="00812139">
      <w:pPr>
        <w:pStyle w:val="Heading1"/>
        <w:rPr>
          <w:lang w:val="en-GB"/>
        </w:rPr>
      </w:pPr>
      <w:r>
        <w:rPr>
          <w:lang w:val="en-GB"/>
        </w:rPr>
        <w:t>Meeting 12</w:t>
      </w:r>
    </w:p>
    <w:p w:rsidR="00163B63" w:rsidRDefault="00812139">
      <w:pPr>
        <w:pStyle w:val="Heading2"/>
        <w:rPr>
          <w:lang w:val="en-GB"/>
        </w:rPr>
      </w:pPr>
      <w:r>
        <w:rPr>
          <w:lang w:val="en-GB"/>
        </w:rPr>
        <w:t>May 16</w:t>
      </w:r>
      <w:r w:rsidRPr="00812139">
        <w:rPr>
          <w:vertAlign w:val="superscript"/>
          <w:lang w:val="en-GB"/>
        </w:rPr>
        <w:t>th</w:t>
      </w:r>
      <w:r w:rsidR="003679E1">
        <w:rPr>
          <w:lang w:val="en-GB"/>
        </w:rPr>
        <w:t xml:space="preserve"> 2011</w:t>
      </w:r>
    </w:p>
    <w:p w:rsidR="00163B63" w:rsidRDefault="009B3327">
      <w:pPr>
        <w:pStyle w:val="Heading2"/>
        <w:rPr>
          <w:lang w:val="en-GB"/>
        </w:rPr>
      </w:pPr>
      <w:r>
        <w:rPr>
          <w:lang w:val="en-GB"/>
        </w:rPr>
        <w:t>6:30pm</w:t>
      </w:r>
    </w:p>
    <w:p w:rsidR="00163B63" w:rsidRDefault="00163B63">
      <w:pPr>
        <w:rPr>
          <w:lang w:val="en-GB"/>
        </w:rPr>
      </w:pPr>
    </w:p>
    <w:p w:rsidR="00163B63" w:rsidRDefault="00923B47">
      <w:pPr>
        <w:rPr>
          <w:lang w:val="en-GB"/>
        </w:rPr>
      </w:pPr>
      <w:r>
        <w:rPr>
          <w:lang w:val="en-GB"/>
        </w:rPr>
        <w:t xml:space="preserve">Meeting called by </w:t>
      </w:r>
      <w:r w:rsidR="00812139">
        <w:rPr>
          <w:lang w:val="en-GB"/>
        </w:rPr>
        <w:t>R</w:t>
      </w:r>
      <w:r w:rsidR="009B3327">
        <w:rPr>
          <w:lang w:val="en-GB"/>
        </w:rPr>
        <w:t>ita Matos</w:t>
      </w:r>
    </w:p>
    <w:p w:rsidR="00275833" w:rsidRPr="009B3327" w:rsidRDefault="00923B47" w:rsidP="009B3327">
      <w:pPr>
        <w:pStyle w:val="Heading1"/>
        <w:rPr>
          <w:rFonts w:ascii="Courier New" w:hAnsi="Courier New" w:cs="Courier New"/>
          <w:b w:val="0"/>
          <w:sz w:val="20"/>
          <w:szCs w:val="20"/>
        </w:rPr>
      </w:pPr>
      <w:r w:rsidRPr="009B3327">
        <w:rPr>
          <w:rStyle w:val="Bold10ptChar"/>
          <w:sz w:val="20"/>
          <w:szCs w:val="20"/>
          <w:lang w:val="en-GB"/>
        </w:rPr>
        <w:t>Attendees:</w:t>
      </w:r>
      <w:r w:rsidR="00275833">
        <w:t xml:space="preserve"> </w:t>
      </w:r>
      <w:r w:rsidR="009B3327" w:rsidRPr="009B3327">
        <w:rPr>
          <w:rFonts w:ascii="Courier New" w:hAnsi="Courier New" w:cs="Courier New"/>
          <w:b w:val="0"/>
          <w:sz w:val="20"/>
          <w:szCs w:val="20"/>
        </w:rPr>
        <w:t>Rita Matos</w:t>
      </w:r>
      <w:r w:rsidR="00275833" w:rsidRPr="009B3327">
        <w:rPr>
          <w:rFonts w:ascii="Courier New" w:hAnsi="Courier New" w:cs="Courier New"/>
          <w:b w:val="0"/>
          <w:sz w:val="20"/>
          <w:szCs w:val="20"/>
        </w:rPr>
        <w:t xml:space="preserve">, Stuart Hopkinson, </w:t>
      </w:r>
      <w:r w:rsidR="009B3327" w:rsidRPr="009B3327">
        <w:rPr>
          <w:rStyle w:val="profilename"/>
          <w:rFonts w:ascii="Courier New" w:hAnsi="Courier New" w:cs="Courier New"/>
          <w:b w:val="0"/>
          <w:sz w:val="20"/>
          <w:szCs w:val="20"/>
        </w:rPr>
        <w:t>Maria Margarida Gil Conde</w:t>
      </w:r>
      <w:r w:rsidR="00275833" w:rsidRPr="009B3327">
        <w:rPr>
          <w:rFonts w:ascii="Courier New" w:hAnsi="Courier New" w:cs="Courier New"/>
          <w:b w:val="0"/>
          <w:sz w:val="20"/>
          <w:szCs w:val="20"/>
        </w:rPr>
        <w:t xml:space="preserve">, Bhavin Doshi, </w:t>
      </w:r>
      <w:r w:rsidR="009B3327" w:rsidRPr="009B3327">
        <w:rPr>
          <w:rStyle w:val="profilename"/>
          <w:rFonts w:ascii="Courier New" w:hAnsi="Courier New" w:cs="Courier New"/>
          <w:b w:val="0"/>
          <w:sz w:val="20"/>
          <w:szCs w:val="20"/>
        </w:rPr>
        <w:t>Devangna Bhatia</w:t>
      </w:r>
      <w:r w:rsidR="00275833" w:rsidRPr="009B3327">
        <w:rPr>
          <w:rFonts w:ascii="Courier New" w:hAnsi="Courier New" w:cs="Courier New"/>
          <w:b w:val="0"/>
          <w:sz w:val="20"/>
          <w:szCs w:val="20"/>
        </w:rPr>
        <w:t xml:space="preserve">, </w:t>
      </w:r>
      <w:r w:rsidR="009B3327" w:rsidRPr="009B3327">
        <w:rPr>
          <w:rFonts w:ascii="Courier New" w:hAnsi="Courier New" w:cs="Courier New"/>
          <w:b w:val="0"/>
          <w:sz w:val="20"/>
          <w:szCs w:val="20"/>
        </w:rPr>
        <w:t xml:space="preserve">Veronika Sykorova </w:t>
      </w:r>
      <w:r w:rsidR="00275833" w:rsidRPr="009B3327">
        <w:rPr>
          <w:rFonts w:ascii="Courier New" w:hAnsi="Courier New" w:cs="Courier New"/>
          <w:b w:val="0"/>
          <w:sz w:val="20"/>
          <w:szCs w:val="20"/>
        </w:rPr>
        <w:t>, Adriano Mendes, Luis Cyrillo, Roye Mauthner</w:t>
      </w:r>
    </w:p>
    <w:p w:rsidR="00132213" w:rsidRDefault="00132213" w:rsidP="00275833">
      <w:pPr>
        <w:pStyle w:val="HTMLPreformatted"/>
      </w:pPr>
    </w:p>
    <w:p w:rsidR="00132213" w:rsidRPr="00275833" w:rsidRDefault="00132213" w:rsidP="00275833">
      <w:pPr>
        <w:pStyle w:val="HTMLPreformatted"/>
      </w:pPr>
      <w:r>
        <w:t>Additions:</w:t>
      </w:r>
    </w:p>
    <w:p w:rsidR="00163B63" w:rsidRDefault="00163B63" w:rsidP="00275833">
      <w:pPr>
        <w:tabs>
          <w:tab w:val="left" w:pos="1440"/>
        </w:tabs>
        <w:rPr>
          <w:lang w:val="en-GB"/>
        </w:rPr>
      </w:pPr>
    </w:p>
    <w:p w:rsidR="00163B63" w:rsidRDefault="00163B63">
      <w:pPr>
        <w:tabs>
          <w:tab w:val="left" w:pos="1800"/>
        </w:tabs>
        <w:rPr>
          <w:lang w:val="en-GB"/>
        </w:rPr>
      </w:pPr>
    </w:p>
    <w:tbl>
      <w:tblPr>
        <w:tblW w:w="10301"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tblPr>
      <w:tblGrid>
        <w:gridCol w:w="655"/>
        <w:gridCol w:w="7298"/>
        <w:gridCol w:w="2348"/>
      </w:tblGrid>
      <w:tr w:rsidR="00163B63" w:rsidTr="00275833">
        <w:trPr>
          <w:trHeight w:val="864"/>
        </w:trPr>
        <w:tc>
          <w:tcPr>
            <w:tcW w:w="655" w:type="dxa"/>
          </w:tcPr>
          <w:p w:rsidR="00163B63" w:rsidRDefault="00163B63">
            <w:pPr>
              <w:pStyle w:val="Heading2"/>
              <w:rPr>
                <w:lang w:val="en-GB"/>
              </w:rPr>
            </w:pPr>
          </w:p>
        </w:tc>
        <w:tc>
          <w:tcPr>
            <w:tcW w:w="7298" w:type="dxa"/>
          </w:tcPr>
          <w:p w:rsidR="00163B63" w:rsidRDefault="009B3327">
            <w:pPr>
              <w:pStyle w:val="Heading2"/>
              <w:rPr>
                <w:lang w:val="en-GB"/>
              </w:rPr>
            </w:pPr>
            <w:r>
              <w:rPr>
                <w:lang w:val="en-GB"/>
              </w:rPr>
              <w:t>Vice President</w:t>
            </w:r>
          </w:p>
          <w:p w:rsidR="00812139" w:rsidRPr="00812139" w:rsidRDefault="00812139" w:rsidP="00812139">
            <w:pPr>
              <w:pStyle w:val="ListParagraph"/>
              <w:numPr>
                <w:ilvl w:val="0"/>
                <w:numId w:val="10"/>
              </w:numPr>
              <w:rPr>
                <w:lang w:val="en-GB"/>
              </w:rPr>
            </w:pPr>
            <w:r>
              <w:rPr>
                <w:lang w:val="en-GB"/>
              </w:rPr>
              <w:t>After the MIMSA cup there was an issue with Paulo’s car that we used for transportation and since then it has broken down. MIMSA is partly responsible as we used the car last. Treasurer and VP to decide with Paulo what is an appropriate amount of money to reimburse him with.</w:t>
            </w:r>
          </w:p>
          <w:p w:rsidR="00163B63" w:rsidRDefault="00163B63">
            <w:pPr>
              <w:rPr>
                <w:lang w:val="en-GB"/>
              </w:rPr>
            </w:pPr>
          </w:p>
          <w:p w:rsidR="00275833" w:rsidRDefault="00275833">
            <w:pPr>
              <w:rPr>
                <w:lang w:val="en-GB"/>
              </w:rPr>
            </w:pPr>
          </w:p>
          <w:p w:rsidR="00275833" w:rsidRDefault="00275833">
            <w:pPr>
              <w:rPr>
                <w:lang w:val="en-GB"/>
              </w:rPr>
            </w:pPr>
          </w:p>
        </w:tc>
        <w:tc>
          <w:tcPr>
            <w:tcW w:w="2348" w:type="dxa"/>
            <w:vAlign w:val="center"/>
          </w:tcPr>
          <w:p w:rsidR="00163B63" w:rsidRDefault="00163B63">
            <w:pPr>
              <w:pStyle w:val="Location"/>
              <w:rPr>
                <w:lang w:val="en-GB"/>
              </w:rPr>
            </w:pPr>
          </w:p>
        </w:tc>
      </w:tr>
      <w:tr w:rsidR="00163B63" w:rsidTr="00275833">
        <w:trPr>
          <w:trHeight w:val="942"/>
        </w:trPr>
        <w:tc>
          <w:tcPr>
            <w:tcW w:w="655" w:type="dxa"/>
          </w:tcPr>
          <w:p w:rsidR="00163B63" w:rsidRDefault="00163B63">
            <w:pPr>
              <w:pStyle w:val="Heading2"/>
              <w:rPr>
                <w:lang w:val="en-GB"/>
              </w:rPr>
            </w:pPr>
          </w:p>
        </w:tc>
        <w:tc>
          <w:tcPr>
            <w:tcW w:w="7298" w:type="dxa"/>
          </w:tcPr>
          <w:p w:rsidR="00163B63" w:rsidRDefault="00275833">
            <w:pPr>
              <w:pStyle w:val="Heading2"/>
              <w:rPr>
                <w:lang w:val="en-GB"/>
              </w:rPr>
            </w:pPr>
            <w:r>
              <w:rPr>
                <w:lang w:val="en-GB"/>
              </w:rPr>
              <w:t>General</w:t>
            </w:r>
          </w:p>
          <w:p w:rsidR="0043738A" w:rsidRDefault="00812139" w:rsidP="00812139">
            <w:pPr>
              <w:pStyle w:val="ListParagraph"/>
              <w:numPr>
                <w:ilvl w:val="0"/>
                <w:numId w:val="9"/>
              </w:numPr>
              <w:rPr>
                <w:lang w:val="en-GB"/>
              </w:rPr>
            </w:pPr>
            <w:r>
              <w:rPr>
                <w:lang w:val="en-GB"/>
              </w:rPr>
              <w:t>We have met with the SUDC organisation based in Olomouc and he has proposed a partnership with MIMSA. Students pay 300kc for the card and a further 150 kc yearly to have the benefits of the card- A decision is pending the arrival of the treasurer.</w:t>
            </w:r>
          </w:p>
          <w:p w:rsidR="00812139" w:rsidRPr="00812139" w:rsidRDefault="00812139" w:rsidP="00812139">
            <w:pPr>
              <w:pStyle w:val="ListParagraph"/>
              <w:numPr>
                <w:ilvl w:val="0"/>
                <w:numId w:val="9"/>
              </w:numPr>
              <w:rPr>
                <w:lang w:val="en-GB"/>
              </w:rPr>
            </w:pPr>
            <w:r>
              <w:rPr>
                <w:lang w:val="en-GB"/>
              </w:rPr>
              <w:t>Recognition of Services to university via MIMSA, the university have offered to present us with an official document saying all of the services we did in MIMSA.</w:t>
            </w:r>
          </w:p>
          <w:p w:rsidR="00275833" w:rsidRDefault="00275833" w:rsidP="00275833">
            <w:pPr>
              <w:rPr>
                <w:lang w:val="en-GB"/>
              </w:rPr>
            </w:pPr>
          </w:p>
          <w:p w:rsidR="00275833" w:rsidRPr="00275833" w:rsidRDefault="00275833" w:rsidP="00275833">
            <w:pPr>
              <w:rPr>
                <w:lang w:val="en-GB"/>
              </w:rPr>
            </w:pPr>
          </w:p>
          <w:p w:rsidR="00163B63" w:rsidRDefault="00163B63">
            <w:pPr>
              <w:rPr>
                <w:lang w:val="en-GB"/>
              </w:rPr>
            </w:pPr>
          </w:p>
        </w:tc>
        <w:tc>
          <w:tcPr>
            <w:tcW w:w="2348" w:type="dxa"/>
            <w:vAlign w:val="center"/>
          </w:tcPr>
          <w:p w:rsidR="00163B63" w:rsidRDefault="00163B63">
            <w:pPr>
              <w:pStyle w:val="Location"/>
              <w:rPr>
                <w:lang w:val="en-GB"/>
              </w:rPr>
            </w:pPr>
          </w:p>
        </w:tc>
      </w:tr>
      <w:tr w:rsidR="00163B63" w:rsidTr="00275833">
        <w:trPr>
          <w:trHeight w:val="1603"/>
        </w:trPr>
        <w:tc>
          <w:tcPr>
            <w:tcW w:w="655" w:type="dxa"/>
          </w:tcPr>
          <w:p w:rsidR="00163B63" w:rsidRDefault="00163B63">
            <w:pPr>
              <w:pStyle w:val="Heading2"/>
              <w:rPr>
                <w:lang w:val="en-GB"/>
              </w:rPr>
            </w:pPr>
          </w:p>
        </w:tc>
        <w:tc>
          <w:tcPr>
            <w:tcW w:w="7298" w:type="dxa"/>
          </w:tcPr>
          <w:p w:rsidR="00275833" w:rsidRDefault="00275833" w:rsidP="0043738A">
            <w:pPr>
              <w:pStyle w:val="Heading2"/>
              <w:rPr>
                <w:lang w:val="en-GB"/>
              </w:rPr>
            </w:pPr>
            <w:r>
              <w:rPr>
                <w:lang w:val="en-GB"/>
              </w:rPr>
              <w:t>Public Relations</w:t>
            </w:r>
          </w:p>
          <w:p w:rsidR="002E4F52" w:rsidRPr="00444F1F" w:rsidRDefault="00812139" w:rsidP="00444F1F">
            <w:pPr>
              <w:numPr>
                <w:ilvl w:val="0"/>
                <w:numId w:val="8"/>
              </w:numPr>
              <w:rPr>
                <w:lang w:val="en-GB"/>
              </w:rPr>
            </w:pPr>
            <w:r>
              <w:rPr>
                <w:lang w:val="en-GB"/>
              </w:rPr>
              <w:t>For the Orientation week event on the 16</w:t>
            </w:r>
            <w:r w:rsidRPr="00812139">
              <w:rPr>
                <w:vertAlign w:val="superscript"/>
                <w:lang w:val="en-GB"/>
              </w:rPr>
              <w:t>th</w:t>
            </w:r>
            <w:r>
              <w:rPr>
                <w:lang w:val="en-GB"/>
              </w:rPr>
              <w:t xml:space="preserve"> we have the idea of dividing students into groups and having games/activities in these groups in order to bring them closer together as a year group- at the moment it is a work in progress but, come Orientation week will be more firm as to what the event is.</w:t>
            </w:r>
          </w:p>
        </w:tc>
        <w:tc>
          <w:tcPr>
            <w:tcW w:w="2348" w:type="dxa"/>
            <w:vAlign w:val="center"/>
          </w:tcPr>
          <w:p w:rsidR="00163B63" w:rsidRDefault="00163B63">
            <w:pPr>
              <w:pStyle w:val="Location"/>
              <w:rPr>
                <w:lang w:val="en-GB"/>
              </w:rPr>
            </w:pPr>
          </w:p>
        </w:tc>
      </w:tr>
      <w:tr w:rsidR="00163B63" w:rsidTr="00275833">
        <w:trPr>
          <w:trHeight w:val="1140"/>
        </w:trPr>
        <w:tc>
          <w:tcPr>
            <w:tcW w:w="655" w:type="dxa"/>
          </w:tcPr>
          <w:p w:rsidR="00163B63" w:rsidRDefault="00163B63">
            <w:pPr>
              <w:pStyle w:val="Heading2"/>
              <w:rPr>
                <w:lang w:val="en-GB"/>
              </w:rPr>
            </w:pPr>
          </w:p>
        </w:tc>
        <w:tc>
          <w:tcPr>
            <w:tcW w:w="7298" w:type="dxa"/>
          </w:tcPr>
          <w:p w:rsidR="00275833" w:rsidRDefault="00275833" w:rsidP="0017595E">
            <w:pPr>
              <w:pStyle w:val="Heading2"/>
              <w:rPr>
                <w:lang w:val="en-GB"/>
              </w:rPr>
            </w:pPr>
            <w:r>
              <w:rPr>
                <w:lang w:val="en-GB"/>
              </w:rPr>
              <w:t>Social</w:t>
            </w:r>
          </w:p>
          <w:p w:rsidR="00275833" w:rsidRDefault="00275833">
            <w:pPr>
              <w:rPr>
                <w:lang w:val="en-GB"/>
              </w:rPr>
            </w:pPr>
          </w:p>
          <w:p w:rsidR="00275833" w:rsidRDefault="00275833">
            <w:pPr>
              <w:rPr>
                <w:lang w:val="en-GB"/>
              </w:rPr>
            </w:pPr>
          </w:p>
          <w:p w:rsidR="00275833" w:rsidRDefault="00275833">
            <w:pPr>
              <w:rPr>
                <w:lang w:val="en-GB"/>
              </w:rPr>
            </w:pPr>
          </w:p>
          <w:p w:rsidR="00275833" w:rsidRDefault="00275833">
            <w:pPr>
              <w:rPr>
                <w:lang w:val="en-GB"/>
              </w:rPr>
            </w:pPr>
          </w:p>
          <w:p w:rsidR="00275833" w:rsidRDefault="00275833">
            <w:pPr>
              <w:rPr>
                <w:lang w:val="en-GB"/>
              </w:rPr>
            </w:pPr>
          </w:p>
        </w:tc>
        <w:tc>
          <w:tcPr>
            <w:tcW w:w="2348" w:type="dxa"/>
            <w:vAlign w:val="center"/>
          </w:tcPr>
          <w:p w:rsidR="00163B63" w:rsidRDefault="00163B63">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Education</w:t>
            </w:r>
          </w:p>
          <w:p w:rsidR="00812139" w:rsidRDefault="00812139" w:rsidP="00812139">
            <w:pPr>
              <w:pStyle w:val="ListParagraph"/>
              <w:numPr>
                <w:ilvl w:val="0"/>
                <w:numId w:val="8"/>
              </w:numPr>
              <w:rPr>
                <w:lang w:val="en-GB"/>
              </w:rPr>
            </w:pPr>
            <w:r>
              <w:rPr>
                <w:lang w:val="en-GB"/>
              </w:rPr>
              <w:t xml:space="preserve">Gathering of notes is going well and the co-operation with </w:t>
            </w:r>
            <w:r w:rsidR="00C80EC7">
              <w:rPr>
                <w:lang w:val="en-GB"/>
              </w:rPr>
              <w:t>BOSS</w:t>
            </w:r>
            <w:r>
              <w:rPr>
                <w:lang w:val="en-GB"/>
              </w:rPr>
              <w:t xml:space="preserve"> seems to be working well at the moment.</w:t>
            </w:r>
          </w:p>
          <w:p w:rsidR="00812139" w:rsidRPr="00812139" w:rsidRDefault="00812139" w:rsidP="00812139">
            <w:pPr>
              <w:pStyle w:val="ListParagraph"/>
              <w:rPr>
                <w:lang w:val="en-GB"/>
              </w:rPr>
            </w:pP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Treasurer</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IT</w:t>
            </w:r>
          </w:p>
          <w:p w:rsidR="00812139" w:rsidRPr="00812139" w:rsidRDefault="00812139" w:rsidP="00812139">
            <w:pPr>
              <w:pStyle w:val="ListParagraph"/>
              <w:numPr>
                <w:ilvl w:val="0"/>
                <w:numId w:val="8"/>
              </w:numPr>
              <w:rPr>
                <w:lang w:val="en-GB"/>
              </w:rPr>
            </w:pPr>
            <w:r>
              <w:rPr>
                <w:lang w:val="en-GB"/>
              </w:rPr>
              <w:t>The beta website is up and running so that people may experiment with website editing. There will be a meeting in Bhav’s house next week to discuss further changes for the upgrade.</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Later added points</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Wrap-up</w:t>
            </w:r>
          </w:p>
        </w:tc>
        <w:tc>
          <w:tcPr>
            <w:tcW w:w="2348" w:type="dxa"/>
            <w:vAlign w:val="center"/>
          </w:tcPr>
          <w:p w:rsidR="0017595E" w:rsidRDefault="0017595E">
            <w:pPr>
              <w:pStyle w:val="Location"/>
              <w:rPr>
                <w:lang w:val="en-GB"/>
              </w:rPr>
            </w:pPr>
          </w:p>
        </w:tc>
      </w:tr>
    </w:tbl>
    <w:p w:rsidR="00275833" w:rsidRDefault="00275833">
      <w:pPr>
        <w:rPr>
          <w:lang w:val="en-GB"/>
        </w:rPr>
      </w:pPr>
    </w:p>
    <w:sectPr w:rsidR="00275833" w:rsidSect="00163B63">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3E" w:rsidRDefault="00D46A3E" w:rsidP="009B3327">
      <w:r>
        <w:separator/>
      </w:r>
    </w:p>
  </w:endnote>
  <w:endnote w:type="continuationSeparator" w:id="0">
    <w:p w:rsidR="00D46A3E" w:rsidRDefault="00D46A3E" w:rsidP="009B3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Footer"/>
    </w:pPr>
    <w:r>
      <w:rPr>
        <w:rFonts w:cs="Tahoma"/>
      </w:rPr>
      <w:t>©</w:t>
    </w:r>
    <w:r>
      <w:t xml:space="preserve">MIMSA </w:t>
    </w:r>
  </w:p>
  <w:p w:rsidR="009B3327" w:rsidRDefault="009B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3E" w:rsidRDefault="00D46A3E" w:rsidP="009B3327">
      <w:r>
        <w:separator/>
      </w:r>
    </w:p>
  </w:footnote>
  <w:footnote w:type="continuationSeparator" w:id="0">
    <w:p w:rsidR="00D46A3E" w:rsidRDefault="00D46A3E" w:rsidP="009B3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Header"/>
    </w:pPr>
  </w:p>
  <w:p w:rsidR="009B3327" w:rsidRDefault="009B33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363831A7"/>
    <w:multiLevelType w:val="hybridMultilevel"/>
    <w:tmpl w:val="8CA4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C10D67"/>
    <w:multiLevelType w:val="hybridMultilevel"/>
    <w:tmpl w:val="BF0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D6662A"/>
    <w:multiLevelType w:val="hybridMultilevel"/>
    <w:tmpl w:val="54D6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135AF3"/>
    <w:multiLevelType w:val="hybridMultilevel"/>
    <w:tmpl w:val="D034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F51806"/>
    <w:multiLevelType w:val="hybridMultilevel"/>
    <w:tmpl w:val="9174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9"/>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footnotePr>
    <w:footnote w:id="-1"/>
    <w:footnote w:id="0"/>
  </w:footnotePr>
  <w:endnotePr>
    <w:endnote w:id="-1"/>
    <w:endnote w:id="0"/>
  </w:endnotePr>
  <w:compat/>
  <w:rsids>
    <w:rsidRoot w:val="00CD4D7C"/>
    <w:rsid w:val="00081A6C"/>
    <w:rsid w:val="00132213"/>
    <w:rsid w:val="00163B63"/>
    <w:rsid w:val="0017595E"/>
    <w:rsid w:val="00275833"/>
    <w:rsid w:val="002A38B7"/>
    <w:rsid w:val="002E4F52"/>
    <w:rsid w:val="003679E1"/>
    <w:rsid w:val="00403374"/>
    <w:rsid w:val="0043738A"/>
    <w:rsid w:val="00444F1F"/>
    <w:rsid w:val="004723D7"/>
    <w:rsid w:val="00507E52"/>
    <w:rsid w:val="00662945"/>
    <w:rsid w:val="00670D4B"/>
    <w:rsid w:val="006805CD"/>
    <w:rsid w:val="00812139"/>
    <w:rsid w:val="00894A26"/>
    <w:rsid w:val="00923B47"/>
    <w:rsid w:val="00993BC2"/>
    <w:rsid w:val="009B3327"/>
    <w:rsid w:val="00AB686F"/>
    <w:rsid w:val="00BB4945"/>
    <w:rsid w:val="00C4544C"/>
    <w:rsid w:val="00C80EC7"/>
    <w:rsid w:val="00CD4D7C"/>
    <w:rsid w:val="00D46A3E"/>
    <w:rsid w:val="00E532EF"/>
    <w:rsid w:val="00E7633B"/>
    <w:rsid w:val="00E90413"/>
    <w:rsid w:val="00F86C55"/>
    <w:rsid w:val="00FE3E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63"/>
    <w:rPr>
      <w:rFonts w:ascii="Tahoma" w:hAnsi="Tahoma"/>
      <w:szCs w:val="24"/>
      <w:lang w:val="en-US" w:eastAsia="en-US"/>
    </w:rPr>
  </w:style>
  <w:style w:type="paragraph" w:styleId="Heading1">
    <w:name w:val="heading 1"/>
    <w:basedOn w:val="Normal"/>
    <w:next w:val="Normal"/>
    <w:qFormat/>
    <w:rsid w:val="00163B63"/>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163B63"/>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163B63"/>
    <w:pPr>
      <w:jc w:val="right"/>
    </w:pPr>
  </w:style>
  <w:style w:type="paragraph" w:customStyle="1" w:styleId="Bold10pt">
    <w:name w:val="Bold 10 pt."/>
    <w:basedOn w:val="Normal"/>
    <w:rsid w:val="00163B63"/>
    <w:pPr>
      <w:tabs>
        <w:tab w:val="left" w:pos="1620"/>
      </w:tabs>
    </w:pPr>
    <w:rPr>
      <w:b/>
    </w:rPr>
  </w:style>
  <w:style w:type="character" w:customStyle="1" w:styleId="Bold10ptChar">
    <w:name w:val="Bold 10 pt. Char"/>
    <w:basedOn w:val="DefaultParagraphFont"/>
    <w:rsid w:val="00163B63"/>
    <w:rPr>
      <w:rFonts w:ascii="Tahoma" w:hAnsi="Tahoma"/>
      <w:b/>
      <w:szCs w:val="24"/>
      <w:lang w:val="en-US" w:eastAsia="en-US" w:bidi="ar-SA"/>
    </w:rPr>
  </w:style>
  <w:style w:type="paragraph" w:styleId="Title">
    <w:name w:val="Title"/>
    <w:basedOn w:val="Normal"/>
    <w:qFormat/>
    <w:rsid w:val="00163B63"/>
    <w:pPr>
      <w:jc w:val="right"/>
    </w:pPr>
    <w:rPr>
      <w:rFonts w:ascii="Arial Black" w:hAnsi="Arial Black" w:cs="Arial"/>
      <w:color w:val="808080"/>
      <w:sz w:val="56"/>
    </w:rPr>
  </w:style>
  <w:style w:type="paragraph" w:styleId="HTMLPreformatted">
    <w:name w:val="HTML Preformatted"/>
    <w:basedOn w:val="Normal"/>
    <w:link w:val="HTMLPreformattedChar"/>
    <w:uiPriority w:val="99"/>
    <w:semiHidden/>
    <w:unhideWhenUsed/>
    <w:rsid w:val="0027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275833"/>
    <w:rPr>
      <w:rFonts w:ascii="Courier New" w:hAnsi="Courier New" w:cs="Courier New"/>
    </w:rPr>
  </w:style>
  <w:style w:type="paragraph" w:styleId="ListParagraph">
    <w:name w:val="List Paragraph"/>
    <w:basedOn w:val="Normal"/>
    <w:uiPriority w:val="34"/>
    <w:qFormat/>
    <w:rsid w:val="00132213"/>
    <w:pPr>
      <w:ind w:left="720"/>
      <w:contextualSpacing/>
    </w:pPr>
  </w:style>
  <w:style w:type="paragraph" w:styleId="BalloonText">
    <w:name w:val="Balloon Text"/>
    <w:basedOn w:val="Normal"/>
    <w:link w:val="BalloonTextChar"/>
    <w:uiPriority w:val="99"/>
    <w:semiHidden/>
    <w:unhideWhenUsed/>
    <w:rsid w:val="002A38B7"/>
    <w:rPr>
      <w:rFonts w:cs="Tahoma"/>
      <w:sz w:val="16"/>
      <w:szCs w:val="16"/>
    </w:rPr>
  </w:style>
  <w:style w:type="character" w:customStyle="1" w:styleId="BalloonTextChar">
    <w:name w:val="Balloon Text Char"/>
    <w:basedOn w:val="DefaultParagraphFont"/>
    <w:link w:val="BalloonText"/>
    <w:uiPriority w:val="99"/>
    <w:semiHidden/>
    <w:rsid w:val="002A38B7"/>
    <w:rPr>
      <w:rFonts w:ascii="Tahoma" w:hAnsi="Tahoma" w:cs="Tahoma"/>
      <w:sz w:val="16"/>
      <w:szCs w:val="16"/>
      <w:lang w:val="en-US" w:eastAsia="en-US"/>
    </w:rPr>
  </w:style>
  <w:style w:type="character" w:customStyle="1" w:styleId="profilename">
    <w:name w:val="profilename"/>
    <w:basedOn w:val="DefaultParagraphFont"/>
    <w:rsid w:val="009B3327"/>
  </w:style>
  <w:style w:type="paragraph" w:styleId="Header">
    <w:name w:val="header"/>
    <w:basedOn w:val="Normal"/>
    <w:link w:val="HeaderChar"/>
    <w:uiPriority w:val="99"/>
    <w:unhideWhenUsed/>
    <w:rsid w:val="009B3327"/>
    <w:pPr>
      <w:tabs>
        <w:tab w:val="center" w:pos="4513"/>
        <w:tab w:val="right" w:pos="9026"/>
      </w:tabs>
    </w:pPr>
  </w:style>
  <w:style w:type="character" w:customStyle="1" w:styleId="HeaderChar">
    <w:name w:val="Header Char"/>
    <w:basedOn w:val="DefaultParagraphFont"/>
    <w:link w:val="Header"/>
    <w:uiPriority w:val="99"/>
    <w:rsid w:val="009B3327"/>
    <w:rPr>
      <w:rFonts w:ascii="Tahoma" w:hAnsi="Tahoma"/>
      <w:szCs w:val="24"/>
      <w:lang w:val="en-US" w:eastAsia="en-US"/>
    </w:rPr>
  </w:style>
  <w:style w:type="paragraph" w:styleId="Footer">
    <w:name w:val="footer"/>
    <w:basedOn w:val="Normal"/>
    <w:link w:val="FooterChar"/>
    <w:uiPriority w:val="99"/>
    <w:unhideWhenUsed/>
    <w:rsid w:val="009B3327"/>
    <w:pPr>
      <w:tabs>
        <w:tab w:val="center" w:pos="4513"/>
        <w:tab w:val="right" w:pos="9026"/>
      </w:tabs>
    </w:pPr>
  </w:style>
  <w:style w:type="character" w:customStyle="1" w:styleId="FooterChar">
    <w:name w:val="Footer Char"/>
    <w:basedOn w:val="DefaultParagraphFont"/>
    <w:link w:val="Footer"/>
    <w:uiPriority w:val="99"/>
    <w:rsid w:val="009B3327"/>
    <w:rPr>
      <w:rFonts w:ascii="Tahoma" w:hAnsi="Tahoma"/>
      <w:szCs w:val="24"/>
      <w:lang w:val="en-US" w:eastAsia="en-US"/>
    </w:rPr>
  </w:style>
</w:styles>
</file>

<file path=word/webSettings.xml><?xml version="1.0" encoding="utf-8"?>
<w:webSettings xmlns:r="http://schemas.openxmlformats.org/officeDocument/2006/relationships" xmlns:w="http://schemas.openxmlformats.org/wordprocessingml/2006/main">
  <w:divs>
    <w:div w:id="1721203202">
      <w:bodyDiv w:val="1"/>
      <w:marLeft w:val="0"/>
      <w:marRight w:val="0"/>
      <w:marTop w:val="0"/>
      <w:marBottom w:val="0"/>
      <w:divBdr>
        <w:top w:val="none" w:sz="0" w:space="0" w:color="auto"/>
        <w:left w:val="none" w:sz="0" w:space="0" w:color="auto"/>
        <w:bottom w:val="none" w:sz="0" w:space="0" w:color="auto"/>
        <w:right w:val="none" w:sz="0" w:space="0" w:color="auto"/>
      </w:divBdr>
    </w:div>
    <w:div w:id="17246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y\Documents\mimsa%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8DE1-831D-4CAE-AC39-E1B61475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mimsa agenda</Template>
  <TotalTime>13</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Andrew Hopkinson</dc:creator>
  <cp:lastModifiedBy>Stuart Andrew Hopkinson</cp:lastModifiedBy>
  <cp:revision>4</cp:revision>
  <cp:lastPrinted>2003-09-10T13:27:00Z</cp:lastPrinted>
  <dcterms:created xsi:type="dcterms:W3CDTF">2011-09-04T14:26:00Z</dcterms:created>
  <dcterms:modified xsi:type="dcterms:W3CDTF">2011-10-21T09:50:00Z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TC011809211033</vt:lpwstr>
  </property>
</Properties>
</file>