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7B" w:rsidRDefault="007B277B"/>
    <w:tbl>
      <w:tblPr>
        <w:tblW w:w="9169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7033"/>
      </w:tblGrid>
      <w:tr w:rsidR="005A2544" w:rsidRPr="000461D3" w:rsidTr="0050627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2544" w:rsidRDefault="005A2544" w:rsidP="00506279">
            <w:pPr>
              <w:rPr>
                <w:b/>
              </w:rPr>
            </w:pPr>
            <w:r w:rsidRPr="000461D3">
              <w:rPr>
                <w:b/>
              </w:rPr>
              <w:t>Společnost:</w:t>
            </w:r>
          </w:p>
          <w:p w:rsidR="005A2544" w:rsidRPr="000461D3" w:rsidRDefault="005A2544" w:rsidP="00506279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7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2544" w:rsidRPr="000461D3" w:rsidRDefault="005A2544" w:rsidP="00506279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Masarykova univerzita, </w:t>
            </w:r>
            <w:r w:rsidRPr="00E779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Žerotínovo nám. 617/9, 601 77 Brno</w:t>
            </w:r>
            <w:bookmarkStart w:id="0" w:name="_GoBack"/>
            <w:bookmarkEnd w:id="0"/>
          </w:p>
        </w:tc>
      </w:tr>
    </w:tbl>
    <w:p w:rsidR="005A2544" w:rsidRPr="00D0314C" w:rsidRDefault="005A2544" w:rsidP="005A2544">
      <w:pPr>
        <w:jc w:val="center"/>
        <w:rPr>
          <w:b/>
          <w:sz w:val="32"/>
          <w:szCs w:val="32"/>
        </w:rPr>
      </w:pPr>
    </w:p>
    <w:p w:rsidR="005A2544" w:rsidRPr="00D0314C" w:rsidRDefault="005A2544" w:rsidP="005A254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Příkaz ke svařování</w:t>
      </w:r>
    </w:p>
    <w:p w:rsidR="005A2544" w:rsidRDefault="005A2544" w:rsidP="005A2544">
      <w:pPr>
        <w:jc w:val="center"/>
        <w:rPr>
          <w:b/>
        </w:rPr>
      </w:pPr>
    </w:p>
    <w:p w:rsidR="005A2544" w:rsidRPr="001D5946" w:rsidRDefault="005A2544" w:rsidP="005A2544">
      <w:pPr>
        <w:jc w:val="center"/>
        <w:rPr>
          <w:b/>
        </w:rPr>
      </w:pPr>
      <w:r w:rsidRPr="001D5946">
        <w:rPr>
          <w:b/>
        </w:rPr>
        <w:t>v místech s nebezpečím vzniku požáru nebo výbuchu s následným požárem</w:t>
      </w:r>
    </w:p>
    <w:p w:rsidR="005A2544" w:rsidRDefault="005A2544" w:rsidP="005A2544"/>
    <w:p w:rsidR="005A2544" w:rsidRDefault="005A2544" w:rsidP="005A2544"/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677"/>
        <w:gridCol w:w="2263"/>
      </w:tblGrid>
      <w:tr w:rsidR="005A2544" w:rsidTr="0050627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Název akce:</w:t>
            </w:r>
          </w:p>
        </w:tc>
        <w:tc>
          <w:tcPr>
            <w:tcW w:w="5940" w:type="dxa"/>
            <w:gridSpan w:val="2"/>
          </w:tcPr>
          <w:p w:rsidR="005A2544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A2544" w:rsidRPr="008401C7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A2544" w:rsidTr="0050627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Datum vydání:</w:t>
            </w:r>
          </w:p>
        </w:tc>
        <w:tc>
          <w:tcPr>
            <w:tcW w:w="5940" w:type="dxa"/>
            <w:gridSpan w:val="2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44" w:rsidTr="0050627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401C7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263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401C7">
              <w:rPr>
                <w:rFonts w:ascii="Times New Roman" w:hAnsi="Times New Roman" w:cs="Times New Roman"/>
              </w:rPr>
              <w:t>Podpis</w:t>
            </w:r>
          </w:p>
        </w:tc>
      </w:tr>
      <w:tr w:rsidR="005A2544" w:rsidTr="0050627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Povolení vydal:</w:t>
            </w:r>
          </w:p>
        </w:tc>
        <w:tc>
          <w:tcPr>
            <w:tcW w:w="3677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44" w:rsidTr="0050627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Požárně bezpečnostní opatření ověřil:</w:t>
            </w:r>
          </w:p>
        </w:tc>
        <w:tc>
          <w:tcPr>
            <w:tcW w:w="3677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44" w:rsidTr="0050627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A2544" w:rsidRPr="003E2375" w:rsidRDefault="005A2544" w:rsidP="00506279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Povolení platí do:</w:t>
            </w:r>
          </w:p>
        </w:tc>
        <w:tc>
          <w:tcPr>
            <w:tcW w:w="5940" w:type="dxa"/>
            <w:gridSpan w:val="2"/>
          </w:tcPr>
          <w:p w:rsidR="005A2544" w:rsidRPr="008401C7" w:rsidRDefault="005A2544" w:rsidP="00506279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2544" w:rsidRDefault="005A2544" w:rsidP="005A2544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</w:p>
    <w:p w:rsidR="005A2544" w:rsidRDefault="005A2544" w:rsidP="005A2544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  <w:r w:rsidRPr="003E2375">
        <w:rPr>
          <w:rFonts w:ascii="Times New Roman" w:hAnsi="Times New Roman" w:cs="Times New Roman"/>
          <w:b/>
        </w:rPr>
        <w:t xml:space="preserve">Všichni pracovníci, kteří se podílejí na pracích v rozsahu vydaného </w:t>
      </w:r>
      <w:r>
        <w:rPr>
          <w:rFonts w:ascii="Times New Roman" w:hAnsi="Times New Roman" w:cs="Times New Roman"/>
          <w:b/>
        </w:rPr>
        <w:t>příkazu,</w:t>
      </w:r>
      <w:r w:rsidRPr="003E2375">
        <w:rPr>
          <w:rFonts w:ascii="Times New Roman" w:hAnsi="Times New Roman" w:cs="Times New Roman"/>
          <w:b/>
        </w:rPr>
        <w:t xml:space="preserve"> jsou povinni se řídit ustanoveními </w:t>
      </w:r>
      <w:r>
        <w:rPr>
          <w:rFonts w:ascii="Times New Roman" w:hAnsi="Times New Roman" w:cs="Times New Roman"/>
          <w:b/>
        </w:rPr>
        <w:t>směrnice Zajištění požární bezpečnosti při svařování.</w:t>
      </w:r>
    </w:p>
    <w:p w:rsidR="005A2544" w:rsidRDefault="005A2544" w:rsidP="005A2544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</w:p>
    <w:p w:rsidR="005A2544" w:rsidRDefault="005A2544" w:rsidP="005A2544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  <w:r w:rsidRPr="003E237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ento příkaz</w:t>
      </w:r>
      <w:r w:rsidRPr="003E2375">
        <w:rPr>
          <w:rFonts w:ascii="Times New Roman" w:hAnsi="Times New Roman" w:cs="Times New Roman"/>
          <w:b/>
        </w:rPr>
        <w:t xml:space="preserve"> ke svařování platí pouze s následujícím vydaným rozsahem zvl</w:t>
      </w:r>
      <w:r>
        <w:rPr>
          <w:rFonts w:ascii="Times New Roman" w:hAnsi="Times New Roman" w:cs="Times New Roman"/>
          <w:b/>
        </w:rPr>
        <w:t>áštních požárně bezpečnostních opatření.</w:t>
      </w:r>
    </w:p>
    <w:p w:rsidR="005A2544" w:rsidRDefault="005A2544" w:rsidP="005A2544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</w:p>
    <w:p w:rsidR="005A2544" w:rsidRPr="003E2375" w:rsidRDefault="005A2544" w:rsidP="005A2544">
      <w:pPr>
        <w:pStyle w:val="h1"/>
        <w:spacing w:before="0" w:beforeAutospacing="0" w:after="0" w:afterAutospacing="0"/>
        <w:jc w:val="center"/>
        <w:rPr>
          <w:rStyle w:val="Siln"/>
          <w:rFonts w:ascii="Times New Roman" w:hAnsi="Times New Roman" w:cs="Times New Roman"/>
        </w:rPr>
      </w:pPr>
    </w:p>
    <w:p w:rsidR="005A2544" w:rsidRPr="003E2375" w:rsidRDefault="005A2544" w:rsidP="005A2544">
      <w:pPr>
        <w:pStyle w:val="h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E2375">
        <w:rPr>
          <w:rStyle w:val="Siln"/>
          <w:rFonts w:ascii="Times New Roman" w:hAnsi="Times New Roman" w:cs="Times New Roman"/>
        </w:rPr>
        <w:t>ROZSAH ZVLÁŠTNÍCH POŽÁRNĚ BEZPEČNOSTNÍCH OPATŘENÍ</w:t>
      </w:r>
    </w:p>
    <w:p w:rsidR="005A2544" w:rsidRPr="003E2375" w:rsidRDefault="005A2544" w:rsidP="005A2544">
      <w:pPr>
        <w:pStyle w:val="h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E2375">
        <w:rPr>
          <w:rFonts w:ascii="Times New Roman" w:hAnsi="Times New Roman" w:cs="Times New Roman"/>
        </w:rPr>
        <w:t> </w:t>
      </w:r>
    </w:p>
    <w:tbl>
      <w:tblPr>
        <w:tblW w:w="4770" w:type="pct"/>
        <w:tblCellSpacing w:w="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9618"/>
      </w:tblGrid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a)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Přesné označení místa, kde se svařování provádí.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Default="005A2544" w:rsidP="00506279">
            <w:r w:rsidRPr="003E2375">
              <w:t xml:space="preserve">  </w:t>
            </w:r>
          </w:p>
          <w:p w:rsidR="005A2544" w:rsidRPr="003E2375" w:rsidRDefault="005A2544" w:rsidP="00506279"/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b)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Přesné stanovení pracovního úkolu.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Default="005A2544" w:rsidP="00506279">
            <w:r w:rsidRPr="003E2375">
              <w:t xml:space="preserve">  </w:t>
            </w:r>
          </w:p>
          <w:p w:rsidR="005A2544" w:rsidRDefault="005A2544" w:rsidP="00506279"/>
          <w:p w:rsidR="005A2544" w:rsidRPr="003E2375" w:rsidRDefault="005A2544" w:rsidP="00506279"/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c)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technologie, která se použije.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>d)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Jmenovité určení svářečů s uvedením dokladu o odborné způsobilosti.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Default="005A2544" w:rsidP="00506279">
            <w:r w:rsidRPr="003E2375">
              <w:t xml:space="preserve">  </w:t>
            </w:r>
          </w:p>
          <w:p w:rsidR="005A2544" w:rsidRDefault="005A2544" w:rsidP="00506279"/>
          <w:p w:rsidR="005A2544" w:rsidRPr="003E2375" w:rsidRDefault="005A2544" w:rsidP="00506279"/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e)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Datum a čas zahájení svařování.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f)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Datum a čas ukončení svařování.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5A2544" w:rsidRDefault="005A2544" w:rsidP="005A2544"/>
    <w:tbl>
      <w:tblPr>
        <w:tblW w:w="4770" w:type="pct"/>
        <w:tblCellSpacing w:w="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9618"/>
      </w:tblGrid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g)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Podrobná specifikace potřebných požárně bezpečnostních opatření, kontrola jejich plnění, způsob prokazování plnění opatření včetně měření koncentrace hořlavých látek, pr</w:t>
            </w:r>
            <w:r>
              <w:rPr>
                <w:sz w:val="20"/>
                <w:szCs w:val="20"/>
              </w:rPr>
              <w:t>okázání jejich splnění, uvedení </w:t>
            </w:r>
            <w:r w:rsidRPr="001D5946">
              <w:rPr>
                <w:sz w:val="20"/>
                <w:szCs w:val="20"/>
              </w:rPr>
              <w:t>jmen odpovědných osob a jmen osob určených k jejich provedení.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 xml:space="preserve">  </w:t>
            </w:r>
          </w:p>
          <w:p w:rsidR="005A2544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</w:p>
          <w:p w:rsidR="005A2544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h)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Určení formy požárního dohledu, počet osob, vymezení povinností, způsob seznámení s povinnostmi, uvedení jmen osob určených k výkonu požárního dohledu v průběhu svařování, při přerušení </w:t>
            </w:r>
            <w:r>
              <w:rPr>
                <w:sz w:val="20"/>
                <w:szCs w:val="20"/>
              </w:rPr>
              <w:t>práce i po </w:t>
            </w:r>
            <w:r w:rsidRPr="001D5946">
              <w:rPr>
                <w:sz w:val="20"/>
                <w:szCs w:val="20"/>
              </w:rPr>
              <w:t>skončení svařování a jeho dokladování.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>  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i)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Potvrzení toho, že účastníci svařování byli před jeho započetím seznámeni s požárně bezpečnostními opatřeními a osoby provádějící požární dohled s vymezenými povinnostmi. Doklad obsahuje jména </w:t>
            </w:r>
            <w:r>
              <w:rPr>
                <w:sz w:val="20"/>
                <w:szCs w:val="20"/>
              </w:rPr>
              <w:t>osob a </w:t>
            </w:r>
            <w:r w:rsidRPr="001D5946">
              <w:rPr>
                <w:sz w:val="20"/>
                <w:szCs w:val="20"/>
              </w:rPr>
              <w:t>jejich podpisy stvrzující seznámení.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>  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j)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druhu a počtu hasebních prostředků.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>  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k)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Uvedení jiných možností hašení v místě (např. existence stabilního </w:t>
            </w:r>
            <w:r>
              <w:rPr>
                <w:sz w:val="20"/>
                <w:szCs w:val="20"/>
              </w:rPr>
              <w:t>hasicího zařízení, zařízení pro </w:t>
            </w:r>
            <w:r w:rsidRPr="001D5946">
              <w:rPr>
                <w:sz w:val="20"/>
                <w:szCs w:val="20"/>
              </w:rPr>
              <w:t>technologické hašení, přítomnost jednotky požární ochrany s příslušným technickým vybavením).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>  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l)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Jméno osoby, které se ohlásí skončení svařování.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m)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Místo a podmínky k ukládání svařovací soupravy po dobu přerušení svařování a při předávání svářečského pracoviště.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r w:rsidRPr="003E2375">
              <w:t>   </w:t>
            </w:r>
          </w:p>
          <w:p w:rsidR="005A2544" w:rsidRPr="003E2375" w:rsidRDefault="005A2544" w:rsidP="00506279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 xml:space="preserve">n) </w:t>
            </w:r>
          </w:p>
        </w:tc>
        <w:tc>
          <w:tcPr>
            <w:tcW w:w="4821" w:type="pct"/>
            <w:vAlign w:val="center"/>
          </w:tcPr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Jméno, funkce a podpis osoby, která příkaz vydala a datum, kdy byl vydán.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> 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179" w:type="pct"/>
            <w:vMerge w:val="restart"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  <w:r w:rsidRPr="003E2375">
              <w:t>o)</w:t>
            </w:r>
          </w:p>
        </w:tc>
        <w:tc>
          <w:tcPr>
            <w:tcW w:w="4821" w:type="pct"/>
            <w:vAlign w:val="center"/>
          </w:tcPr>
          <w:p w:rsidR="005A2544" w:rsidRDefault="005A2544" w:rsidP="00506279">
            <w:pPr>
              <w:rPr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Osoba, které byla uložena nějaká činnost, potvrdí splnění úkonu podpisem a uvede vždy čas a datum; předávání nebo ohlašování činnosti (např. požární dohled, ohlášení skončení svařování) potvrdí podpisem předávající a přebírající, případně osoba ohlašující a osoba, které je činnost ohlášena. </w:t>
            </w:r>
          </w:p>
          <w:p w:rsidR="005A2544" w:rsidRPr="001D5946" w:rsidRDefault="005A2544" w:rsidP="00506279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 záznamů se uvede čas a datum.</w:t>
            </w:r>
          </w:p>
        </w:tc>
      </w:tr>
      <w:tr w:rsidR="005A2544" w:rsidRPr="003E2375" w:rsidTr="00506279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  <w:tc>
          <w:tcPr>
            <w:tcW w:w="4821" w:type="pct"/>
            <w:vAlign w:val="center"/>
          </w:tcPr>
          <w:p w:rsidR="005A2544" w:rsidRDefault="005A2544" w:rsidP="00506279">
            <w:pPr>
              <w:rPr>
                <w:rFonts w:eastAsia="Arial Unicode MS"/>
              </w:rPr>
            </w:pPr>
          </w:p>
          <w:p w:rsidR="005A2544" w:rsidRDefault="005A2544" w:rsidP="00506279">
            <w:pPr>
              <w:rPr>
                <w:rFonts w:eastAsia="Arial Unicode MS"/>
              </w:rPr>
            </w:pPr>
          </w:p>
          <w:p w:rsidR="005A2544" w:rsidRDefault="005A2544" w:rsidP="00506279">
            <w:pPr>
              <w:rPr>
                <w:rFonts w:eastAsia="Arial Unicode MS"/>
              </w:rPr>
            </w:pPr>
          </w:p>
          <w:p w:rsidR="005A2544" w:rsidRPr="003E2375" w:rsidRDefault="005A2544" w:rsidP="00506279">
            <w:pPr>
              <w:rPr>
                <w:rFonts w:eastAsia="Arial Unicode MS"/>
              </w:rPr>
            </w:pPr>
          </w:p>
        </w:tc>
      </w:tr>
    </w:tbl>
    <w:p w:rsidR="005A2544" w:rsidRDefault="005A2544" w:rsidP="005A2544"/>
    <w:p w:rsidR="005A2544" w:rsidRDefault="005A2544" w:rsidP="005A2544"/>
    <w:p w:rsidR="005A2544" w:rsidRDefault="005A2544" w:rsidP="005A2544">
      <w:pPr>
        <w:pStyle w:val="Nadpis2"/>
        <w:numPr>
          <w:ilvl w:val="0"/>
          <w:numId w:val="0"/>
        </w:numPr>
        <w:tabs>
          <w:tab w:val="left" w:pos="3119"/>
        </w:tabs>
        <w:spacing w:before="0" w:after="0"/>
        <w:jc w:val="both"/>
      </w:pPr>
    </w:p>
    <w:p w:rsidR="00235E16" w:rsidRDefault="00235E16"/>
    <w:p w:rsidR="00235E16" w:rsidRDefault="00235E16"/>
    <w:p w:rsidR="00235E16" w:rsidRDefault="00235E16"/>
    <w:sectPr w:rsidR="00235E16" w:rsidSect="00235E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07" w:rsidRDefault="00431207" w:rsidP="00235E16">
      <w:r>
        <w:separator/>
      </w:r>
    </w:p>
  </w:endnote>
  <w:endnote w:type="continuationSeparator" w:id="0">
    <w:p w:rsidR="00431207" w:rsidRDefault="00431207" w:rsidP="002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07" w:rsidRDefault="00431207" w:rsidP="00235E16">
      <w:r>
        <w:separator/>
      </w:r>
    </w:p>
  </w:footnote>
  <w:footnote w:type="continuationSeparator" w:id="0">
    <w:p w:rsidR="00431207" w:rsidRDefault="00431207" w:rsidP="0023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16" w:rsidRDefault="00235E16">
    <w:pPr>
      <w:pStyle w:val="Zhlav"/>
    </w:pPr>
    <w:r>
      <w:rPr>
        <w:noProof/>
      </w:rPr>
      <w:drawing>
        <wp:anchor distT="0" distB="1260475" distL="114300" distR="114300" simplePos="0" relativeHeight="251659264" behindDoc="0" locked="1" layoutInCell="1" allowOverlap="1" wp14:anchorId="4134985C" wp14:editId="19C5DD5D">
          <wp:simplePos x="0" y="0"/>
          <wp:positionH relativeFrom="page">
            <wp:posOffset>450850</wp:posOffset>
          </wp:positionH>
          <wp:positionV relativeFrom="page">
            <wp:posOffset>247650</wp:posOffset>
          </wp:positionV>
          <wp:extent cx="1219200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61"/>
    <w:rsid w:val="00235E16"/>
    <w:rsid w:val="00431207"/>
    <w:rsid w:val="005A2544"/>
    <w:rsid w:val="00755661"/>
    <w:rsid w:val="007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9E764"/>
  <w15:chartTrackingRefBased/>
  <w15:docId w15:val="{1D6F369D-2948-4F2D-8D18-B37BE16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A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5A25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A25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5A2544"/>
    <w:pPr>
      <w:keepNext/>
      <w:numPr>
        <w:ilvl w:val="2"/>
        <w:numId w:val="1"/>
      </w:num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5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5E16"/>
  </w:style>
  <w:style w:type="paragraph" w:styleId="Zpat">
    <w:name w:val="footer"/>
    <w:basedOn w:val="Normln"/>
    <w:link w:val="ZpatChar"/>
    <w:uiPriority w:val="99"/>
    <w:unhideWhenUsed/>
    <w:rsid w:val="0023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E16"/>
  </w:style>
  <w:style w:type="character" w:customStyle="1" w:styleId="Nadpis1Char">
    <w:name w:val="Nadpis 1 Char"/>
    <w:basedOn w:val="Standardnpsmoodstavce"/>
    <w:link w:val="Nadpis1"/>
    <w:rsid w:val="005A2544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2544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A254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Siln">
    <w:name w:val="Strong"/>
    <w:basedOn w:val="Standardnpsmoodstavce"/>
    <w:qFormat/>
    <w:rsid w:val="005A2544"/>
    <w:rPr>
      <w:b/>
      <w:bCs/>
    </w:rPr>
  </w:style>
  <w:style w:type="paragraph" w:customStyle="1" w:styleId="h1">
    <w:name w:val="h1"/>
    <w:basedOn w:val="Normln"/>
    <w:rsid w:val="005A25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5A25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Dvořáček</dc:creator>
  <cp:keywords/>
  <dc:description/>
  <cp:lastModifiedBy>Aleš Dvořáček</cp:lastModifiedBy>
  <cp:revision>3</cp:revision>
  <dcterms:created xsi:type="dcterms:W3CDTF">2017-05-12T10:08:00Z</dcterms:created>
  <dcterms:modified xsi:type="dcterms:W3CDTF">2017-05-12T10:17:00Z</dcterms:modified>
</cp:coreProperties>
</file>