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919" w:rsidRDefault="00632919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tbl>
      <w:tblPr>
        <w:tblW w:w="9390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420"/>
        <w:gridCol w:w="405"/>
        <w:gridCol w:w="1695"/>
        <w:gridCol w:w="105"/>
        <w:gridCol w:w="135"/>
        <w:gridCol w:w="855"/>
        <w:gridCol w:w="855"/>
        <w:gridCol w:w="135"/>
        <w:gridCol w:w="570"/>
        <w:gridCol w:w="135"/>
        <w:gridCol w:w="105"/>
        <w:gridCol w:w="630"/>
        <w:gridCol w:w="285"/>
        <w:gridCol w:w="570"/>
      </w:tblGrid>
      <w:tr w:rsidR="00632919">
        <w:tc>
          <w:tcPr>
            <w:tcW w:w="9390" w:type="dxa"/>
            <w:gridSpan w:val="15"/>
            <w:shd w:val="clear" w:color="auto" w:fill="BDD6EE"/>
          </w:tcPr>
          <w:p w:rsidR="00632919" w:rsidRDefault="00632919">
            <w:pP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F-V – Personální zabezpečení – akademičtí pracovníci</w:t>
            </w:r>
          </w:p>
        </w:tc>
      </w:tr>
      <w:tr w:rsidR="00632919"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Vysoká škola</w:t>
            </w:r>
          </w:p>
        </w:tc>
        <w:tc>
          <w:tcPr>
            <w:tcW w:w="6900" w:type="dxa"/>
            <w:gridSpan w:val="1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Masarykova univerzita</w:t>
            </w:r>
          </w:p>
        </w:tc>
      </w:tr>
      <w:tr w:rsidR="00632919"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Součást vysoké školy</w:t>
            </w:r>
          </w:p>
        </w:tc>
        <w:tc>
          <w:tcPr>
            <w:tcW w:w="6900" w:type="dxa"/>
            <w:gridSpan w:val="1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Filozofická fakulta</w:t>
            </w:r>
          </w:p>
        </w:tc>
      </w:tr>
      <w:tr w:rsidR="00632919"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Název oboru řízení</w:t>
            </w:r>
          </w:p>
        </w:tc>
        <w:tc>
          <w:tcPr>
            <w:tcW w:w="6900" w:type="dxa"/>
            <w:gridSpan w:val="1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Religionistika</w:t>
            </w:r>
          </w:p>
        </w:tc>
      </w:tr>
      <w:tr w:rsidR="00632919"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4605" w:type="dxa"/>
            <w:gridSpan w:val="8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Aleš Chalupa</w:t>
            </w:r>
          </w:p>
        </w:tc>
        <w:tc>
          <w:tcPr>
            <w:tcW w:w="705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Tituly</w:t>
            </w:r>
          </w:p>
        </w:tc>
        <w:tc>
          <w:tcPr>
            <w:tcW w:w="1590" w:type="dxa"/>
            <w:gridSpan w:val="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Mgr., Ph.D.</w:t>
            </w:r>
          </w:p>
        </w:tc>
      </w:tr>
      <w:tr w:rsidR="00632919"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narození</w:t>
            </w:r>
          </w:p>
        </w:tc>
        <w:tc>
          <w:tcPr>
            <w:tcW w:w="825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1973</w:t>
            </w:r>
          </w:p>
        </w:tc>
        <w:tc>
          <w:tcPr>
            <w:tcW w:w="180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 VŠ</w:t>
            </w:r>
          </w:p>
        </w:tc>
        <w:tc>
          <w:tcPr>
            <w:tcW w:w="99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pp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5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1020" w:type="dxa"/>
            <w:gridSpan w:val="3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70" w:type="dxa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632919">
        <w:tc>
          <w:tcPr>
            <w:tcW w:w="5115" w:type="dxa"/>
            <w:gridSpan w:val="5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 součásti VŠ, na které probíhá řízení</w:t>
            </w:r>
          </w:p>
        </w:tc>
        <w:tc>
          <w:tcPr>
            <w:tcW w:w="99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pp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5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1020" w:type="dxa"/>
            <w:gridSpan w:val="3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70" w:type="dxa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632919">
        <w:tc>
          <w:tcPr>
            <w:tcW w:w="6105" w:type="dxa"/>
            <w:gridSpan w:val="7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Další současná působení jako akademický pracovník na VŠ</w:t>
            </w:r>
          </w:p>
        </w:tc>
        <w:tc>
          <w:tcPr>
            <w:tcW w:w="1695" w:type="dxa"/>
            <w:gridSpan w:val="4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prac. vztahu</w:t>
            </w:r>
          </w:p>
        </w:tc>
        <w:tc>
          <w:tcPr>
            <w:tcW w:w="1590" w:type="dxa"/>
            <w:gridSpan w:val="4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</w:tr>
      <w:tr w:rsidR="00632919">
        <w:tc>
          <w:tcPr>
            <w:tcW w:w="6105" w:type="dxa"/>
            <w:gridSpan w:val="7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695" w:type="dxa"/>
            <w:gridSpan w:val="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590" w:type="dxa"/>
            <w:gridSpan w:val="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</w:tr>
      <w:tr w:rsidR="00632919">
        <w:tc>
          <w:tcPr>
            <w:tcW w:w="9390" w:type="dxa"/>
            <w:gridSpan w:val="15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Údaje o oboru vzdělání na VŠ </w:t>
            </w:r>
          </w:p>
        </w:tc>
      </w:tr>
      <w:tr w:rsidR="00632919">
        <w:trPr>
          <w:trHeight w:val="975"/>
        </w:trPr>
        <w:tc>
          <w:tcPr>
            <w:tcW w:w="9390" w:type="dxa"/>
            <w:gridSpan w:val="15"/>
          </w:tcPr>
          <w:p w:rsidR="00632919" w:rsidRDefault="00632919">
            <w:pPr>
              <w:spacing w:before="240"/>
              <w:ind w:leftChars="0" w:left="0" w:firstLineChars="0" w:firstLine="0"/>
            </w:pPr>
            <w:r>
              <w:t xml:space="preserve">2008: Ph.D. obor religionistika, Filozofická fakulta Masarykovy univerzity, disertační práce: </w:t>
            </w:r>
            <w:r>
              <w:rPr>
                <w:i/>
                <w:iCs/>
              </w:rPr>
              <w:t>Římské náboženství a příchod principátu: Změna, nebo kontinuita?</w:t>
            </w:r>
            <w:r>
              <w:t xml:space="preserve"> (školitel prof. PhDr. Jan Bouzek, DrSc.)</w:t>
            </w:r>
            <w:r>
              <w:br/>
            </w:r>
          </w:p>
          <w:p w:rsidR="00632919" w:rsidRDefault="00632919">
            <w:pPr>
              <w:spacing w:after="240"/>
              <w:ind w:leftChars="0" w:left="0" w:firstLineChars="0" w:firstLine="0"/>
            </w:pPr>
            <w:r>
              <w:t xml:space="preserve">2005: Mgr. obory religionistika a latinský jazyk a literatura, diplomová práce: </w:t>
            </w:r>
            <w:r>
              <w:rPr>
                <w:i/>
                <w:iCs/>
              </w:rPr>
              <w:t>Hyeny, nebo lvice? Mithraismus a ženy v kontextu náboženského světa pozdní antiky</w:t>
            </w:r>
            <w:r>
              <w:t xml:space="preserve"> (vedoucí: PhDr. Iva Doležalová)</w:t>
            </w:r>
          </w:p>
        </w:tc>
      </w:tr>
      <w:tr w:rsidR="00632919">
        <w:tc>
          <w:tcPr>
            <w:tcW w:w="9390" w:type="dxa"/>
            <w:gridSpan w:val="15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Údaje o odborném působení od absolvování VŠ</w:t>
            </w:r>
          </w:p>
        </w:tc>
      </w:tr>
      <w:tr w:rsidR="00632919">
        <w:trPr>
          <w:trHeight w:val="240"/>
        </w:trPr>
        <w:tc>
          <w:tcPr>
            <w:tcW w:w="9390" w:type="dxa"/>
            <w:gridSpan w:val="15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2008-dosud: Masarykova univerzita, Filozofická fakulta, Ústav religionistiky</w:t>
            </w:r>
          </w:p>
        </w:tc>
      </w:tr>
      <w:tr w:rsidR="00632919">
        <w:tc>
          <w:tcPr>
            <w:tcW w:w="291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habilitačního řízení </w:t>
            </w:r>
          </w:p>
        </w:tc>
        <w:tc>
          <w:tcPr>
            <w:tcW w:w="2340" w:type="dxa"/>
            <w:gridSpan w:val="4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1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2430" w:type="dxa"/>
            <w:gridSpan w:val="7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Ohlasy publikací</w:t>
            </w:r>
          </w:p>
        </w:tc>
      </w:tr>
      <w:tr w:rsidR="00632919">
        <w:tc>
          <w:tcPr>
            <w:tcW w:w="291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2340" w:type="dxa"/>
            <w:gridSpan w:val="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71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705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WOS</w:t>
            </w:r>
          </w:p>
        </w:tc>
        <w:tc>
          <w:tcPr>
            <w:tcW w:w="870" w:type="dxa"/>
            <w:gridSpan w:val="3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Scopus</w:t>
            </w:r>
          </w:p>
        </w:tc>
        <w:tc>
          <w:tcPr>
            <w:tcW w:w="855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ostatní</w:t>
            </w:r>
          </w:p>
        </w:tc>
      </w:tr>
      <w:tr w:rsidR="00632919">
        <w:trPr>
          <w:cantSplit/>
          <w:trHeight w:val="70"/>
        </w:trPr>
        <w:tc>
          <w:tcPr>
            <w:tcW w:w="291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Obor řízení k jmenování profesorem</w:t>
            </w:r>
          </w:p>
        </w:tc>
        <w:tc>
          <w:tcPr>
            <w:tcW w:w="2340" w:type="dxa"/>
            <w:gridSpan w:val="4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10" w:type="dxa"/>
            <w:gridSpan w:val="2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705" w:type="dxa"/>
            <w:gridSpan w:val="2"/>
            <w:vMerge w:val="restart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8</w:t>
            </w:r>
          </w:p>
        </w:tc>
        <w:tc>
          <w:tcPr>
            <w:tcW w:w="870" w:type="dxa"/>
            <w:gridSpan w:val="3"/>
            <w:vMerge w:val="restart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17</w:t>
            </w:r>
          </w:p>
        </w:tc>
        <w:tc>
          <w:tcPr>
            <w:tcW w:w="855" w:type="dxa"/>
            <w:gridSpan w:val="2"/>
            <w:vMerge w:val="restart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102 (Google Scholar)</w:t>
            </w:r>
          </w:p>
        </w:tc>
      </w:tr>
      <w:tr w:rsidR="00632919">
        <w:trPr>
          <w:cantSplit/>
          <w:trHeight w:val="249"/>
        </w:trPr>
        <w:tc>
          <w:tcPr>
            <w:tcW w:w="291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2340" w:type="dxa"/>
            <w:gridSpan w:val="4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710" w:type="dxa"/>
            <w:gridSpan w:val="2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705" w:type="dxa"/>
            <w:gridSpan w:val="2"/>
            <w:vMerge/>
          </w:tcPr>
          <w:p w:rsidR="00632919" w:rsidRDefault="00632919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70" w:type="dxa"/>
            <w:gridSpan w:val="3"/>
            <w:vMerge/>
          </w:tcPr>
          <w:p w:rsidR="00632919" w:rsidRDefault="00632919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5" w:type="dxa"/>
            <w:gridSpan w:val="2"/>
            <w:vMerge/>
          </w:tcPr>
          <w:p w:rsidR="00632919" w:rsidRDefault="00632919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632919">
        <w:tc>
          <w:tcPr>
            <w:tcW w:w="9390" w:type="dxa"/>
            <w:gridSpan w:val="15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vzdělávací činnosti vztahující se k oboru řízení</w:t>
            </w:r>
          </w:p>
        </w:tc>
      </w:tr>
      <w:tr w:rsidR="00632919">
        <w:trPr>
          <w:trHeight w:val="1566"/>
        </w:trPr>
        <w:tc>
          <w:tcPr>
            <w:tcW w:w="9390" w:type="dxa"/>
            <w:gridSpan w:val="15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Pozvání k přednáškám na významných evropských univerzitách: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Vídeň, Oxford, Budapešť (CEU), Kraków, Szeged, Bratislava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Pravidelná výuka (výběr):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Úvod do religionistiky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Proseminář k úvodu do religionistiky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Úvod do magisterského studia religionistiky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Římské náboženství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Gnosticismus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Manicheismus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rPr>
                <w:b/>
                <w:bCs/>
              </w:rPr>
              <w:t>Vedení prací:</w:t>
            </w:r>
            <w:r>
              <w:t xml:space="preserve"> obhájeno 15 bakalářských, 10 magisterské, 3 disertační (1 disertační aktuálně vedena).</w:t>
            </w:r>
          </w:p>
        </w:tc>
      </w:tr>
      <w:tr w:rsidR="00632919">
        <w:tc>
          <w:tcPr>
            <w:tcW w:w="9390" w:type="dxa"/>
            <w:gridSpan w:val="15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publikační a další tvůrčí činnosti vztahující se k oboru řízení</w:t>
            </w:r>
          </w:p>
        </w:tc>
      </w:tr>
      <w:tr w:rsidR="00632919">
        <w:trPr>
          <w:trHeight w:val="1450"/>
        </w:trPr>
        <w:tc>
          <w:tcPr>
            <w:tcW w:w="9390" w:type="dxa"/>
            <w:gridSpan w:val="15"/>
          </w:tcPr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</w:p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  <w:r>
              <w:t xml:space="preserve">HAMPEJS, Tomáš a Aleš CHALUPA, “Formalizující modelování v neintencionální historii náboženství : Transdisciplinarita mezi přírodní vědou a historickou religionistikou?” </w:t>
            </w:r>
            <w:r>
              <w:rPr>
                <w:i/>
                <w:iCs/>
              </w:rPr>
              <w:t>Religio: revue pro religionistiku</w:t>
            </w:r>
            <w:r>
              <w:t xml:space="preserve"> 26/2, 2018, 99-132. </w:t>
            </w:r>
          </w:p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</w:p>
          <w:p w:rsidR="00632919" w:rsidRDefault="00632919">
            <w:pPr>
              <w:ind w:left="0" w:hanging="2"/>
            </w:pPr>
            <w:r>
              <w:t xml:space="preserve">GLOMB, Tomáš, Adam MERTEL, Zdeněk POSPÍŠIL, Zdeněk STACHOŇ a Aleš CHALUPA. Ptolemaic military operations were a dominant factor in the spread of Egyptian cults across the early Hellenistic Aegean Sea. </w:t>
            </w:r>
            <w:r>
              <w:rPr>
                <w:i/>
                <w:iCs/>
              </w:rPr>
              <w:t>PLOS ONE</w:t>
            </w:r>
            <w:r>
              <w:t>, 2018, roč. 13, č. 3, s. 1-18. ISSN 1932-6203. doi:10.1371/journal.pone.0193786.</w:t>
            </w:r>
          </w:p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</w:p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  <w:r>
              <w:t xml:space="preserve">CHALUPA, Aleš, “The Origins of the Roman Cult of Mithras in the Light of New Evidence and Interpretations: The Current State of Affairs”, </w:t>
            </w:r>
            <w:r>
              <w:rPr>
                <w:i/>
                <w:iCs/>
              </w:rPr>
              <w:t>Religio: revue pro religionistiku</w:t>
            </w:r>
            <w:r>
              <w:t xml:space="preserve"> 24/1, 2016, 65-91. </w:t>
            </w:r>
          </w:p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  <w:r>
              <w:t xml:space="preserve"> </w:t>
            </w:r>
          </w:p>
        </w:tc>
      </w:tr>
      <w:tr w:rsidR="00632919">
        <w:trPr>
          <w:cantSplit/>
        </w:trPr>
        <w:tc>
          <w:tcPr>
            <w:tcW w:w="5010" w:type="dxa"/>
            <w:gridSpan w:val="4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Působení v zahraničí</w:t>
            </w:r>
          </w:p>
        </w:tc>
        <w:tc>
          <w:tcPr>
            <w:tcW w:w="4380" w:type="dxa"/>
            <w:gridSpan w:val="11"/>
            <w:vMerge w:val="restart"/>
          </w:tcPr>
          <w:p w:rsidR="00632919" w:rsidRDefault="00632919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2019: Pozvání (v rámci CEEPUS) k pořádání přednáškového cyklu "The Roman Cult of Mithras" na Jagellonské univerzitě v Krakově (1 měsíc).</w:t>
            </w:r>
          </w:p>
          <w:p w:rsidR="00632919" w:rsidRDefault="00632919">
            <w:pPr>
              <w:spacing w:line="240" w:lineRule="auto"/>
              <w:ind w:left="0" w:hanging="2"/>
              <w:jc w:val="both"/>
            </w:pPr>
          </w:p>
          <w:p w:rsidR="00632919" w:rsidRDefault="00632919">
            <w:pPr>
              <w:spacing w:line="240" w:lineRule="auto"/>
              <w:ind w:left="0" w:hanging="2"/>
              <w:jc w:val="both"/>
            </w:pPr>
            <w:r>
              <w:t>2017: Pozvání (v rámci CEEPUS) k pořádání přednáškového cyklu "An Introduction to Roman Religion" na univerzitě ve Vídni (1 měsíc).</w:t>
            </w: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632919">
        <w:trPr>
          <w:cantSplit/>
          <w:trHeight w:val="1046"/>
        </w:trPr>
        <w:tc>
          <w:tcPr>
            <w:tcW w:w="5010" w:type="dxa"/>
            <w:gridSpan w:val="4"/>
            <w:tcBorders>
              <w:right w:val="nil"/>
            </w:tcBorders>
          </w:tcPr>
          <w:p w:rsidR="00632919" w:rsidRDefault="00632919">
            <w:pPr>
              <w:spacing w:line="240" w:lineRule="auto"/>
              <w:ind w:leftChars="0" w:left="0" w:firstLineChars="0" w:firstLine="0"/>
              <w:jc w:val="both"/>
            </w:pP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380" w:type="dxa"/>
            <w:gridSpan w:val="11"/>
            <w:vMerge/>
          </w:tcPr>
          <w:p w:rsidR="00632919" w:rsidRDefault="00632919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632919">
        <w:trPr>
          <w:trHeight w:val="470"/>
        </w:trPr>
        <w:tc>
          <w:tcPr>
            <w:tcW w:w="2490" w:type="dxa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Podpis </w:t>
            </w:r>
          </w:p>
        </w:tc>
        <w:tc>
          <w:tcPr>
            <w:tcW w:w="4605" w:type="dxa"/>
            <w:gridSpan w:val="8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10" w:type="dxa"/>
            <w:gridSpan w:val="3"/>
            <w:shd w:val="clear" w:color="auto" w:fill="F7CAAC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485" w:type="dxa"/>
            <w:gridSpan w:val="3"/>
          </w:tcPr>
          <w:p w:rsidR="00632919" w:rsidRDefault="00632919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19. 10. 2020</w:t>
            </w:r>
          </w:p>
        </w:tc>
      </w:tr>
    </w:tbl>
    <w:p w:rsidR="00632919" w:rsidRDefault="00632919">
      <w:pPr>
        <w:spacing w:line="240" w:lineRule="auto"/>
        <w:ind w:left="1" w:hanging="3"/>
        <w:rPr>
          <w:color w:val="000000"/>
          <w:sz w:val="28"/>
          <w:szCs w:val="28"/>
        </w:rPr>
      </w:pPr>
    </w:p>
    <w:sectPr w:rsidR="00632919" w:rsidSect="006329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2919" w:rsidRDefault="00632919">
      <w:pPr>
        <w:spacing w:line="240" w:lineRule="auto"/>
        <w:ind w:left="0" w:hanging="2"/>
      </w:pPr>
      <w:r>
        <w:separator/>
      </w:r>
    </w:p>
  </w:endnote>
  <w:endnote w:type="continuationSeparator" w:id="0">
    <w:p w:rsidR="00632919" w:rsidRDefault="006329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919" w:rsidRDefault="00632919">
    <w:pP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632919" w:rsidRDefault="00632919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919" w:rsidRDefault="00632919">
    <w:pP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verze 22. 3.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2919" w:rsidRDefault="00632919">
      <w:pPr>
        <w:spacing w:line="240" w:lineRule="auto"/>
        <w:ind w:left="0" w:hanging="2"/>
      </w:pPr>
      <w:r>
        <w:separator/>
      </w:r>
    </w:p>
  </w:footnote>
  <w:footnote w:type="continuationSeparator" w:id="0">
    <w:p w:rsidR="00632919" w:rsidRDefault="006329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919" w:rsidRDefault="00632919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919" w:rsidRDefault="00632919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4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617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066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2919"/>
    <w:rsid w:val="006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6AC36AC-119D-4F25-AF57-B78DD912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jc w:val="both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919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919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919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919"/>
    <w:rPr>
      <w:b/>
      <w:bCs/>
      <w:position w:val="-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919"/>
    <w:rPr>
      <w:b/>
      <w:bCs/>
      <w:i/>
      <w:iCs/>
      <w:position w:val="-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919"/>
    <w:rPr>
      <w:b/>
      <w:bCs/>
      <w:position w:val="-1"/>
    </w:rPr>
  </w:style>
  <w:style w:type="paragraph" w:styleId="Nzev">
    <w:name w:val="Title"/>
    <w:basedOn w:val="Normln"/>
    <w:next w:val="Normln"/>
    <w:link w:val="Nze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32919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character" w:styleId="Znakapoznpodarou">
    <w:name w:val="footnote reference"/>
    <w:basedOn w:val="Standardnpsmoodstavce"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uiPriority w:val="99"/>
    <w:pPr>
      <w:widowControl w:val="0"/>
      <w:spacing w:line="240" w:lineRule="atLeast"/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32919"/>
    <w:rPr>
      <w:rFonts w:ascii="Times New Roman" w:hAnsi="Times New Roman" w:cs="Times New Roman"/>
      <w:position w:val="-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19"/>
    <w:rPr>
      <w:rFonts w:ascii="Segoe UI" w:hAnsi="Segoe UI" w:cs="Segoe UI"/>
      <w:position w:val="-1"/>
      <w:sz w:val="18"/>
      <w:szCs w:val="18"/>
    </w:rPr>
  </w:style>
  <w:style w:type="character" w:styleId="Odkaznakoment">
    <w:name w:val="annotation reference"/>
    <w:basedOn w:val="Standardnpsmoodstavce"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919"/>
    <w:rPr>
      <w:rFonts w:ascii="Times New Roman" w:hAnsi="Times New Roman" w:cs="Times New Roman"/>
      <w:b/>
      <w:bCs/>
      <w:position w:val="-1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2919"/>
    <w:rPr>
      <w:rFonts w:ascii="Segoe UI" w:hAnsi="Segoe UI" w:cs="Segoe UI"/>
      <w:position w:val="-1"/>
      <w:sz w:val="16"/>
      <w:szCs w:val="16"/>
    </w:rPr>
  </w:style>
  <w:style w:type="character" w:customStyle="1" w:styleId="CharChar">
    <w:name w:val="Char Char"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character" w:styleId="slostrnky">
    <w:name w:val="page number"/>
    <w:basedOn w:val="Standardnpsmoodstavce"/>
    <w:uiPriority w:val="99"/>
    <w:rPr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919"/>
    <w:rPr>
      <w:rFonts w:ascii="Times New Roman" w:hAnsi="Times New Roman" w:cs="Times New Roman"/>
      <w:position w:val="-1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632919"/>
    <w:rPr>
      <w:rFonts w:asciiTheme="majorHAnsi" w:eastAsiaTheme="majorEastAsia" w:hAnsiTheme="majorHAnsi" w:cstheme="majorBidi"/>
      <w:position w:val="-1"/>
      <w:sz w:val="24"/>
      <w:szCs w:val="24"/>
    </w:rPr>
  </w:style>
  <w:style w:type="character" w:styleId="Sledovanodkaz">
    <w:name w:val="FollowedHyperlink"/>
    <w:basedOn w:val="Standardnpsmoodstavce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9</cp:revision>
  <dcterms:created xsi:type="dcterms:W3CDTF">2020-08-31T12:01:00Z</dcterms:created>
  <dcterms:modified xsi:type="dcterms:W3CDTF">2020-11-02T17:36:00Z</dcterms:modified>
</cp:coreProperties>
</file>