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052" w:rsidRDefault="00462052">
      <w:pPr>
        <w:widowControl w:val="0"/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425"/>
        <w:gridCol w:w="405"/>
        <w:gridCol w:w="21"/>
        <w:gridCol w:w="1701"/>
        <w:gridCol w:w="141"/>
        <w:gridCol w:w="851"/>
        <w:gridCol w:w="850"/>
        <w:gridCol w:w="142"/>
        <w:gridCol w:w="567"/>
        <w:gridCol w:w="142"/>
        <w:gridCol w:w="77"/>
        <w:gridCol w:w="632"/>
        <w:gridCol w:w="283"/>
        <w:gridCol w:w="567"/>
      </w:tblGrid>
      <w:tr w:rsidR="00462052">
        <w:tc>
          <w:tcPr>
            <w:tcW w:w="9322" w:type="dxa"/>
            <w:gridSpan w:val="15"/>
            <w:shd w:val="clear" w:color="auto" w:fill="BDD6EE"/>
          </w:tcPr>
          <w:p w:rsidR="00462052" w:rsidRDefault="00462052">
            <w:pP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F-V – Personální zabezpečení – akademičtí pracovníci</w:t>
            </w:r>
          </w:p>
        </w:tc>
      </w:tr>
      <w:tr w:rsidR="00462052">
        <w:tc>
          <w:tcPr>
            <w:tcW w:w="2518" w:type="dxa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Vysoká škola</w:t>
            </w:r>
          </w:p>
        </w:tc>
        <w:tc>
          <w:tcPr>
            <w:tcW w:w="6804" w:type="dxa"/>
            <w:gridSpan w:val="1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Masarykova univerzita</w:t>
            </w:r>
          </w:p>
        </w:tc>
      </w:tr>
      <w:tr w:rsidR="00462052">
        <w:tc>
          <w:tcPr>
            <w:tcW w:w="2518" w:type="dxa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Součást vysoké školy</w:t>
            </w:r>
          </w:p>
        </w:tc>
        <w:tc>
          <w:tcPr>
            <w:tcW w:w="6804" w:type="dxa"/>
            <w:gridSpan w:val="1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Filozofická fakulta</w:t>
            </w:r>
          </w:p>
        </w:tc>
      </w:tr>
      <w:tr w:rsidR="00462052">
        <w:tc>
          <w:tcPr>
            <w:tcW w:w="2518" w:type="dxa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Název oboru řízení</w:t>
            </w:r>
          </w:p>
        </w:tc>
        <w:tc>
          <w:tcPr>
            <w:tcW w:w="6804" w:type="dxa"/>
            <w:gridSpan w:val="1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Religionistika</w:t>
            </w:r>
          </w:p>
        </w:tc>
      </w:tr>
      <w:tr w:rsidR="00462052">
        <w:tc>
          <w:tcPr>
            <w:tcW w:w="2518" w:type="dxa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Jméno a příjmení</w:t>
            </w:r>
          </w:p>
        </w:tc>
        <w:tc>
          <w:tcPr>
            <w:tcW w:w="4536" w:type="dxa"/>
            <w:gridSpan w:val="8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Milan Fujda</w:t>
            </w:r>
          </w:p>
        </w:tc>
        <w:tc>
          <w:tcPr>
            <w:tcW w:w="709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Tituly</w:t>
            </w:r>
          </w:p>
        </w:tc>
        <w:tc>
          <w:tcPr>
            <w:tcW w:w="1559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Mgr., Ph.D.</w:t>
            </w:r>
          </w:p>
        </w:tc>
      </w:tr>
      <w:tr w:rsidR="00462052">
        <w:tc>
          <w:tcPr>
            <w:tcW w:w="2518" w:type="dxa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narození</w:t>
            </w:r>
          </w:p>
        </w:tc>
        <w:tc>
          <w:tcPr>
            <w:tcW w:w="830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1978</w:t>
            </w:r>
          </w:p>
        </w:tc>
        <w:tc>
          <w:tcPr>
            <w:tcW w:w="1722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 VŠ</w:t>
            </w:r>
          </w:p>
        </w:tc>
        <w:tc>
          <w:tcPr>
            <w:tcW w:w="992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pp</w:t>
            </w:r>
          </w:p>
        </w:tc>
        <w:tc>
          <w:tcPr>
            <w:tcW w:w="992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9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40</w:t>
            </w:r>
          </w:p>
        </w:tc>
        <w:tc>
          <w:tcPr>
            <w:tcW w:w="992" w:type="dxa"/>
            <w:gridSpan w:val="3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67" w:type="dxa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N</w:t>
            </w:r>
          </w:p>
        </w:tc>
      </w:tr>
      <w:tr w:rsidR="00462052">
        <w:tc>
          <w:tcPr>
            <w:tcW w:w="5070" w:type="dxa"/>
            <w:gridSpan w:val="5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 součásti VŠ, na které probíhá řízení</w:t>
            </w:r>
          </w:p>
        </w:tc>
        <w:tc>
          <w:tcPr>
            <w:tcW w:w="992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pp</w:t>
            </w:r>
          </w:p>
        </w:tc>
        <w:tc>
          <w:tcPr>
            <w:tcW w:w="992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9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40</w:t>
            </w:r>
          </w:p>
        </w:tc>
        <w:tc>
          <w:tcPr>
            <w:tcW w:w="992" w:type="dxa"/>
            <w:gridSpan w:val="3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67" w:type="dxa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N</w:t>
            </w:r>
          </w:p>
        </w:tc>
      </w:tr>
      <w:tr w:rsidR="00462052">
        <w:tc>
          <w:tcPr>
            <w:tcW w:w="6062" w:type="dxa"/>
            <w:gridSpan w:val="7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Další současná působení jako akademický pracovník na VŠ</w:t>
            </w:r>
          </w:p>
        </w:tc>
        <w:tc>
          <w:tcPr>
            <w:tcW w:w="1701" w:type="dxa"/>
            <w:gridSpan w:val="4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prac. vztahu</w:t>
            </w:r>
          </w:p>
        </w:tc>
        <w:tc>
          <w:tcPr>
            <w:tcW w:w="1559" w:type="dxa"/>
            <w:gridSpan w:val="4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</w:tr>
      <w:tr w:rsidR="00462052">
        <w:tc>
          <w:tcPr>
            <w:tcW w:w="6062" w:type="dxa"/>
            <w:gridSpan w:val="7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62052">
        <w:tc>
          <w:tcPr>
            <w:tcW w:w="6062" w:type="dxa"/>
            <w:gridSpan w:val="7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62052">
        <w:tc>
          <w:tcPr>
            <w:tcW w:w="6062" w:type="dxa"/>
            <w:gridSpan w:val="7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62052">
        <w:tc>
          <w:tcPr>
            <w:tcW w:w="6062" w:type="dxa"/>
            <w:gridSpan w:val="7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62052">
        <w:tc>
          <w:tcPr>
            <w:tcW w:w="9322" w:type="dxa"/>
            <w:gridSpan w:val="15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Údaje o oboru vzdělání na VŠ </w:t>
            </w:r>
          </w:p>
        </w:tc>
      </w:tr>
      <w:tr w:rsidR="00462052">
        <w:trPr>
          <w:trHeight w:val="1055"/>
        </w:trPr>
        <w:tc>
          <w:tcPr>
            <w:tcW w:w="9322" w:type="dxa"/>
            <w:gridSpan w:val="15"/>
          </w:tcPr>
          <w:p w:rsidR="00462052" w:rsidRDefault="00462052">
            <w:pPr>
              <w:spacing w:line="240" w:lineRule="auto"/>
              <w:ind w:left="0" w:hanging="2"/>
              <w:rPr>
                <w:color w:val="000000"/>
              </w:rPr>
            </w:pPr>
            <w:r>
              <w:t xml:space="preserve">2007: Ph.D. v oboru </w:t>
            </w:r>
            <w:r>
              <w:tab/>
              <w:t>religionistika, FF MU Brno</w:t>
            </w:r>
            <w:r>
              <w:br/>
              <w:t xml:space="preserve">2004: Mgr. v oboru </w:t>
            </w:r>
            <w:r>
              <w:tab/>
              <w:t>religionistika, FF MU Brno</w:t>
            </w:r>
          </w:p>
        </w:tc>
      </w:tr>
      <w:tr w:rsidR="00462052">
        <w:tc>
          <w:tcPr>
            <w:tcW w:w="9322" w:type="dxa"/>
            <w:gridSpan w:val="15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Údaje o odborném působení od absolvování VŠ</w:t>
            </w:r>
          </w:p>
        </w:tc>
      </w:tr>
      <w:tr w:rsidR="00462052">
        <w:trPr>
          <w:trHeight w:val="1682"/>
        </w:trPr>
        <w:tc>
          <w:tcPr>
            <w:tcW w:w="9322" w:type="dxa"/>
            <w:gridSpan w:val="15"/>
          </w:tcPr>
          <w:p w:rsidR="00462052" w:rsidRDefault="00462052">
            <w:pPr>
              <w:numPr>
                <w:ilvl w:val="0"/>
                <w:numId w:val="1"/>
              </w:numPr>
              <w:ind w:left="0" w:hanging="2"/>
            </w:pPr>
            <w:r>
              <w:t>Od 2008 odborný asistent Ústavu religionistiky FF MU.</w:t>
            </w:r>
          </w:p>
          <w:p w:rsidR="00462052" w:rsidRDefault="00462052">
            <w:pPr>
              <w:numPr>
                <w:ilvl w:val="0"/>
                <w:numId w:val="1"/>
              </w:numPr>
              <w:ind w:left="0" w:hanging="2"/>
            </w:pPr>
            <w:r>
              <w:t>2010-2012: FF MU Brno, Centrum pro religionistiku a multikulturní edukaci (odborný garant)</w:t>
            </w:r>
          </w:p>
          <w:p w:rsidR="00462052" w:rsidRDefault="00462052">
            <w:pPr>
              <w:numPr>
                <w:ilvl w:val="0"/>
                <w:numId w:val="1"/>
              </w:numPr>
              <w:ind w:left="0" w:hanging="2"/>
            </w:pPr>
            <w:r>
              <w:t>2008: odborný pracovník Ústavu religionistiky FF MU odpovědný za přípravu evropských projektů.</w:t>
            </w:r>
          </w:p>
          <w:p w:rsidR="00462052" w:rsidRDefault="00462052">
            <w:pPr>
              <w:numPr>
                <w:ilvl w:val="0"/>
                <w:numId w:val="1"/>
              </w:numPr>
              <w:spacing w:after="240"/>
              <w:ind w:left="0" w:hanging="2"/>
            </w:pPr>
            <w:r>
              <w:t>2007: badatel v rámci projektu FP6 (REVACERN) - ve spolupráci s Masarykovou universitou a Universitou ve Vídni, externí přednášející na Ústavu religionistiky FF MU.</w:t>
            </w:r>
          </w:p>
        </w:tc>
      </w:tr>
      <w:tr w:rsidR="00462052">
        <w:tc>
          <w:tcPr>
            <w:tcW w:w="2943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Obor habilitačního řízení </w:t>
            </w:r>
          </w:p>
        </w:tc>
        <w:tc>
          <w:tcPr>
            <w:tcW w:w="2268" w:type="dxa"/>
            <w:gridSpan w:val="4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01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2410" w:type="dxa"/>
            <w:gridSpan w:val="7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Ohlasy publikací</w:t>
            </w:r>
          </w:p>
        </w:tc>
      </w:tr>
      <w:tr w:rsidR="00462052">
        <w:tc>
          <w:tcPr>
            <w:tcW w:w="2943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WOS</w:t>
            </w:r>
          </w:p>
        </w:tc>
        <w:tc>
          <w:tcPr>
            <w:tcW w:w="851" w:type="dxa"/>
            <w:gridSpan w:val="3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Scopus</w:t>
            </w:r>
          </w:p>
        </w:tc>
        <w:tc>
          <w:tcPr>
            <w:tcW w:w="850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ostatní</w:t>
            </w:r>
          </w:p>
        </w:tc>
      </w:tr>
      <w:tr w:rsidR="00462052">
        <w:trPr>
          <w:cantSplit/>
          <w:trHeight w:val="70"/>
        </w:trPr>
        <w:tc>
          <w:tcPr>
            <w:tcW w:w="2943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Obor řízení k jmenování profesorem</w:t>
            </w:r>
          </w:p>
        </w:tc>
        <w:tc>
          <w:tcPr>
            <w:tcW w:w="2268" w:type="dxa"/>
            <w:gridSpan w:val="4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01" w:type="dxa"/>
            <w:gridSpan w:val="2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709" w:type="dxa"/>
            <w:gridSpan w:val="2"/>
            <w:vMerge w:val="restart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3"/>
            <w:vMerge w:val="restart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gridSpan w:val="2"/>
            <w:vMerge w:val="restart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462052">
        <w:trPr>
          <w:cantSplit/>
          <w:trHeight w:val="249"/>
        </w:trPr>
        <w:tc>
          <w:tcPr>
            <w:tcW w:w="2943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4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</w:tcPr>
          <w:p w:rsidR="00462052" w:rsidRDefault="00462052">
            <w:pPr>
              <w:widowControl w:val="0"/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</w:tcPr>
          <w:p w:rsidR="00462052" w:rsidRDefault="00462052">
            <w:pPr>
              <w:widowControl w:val="0"/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</w:tcPr>
          <w:p w:rsidR="00462052" w:rsidRDefault="00462052">
            <w:pPr>
              <w:widowControl w:val="0"/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462052">
        <w:tc>
          <w:tcPr>
            <w:tcW w:w="9322" w:type="dxa"/>
            <w:gridSpan w:val="15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vzdělávací činnosti vztahující se k oboru řízení</w:t>
            </w:r>
          </w:p>
        </w:tc>
      </w:tr>
      <w:tr w:rsidR="00462052">
        <w:trPr>
          <w:trHeight w:val="1566"/>
        </w:trPr>
        <w:tc>
          <w:tcPr>
            <w:tcW w:w="9322" w:type="dxa"/>
            <w:gridSpan w:val="15"/>
          </w:tcPr>
          <w:p w:rsidR="00462052" w:rsidRDefault="00462052">
            <w:pPr>
              <w:spacing w:line="240" w:lineRule="auto"/>
              <w:ind w:left="0" w:hanging="2"/>
              <w:jc w:val="both"/>
            </w:pPr>
            <w:r>
              <w:t>Předměty:</w:t>
            </w:r>
          </w:p>
          <w:p w:rsidR="00462052" w:rsidRDefault="00462052">
            <w:pPr>
              <w:spacing w:line="240" w:lineRule="auto"/>
              <w:ind w:left="0" w:hanging="2"/>
              <w:jc w:val="both"/>
            </w:pPr>
            <w:r>
              <w:t>Náboženství v sociologicko-antropologické perspektivě, Angažovaná religionistika, Religionistika v mediální a neziskové sféře, Teoreticko-metodologický seminář, Indická náboženství, Foucault, analýza diskursu a teorie náboženství, Antropologie utrpení, nemoci a nejistoty aj.</w:t>
            </w:r>
          </w:p>
        </w:tc>
      </w:tr>
      <w:tr w:rsidR="00462052">
        <w:tc>
          <w:tcPr>
            <w:tcW w:w="9322" w:type="dxa"/>
            <w:gridSpan w:val="15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publikační a další tvůrčí činnosti vztahující se k oboru řízení</w:t>
            </w:r>
          </w:p>
        </w:tc>
      </w:tr>
      <w:tr w:rsidR="00462052">
        <w:trPr>
          <w:trHeight w:val="1450"/>
        </w:trPr>
        <w:tc>
          <w:tcPr>
            <w:tcW w:w="9322" w:type="dxa"/>
            <w:gridSpan w:val="15"/>
          </w:tcPr>
          <w:p w:rsidR="00462052" w:rsidRDefault="00462052">
            <w:pPr>
              <w:spacing w:line="240" w:lineRule="auto"/>
              <w:ind w:left="0" w:hanging="2"/>
              <w:jc w:val="both"/>
            </w:pPr>
            <w:r>
              <w:t xml:space="preserve">FUJDA, Milan. Connecting Fitzgerald and Latour for the Sake of Democratic Religious Studies. </w:t>
            </w:r>
            <w:r>
              <w:rPr>
                <w:i/>
                <w:iCs/>
              </w:rPr>
              <w:t>Implicit Religion</w:t>
            </w:r>
            <w:r>
              <w:t>, Sheffield: Equinox, 2020, roč. 22, 3-4, s. 391-412. ISSN 1463-9955. doi:10.1558/imre.41065.</w:t>
            </w:r>
          </w:p>
          <w:p w:rsidR="00462052" w:rsidRDefault="00462052">
            <w:pPr>
              <w:spacing w:line="240" w:lineRule="auto"/>
              <w:ind w:left="0" w:hanging="2"/>
              <w:jc w:val="both"/>
            </w:pPr>
            <w:hyperlink r:id="rId7">
              <w:r>
                <w:t>FUJDA, Milan</w:t>
              </w:r>
            </w:hyperlink>
            <w:r>
              <w:t xml:space="preserve">. Zakázaná slova, etnometodologické inspirace a náboženství jako modus existence : recenzní esej ke knize „Stopovat a skládat světy s Brunem Latourem“. </w:t>
            </w:r>
            <w:r>
              <w:rPr>
                <w:i/>
                <w:iCs/>
              </w:rPr>
              <w:t>Religio: revue pro religionistiku</w:t>
            </w:r>
            <w:r>
              <w:t>, Brno: Česká společnost pro religionistiku o.s., 2017, roč. 25, č. 2, s. 153-167. ISSN 1210-3640.</w:t>
            </w:r>
          </w:p>
          <w:p w:rsidR="00462052" w:rsidRDefault="00462052">
            <w:pPr>
              <w:spacing w:line="240" w:lineRule="auto"/>
              <w:ind w:left="0" w:hanging="2"/>
              <w:jc w:val="both"/>
            </w:pPr>
            <w:hyperlink r:id="rId8">
              <w:r>
                <w:t>FUJDA, Milan</w:t>
              </w:r>
            </w:hyperlink>
            <w:r>
              <w:t xml:space="preserve">. From Religion to Ordering Uncertainty: A Lesson from Dancers. In Ingman, Peik; Utriainen, Terhi; Hovi, Tuija; Broo, Måns. </w:t>
            </w:r>
            <w:r>
              <w:rPr>
                <w:i/>
                <w:iCs/>
              </w:rPr>
              <w:t>The Relational Dynamics of Enchantment and Sacralization: Changing the Terms of the Religion Versus Secularity Debate</w:t>
            </w:r>
            <w:r>
              <w:t>. 1st. Sheffiled: Equinox, 2016. s. 207-230, 24 s. The Study of Religion in a Global Context, 1. ISBN 978-1-78179-474-6.</w:t>
            </w:r>
          </w:p>
          <w:p w:rsidR="00462052" w:rsidRDefault="00462052">
            <w:pPr>
              <w:spacing w:line="240" w:lineRule="auto"/>
              <w:ind w:left="0" w:hanging="2"/>
              <w:jc w:val="both"/>
            </w:pPr>
            <w:hyperlink r:id="rId9">
              <w:r>
                <w:t>FUJDA, Milan</w:t>
              </w:r>
            </w:hyperlink>
            <w:r>
              <w:t xml:space="preserve">. What Would an Informant Tell Me after Reading My Paper? On the Theoretical Significance of Ethical Commitment and Political Transparency in Symmetrical Practice of Studying Religion(s). </w:t>
            </w:r>
            <w:r>
              <w:rPr>
                <w:i/>
                <w:iCs/>
              </w:rPr>
              <w:t>Religio : revue pro religionistiku</w:t>
            </w:r>
            <w:r>
              <w:t>, Brno: Česká společnost pro religionistiku o.s., 2015, roč. 23, č. 1, s. 57-86. ISSN 1210-3640.</w:t>
            </w:r>
          </w:p>
          <w:p w:rsidR="00462052" w:rsidRDefault="00462052">
            <w:pPr>
              <w:spacing w:line="240" w:lineRule="auto"/>
              <w:ind w:leftChars="0" w:left="0" w:firstLineChars="0" w:firstLine="0"/>
              <w:jc w:val="both"/>
            </w:pPr>
          </w:p>
        </w:tc>
      </w:tr>
      <w:tr w:rsidR="00462052">
        <w:trPr>
          <w:cantSplit/>
        </w:trPr>
        <w:tc>
          <w:tcPr>
            <w:tcW w:w="3369" w:type="dxa"/>
            <w:gridSpan w:val="4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Působení v zahraničí</w:t>
            </w:r>
          </w:p>
        </w:tc>
        <w:tc>
          <w:tcPr>
            <w:tcW w:w="5953" w:type="dxa"/>
            <w:gridSpan w:val="11"/>
            <w:vMerge w:val="restart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2005-2006: 8. 12. 2005 – 8. 10. 2006, výzkumné stipendium, Centrum pro filozofii a dějiny vědy, Fakulta mentálních, morálních a sociálních věd, University of Pune (Maháráštra, Indie) – stipendium ICCR (Indian Council for Cultural Relations) poskytované v rámci mezivládních kulturních dohod na základě konkurzů MŠMT ČR (10 měsíců).</w:t>
            </w:r>
          </w:p>
        </w:tc>
      </w:tr>
      <w:tr w:rsidR="00462052">
        <w:trPr>
          <w:cantSplit/>
          <w:trHeight w:val="1046"/>
        </w:trPr>
        <w:tc>
          <w:tcPr>
            <w:tcW w:w="3369" w:type="dxa"/>
            <w:gridSpan w:val="4"/>
            <w:tcBorders>
              <w:right w:val="nil"/>
            </w:tcBorders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953" w:type="dxa"/>
            <w:gridSpan w:val="11"/>
            <w:vMerge/>
          </w:tcPr>
          <w:p w:rsidR="00462052" w:rsidRDefault="00462052">
            <w:pPr>
              <w:widowControl w:val="0"/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462052">
        <w:trPr>
          <w:trHeight w:val="470"/>
        </w:trPr>
        <w:tc>
          <w:tcPr>
            <w:tcW w:w="2518" w:type="dxa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Podpis </w:t>
            </w:r>
          </w:p>
        </w:tc>
        <w:tc>
          <w:tcPr>
            <w:tcW w:w="4536" w:type="dxa"/>
            <w:gridSpan w:val="8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Milan Fujda</w:t>
            </w:r>
          </w:p>
        </w:tc>
        <w:tc>
          <w:tcPr>
            <w:tcW w:w="786" w:type="dxa"/>
            <w:gridSpan w:val="3"/>
            <w:shd w:val="clear" w:color="auto" w:fill="F7CAAC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1482" w:type="dxa"/>
            <w:gridSpan w:val="3"/>
          </w:tcPr>
          <w:p w:rsidR="00462052" w:rsidRDefault="00462052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15. 9. 2020</w:t>
            </w:r>
          </w:p>
        </w:tc>
      </w:tr>
    </w:tbl>
    <w:p w:rsidR="00462052" w:rsidRDefault="00462052">
      <w:pPr>
        <w:spacing w:line="240" w:lineRule="auto"/>
        <w:ind w:left="1" w:hanging="3"/>
        <w:rPr>
          <w:color w:val="000000"/>
          <w:sz w:val="28"/>
          <w:szCs w:val="28"/>
        </w:rPr>
      </w:pPr>
    </w:p>
    <w:sectPr w:rsidR="00462052" w:rsidSect="0046205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2052" w:rsidRDefault="00462052">
      <w:pPr>
        <w:spacing w:line="240" w:lineRule="auto"/>
        <w:ind w:left="0" w:hanging="2"/>
      </w:pPr>
      <w:r>
        <w:separator/>
      </w:r>
    </w:p>
  </w:endnote>
  <w:endnote w:type="continuationSeparator" w:id="0">
    <w:p w:rsidR="00462052" w:rsidRDefault="004620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052" w:rsidRDefault="00462052">
    <w:pP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462052" w:rsidRDefault="00462052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052" w:rsidRDefault="00462052">
    <w:pP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verze 22. 3.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2052" w:rsidRDefault="00462052">
      <w:pPr>
        <w:spacing w:line="240" w:lineRule="auto"/>
        <w:ind w:left="0" w:hanging="2"/>
      </w:pPr>
      <w:r>
        <w:separator/>
      </w:r>
    </w:p>
  </w:footnote>
  <w:footnote w:type="continuationSeparator" w:id="0">
    <w:p w:rsidR="00462052" w:rsidRDefault="004620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052" w:rsidRDefault="00462052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052" w:rsidRDefault="00462052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0778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9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2052"/>
    <w:rsid w:val="004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08C5F2E-B9F4-458B-BE7D-838A91CD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jc w:val="both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2052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2052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2052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052"/>
    <w:rPr>
      <w:b/>
      <w:bCs/>
      <w:position w:val="-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2052"/>
    <w:rPr>
      <w:b/>
      <w:bCs/>
      <w:i/>
      <w:iCs/>
      <w:position w:val="-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2052"/>
    <w:rPr>
      <w:b/>
      <w:bCs/>
      <w:position w:val="-1"/>
    </w:rPr>
  </w:style>
  <w:style w:type="paragraph" w:styleId="Nzev">
    <w:name w:val="Title"/>
    <w:basedOn w:val="Normln"/>
    <w:next w:val="Normln"/>
    <w:link w:val="Nzev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62052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character" w:styleId="Znakapoznpodarou">
    <w:name w:val="footnote reference"/>
    <w:basedOn w:val="Standardnpsmoodstavce"/>
    <w:uiPriority w:val="99"/>
    <w:rPr>
      <w:w w:val="100"/>
      <w:sz w:val="20"/>
      <w:szCs w:val="20"/>
      <w:effect w:val="none"/>
      <w:vertAlign w:val="superscript"/>
      <w:em w:val="none"/>
    </w:rPr>
  </w:style>
  <w:style w:type="paragraph" w:styleId="Zkladntext3">
    <w:name w:val="Body Text 3"/>
    <w:basedOn w:val="Normln"/>
    <w:link w:val="Zkladntext3Char"/>
    <w:uiPriority w:val="99"/>
    <w:pPr>
      <w:widowControl w:val="0"/>
      <w:spacing w:line="240" w:lineRule="atLeast"/>
      <w:jc w:val="both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62052"/>
    <w:rPr>
      <w:rFonts w:ascii="Times New Roman" w:hAnsi="Times New Roman" w:cs="Times New Roman"/>
      <w:position w:val="-1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widowControl w:val="0"/>
      <w:tabs>
        <w:tab w:val="left" w:pos="2410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2052"/>
    <w:rPr>
      <w:rFonts w:ascii="Times New Roman" w:hAnsi="Times New Roman" w:cs="Times New Roman"/>
      <w:position w:val="-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2052"/>
    <w:rPr>
      <w:rFonts w:ascii="Times New Roman" w:hAnsi="Times New Roman" w:cs="Times New Roman"/>
      <w:position w:val="-1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2052"/>
    <w:rPr>
      <w:rFonts w:ascii="Times New Roman" w:hAnsi="Times New Roman" w:cs="Times New Roman"/>
      <w:position w:val="-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052"/>
    <w:rPr>
      <w:rFonts w:ascii="Segoe UI" w:hAnsi="Segoe UI" w:cs="Segoe UI"/>
      <w:position w:val="-1"/>
      <w:sz w:val="18"/>
      <w:szCs w:val="18"/>
    </w:rPr>
  </w:style>
  <w:style w:type="character" w:styleId="Odkaznakoment">
    <w:name w:val="annotation reference"/>
    <w:basedOn w:val="Standardnpsmoodstavce"/>
    <w:uiPriority w:val="99"/>
    <w:rPr>
      <w:w w:val="100"/>
      <w:sz w:val="16"/>
      <w:szCs w:val="16"/>
      <w:effect w:val="none"/>
      <w:vertAlign w:val="baseline"/>
      <w:em w:val="none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52"/>
    <w:rPr>
      <w:rFonts w:ascii="Times New Roman" w:hAnsi="Times New Roman" w:cs="Times New Roman"/>
      <w:position w:val="-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52"/>
    <w:rPr>
      <w:rFonts w:ascii="Times New Roman" w:hAnsi="Times New Roman" w:cs="Times New Roman"/>
      <w:b/>
      <w:bCs/>
      <w:position w:val="-1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62052"/>
    <w:rPr>
      <w:rFonts w:ascii="Segoe UI" w:hAnsi="Segoe UI" w:cs="Segoe UI"/>
      <w:position w:val="-1"/>
      <w:sz w:val="16"/>
      <w:szCs w:val="16"/>
    </w:rPr>
  </w:style>
  <w:style w:type="character" w:customStyle="1" w:styleId="CharChar">
    <w:name w:val="Char Char"/>
    <w:uiPriority w:val="99"/>
    <w:rPr>
      <w:w w:val="100"/>
      <w:effect w:val="none"/>
      <w:vertAlign w:val="baseline"/>
      <w:em w:val="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2052"/>
    <w:rPr>
      <w:rFonts w:ascii="Times New Roman" w:hAnsi="Times New Roman" w:cs="Times New Roman"/>
      <w:position w:val="-1"/>
      <w:sz w:val="20"/>
      <w:szCs w:val="20"/>
    </w:rPr>
  </w:style>
  <w:style w:type="character" w:styleId="slostrnky">
    <w:name w:val="page number"/>
    <w:basedOn w:val="Standardnpsmoodstavce"/>
    <w:uiPriority w:val="99"/>
    <w:rPr>
      <w:w w:val="100"/>
      <w:effect w:val="none"/>
      <w:vertAlign w:val="baseline"/>
      <w:em w:val="non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2052"/>
    <w:rPr>
      <w:rFonts w:ascii="Times New Roman" w:hAnsi="Times New Roman" w:cs="Times New Roman"/>
      <w:position w:val="-1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auto"/>
      <w:w w:val="100"/>
      <w:u w:val="single"/>
      <w:effect w:val="none"/>
      <w:vertAlign w:val="baseline"/>
      <w:em w:val="none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462052"/>
    <w:rPr>
      <w:rFonts w:asciiTheme="majorHAnsi" w:eastAsiaTheme="majorEastAsia" w:hAnsiTheme="majorHAnsi" w:cstheme="majorBidi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4090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4090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409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</cp:lastModifiedBy>
  <cp:revision>5</cp:revision>
  <dcterms:created xsi:type="dcterms:W3CDTF">2020-08-31T12:01:00Z</dcterms:created>
  <dcterms:modified xsi:type="dcterms:W3CDTF">2020-11-02T17:30:00Z</dcterms:modified>
</cp:coreProperties>
</file>