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1BCA" w:rsidRDefault="00511BCA">
      <w:pPr>
        <w:pStyle w:val="normal1"/>
        <w:widowControl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9400" w:type="dxa"/>
        <w:tblInd w:w="-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8"/>
        <w:gridCol w:w="425"/>
        <w:gridCol w:w="405"/>
        <w:gridCol w:w="1695"/>
        <w:gridCol w:w="105"/>
        <w:gridCol w:w="141"/>
        <w:gridCol w:w="851"/>
        <w:gridCol w:w="850"/>
        <w:gridCol w:w="142"/>
        <w:gridCol w:w="567"/>
        <w:gridCol w:w="142"/>
        <w:gridCol w:w="77"/>
        <w:gridCol w:w="632"/>
        <w:gridCol w:w="283"/>
        <w:gridCol w:w="567"/>
      </w:tblGrid>
      <w:tr w:rsidR="00511BCA">
        <w:tc>
          <w:tcPr>
            <w:tcW w:w="9400" w:type="dxa"/>
            <w:gridSpan w:val="15"/>
            <w:shd w:val="clear" w:color="auto" w:fill="BDD6EE"/>
          </w:tcPr>
          <w:p w:rsidR="00511BCA" w:rsidRDefault="00511BCA">
            <w:pPr>
              <w:pStyle w:val="normal1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F-V – Personální zabezpečení – akademičtí pracovníci</w:t>
            </w:r>
          </w:p>
        </w:tc>
      </w:tr>
      <w:tr w:rsidR="00511BCA">
        <w:tc>
          <w:tcPr>
            <w:tcW w:w="2518" w:type="dxa"/>
            <w:shd w:val="clear" w:color="auto" w:fill="F7CAAC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Vysoká škola</w:t>
            </w:r>
          </w:p>
        </w:tc>
        <w:tc>
          <w:tcPr>
            <w:tcW w:w="6882" w:type="dxa"/>
            <w:gridSpan w:val="14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Masarykova univerzita</w:t>
            </w:r>
          </w:p>
        </w:tc>
      </w:tr>
      <w:tr w:rsidR="00511BCA">
        <w:tc>
          <w:tcPr>
            <w:tcW w:w="2518" w:type="dxa"/>
            <w:shd w:val="clear" w:color="auto" w:fill="F7CAAC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Součást vysoké školy</w:t>
            </w:r>
          </w:p>
        </w:tc>
        <w:tc>
          <w:tcPr>
            <w:tcW w:w="6882" w:type="dxa"/>
            <w:gridSpan w:val="14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Filozofická fakulta</w:t>
            </w:r>
          </w:p>
        </w:tc>
      </w:tr>
      <w:tr w:rsidR="00511BCA">
        <w:tc>
          <w:tcPr>
            <w:tcW w:w="2518" w:type="dxa"/>
            <w:shd w:val="clear" w:color="auto" w:fill="F7CAAC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Název oboru řízení</w:t>
            </w:r>
          </w:p>
        </w:tc>
        <w:tc>
          <w:tcPr>
            <w:tcW w:w="6882" w:type="dxa"/>
            <w:gridSpan w:val="14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Religionistika</w:t>
            </w:r>
          </w:p>
        </w:tc>
      </w:tr>
      <w:tr w:rsidR="00511BCA">
        <w:tc>
          <w:tcPr>
            <w:tcW w:w="2518" w:type="dxa"/>
            <w:shd w:val="clear" w:color="auto" w:fill="F7CAAC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Jméno a příjmení</w:t>
            </w:r>
          </w:p>
        </w:tc>
        <w:tc>
          <w:tcPr>
            <w:tcW w:w="4614" w:type="dxa"/>
            <w:gridSpan w:val="8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t>Eva Kundtová Klocová</w:t>
            </w:r>
          </w:p>
        </w:tc>
        <w:tc>
          <w:tcPr>
            <w:tcW w:w="709" w:type="dxa"/>
            <w:gridSpan w:val="2"/>
            <w:shd w:val="clear" w:color="auto" w:fill="F7CAAC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Tituly</w:t>
            </w:r>
          </w:p>
        </w:tc>
        <w:tc>
          <w:tcPr>
            <w:tcW w:w="1559" w:type="dxa"/>
            <w:gridSpan w:val="4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t>Mgr., Ph.D.</w:t>
            </w:r>
          </w:p>
        </w:tc>
      </w:tr>
      <w:tr w:rsidR="00511BCA">
        <w:tc>
          <w:tcPr>
            <w:tcW w:w="2518" w:type="dxa"/>
            <w:shd w:val="clear" w:color="auto" w:fill="F7CAAC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Rok narození</w:t>
            </w:r>
          </w:p>
        </w:tc>
        <w:tc>
          <w:tcPr>
            <w:tcW w:w="830" w:type="dxa"/>
            <w:gridSpan w:val="2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t>1986</w:t>
            </w:r>
          </w:p>
        </w:tc>
        <w:tc>
          <w:tcPr>
            <w:tcW w:w="1800" w:type="dxa"/>
            <w:gridSpan w:val="2"/>
            <w:shd w:val="clear" w:color="auto" w:fill="F7CAAC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typ vztahu k VŠ</w:t>
            </w:r>
          </w:p>
        </w:tc>
        <w:tc>
          <w:tcPr>
            <w:tcW w:w="992" w:type="dxa"/>
            <w:gridSpan w:val="2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t>pp.</w:t>
            </w:r>
          </w:p>
        </w:tc>
        <w:tc>
          <w:tcPr>
            <w:tcW w:w="992" w:type="dxa"/>
            <w:gridSpan w:val="2"/>
            <w:shd w:val="clear" w:color="auto" w:fill="F7CAAC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rozsah</w:t>
            </w:r>
          </w:p>
        </w:tc>
        <w:tc>
          <w:tcPr>
            <w:tcW w:w="709" w:type="dxa"/>
            <w:gridSpan w:val="2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t>40</w:t>
            </w:r>
          </w:p>
        </w:tc>
        <w:tc>
          <w:tcPr>
            <w:tcW w:w="992" w:type="dxa"/>
            <w:gridSpan w:val="3"/>
            <w:shd w:val="clear" w:color="auto" w:fill="F7CAAC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do kdy</w:t>
            </w:r>
          </w:p>
        </w:tc>
        <w:tc>
          <w:tcPr>
            <w:tcW w:w="567" w:type="dxa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t>2020</w:t>
            </w:r>
          </w:p>
        </w:tc>
      </w:tr>
      <w:tr w:rsidR="00511BCA">
        <w:tc>
          <w:tcPr>
            <w:tcW w:w="5148" w:type="dxa"/>
            <w:gridSpan w:val="5"/>
            <w:shd w:val="clear" w:color="auto" w:fill="F7CAAC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Typ vztahu k součásti VŠ, na které probíhá řízení</w:t>
            </w:r>
          </w:p>
        </w:tc>
        <w:tc>
          <w:tcPr>
            <w:tcW w:w="992" w:type="dxa"/>
            <w:gridSpan w:val="2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t>pp.</w:t>
            </w:r>
          </w:p>
        </w:tc>
        <w:tc>
          <w:tcPr>
            <w:tcW w:w="992" w:type="dxa"/>
            <w:gridSpan w:val="2"/>
            <w:shd w:val="clear" w:color="auto" w:fill="F7CAAC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rozsah</w:t>
            </w:r>
          </w:p>
        </w:tc>
        <w:tc>
          <w:tcPr>
            <w:tcW w:w="709" w:type="dxa"/>
            <w:gridSpan w:val="2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t>40</w:t>
            </w:r>
          </w:p>
        </w:tc>
        <w:tc>
          <w:tcPr>
            <w:tcW w:w="992" w:type="dxa"/>
            <w:gridSpan w:val="3"/>
            <w:shd w:val="clear" w:color="auto" w:fill="F7CAAC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do kdy</w:t>
            </w:r>
          </w:p>
        </w:tc>
        <w:tc>
          <w:tcPr>
            <w:tcW w:w="567" w:type="dxa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t>2020</w:t>
            </w:r>
          </w:p>
        </w:tc>
      </w:tr>
      <w:tr w:rsidR="00511BCA">
        <w:tc>
          <w:tcPr>
            <w:tcW w:w="6140" w:type="dxa"/>
            <w:gridSpan w:val="7"/>
            <w:shd w:val="clear" w:color="auto" w:fill="F7CAAC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Další současná působení jako akademický pracovník na VŠ</w:t>
            </w:r>
          </w:p>
        </w:tc>
        <w:tc>
          <w:tcPr>
            <w:tcW w:w="1701" w:type="dxa"/>
            <w:gridSpan w:val="4"/>
            <w:shd w:val="clear" w:color="auto" w:fill="F7CAAC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typ prac. vztahu</w:t>
            </w:r>
          </w:p>
        </w:tc>
        <w:tc>
          <w:tcPr>
            <w:tcW w:w="1559" w:type="dxa"/>
            <w:gridSpan w:val="4"/>
            <w:shd w:val="clear" w:color="auto" w:fill="F7CAAC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rozsah</w:t>
            </w:r>
          </w:p>
        </w:tc>
      </w:tr>
      <w:tr w:rsidR="00511BCA">
        <w:tc>
          <w:tcPr>
            <w:tcW w:w="6140" w:type="dxa"/>
            <w:gridSpan w:val="7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t>-</w:t>
            </w:r>
          </w:p>
        </w:tc>
        <w:tc>
          <w:tcPr>
            <w:tcW w:w="1701" w:type="dxa"/>
            <w:gridSpan w:val="4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t>-</w:t>
            </w:r>
          </w:p>
        </w:tc>
        <w:tc>
          <w:tcPr>
            <w:tcW w:w="1559" w:type="dxa"/>
            <w:gridSpan w:val="4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t>-</w:t>
            </w:r>
          </w:p>
        </w:tc>
      </w:tr>
      <w:tr w:rsidR="00511BCA">
        <w:tc>
          <w:tcPr>
            <w:tcW w:w="6140" w:type="dxa"/>
            <w:gridSpan w:val="7"/>
          </w:tcPr>
          <w:p w:rsidR="00511BCA" w:rsidRDefault="00511BCA">
            <w:pPr>
              <w:pStyle w:val="normal1"/>
              <w:rPr>
                <w:color w:val="000000"/>
              </w:rPr>
            </w:pPr>
          </w:p>
        </w:tc>
        <w:tc>
          <w:tcPr>
            <w:tcW w:w="1701" w:type="dxa"/>
            <w:gridSpan w:val="4"/>
          </w:tcPr>
          <w:p w:rsidR="00511BCA" w:rsidRDefault="00511BCA">
            <w:pPr>
              <w:pStyle w:val="normal1"/>
              <w:rPr>
                <w:color w:val="000000"/>
              </w:rPr>
            </w:pPr>
          </w:p>
        </w:tc>
        <w:tc>
          <w:tcPr>
            <w:tcW w:w="1559" w:type="dxa"/>
            <w:gridSpan w:val="4"/>
          </w:tcPr>
          <w:p w:rsidR="00511BCA" w:rsidRDefault="00511BCA">
            <w:pPr>
              <w:pStyle w:val="normal1"/>
              <w:rPr>
                <w:color w:val="000000"/>
              </w:rPr>
            </w:pPr>
          </w:p>
        </w:tc>
      </w:tr>
      <w:tr w:rsidR="00511BCA">
        <w:trPr>
          <w:trHeight w:val="75"/>
        </w:trPr>
        <w:tc>
          <w:tcPr>
            <w:tcW w:w="6140" w:type="dxa"/>
            <w:gridSpan w:val="7"/>
          </w:tcPr>
          <w:p w:rsidR="00511BCA" w:rsidRDefault="00511BCA">
            <w:pPr>
              <w:pStyle w:val="normal1"/>
              <w:rPr>
                <w:color w:val="000000"/>
              </w:rPr>
            </w:pPr>
          </w:p>
        </w:tc>
        <w:tc>
          <w:tcPr>
            <w:tcW w:w="1701" w:type="dxa"/>
            <w:gridSpan w:val="4"/>
          </w:tcPr>
          <w:p w:rsidR="00511BCA" w:rsidRDefault="00511BCA">
            <w:pPr>
              <w:pStyle w:val="normal1"/>
              <w:rPr>
                <w:color w:val="000000"/>
              </w:rPr>
            </w:pPr>
          </w:p>
        </w:tc>
        <w:tc>
          <w:tcPr>
            <w:tcW w:w="1559" w:type="dxa"/>
            <w:gridSpan w:val="4"/>
          </w:tcPr>
          <w:p w:rsidR="00511BCA" w:rsidRDefault="00511BCA">
            <w:pPr>
              <w:pStyle w:val="normal1"/>
              <w:rPr>
                <w:color w:val="000000"/>
              </w:rPr>
            </w:pPr>
          </w:p>
        </w:tc>
      </w:tr>
      <w:tr w:rsidR="00511BCA">
        <w:tc>
          <w:tcPr>
            <w:tcW w:w="6140" w:type="dxa"/>
            <w:gridSpan w:val="7"/>
          </w:tcPr>
          <w:p w:rsidR="00511BCA" w:rsidRDefault="00511BCA">
            <w:pPr>
              <w:pStyle w:val="normal1"/>
              <w:rPr>
                <w:color w:val="000000"/>
              </w:rPr>
            </w:pPr>
          </w:p>
        </w:tc>
        <w:tc>
          <w:tcPr>
            <w:tcW w:w="1701" w:type="dxa"/>
            <w:gridSpan w:val="4"/>
          </w:tcPr>
          <w:p w:rsidR="00511BCA" w:rsidRDefault="00511BCA">
            <w:pPr>
              <w:pStyle w:val="normal1"/>
              <w:rPr>
                <w:color w:val="000000"/>
              </w:rPr>
            </w:pPr>
          </w:p>
        </w:tc>
        <w:tc>
          <w:tcPr>
            <w:tcW w:w="1559" w:type="dxa"/>
            <w:gridSpan w:val="4"/>
          </w:tcPr>
          <w:p w:rsidR="00511BCA" w:rsidRDefault="00511BCA">
            <w:pPr>
              <w:pStyle w:val="normal1"/>
              <w:rPr>
                <w:color w:val="000000"/>
              </w:rPr>
            </w:pPr>
          </w:p>
        </w:tc>
      </w:tr>
      <w:tr w:rsidR="00511BCA">
        <w:tc>
          <w:tcPr>
            <w:tcW w:w="9400" w:type="dxa"/>
            <w:gridSpan w:val="15"/>
            <w:shd w:val="clear" w:color="auto" w:fill="F7CAAC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Údaje o oboru vzdělání na VŠ </w:t>
            </w:r>
          </w:p>
        </w:tc>
      </w:tr>
      <w:tr w:rsidR="00511BCA">
        <w:trPr>
          <w:trHeight w:val="1055"/>
        </w:trPr>
        <w:tc>
          <w:tcPr>
            <w:tcW w:w="9400" w:type="dxa"/>
            <w:gridSpan w:val="15"/>
          </w:tcPr>
          <w:p w:rsidR="00511BCA" w:rsidRDefault="00511BCA">
            <w:pPr>
              <w:pStyle w:val="normal1"/>
            </w:pPr>
            <w:r>
              <w:t xml:space="preserve">2018: vysokoškolské doktorské vzdělání na Filozofické fakultě Masarykovy univerzity (doktorský studijní program FF D-PH4 Filozofie (čtyřleté), studijní obor 6101V014 religionistika), titul doktor (Ph.D.). Disertační práce </w:t>
            </w:r>
            <w:r>
              <w:rPr>
                <w:i/>
                <w:iCs/>
              </w:rPr>
              <w:t xml:space="preserve">Body in Ritual Space: Communication through embodied practices in religious ritual </w:t>
            </w:r>
            <w:r>
              <w:t>(školitel: Mgr. Aleš Chalupa, Ph.D.).</w:t>
            </w:r>
          </w:p>
          <w:p w:rsidR="00511BCA" w:rsidRDefault="00511BCA">
            <w:pPr>
              <w:pStyle w:val="normal1"/>
            </w:pPr>
          </w:p>
          <w:p w:rsidR="00511BCA" w:rsidRDefault="00511BCA">
            <w:pPr>
              <w:pStyle w:val="normal1"/>
            </w:pPr>
            <w:r>
              <w:t xml:space="preserve">2010: vysokoškolské magisterské vzdělání na Filozofické fakultě Masarykovy univerzity v Brně (magisterský  studijní program FF N-PH Filozofie, studijní obor FF RL religionistika a FF PH Filozofie), titul magistr (Mgr.). Diplomová práce </w:t>
            </w:r>
            <w:r>
              <w:rPr>
                <w:i/>
                <w:iCs/>
              </w:rPr>
              <w:t xml:space="preserve">Emoční složka náboženskosti </w:t>
            </w:r>
            <w:r>
              <w:t>(vedoucí: Mgr. Aleš Chalupa, Ph.D.).</w:t>
            </w:r>
          </w:p>
          <w:p w:rsidR="00511BCA" w:rsidRDefault="00511BCA">
            <w:pPr>
              <w:pStyle w:val="normal1"/>
              <w:rPr>
                <w:color w:val="000000"/>
              </w:rPr>
            </w:pPr>
          </w:p>
        </w:tc>
      </w:tr>
      <w:tr w:rsidR="00511BCA">
        <w:tc>
          <w:tcPr>
            <w:tcW w:w="9400" w:type="dxa"/>
            <w:gridSpan w:val="15"/>
            <w:shd w:val="clear" w:color="auto" w:fill="F7CAAC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Údaje o odborném působení od absolvování VŠ</w:t>
            </w:r>
          </w:p>
        </w:tc>
      </w:tr>
      <w:tr w:rsidR="00511BCA">
        <w:trPr>
          <w:trHeight w:val="600"/>
        </w:trPr>
        <w:tc>
          <w:tcPr>
            <w:tcW w:w="9400" w:type="dxa"/>
            <w:gridSpan w:val="15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t>2015-dosud: Masarykova univerzita, Filozofická fakulta, HUME Lab + LEVYNA, odborná pracovnice</w:t>
            </w:r>
          </w:p>
        </w:tc>
      </w:tr>
      <w:tr w:rsidR="00511BCA">
        <w:tc>
          <w:tcPr>
            <w:tcW w:w="2943" w:type="dxa"/>
            <w:gridSpan w:val="2"/>
            <w:shd w:val="clear" w:color="auto" w:fill="F7CAAC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Obor habilitačního řízení </w:t>
            </w:r>
          </w:p>
        </w:tc>
        <w:tc>
          <w:tcPr>
            <w:tcW w:w="2346" w:type="dxa"/>
            <w:gridSpan w:val="4"/>
            <w:shd w:val="clear" w:color="auto" w:fill="F7CAAC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Rok udělení hodnosti</w:t>
            </w:r>
          </w:p>
        </w:tc>
        <w:tc>
          <w:tcPr>
            <w:tcW w:w="1701" w:type="dxa"/>
            <w:gridSpan w:val="2"/>
            <w:shd w:val="clear" w:color="auto" w:fill="F7CAAC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Řízení konáno na VŠ</w:t>
            </w:r>
          </w:p>
        </w:tc>
        <w:tc>
          <w:tcPr>
            <w:tcW w:w="2410" w:type="dxa"/>
            <w:gridSpan w:val="7"/>
            <w:shd w:val="clear" w:color="auto" w:fill="F7CAAC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Ohlasy publikací</w:t>
            </w:r>
          </w:p>
        </w:tc>
      </w:tr>
      <w:tr w:rsidR="00511BCA">
        <w:tc>
          <w:tcPr>
            <w:tcW w:w="2943" w:type="dxa"/>
            <w:gridSpan w:val="2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t>-</w:t>
            </w:r>
          </w:p>
        </w:tc>
        <w:tc>
          <w:tcPr>
            <w:tcW w:w="2346" w:type="dxa"/>
            <w:gridSpan w:val="4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t>-</w:t>
            </w:r>
          </w:p>
        </w:tc>
        <w:tc>
          <w:tcPr>
            <w:tcW w:w="709" w:type="dxa"/>
            <w:gridSpan w:val="2"/>
            <w:shd w:val="clear" w:color="auto" w:fill="F7CAAC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WOS</w:t>
            </w:r>
          </w:p>
        </w:tc>
        <w:tc>
          <w:tcPr>
            <w:tcW w:w="851" w:type="dxa"/>
            <w:gridSpan w:val="3"/>
            <w:shd w:val="clear" w:color="auto" w:fill="F7CAAC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Scopus</w:t>
            </w:r>
          </w:p>
        </w:tc>
        <w:tc>
          <w:tcPr>
            <w:tcW w:w="850" w:type="dxa"/>
            <w:gridSpan w:val="2"/>
            <w:shd w:val="clear" w:color="auto" w:fill="F7CAAC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ostatní</w:t>
            </w:r>
          </w:p>
        </w:tc>
      </w:tr>
      <w:tr w:rsidR="00511BCA">
        <w:trPr>
          <w:cantSplit/>
          <w:trHeight w:val="70"/>
        </w:trPr>
        <w:tc>
          <w:tcPr>
            <w:tcW w:w="2943" w:type="dxa"/>
            <w:gridSpan w:val="2"/>
            <w:shd w:val="clear" w:color="auto" w:fill="F7CAAC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Obor řízení k jmenování profesorem</w:t>
            </w:r>
          </w:p>
        </w:tc>
        <w:tc>
          <w:tcPr>
            <w:tcW w:w="2346" w:type="dxa"/>
            <w:gridSpan w:val="4"/>
            <w:shd w:val="clear" w:color="auto" w:fill="F7CAAC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Rok udělení hodnosti</w:t>
            </w:r>
          </w:p>
        </w:tc>
        <w:tc>
          <w:tcPr>
            <w:tcW w:w="1701" w:type="dxa"/>
            <w:gridSpan w:val="2"/>
            <w:shd w:val="clear" w:color="auto" w:fill="F7CAAC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Řízení konáno na VŠ</w:t>
            </w:r>
          </w:p>
        </w:tc>
        <w:tc>
          <w:tcPr>
            <w:tcW w:w="709" w:type="dxa"/>
            <w:gridSpan w:val="2"/>
            <w:vMerge w:val="restart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t>79</w:t>
            </w:r>
          </w:p>
        </w:tc>
        <w:tc>
          <w:tcPr>
            <w:tcW w:w="851" w:type="dxa"/>
            <w:gridSpan w:val="3"/>
            <w:vMerge w:val="restart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t>74</w:t>
            </w:r>
          </w:p>
        </w:tc>
        <w:tc>
          <w:tcPr>
            <w:tcW w:w="850" w:type="dxa"/>
            <w:gridSpan w:val="2"/>
            <w:vMerge w:val="restart"/>
          </w:tcPr>
          <w:p w:rsidR="00511BCA" w:rsidRDefault="00511BCA">
            <w:pPr>
              <w:pStyle w:val="normal1"/>
              <w:rPr>
                <w:color w:val="000000"/>
              </w:rPr>
            </w:pPr>
          </w:p>
        </w:tc>
      </w:tr>
      <w:tr w:rsidR="00511BCA">
        <w:trPr>
          <w:cantSplit/>
          <w:trHeight w:val="249"/>
        </w:trPr>
        <w:tc>
          <w:tcPr>
            <w:tcW w:w="2943" w:type="dxa"/>
            <w:gridSpan w:val="2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t>-</w:t>
            </w:r>
          </w:p>
        </w:tc>
        <w:tc>
          <w:tcPr>
            <w:tcW w:w="2346" w:type="dxa"/>
            <w:gridSpan w:val="4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t>-</w:t>
            </w:r>
          </w:p>
        </w:tc>
        <w:tc>
          <w:tcPr>
            <w:tcW w:w="709" w:type="dxa"/>
            <w:gridSpan w:val="2"/>
            <w:vMerge/>
          </w:tcPr>
          <w:p w:rsidR="00511BCA" w:rsidRDefault="00511BCA">
            <w:pPr>
              <w:pStyle w:val="normal1"/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851" w:type="dxa"/>
            <w:gridSpan w:val="3"/>
            <w:vMerge/>
          </w:tcPr>
          <w:p w:rsidR="00511BCA" w:rsidRDefault="00511BCA">
            <w:pPr>
              <w:pStyle w:val="normal1"/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</w:tcPr>
          <w:p w:rsidR="00511BCA" w:rsidRDefault="00511BCA">
            <w:pPr>
              <w:pStyle w:val="normal1"/>
              <w:widowControl w:val="0"/>
              <w:spacing w:line="276" w:lineRule="auto"/>
              <w:rPr>
                <w:color w:val="000000"/>
              </w:rPr>
            </w:pPr>
          </w:p>
        </w:tc>
      </w:tr>
      <w:tr w:rsidR="00511BCA">
        <w:tc>
          <w:tcPr>
            <w:tcW w:w="9400" w:type="dxa"/>
            <w:gridSpan w:val="15"/>
            <w:shd w:val="clear" w:color="auto" w:fill="F7CAAC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Přehled o nejvýznamnější vzdělávací činnosti vztahující se k oboru řízení</w:t>
            </w:r>
          </w:p>
        </w:tc>
      </w:tr>
      <w:tr w:rsidR="00511BCA">
        <w:trPr>
          <w:trHeight w:val="1566"/>
        </w:trPr>
        <w:tc>
          <w:tcPr>
            <w:tcW w:w="9400" w:type="dxa"/>
            <w:gridSpan w:val="15"/>
          </w:tcPr>
          <w:p w:rsidR="00511BCA" w:rsidRDefault="00511BCA">
            <w:pPr>
              <w:pStyle w:val="normal1"/>
            </w:pPr>
          </w:p>
          <w:p w:rsidR="00511BCA" w:rsidRDefault="00511BCA">
            <w:pPr>
              <w:pStyle w:val="normal1"/>
              <w:rPr>
                <w:b/>
                <w:bCs/>
              </w:rPr>
            </w:pPr>
            <w:r>
              <w:rPr>
                <w:b/>
                <w:bCs/>
              </w:rPr>
              <w:t>Pravidelná výuka (výběr):</w:t>
            </w:r>
          </w:p>
          <w:p w:rsidR="00511BCA" w:rsidRDefault="00511BCA">
            <w:pPr>
              <w:pStyle w:val="normal1"/>
            </w:pPr>
            <w:r>
              <w:t>Náboženství v kognitivně-psychologické perspektivě</w:t>
            </w:r>
          </w:p>
          <w:p w:rsidR="00511BCA" w:rsidRDefault="00511BCA">
            <w:pPr>
              <w:pStyle w:val="normal1"/>
            </w:pPr>
            <w:r>
              <w:t>Experimentální výzkum</w:t>
            </w:r>
          </w:p>
          <w:p w:rsidR="00511BCA" w:rsidRDefault="00511BCA">
            <w:pPr>
              <w:pStyle w:val="normal1"/>
            </w:pPr>
          </w:p>
          <w:p w:rsidR="00511BCA" w:rsidRDefault="00511BCA">
            <w:pPr>
              <w:pStyle w:val="normal1"/>
            </w:pPr>
            <w:r>
              <w:rPr>
                <w:b/>
                <w:bCs/>
              </w:rPr>
              <w:t>Vedení prací:</w:t>
            </w:r>
            <w:r>
              <w:t xml:space="preserve"> obhájena 1 bakalářská (1 disertační aktuálně vedena).</w:t>
            </w:r>
          </w:p>
        </w:tc>
      </w:tr>
      <w:tr w:rsidR="00511BCA">
        <w:tc>
          <w:tcPr>
            <w:tcW w:w="9400" w:type="dxa"/>
            <w:gridSpan w:val="15"/>
            <w:shd w:val="clear" w:color="auto" w:fill="F7CAAC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Přehled o nejvýznamnější publikační a další tvůrčí činnosti vztahující se k oboru řízení</w:t>
            </w:r>
          </w:p>
        </w:tc>
      </w:tr>
      <w:tr w:rsidR="00511BCA">
        <w:trPr>
          <w:trHeight w:val="1450"/>
        </w:trPr>
        <w:tc>
          <w:tcPr>
            <w:tcW w:w="9400" w:type="dxa"/>
            <w:gridSpan w:val="15"/>
          </w:tcPr>
          <w:p w:rsidR="00511BCA" w:rsidRDefault="00511BCA">
            <w:pPr>
              <w:pStyle w:val="normal1"/>
              <w:spacing w:before="240"/>
            </w:pPr>
            <w:r>
              <w:t xml:space="preserve">Gervais, W. M., Xygalatas, D., McKay, R. T., van Elk, M., Buchtel, E. E., Aveyard, M., Schiavone, S. R., Dar-Nimrod, I., Svedholm-Häkkinen, A. M., Riekki, T., </w:t>
            </w:r>
            <w:r>
              <w:rPr>
                <w:b/>
                <w:bCs/>
              </w:rPr>
              <w:t>Kundtová Klocová, E.</w:t>
            </w:r>
            <w:r>
              <w:t xml:space="preserve">, Ramsay, J. E. &amp; Bulbulia, J. (2017). Global evidence of extreme intuitive moral prejudice against atheists. </w:t>
            </w:r>
            <w:r>
              <w:rPr>
                <w:i/>
                <w:iCs/>
              </w:rPr>
              <w:t>Nature Human Behaviour</w:t>
            </w:r>
            <w:r>
              <w:t>, 1, 0151.</w:t>
            </w:r>
          </w:p>
          <w:p w:rsidR="00511BCA" w:rsidRDefault="00511BCA">
            <w:pPr>
              <w:pStyle w:val="normal1"/>
              <w:spacing w:before="240"/>
            </w:pPr>
            <w:r>
              <w:t xml:space="preserve">Gervais, W. M., van Elk, M., Xygalatas, D., McKay, R. T., Aveyard, M., Buchtel, E. E., Dar-Nimrod, Ilan, </w:t>
            </w:r>
            <w:r>
              <w:rPr>
                <w:b/>
                <w:bCs/>
              </w:rPr>
              <w:t>Kundtová Klocová, E.</w:t>
            </w:r>
            <w:r>
              <w:t xml:space="preserve">, Ramsay, J. E., Riekki, T., Svedholm-Häkkinen, A. M. &amp; Bulbulia, J. (2018). Analytic atheism: A cross-culturally weak and fickle phenomenon? </w:t>
            </w:r>
            <w:r>
              <w:rPr>
                <w:i/>
                <w:iCs/>
              </w:rPr>
              <w:t>Judgment and Decision Making</w:t>
            </w:r>
            <w:r>
              <w:t>, 13(3), 268–274.</w:t>
            </w:r>
          </w:p>
          <w:p w:rsidR="00511BCA" w:rsidRDefault="00511BCA">
            <w:pPr>
              <w:pStyle w:val="normal1"/>
              <w:spacing w:before="240"/>
            </w:pPr>
            <w:r>
              <w:t xml:space="preserve">Lang, M., Purzycki, B. G., Apicella, C. L., Atkinson, Q. D., Bolyanatz, A., Cohen, E., Handley, C., </w:t>
            </w:r>
            <w:r>
              <w:rPr>
                <w:b/>
                <w:bCs/>
              </w:rPr>
              <w:t>Kundtová Klocová, E.</w:t>
            </w:r>
            <w:r>
              <w:t xml:space="preserve">, Lesorogol, C., Mathew, S., McNamara, R. A., Moya, C., Placek, C. D. Soler, M., Vardy, T., Weigel, J. L., Willard, A. K., Xygalatas, D., Norenzayan, A. &amp; Henrich, J. (2019). Moralizing Gods, Impartiality, and Religious Parochialism across 15 Societies. </w:t>
            </w:r>
            <w:r>
              <w:rPr>
                <w:i/>
                <w:iCs/>
              </w:rPr>
              <w:t>Proceedings of the Royal Society B: Biological Sciences</w:t>
            </w:r>
            <w:r>
              <w:t>, 286 (1898), 1-10.</w:t>
            </w:r>
          </w:p>
          <w:p w:rsidR="00511BCA" w:rsidRDefault="00511BCA">
            <w:pPr>
              <w:pStyle w:val="normal1"/>
              <w:spacing w:before="240"/>
            </w:pPr>
            <w:r>
              <w:t xml:space="preserve">Xygalatas, D., Kotherova, S., Mano, P. , Kundt, R., Cigan, J. </w:t>
            </w:r>
            <w:r>
              <w:rPr>
                <w:b/>
                <w:bCs/>
              </w:rPr>
              <w:t>Kundtova Klocova, E.</w:t>
            </w:r>
            <w:r>
              <w:t xml:space="preserve"> &amp; Lang, M. (2018). Big Gods in Small Places: The Random Allocation Game in Mauritius. </w:t>
            </w:r>
            <w:r>
              <w:rPr>
                <w:i/>
                <w:iCs/>
              </w:rPr>
              <w:t>Religion, Brain &amp; Behavior</w:t>
            </w:r>
            <w:r>
              <w:t>, 8/2, 243-261.</w:t>
            </w:r>
          </w:p>
          <w:p w:rsidR="00511BCA" w:rsidRDefault="00511BCA">
            <w:pPr>
              <w:pStyle w:val="normal1"/>
              <w:spacing w:before="240"/>
            </w:pPr>
            <w:r>
              <w:t xml:space="preserve">Xygalatas, D., </w:t>
            </w:r>
            <w:r>
              <w:rPr>
                <w:b/>
                <w:bCs/>
              </w:rPr>
              <w:t>Kundtová Klocová, E.</w:t>
            </w:r>
            <w:r>
              <w:t xml:space="preserve">, Cigán, J., Kundt, R., Maňo, P., Kotherová, S., Mitkidis, P., Wallot, S. E., &amp; Kanovský, M. (2016). Location, location, location: Effects of cross-religious primes on prosocial behaviour. </w:t>
            </w:r>
            <w:r>
              <w:rPr>
                <w:i/>
                <w:iCs/>
              </w:rPr>
              <w:t>The International Journal for the Psychology of Religion</w:t>
            </w:r>
            <w:r>
              <w:t>, 26/4, 304-319.</w:t>
            </w:r>
          </w:p>
          <w:p w:rsidR="00511BCA" w:rsidRDefault="00511BCA">
            <w:pPr>
              <w:pStyle w:val="normal1"/>
            </w:pPr>
          </w:p>
        </w:tc>
      </w:tr>
      <w:tr w:rsidR="00511BCA">
        <w:trPr>
          <w:cantSplit/>
        </w:trPr>
        <w:tc>
          <w:tcPr>
            <w:tcW w:w="5043" w:type="dxa"/>
            <w:gridSpan w:val="4"/>
            <w:shd w:val="clear" w:color="auto" w:fill="F7CAAC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Působení v zahraničí</w:t>
            </w:r>
          </w:p>
        </w:tc>
        <w:tc>
          <w:tcPr>
            <w:tcW w:w="4357" w:type="dxa"/>
            <w:gridSpan w:val="11"/>
            <w:vMerge w:val="restart"/>
          </w:tcPr>
          <w:p w:rsidR="00511BCA" w:rsidRDefault="00511BCA">
            <w:pPr>
              <w:pStyle w:val="normal1"/>
              <w:rPr>
                <w:color w:val="000000"/>
              </w:rPr>
            </w:pPr>
          </w:p>
          <w:p w:rsidR="00511BCA" w:rsidRDefault="00511BCA">
            <w:pPr>
              <w:pStyle w:val="normal1"/>
              <w:spacing w:line="276" w:lineRule="auto"/>
            </w:pPr>
            <w:r>
              <w:t xml:space="preserve">2014/05-06 </w:t>
            </w:r>
            <w:r>
              <w:rPr>
                <w:color w:val="000000"/>
              </w:rPr>
              <w:t xml:space="preserve">(6 </w:t>
            </w:r>
            <w:r>
              <w:t>týdnů</w:t>
            </w:r>
            <w:r>
              <w:rPr>
                <w:color w:val="000000"/>
              </w:rPr>
              <w:t>)</w:t>
            </w:r>
            <w:r>
              <w:t xml:space="preserve">: </w:t>
            </w:r>
            <w:r>
              <w:rPr>
                <w:i/>
                <w:iCs/>
              </w:rPr>
              <w:t>Extreme Rituals and Objective and Subjective Health &amp; Religious Badges in Cross-Ethnic and Cross-religious settings,</w:t>
            </w:r>
            <w:r>
              <w:t xml:space="preserve"> terénní výzkumný pobyt – Quatres Bornes, Mauricius</w:t>
            </w:r>
          </w:p>
          <w:p w:rsidR="00511BCA" w:rsidRDefault="00511BCA">
            <w:pPr>
              <w:pStyle w:val="normal1"/>
              <w:spacing w:line="276" w:lineRule="auto"/>
            </w:pPr>
          </w:p>
          <w:p w:rsidR="00511BCA" w:rsidRDefault="00511BCA">
            <w:pPr>
              <w:pStyle w:val="normal1"/>
              <w:spacing w:line="276" w:lineRule="auto"/>
            </w:pPr>
            <w:r>
              <w:t xml:space="preserve">2013/08-09 </w:t>
            </w:r>
            <w:r>
              <w:rPr>
                <w:color w:val="000000"/>
              </w:rPr>
              <w:t>(6 týdnů)</w:t>
            </w:r>
            <w:r>
              <w:t xml:space="preserve">: </w:t>
            </w:r>
            <w:r>
              <w:rPr>
                <w:i/>
                <w:iCs/>
              </w:rPr>
              <w:t>The Evolution of Religion and Morality I. &amp; Contextual cross-religious primes and prosocial behavior</w:t>
            </w:r>
            <w:r>
              <w:t>, terénní výzkumný pobyt - Pointe-aux-Piments, Mauricius</w:t>
            </w:r>
          </w:p>
          <w:p w:rsidR="00511BCA" w:rsidRDefault="00511BCA">
            <w:pPr>
              <w:pStyle w:val="normal1"/>
              <w:rPr>
                <w:color w:val="000000"/>
              </w:rPr>
            </w:pPr>
            <w:r>
              <w:t>2011/08: Experimentální metody ve studiu kognice a kultury (letní škola), Aarhus University, Dánsko</w:t>
            </w:r>
          </w:p>
        </w:tc>
      </w:tr>
      <w:tr w:rsidR="00511BCA">
        <w:trPr>
          <w:cantSplit/>
          <w:trHeight w:val="1046"/>
        </w:trPr>
        <w:tc>
          <w:tcPr>
            <w:tcW w:w="5043" w:type="dxa"/>
            <w:gridSpan w:val="4"/>
            <w:tcBorders>
              <w:right w:val="nil"/>
            </w:tcBorders>
          </w:tcPr>
          <w:p w:rsidR="00511BCA" w:rsidRDefault="00511BCA">
            <w:pPr>
              <w:pStyle w:val="normal1"/>
            </w:pPr>
          </w:p>
          <w:p w:rsidR="00511BCA" w:rsidRDefault="00511BCA">
            <w:pPr>
              <w:pStyle w:val="normal1"/>
              <w:spacing w:line="276" w:lineRule="auto"/>
            </w:pPr>
            <w:r>
              <w:t>2017/07-08</w:t>
            </w:r>
            <w:r>
              <w:rPr>
                <w:color w:val="000000"/>
              </w:rPr>
              <w:t xml:space="preserve"> (4 týdny)</w:t>
            </w:r>
            <w:r>
              <w:t xml:space="preserve">: </w:t>
            </w:r>
            <w:r>
              <w:rPr>
                <w:i/>
                <w:iCs/>
              </w:rPr>
              <w:t>Magical Practices &amp; Ritual Efficacy &amp; Ritual Costly Signaling and Social Status</w:t>
            </w:r>
            <w:r>
              <w:t>, terénní výzkumný pobyt – Flic-en-Flac, Mauricius</w:t>
            </w:r>
          </w:p>
          <w:p w:rsidR="00511BCA" w:rsidRDefault="00511BCA">
            <w:pPr>
              <w:pStyle w:val="normal1"/>
            </w:pPr>
          </w:p>
          <w:p w:rsidR="00511BCA" w:rsidRDefault="00511BCA">
            <w:pPr>
              <w:pStyle w:val="normal1"/>
            </w:pPr>
            <w:r>
              <w:t>2015/07</w:t>
            </w:r>
            <w:r>
              <w:rPr>
                <w:color w:val="000000"/>
              </w:rPr>
              <w:t xml:space="preserve"> (4 týdny)</w:t>
            </w:r>
            <w:r>
              <w:t xml:space="preserve">: Etnografická letní škola na Mauriciu, organizovaná Aarhus University, Dánsko; </w:t>
            </w:r>
            <w:r>
              <w:rPr>
                <w:i/>
                <w:iCs/>
              </w:rPr>
              <w:t>The Evolution of Religion and Morality II.</w:t>
            </w:r>
            <w:r>
              <w:t>, terénní výzkumný pobyt – Pointe-aux-Piments, Mauricius</w:t>
            </w:r>
          </w:p>
          <w:p w:rsidR="00511BCA" w:rsidRDefault="00511BCA">
            <w:pPr>
              <w:pStyle w:val="normal1"/>
            </w:pPr>
          </w:p>
        </w:tc>
        <w:tc>
          <w:tcPr>
            <w:tcW w:w="4357" w:type="dxa"/>
            <w:gridSpan w:val="11"/>
            <w:vMerge/>
          </w:tcPr>
          <w:p w:rsidR="00511BCA" w:rsidRDefault="00511BCA">
            <w:pPr>
              <w:pStyle w:val="normal1"/>
              <w:widowControl w:val="0"/>
              <w:spacing w:line="276" w:lineRule="auto"/>
            </w:pPr>
          </w:p>
        </w:tc>
      </w:tr>
      <w:tr w:rsidR="00511BCA">
        <w:trPr>
          <w:trHeight w:val="470"/>
        </w:trPr>
        <w:tc>
          <w:tcPr>
            <w:tcW w:w="2518" w:type="dxa"/>
            <w:shd w:val="clear" w:color="auto" w:fill="F7CAAC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Podpis </w:t>
            </w:r>
          </w:p>
        </w:tc>
        <w:tc>
          <w:tcPr>
            <w:tcW w:w="4614" w:type="dxa"/>
            <w:gridSpan w:val="8"/>
          </w:tcPr>
          <w:p w:rsidR="00511BCA" w:rsidRDefault="00511BCA">
            <w:pPr>
              <w:pStyle w:val="normal1"/>
              <w:rPr>
                <w:color w:val="000000"/>
              </w:rPr>
            </w:pPr>
          </w:p>
        </w:tc>
        <w:tc>
          <w:tcPr>
            <w:tcW w:w="786" w:type="dxa"/>
            <w:gridSpan w:val="3"/>
            <w:shd w:val="clear" w:color="auto" w:fill="F7CAAC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datum</w:t>
            </w:r>
          </w:p>
        </w:tc>
        <w:tc>
          <w:tcPr>
            <w:tcW w:w="1482" w:type="dxa"/>
            <w:gridSpan w:val="3"/>
          </w:tcPr>
          <w:p w:rsidR="00511BCA" w:rsidRDefault="00511BCA">
            <w:pPr>
              <w:pStyle w:val="normal1"/>
              <w:rPr>
                <w:color w:val="000000"/>
              </w:rPr>
            </w:pPr>
            <w:r>
              <w:t>9. 9.2020</w:t>
            </w:r>
          </w:p>
        </w:tc>
      </w:tr>
    </w:tbl>
    <w:p w:rsidR="00511BCA" w:rsidRDefault="00511BCA">
      <w:pPr>
        <w:pStyle w:val="normal1"/>
        <w:rPr>
          <w:color w:val="000000"/>
          <w:sz w:val="28"/>
          <w:szCs w:val="28"/>
        </w:rPr>
      </w:pPr>
    </w:p>
    <w:sectPr w:rsidR="00511BCA" w:rsidSect="00511BC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11BCA" w:rsidRDefault="00511BC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separator/>
      </w:r>
    </w:p>
  </w:endnote>
  <w:endnote w:type="continuationSeparator" w:id="0">
    <w:p w:rsidR="00511BCA" w:rsidRDefault="00511BC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1BCA" w:rsidRDefault="00511BCA">
    <w:pPr>
      <w:pStyle w:val="normal1"/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511BCA" w:rsidRDefault="00511BCA">
    <w:pPr>
      <w:pStyle w:val="normal1"/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1BCA" w:rsidRDefault="00511BCA">
    <w:pPr>
      <w:pStyle w:val="normal1"/>
      <w:tabs>
        <w:tab w:val="center" w:pos="4536"/>
        <w:tab w:val="right" w:pos="9072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verze 22. 3.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11BCA" w:rsidRDefault="00511BC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separator/>
      </w:r>
    </w:p>
  </w:footnote>
  <w:footnote w:type="continuationSeparator" w:id="0">
    <w:p w:rsidR="00511BCA" w:rsidRDefault="00511BC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1BCA" w:rsidRDefault="00511BCA">
    <w:pPr>
      <w:pStyle w:val="normal1"/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1BCA" w:rsidRDefault="00511BCA">
    <w:pPr>
      <w:pStyle w:val="normal1"/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9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11BCA"/>
    <w:rsid w:val="0051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A8892866-0F6D-4A18-A263-7730EB7F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utoRedefine/>
    <w:hidden/>
    <w:qFormat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position w:val="-1"/>
      <w:sz w:val="20"/>
      <w:szCs w:val="20"/>
    </w:rPr>
  </w:style>
  <w:style w:type="paragraph" w:styleId="Nadpis1">
    <w:name w:val="heading 1"/>
    <w:basedOn w:val="normal1"/>
    <w:next w:val="normal1"/>
    <w:link w:val="Nadpis1Char"/>
    <w:autoRedefine/>
    <w:hidden/>
    <w:uiPriority w:val="99"/>
    <w:qFormat/>
    <w:pPr>
      <w:keepNext/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  <w:u w:val="single"/>
    </w:rPr>
  </w:style>
  <w:style w:type="paragraph" w:styleId="Nadpis2">
    <w:name w:val="heading 2"/>
    <w:basedOn w:val="normal1"/>
    <w:next w:val="normal1"/>
    <w:link w:val="Nadpis2Char"/>
    <w:autoRedefine/>
    <w:hidden/>
    <w:uiPriority w:val="99"/>
    <w:qFormat/>
    <w:pPr>
      <w:keepNext/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1"/>
    </w:pPr>
    <w:rPr>
      <w:position w:val="-1"/>
      <w:sz w:val="24"/>
      <w:szCs w:val="24"/>
      <w:u w:val="single"/>
    </w:rPr>
  </w:style>
  <w:style w:type="paragraph" w:styleId="Nadpis3">
    <w:name w:val="heading 3"/>
    <w:basedOn w:val="normal1"/>
    <w:next w:val="normal1"/>
    <w:link w:val="Nadpis3Char"/>
    <w:uiPriority w:val="99"/>
    <w:qFormat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al1"/>
    <w:next w:val="normal1"/>
    <w:link w:val="Nadpis4Char"/>
    <w:uiPriority w:val="99"/>
    <w:qFormat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al1"/>
    <w:next w:val="normal1"/>
    <w:link w:val="Nadpis5Char"/>
    <w:autoRedefine/>
    <w:hidden/>
    <w:uiPriority w:val="99"/>
    <w:qFormat/>
    <w:pPr>
      <w:keepNext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4"/>
    </w:pPr>
    <w:rPr>
      <w:b/>
      <w:bCs/>
      <w:position w:val="-1"/>
      <w:sz w:val="24"/>
      <w:szCs w:val="24"/>
    </w:rPr>
  </w:style>
  <w:style w:type="paragraph" w:styleId="Nadpis6">
    <w:name w:val="heading 6"/>
    <w:basedOn w:val="normal1"/>
    <w:next w:val="normal1"/>
    <w:link w:val="Nadpis6Char"/>
    <w:autoRedefine/>
    <w:hidden/>
    <w:uiPriority w:val="99"/>
    <w:qFormat/>
    <w:pPr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5"/>
    </w:pPr>
    <w:rPr>
      <w:b/>
      <w:bCs/>
      <w:position w:val="-1"/>
      <w:sz w:val="22"/>
      <w:szCs w:val="22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Pr>
      <w:b/>
      <w:bCs/>
    </w:rPr>
  </w:style>
  <w:style w:type="paragraph" w:customStyle="1" w:styleId="Normln1">
    <w:name w:val="Normální1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zev">
    <w:name w:val="Title"/>
    <w:basedOn w:val="normal1"/>
    <w:next w:val="normal1"/>
    <w:link w:val="NzevChar"/>
    <w:uiPriority w:val="99"/>
    <w:qFormat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normal1">
    <w:name w:val="normal1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hidden/>
    <w:uiPriority w:val="99"/>
    <w:rPr>
      <w:w w:val="100"/>
      <w:sz w:val="20"/>
      <w:szCs w:val="20"/>
      <w:effect w:val="none"/>
      <w:vertAlign w:val="superscript"/>
      <w:em w:val="none"/>
    </w:rPr>
  </w:style>
  <w:style w:type="paragraph" w:styleId="Zkladntext3">
    <w:name w:val="Body Text 3"/>
    <w:basedOn w:val="Normln"/>
    <w:link w:val="Zkladntext3Char"/>
    <w:autoRedefine/>
    <w:hidden/>
    <w:uiPriority w:val="99"/>
    <w:pPr>
      <w:widowControl w:val="0"/>
      <w:spacing w:line="240" w:lineRule="atLeast"/>
      <w:jc w:val="both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Pr>
      <w:rFonts w:ascii="Times New Roman" w:hAnsi="Times New Roman" w:cs="Times New Roman"/>
      <w:sz w:val="16"/>
      <w:szCs w:val="16"/>
    </w:rPr>
  </w:style>
  <w:style w:type="paragraph" w:styleId="Zkladntext2">
    <w:name w:val="Body Text 2"/>
    <w:basedOn w:val="Normln"/>
    <w:link w:val="Zkladntext2Char"/>
    <w:autoRedefine/>
    <w:hidden/>
    <w:uiPriority w:val="99"/>
    <w:pPr>
      <w:widowControl w:val="0"/>
      <w:tabs>
        <w:tab w:val="left" w:pos="2410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autoRedefine/>
    <w:hidden/>
    <w:uiPriority w:val="99"/>
    <w:pPr>
      <w:widowControl w:val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autoRedefine/>
    <w:hidden/>
    <w:uiPriority w:val="99"/>
    <w:pPr>
      <w:widowControl w:val="0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</w:rPr>
  </w:style>
  <w:style w:type="paragraph" w:customStyle="1" w:styleId="Textbubliny1">
    <w:name w:val="Text bubliny1"/>
    <w:basedOn w:val="Normln"/>
    <w:autoRedefine/>
    <w:hidden/>
    <w:uiPriority w:val="9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hidden/>
    <w:uiPriority w:val="99"/>
    <w:rPr>
      <w:w w:val="100"/>
      <w:sz w:val="16"/>
      <w:szCs w:val="16"/>
      <w:effect w:val="none"/>
      <w:vertAlign w:val="baseline"/>
      <w:em w:val="none"/>
    </w:rPr>
  </w:style>
  <w:style w:type="paragraph" w:styleId="Textkomente">
    <w:name w:val="annotation text"/>
    <w:basedOn w:val="Normln"/>
    <w:link w:val="TextkomenteChar"/>
    <w:autoRedefine/>
    <w:hidden/>
    <w:uiPriority w:val="99"/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hAnsi="Times New Roman" w:cs="Times New Roman"/>
      <w:sz w:val="20"/>
      <w:szCs w:val="20"/>
    </w:rPr>
  </w:style>
  <w:style w:type="paragraph" w:customStyle="1" w:styleId="Pedmtkomente1">
    <w:name w:val="Předmět komentáře1"/>
    <w:basedOn w:val="Textkomente"/>
    <w:next w:val="Textkomente"/>
    <w:autoRedefine/>
    <w:hidden/>
    <w:uiPriority w:val="99"/>
    <w:rPr>
      <w:b/>
      <w:bCs/>
    </w:rPr>
  </w:style>
  <w:style w:type="paragraph" w:styleId="Rozloendokumentu">
    <w:name w:val="Document Map"/>
    <w:basedOn w:val="Normln"/>
    <w:link w:val="RozloendokumentuChar"/>
    <w:autoRedefine/>
    <w:hidden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Pr>
      <w:rFonts w:ascii="Times New Roman" w:hAnsi="Times New Roman" w:cs="Times New Roman"/>
      <w:sz w:val="2"/>
      <w:szCs w:val="2"/>
    </w:rPr>
  </w:style>
  <w:style w:type="character" w:customStyle="1" w:styleId="CharChar">
    <w:name w:val="Char Char"/>
    <w:hidden/>
    <w:uiPriority w:val="99"/>
    <w:rPr>
      <w:w w:val="100"/>
      <w:effect w:val="none"/>
      <w:vertAlign w:val="baseline"/>
      <w:em w:val="none"/>
    </w:rPr>
  </w:style>
  <w:style w:type="paragraph" w:styleId="Zpat">
    <w:name w:val="footer"/>
    <w:basedOn w:val="Normln"/>
    <w:link w:val="ZpatChar"/>
    <w:autoRedefine/>
    <w:hidden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basedOn w:val="Standardnpsmoodstavce"/>
    <w:hidden/>
    <w:uiPriority w:val="99"/>
    <w:rPr>
      <w:rFonts w:ascii="Times New Roman" w:hAnsi="Times New Roman" w:cs="Times New Roman"/>
      <w:w w:val="100"/>
      <w:effect w:val="none"/>
      <w:vertAlign w:val="baseline"/>
      <w:em w:val="none"/>
    </w:rPr>
  </w:style>
  <w:style w:type="paragraph" w:styleId="Zhlav">
    <w:name w:val="header"/>
    <w:basedOn w:val="Normln"/>
    <w:link w:val="ZhlavChar"/>
    <w:autoRedefine/>
    <w:hidden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hidden/>
    <w:uiPriority w:val="99"/>
    <w:rPr>
      <w:rFonts w:ascii="Times New Roman" w:hAnsi="Times New Roman" w:cs="Times New Roman"/>
      <w:color w:val="auto"/>
      <w:w w:val="100"/>
      <w:u w:val="single"/>
      <w:effect w:val="none"/>
      <w:vertAlign w:val="baseline"/>
      <w:em w:val="none"/>
    </w:rPr>
  </w:style>
  <w:style w:type="paragraph" w:styleId="Podnadpis">
    <w:name w:val="Subtitle"/>
    <w:basedOn w:val="normal1"/>
    <w:next w:val="normal1"/>
    <w:link w:val="PodnadpisChar"/>
    <w:uiPriority w:val="99"/>
    <w:qFormat/>
    <w:pPr>
      <w:keepNext/>
      <w:keepLines/>
      <w:spacing w:before="360" w:after="80"/>
    </w:pPr>
    <w:rPr>
      <w:rFonts w:ascii="Georgia" w:hAnsi="Georgia" w:cs="Georgia"/>
      <w:i/>
      <w:iCs/>
      <w:sz w:val="48"/>
      <w:szCs w:val="48"/>
    </w:rPr>
  </w:style>
  <w:style w:type="character" w:customStyle="1" w:styleId="PodnadpisChar">
    <w:name w:val="Podnadpis Char"/>
    <w:basedOn w:val="Standardnpsmoodstavce"/>
    <w:link w:val="Podnadpis"/>
    <w:uiPriority w:val="99"/>
    <w:rPr>
      <w:rFonts w:ascii="Cambria" w:hAnsi="Cambria" w:cs="Cambria"/>
      <w:sz w:val="24"/>
      <w:szCs w:val="24"/>
    </w:rPr>
  </w:style>
  <w:style w:type="character" w:styleId="Sledovanodkaz">
    <w:name w:val="FollowedHyperlink"/>
    <w:basedOn w:val="Standardnpsmoodstavce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621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David</cp:lastModifiedBy>
  <cp:revision>7</cp:revision>
  <dcterms:created xsi:type="dcterms:W3CDTF">2020-08-31T12:01:00Z</dcterms:created>
  <dcterms:modified xsi:type="dcterms:W3CDTF">2020-11-02T23:07:00Z</dcterms:modified>
</cp:coreProperties>
</file>