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93C" w:rsidRDefault="0084593C">
      <w:pPr>
        <w:pStyle w:val="Normln1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322" w:type="dxa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425"/>
        <w:gridCol w:w="405"/>
        <w:gridCol w:w="21"/>
        <w:gridCol w:w="1701"/>
        <w:gridCol w:w="141"/>
        <w:gridCol w:w="851"/>
        <w:gridCol w:w="850"/>
        <w:gridCol w:w="142"/>
        <w:gridCol w:w="567"/>
        <w:gridCol w:w="142"/>
        <w:gridCol w:w="77"/>
        <w:gridCol w:w="632"/>
        <w:gridCol w:w="283"/>
        <w:gridCol w:w="567"/>
      </w:tblGrid>
      <w:tr w:rsidR="0084593C">
        <w:tc>
          <w:tcPr>
            <w:tcW w:w="9322" w:type="dxa"/>
            <w:gridSpan w:val="15"/>
            <w:shd w:val="clear" w:color="auto" w:fill="BDD6EE"/>
          </w:tcPr>
          <w:p w:rsidR="0084593C" w:rsidRDefault="0084593C">
            <w:pPr>
              <w:pStyle w:val="Normln1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F-V – Personální zabezpečení – akademičtí pracovníci</w:t>
            </w:r>
          </w:p>
        </w:tc>
      </w:tr>
      <w:tr w:rsidR="0084593C">
        <w:tc>
          <w:tcPr>
            <w:tcW w:w="2518" w:type="dxa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Vysoká škola</w:t>
            </w:r>
          </w:p>
        </w:tc>
        <w:tc>
          <w:tcPr>
            <w:tcW w:w="6804" w:type="dxa"/>
            <w:gridSpan w:val="1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Masarykova univerzita</w:t>
            </w:r>
          </w:p>
        </w:tc>
      </w:tr>
      <w:tr w:rsidR="0084593C">
        <w:tc>
          <w:tcPr>
            <w:tcW w:w="2518" w:type="dxa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Součást vysoké školy</w:t>
            </w:r>
          </w:p>
        </w:tc>
        <w:tc>
          <w:tcPr>
            <w:tcW w:w="6804" w:type="dxa"/>
            <w:gridSpan w:val="1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Filozofická fakulta</w:t>
            </w:r>
          </w:p>
        </w:tc>
      </w:tr>
      <w:tr w:rsidR="0084593C">
        <w:tc>
          <w:tcPr>
            <w:tcW w:w="2518" w:type="dxa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Název oboru řízení</w:t>
            </w:r>
          </w:p>
        </w:tc>
        <w:tc>
          <w:tcPr>
            <w:tcW w:w="6804" w:type="dxa"/>
            <w:gridSpan w:val="1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Religionistika</w:t>
            </w:r>
          </w:p>
        </w:tc>
      </w:tr>
      <w:tr w:rsidR="0084593C">
        <w:tc>
          <w:tcPr>
            <w:tcW w:w="2518" w:type="dxa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4536" w:type="dxa"/>
            <w:gridSpan w:val="8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Anna Michalík Kvíčalová</w:t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Tituly</w:t>
            </w:r>
          </w:p>
        </w:tc>
        <w:tc>
          <w:tcPr>
            <w:tcW w:w="1559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Dr. Phil, MA.</w:t>
            </w:r>
          </w:p>
        </w:tc>
      </w:tr>
      <w:tr w:rsidR="0084593C">
        <w:tc>
          <w:tcPr>
            <w:tcW w:w="2518" w:type="dxa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narození</w:t>
            </w:r>
          </w:p>
        </w:tc>
        <w:tc>
          <w:tcPr>
            <w:tcW w:w="830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1986</w:t>
            </w:r>
          </w:p>
        </w:tc>
        <w:tc>
          <w:tcPr>
            <w:tcW w:w="1722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 VŠ</w:t>
            </w:r>
          </w:p>
        </w:tc>
        <w:tc>
          <w:tcPr>
            <w:tcW w:w="992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pp.</w:t>
            </w:r>
          </w:p>
        </w:tc>
        <w:tc>
          <w:tcPr>
            <w:tcW w:w="992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9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20</w:t>
            </w:r>
          </w:p>
        </w:tc>
        <w:tc>
          <w:tcPr>
            <w:tcW w:w="992" w:type="dxa"/>
            <w:gridSpan w:val="3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67" w:type="dxa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2022</w:t>
            </w:r>
          </w:p>
        </w:tc>
      </w:tr>
      <w:tr w:rsidR="0084593C">
        <w:tc>
          <w:tcPr>
            <w:tcW w:w="5070" w:type="dxa"/>
            <w:gridSpan w:val="5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 součásti VŠ, na které probíhá řízení</w:t>
            </w:r>
          </w:p>
        </w:tc>
        <w:tc>
          <w:tcPr>
            <w:tcW w:w="992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pp.</w:t>
            </w:r>
          </w:p>
        </w:tc>
        <w:tc>
          <w:tcPr>
            <w:tcW w:w="992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9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gridSpan w:val="3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67" w:type="dxa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84593C">
        <w:tc>
          <w:tcPr>
            <w:tcW w:w="6062" w:type="dxa"/>
            <w:gridSpan w:val="7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Další současná působení jako akademický pracovník na VŠ</w:t>
            </w:r>
          </w:p>
        </w:tc>
        <w:tc>
          <w:tcPr>
            <w:tcW w:w="1701" w:type="dxa"/>
            <w:gridSpan w:val="4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prac. vztahu</w:t>
            </w:r>
          </w:p>
        </w:tc>
        <w:tc>
          <w:tcPr>
            <w:tcW w:w="1559" w:type="dxa"/>
            <w:gridSpan w:val="4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</w:tr>
      <w:tr w:rsidR="0084593C">
        <w:tc>
          <w:tcPr>
            <w:tcW w:w="6062" w:type="dxa"/>
            <w:gridSpan w:val="7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Univerzita Karlova</w:t>
            </w:r>
          </w:p>
        </w:tc>
        <w:tc>
          <w:tcPr>
            <w:tcW w:w="1701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pp.</w:t>
            </w:r>
          </w:p>
        </w:tc>
        <w:tc>
          <w:tcPr>
            <w:tcW w:w="1559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40</w:t>
            </w:r>
          </w:p>
        </w:tc>
      </w:tr>
      <w:tr w:rsidR="0084593C">
        <w:tc>
          <w:tcPr>
            <w:tcW w:w="6062" w:type="dxa"/>
            <w:gridSpan w:val="7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4593C">
        <w:tc>
          <w:tcPr>
            <w:tcW w:w="6062" w:type="dxa"/>
            <w:gridSpan w:val="7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4593C">
        <w:tc>
          <w:tcPr>
            <w:tcW w:w="6062" w:type="dxa"/>
            <w:gridSpan w:val="7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4593C">
        <w:tc>
          <w:tcPr>
            <w:tcW w:w="9322" w:type="dxa"/>
            <w:gridSpan w:val="15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Údaje o oboru vzdělání na VŠ </w:t>
            </w:r>
          </w:p>
        </w:tc>
      </w:tr>
      <w:tr w:rsidR="0084593C">
        <w:trPr>
          <w:trHeight w:val="1055"/>
        </w:trPr>
        <w:tc>
          <w:tcPr>
            <w:tcW w:w="9322" w:type="dxa"/>
            <w:gridSpan w:val="15"/>
          </w:tcPr>
          <w:p w:rsidR="0084593C" w:rsidRDefault="0084593C">
            <w:pPr>
              <w:pStyle w:val="Normln1"/>
              <w:jc w:val="both"/>
            </w:pPr>
            <w:r>
              <w:t xml:space="preserve">doktorské vzdělání (titul Dr. Phil) Institute for the Scientific Study of Religions, Free University Berlin </w:t>
            </w:r>
          </w:p>
          <w:p w:rsidR="0084593C" w:rsidRDefault="0084593C">
            <w:pPr>
              <w:pStyle w:val="Normln1"/>
              <w:ind w:left="425"/>
              <w:jc w:val="both"/>
              <w:rPr>
                <w:i/>
                <w:iCs/>
              </w:rPr>
            </w:pPr>
            <w:r>
              <w:t xml:space="preserve">(Dissertation: </w:t>
            </w:r>
            <w:r>
              <w:rPr>
                <w:i/>
                <w:iCs/>
              </w:rPr>
              <w:t>Disciplining the Sense of Hearing: Auditory Practices in Mid 16</w:t>
            </w:r>
            <w:r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Century Geneva</w:t>
            </w:r>
          </w:p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magisterské vzdělání (titul MA), University of Amsterdam</w:t>
            </w:r>
          </w:p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4593C">
        <w:tc>
          <w:tcPr>
            <w:tcW w:w="9322" w:type="dxa"/>
            <w:gridSpan w:val="15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Údaje o odborném působení od absolvování VŠ</w:t>
            </w:r>
          </w:p>
        </w:tc>
      </w:tr>
      <w:tr w:rsidR="0084593C">
        <w:trPr>
          <w:trHeight w:val="1682"/>
        </w:trPr>
        <w:tc>
          <w:tcPr>
            <w:tcW w:w="9322" w:type="dxa"/>
            <w:gridSpan w:val="15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275" w:lineRule="auto"/>
              <w:ind w:left="2125"/>
              <w:jc w:val="both"/>
              <w:rPr>
                <w:sz w:val="24"/>
                <w:szCs w:val="24"/>
              </w:rPr>
            </w:pP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od 2020                      Permanent Research Fellow, head of the working group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 xml:space="preserve">                                    Centre for Theoretical Study (Charles University)</w:t>
            </w:r>
          </w:p>
          <w:p w:rsidR="0084593C" w:rsidRDefault="0084593C">
            <w:pPr>
              <w:pStyle w:val="Normln1"/>
              <w:spacing w:line="275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2018-2020                   Postdoctoral Research Fellow</w:t>
            </w:r>
          </w:p>
          <w:p w:rsidR="0084593C" w:rsidRDefault="0084593C">
            <w:pPr>
              <w:pStyle w:val="Normln1"/>
              <w:spacing w:line="275" w:lineRule="auto"/>
              <w:ind w:left="2160"/>
              <w:jc w:val="both"/>
            </w:pPr>
            <w:r>
              <w:t>Centre for Theoretical Study, Prague, the Czech Republic</w:t>
            </w:r>
          </w:p>
          <w:p w:rsidR="0084593C" w:rsidRDefault="0084593C">
            <w:pPr>
              <w:pStyle w:val="Normln1"/>
              <w:spacing w:line="275" w:lineRule="auto"/>
              <w:ind w:left="2160"/>
              <w:jc w:val="both"/>
            </w:pPr>
            <w:r>
              <w:t>(Charles University &amp; the Czech Academy of Sciences)</w:t>
            </w:r>
          </w:p>
          <w:p w:rsidR="0084593C" w:rsidRDefault="0084593C">
            <w:pPr>
              <w:pStyle w:val="Normln1"/>
              <w:spacing w:line="275" w:lineRule="auto"/>
              <w:ind w:left="2160"/>
              <w:jc w:val="both"/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od 2019                       Assistant Professor, Department for the Study of Religions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 xml:space="preserve">                                   (Masaryk University, Brno)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2018                            June – July, Gotha research centre, University of Erfurt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2017                            Visiting researcher (August – December)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 xml:space="preserve">                                    Humboldt University in Berlin, Institute for Cultural Studies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 xml:space="preserve">                                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2017                           Visiting scholar (January – April)</w:t>
            </w:r>
          </w:p>
          <w:p w:rsidR="0084593C" w:rsidRDefault="0084593C">
            <w:pPr>
              <w:pStyle w:val="Normln1"/>
              <w:spacing w:line="275" w:lineRule="auto"/>
              <w:ind w:left="2160"/>
              <w:jc w:val="both"/>
            </w:pPr>
            <w:r>
              <w:t>Max Planck Institute for the History of Science in Berlin. Research Group: “Epistemes of Modern Acoustics”</w:t>
            </w:r>
          </w:p>
          <w:p w:rsidR="0084593C" w:rsidRDefault="0084593C">
            <w:pPr>
              <w:pStyle w:val="Normln1"/>
              <w:spacing w:line="275" w:lineRule="auto"/>
              <w:jc w:val="both"/>
            </w:pPr>
          </w:p>
          <w:p w:rsidR="0084593C" w:rsidRDefault="0084593C">
            <w:pPr>
              <w:pStyle w:val="Normln1"/>
              <w:spacing w:line="275" w:lineRule="auto"/>
              <w:jc w:val="both"/>
            </w:pPr>
            <w:r>
              <w:t>2013-2017                   Predoctoral Research Fellow</w:t>
            </w:r>
          </w:p>
          <w:p w:rsidR="0084593C" w:rsidRDefault="0084593C">
            <w:pPr>
              <w:pStyle w:val="Normln1"/>
              <w:spacing w:line="275" w:lineRule="auto"/>
              <w:ind w:left="2160"/>
              <w:jc w:val="both"/>
            </w:pPr>
            <w:r>
              <w:t>Max Planck Institute for the History of Science in Berlin. Research Groups: “Epistemes of Modern Acoustics” (2015-2016) and “The Making of Acoustics in 16</w:t>
            </w:r>
            <w:r>
              <w:rPr>
                <w:vertAlign w:val="superscript"/>
              </w:rPr>
              <w:t>th</w:t>
            </w:r>
            <w:r>
              <w:t xml:space="preserve"> to 19</w:t>
            </w:r>
            <w:r>
              <w:rPr>
                <w:vertAlign w:val="superscript"/>
              </w:rPr>
              <w:t>th</w:t>
            </w:r>
            <w:r>
              <w:t xml:space="preserve"> Century Europe” (2013-2015)</w:t>
            </w:r>
          </w:p>
          <w:p w:rsidR="0084593C" w:rsidRDefault="0084593C">
            <w:pPr>
              <w:pStyle w:val="Normln1"/>
              <w:spacing w:line="275" w:lineRule="auto"/>
              <w:ind w:left="4320" w:hanging="2160"/>
              <w:jc w:val="both"/>
              <w:rPr>
                <w:color w:val="000000"/>
              </w:rPr>
            </w:pPr>
            <w:r>
              <w:t xml:space="preserve">                      </w:t>
            </w:r>
          </w:p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4593C">
        <w:tc>
          <w:tcPr>
            <w:tcW w:w="2943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Obor habilitačního řízení </w:t>
            </w:r>
          </w:p>
        </w:tc>
        <w:tc>
          <w:tcPr>
            <w:tcW w:w="2268" w:type="dxa"/>
            <w:gridSpan w:val="4"/>
            <w:shd w:val="clear" w:color="auto" w:fill="F7CAAC"/>
          </w:tcPr>
          <w:p w:rsidR="0084593C" w:rsidRDefault="0084593C">
            <w:pPr>
              <w:pStyle w:val="Normln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2410" w:type="dxa"/>
            <w:gridSpan w:val="7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Ohlasy publikací</w:t>
            </w:r>
          </w:p>
        </w:tc>
      </w:tr>
      <w:tr w:rsidR="0084593C">
        <w:tc>
          <w:tcPr>
            <w:tcW w:w="2943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WOS</w:t>
            </w:r>
          </w:p>
        </w:tc>
        <w:tc>
          <w:tcPr>
            <w:tcW w:w="851" w:type="dxa"/>
            <w:gridSpan w:val="3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Scopus</w:t>
            </w:r>
          </w:p>
        </w:tc>
        <w:tc>
          <w:tcPr>
            <w:tcW w:w="850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ostatní</w:t>
            </w:r>
          </w:p>
        </w:tc>
      </w:tr>
      <w:tr w:rsidR="0084593C">
        <w:trPr>
          <w:cantSplit/>
          <w:trHeight w:val="70"/>
        </w:trPr>
        <w:tc>
          <w:tcPr>
            <w:tcW w:w="2943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Obor řízení k jmenování profesorem</w:t>
            </w:r>
          </w:p>
        </w:tc>
        <w:tc>
          <w:tcPr>
            <w:tcW w:w="2268" w:type="dxa"/>
            <w:gridSpan w:val="4"/>
            <w:shd w:val="clear" w:color="auto" w:fill="F7CAAC"/>
          </w:tcPr>
          <w:p w:rsidR="0084593C" w:rsidRDefault="0084593C">
            <w:pPr>
              <w:pStyle w:val="Normln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709" w:type="dxa"/>
            <w:gridSpan w:val="2"/>
            <w:vMerge w:val="restart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3"/>
            <w:vMerge w:val="restart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2"/>
            <w:vMerge w:val="restart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4593C">
        <w:trPr>
          <w:cantSplit/>
          <w:trHeight w:val="249"/>
        </w:trPr>
        <w:tc>
          <w:tcPr>
            <w:tcW w:w="2943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4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</w:tcPr>
          <w:p w:rsidR="0084593C" w:rsidRDefault="008459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</w:tcPr>
          <w:p w:rsidR="0084593C" w:rsidRDefault="008459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</w:tcPr>
          <w:p w:rsidR="0084593C" w:rsidRDefault="008459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84593C">
        <w:trPr>
          <w:trHeight w:val="244"/>
        </w:trPr>
        <w:tc>
          <w:tcPr>
            <w:tcW w:w="9322" w:type="dxa"/>
            <w:gridSpan w:val="15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vzdělávací činnosti vztahující se k oboru řízení</w:t>
            </w:r>
          </w:p>
        </w:tc>
      </w:tr>
      <w:tr w:rsidR="0084593C">
        <w:trPr>
          <w:trHeight w:val="1566"/>
        </w:trPr>
        <w:tc>
          <w:tcPr>
            <w:tcW w:w="9322" w:type="dxa"/>
            <w:gridSpan w:val="15"/>
          </w:tcPr>
          <w:p w:rsidR="0084593C" w:rsidRDefault="0084593C">
            <w:pPr>
              <w:pStyle w:val="Normln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Výuka na zahraničních univerzitách: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2016                (lecturer and coordinator) Undergraduate course </w:t>
            </w:r>
            <w:r>
              <w:rPr>
                <w:i/>
                <w:iCs/>
              </w:rPr>
              <w:t xml:space="preserve">Religion and Sound Media: Cultural History of Sense Perception </w:t>
            </w:r>
            <w:r>
              <w:t>Department of History and Cultural Studies, Free University Berlin</w:t>
            </w:r>
            <w:r>
              <w:rPr>
                <w:i/>
                <w:iCs/>
              </w:rPr>
              <w:t xml:space="preserve"> </w:t>
            </w:r>
            <w:r>
              <w:t>(April-September)</w:t>
            </w:r>
          </w:p>
          <w:p w:rsidR="0084593C" w:rsidRDefault="0084593C">
            <w:pPr>
              <w:pStyle w:val="Normln1"/>
              <w:spacing w:line="301" w:lineRule="auto"/>
              <w:jc w:val="both"/>
              <w:rPr>
                <w:i/>
                <w:iCs/>
              </w:rPr>
            </w:pPr>
            <w:r>
              <w:t xml:space="preserve">2015                (lecturer) Seminar </w:t>
            </w:r>
            <w:r>
              <w:rPr>
                <w:i/>
                <w:iCs/>
              </w:rPr>
              <w:t>Religion and Sensory Instruction</w:t>
            </w:r>
          </w:p>
          <w:p w:rsidR="0084593C" w:rsidRDefault="0084593C">
            <w:pPr>
              <w:pStyle w:val="Normln1"/>
              <w:spacing w:line="301" w:lineRule="auto"/>
              <w:ind w:left="2880" w:hanging="1440"/>
              <w:jc w:val="both"/>
            </w:pPr>
            <w:r>
              <w:rPr>
                <w:i/>
                <w:iCs/>
              </w:rPr>
              <w:t xml:space="preserve">                        </w:t>
            </w:r>
            <w:r>
              <w:t>Media Studies Department, University of Amsterdam (September)</w:t>
            </w:r>
          </w:p>
          <w:p w:rsidR="0084593C" w:rsidRDefault="0084593C">
            <w:pPr>
              <w:pStyle w:val="Normln1"/>
              <w:spacing w:line="301" w:lineRule="auto"/>
              <w:jc w:val="both"/>
              <w:rPr>
                <w:i/>
                <w:iCs/>
              </w:rPr>
            </w:pPr>
            <w:r>
              <w:t xml:space="preserve">2013                (lecturer) Seminar </w:t>
            </w:r>
            <w:r>
              <w:rPr>
                <w:i/>
                <w:iCs/>
              </w:rPr>
              <w:t>Orality and Literacy in Reformation Europe</w:t>
            </w:r>
          </w:p>
          <w:p w:rsidR="0084593C" w:rsidRDefault="0084593C">
            <w:pPr>
              <w:pStyle w:val="Normln1"/>
              <w:spacing w:line="301" w:lineRule="auto"/>
              <w:ind w:left="2880" w:hanging="1440"/>
              <w:jc w:val="both"/>
            </w:pPr>
            <w:r>
              <w:t xml:space="preserve">                        Media Studies Department, University of Amsterdam (April)</w:t>
            </w:r>
          </w:p>
          <w:p w:rsidR="0084593C" w:rsidRDefault="0084593C">
            <w:pPr>
              <w:pStyle w:val="Normln1"/>
              <w:jc w:val="both"/>
              <w:rPr>
                <w:b/>
                <w:bCs/>
              </w:rPr>
            </w:pPr>
          </w:p>
          <w:p w:rsidR="0084593C" w:rsidRDefault="0084593C">
            <w:pPr>
              <w:pStyle w:val="Normln1"/>
              <w:jc w:val="both"/>
            </w:pPr>
            <w:r>
              <w:rPr>
                <w:b/>
                <w:bCs/>
              </w:rPr>
              <w:t>Pravidelná výuka na MU</w:t>
            </w:r>
            <w:r>
              <w:t xml:space="preserve"> (výběr)</w:t>
            </w:r>
          </w:p>
          <w:p w:rsidR="0084593C" w:rsidRDefault="0084593C">
            <w:pPr>
              <w:pStyle w:val="Normln1"/>
              <w:jc w:val="both"/>
            </w:pPr>
            <w:r>
              <w:t>Křestanství I a II</w:t>
            </w:r>
          </w:p>
          <w:p w:rsidR="0084593C" w:rsidRDefault="0084593C">
            <w:pPr>
              <w:pStyle w:val="Normln1"/>
              <w:jc w:val="both"/>
            </w:pPr>
            <w:r>
              <w:t>Náboženství v historické a srovnávací perspektivě</w:t>
            </w:r>
          </w:p>
          <w:p w:rsidR="0084593C" w:rsidRDefault="0084593C">
            <w:pPr>
              <w:pStyle w:val="Normln1"/>
              <w:jc w:val="both"/>
            </w:pPr>
            <w:r>
              <w:t>Náboženství a smysly na Západě</w:t>
            </w:r>
          </w:p>
          <w:p w:rsidR="0084593C" w:rsidRDefault="0084593C">
            <w:pPr>
              <w:pStyle w:val="Normln1"/>
              <w:jc w:val="both"/>
            </w:pPr>
            <w:r>
              <w:t>Power, Authority, Tradition</w:t>
            </w:r>
          </w:p>
          <w:p w:rsidR="0084593C" w:rsidRDefault="0084593C">
            <w:pPr>
              <w:pStyle w:val="Normln1"/>
              <w:jc w:val="both"/>
            </w:pPr>
          </w:p>
        </w:tc>
      </w:tr>
      <w:tr w:rsidR="0084593C">
        <w:tc>
          <w:tcPr>
            <w:tcW w:w="9322" w:type="dxa"/>
            <w:gridSpan w:val="15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publikační a další tvůrčí činnosti vztahující se k oboru řízení</w:t>
            </w:r>
          </w:p>
        </w:tc>
      </w:tr>
      <w:tr w:rsidR="0084593C">
        <w:trPr>
          <w:trHeight w:val="1450"/>
        </w:trPr>
        <w:tc>
          <w:tcPr>
            <w:tcW w:w="9322" w:type="dxa"/>
            <w:gridSpan w:val="15"/>
          </w:tcPr>
          <w:p w:rsidR="0084593C" w:rsidRDefault="0084593C">
            <w:pPr>
              <w:pStyle w:val="Normln1"/>
              <w:spacing w:line="301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Monographs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rPr>
                <w:i/>
                <w:iCs/>
              </w:rPr>
              <w:t>Listening and Knowledge in Reformation Europe: Hearing, Speaking and Remembering in Calvin’s Geneva</w:t>
            </w:r>
            <w:r>
              <w:t xml:space="preserve"> (Cham: Palgrave Macmillan, 2019)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39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Articles in peer-reviewed journals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“Hearing Difference in Calvin’s Geneva: From Margins to Center,“ </w:t>
            </w:r>
            <w:r>
              <w:rPr>
                <w:i/>
                <w:iCs/>
              </w:rPr>
              <w:t>The Sixteenth Century Journal</w:t>
            </w:r>
            <w:r>
              <w:t xml:space="preserve"> 49/1 (2018): 25-47.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“Sensing the Reformation: How Media-Historical Narratives Constrain the Study of Religious Change,” </w:t>
            </w:r>
            <w:r>
              <w:rPr>
                <w:i/>
                <w:iCs/>
              </w:rPr>
              <w:t>Religio: Revue pro religionistiku</w:t>
            </w:r>
            <w:r>
              <w:t xml:space="preserve"> 26/1 (2018), 31-48.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 </w:t>
            </w:r>
          </w:p>
          <w:p w:rsidR="0084593C" w:rsidRDefault="0084593C">
            <w:pPr>
              <w:pStyle w:val="Normln1"/>
              <w:spacing w:line="301" w:lineRule="auto"/>
              <w:jc w:val="both"/>
              <w:rPr>
                <w:i/>
                <w:iCs/>
              </w:rPr>
            </w:pPr>
            <w:r>
              <w:t xml:space="preserve">“Sound Signatures: From Hearing Tubes to Computer Hacking,“ </w:t>
            </w:r>
            <w:r>
              <w:rPr>
                <w:i/>
                <w:iCs/>
              </w:rPr>
              <w:t xml:space="preserve">Sensory Studies </w:t>
            </w:r>
            <w:r>
              <w:t xml:space="preserve">(2014), </w:t>
            </w:r>
            <w:r>
              <w:rPr>
                <w:i/>
                <w:iCs/>
              </w:rPr>
              <w:t>[online].</w:t>
            </w:r>
          </w:p>
          <w:p w:rsidR="0084593C" w:rsidRDefault="0084593C">
            <w:pPr>
              <w:pStyle w:val="Normln1"/>
              <w:spacing w:line="392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4593C" w:rsidRDefault="0084593C">
            <w:pPr>
              <w:pStyle w:val="Normln1"/>
              <w:spacing w:line="39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Book chapters</w:t>
            </w:r>
          </w:p>
          <w:p w:rsidR="0084593C" w:rsidRDefault="0084593C">
            <w:pPr>
              <w:pStyle w:val="Normln1"/>
              <w:spacing w:line="301" w:lineRule="auto"/>
              <w:jc w:val="both"/>
            </w:pPr>
            <w:r>
              <w:t xml:space="preserve">“Kirche,“ in </w:t>
            </w:r>
            <w:r>
              <w:rPr>
                <w:i/>
                <w:iCs/>
              </w:rPr>
              <w:t>Handbuch Sound: Geschichte-Begriffe-Ansätze</w:t>
            </w:r>
            <w:r>
              <w:t>, ed.  Daniel Morat and Hansjakob Ziemer (Stuttgart: Verlag J.B. Metzler, 2018), 262-5</w:t>
            </w:r>
          </w:p>
          <w:p w:rsidR="0084593C" w:rsidRDefault="0084593C">
            <w:pPr>
              <w:pStyle w:val="Normln1"/>
              <w:jc w:val="both"/>
            </w:pPr>
          </w:p>
        </w:tc>
      </w:tr>
      <w:tr w:rsidR="0084593C">
        <w:trPr>
          <w:cantSplit/>
        </w:trPr>
        <w:tc>
          <w:tcPr>
            <w:tcW w:w="3369" w:type="dxa"/>
            <w:gridSpan w:val="4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Působení v zahraničí</w:t>
            </w:r>
          </w:p>
        </w:tc>
        <w:tc>
          <w:tcPr>
            <w:tcW w:w="5953" w:type="dxa"/>
            <w:gridSpan w:val="11"/>
            <w:vMerge w:val="restart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4593C">
        <w:trPr>
          <w:cantSplit/>
          <w:trHeight w:val="1046"/>
        </w:trPr>
        <w:tc>
          <w:tcPr>
            <w:tcW w:w="3369" w:type="dxa"/>
            <w:gridSpan w:val="4"/>
            <w:tcBorders>
              <w:right w:val="nil"/>
            </w:tcBorders>
          </w:tcPr>
          <w:p w:rsidR="0084593C" w:rsidRDefault="0084593C">
            <w:pPr>
              <w:pStyle w:val="Normln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Viz výše</w:t>
            </w:r>
          </w:p>
          <w:p w:rsidR="0084593C" w:rsidRDefault="0084593C">
            <w:pPr>
              <w:pStyle w:val="Normln1"/>
              <w:jc w:val="both"/>
            </w:pPr>
            <w:r>
              <w:t>(Max Planck Institute for the History of Science, Freie Universität Berlin, University of Amsterdam, Humboldt University, University Erfurt)</w:t>
            </w:r>
          </w:p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5953" w:type="dxa"/>
            <w:gridSpan w:val="11"/>
            <w:vMerge/>
          </w:tcPr>
          <w:p w:rsidR="0084593C" w:rsidRDefault="008459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  <w:r>
              <w:t>)</w:t>
            </w:r>
          </w:p>
        </w:tc>
      </w:tr>
      <w:tr w:rsidR="0084593C">
        <w:trPr>
          <w:trHeight w:val="470"/>
        </w:trPr>
        <w:tc>
          <w:tcPr>
            <w:tcW w:w="2518" w:type="dxa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Podpis </w:t>
            </w:r>
          </w:p>
        </w:tc>
        <w:tc>
          <w:tcPr>
            <w:tcW w:w="4536" w:type="dxa"/>
            <w:gridSpan w:val="8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786" w:type="dxa"/>
            <w:gridSpan w:val="3"/>
            <w:shd w:val="clear" w:color="auto" w:fill="F7CAAC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482" w:type="dxa"/>
            <w:gridSpan w:val="3"/>
          </w:tcPr>
          <w:p w:rsidR="0084593C" w:rsidRDefault="0084593C">
            <w:pPr>
              <w:pStyle w:val="Normln1"/>
              <w:jc w:val="both"/>
              <w:rPr>
                <w:color w:val="000000"/>
              </w:rPr>
            </w:pPr>
            <w:r>
              <w:t>20. 9. 2020</w:t>
            </w:r>
          </w:p>
        </w:tc>
      </w:tr>
    </w:tbl>
    <w:p w:rsidR="0084593C" w:rsidRDefault="0084593C">
      <w:pPr>
        <w:pStyle w:val="Normln1"/>
        <w:rPr>
          <w:color w:val="000000"/>
          <w:sz w:val="28"/>
          <w:szCs w:val="28"/>
        </w:rPr>
      </w:pPr>
    </w:p>
    <w:sectPr w:rsidR="0084593C" w:rsidSect="0084593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593C" w:rsidRDefault="008459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endnote>
  <w:endnote w:type="continuationSeparator" w:id="0">
    <w:p w:rsidR="0084593C" w:rsidRDefault="008459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93C" w:rsidRDefault="0084593C">
    <w:pPr>
      <w:pStyle w:val="Normln1"/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84593C" w:rsidRDefault="0084593C">
    <w:pPr>
      <w:pStyle w:val="Normln1"/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93C" w:rsidRDefault="0084593C">
    <w:pPr>
      <w:pStyle w:val="Normln1"/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verze 22. 3.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593C" w:rsidRDefault="008459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footnote>
  <w:footnote w:type="continuationSeparator" w:id="0">
    <w:p w:rsidR="0084593C" w:rsidRDefault="008459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93C" w:rsidRDefault="0084593C">
    <w:pPr>
      <w:pStyle w:val="Normln1"/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93C" w:rsidRDefault="0084593C">
    <w:pPr>
      <w:pStyle w:val="Normln1"/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593C"/>
    <w:rsid w:val="008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F5BC9BB-3C41-4BE0-A1F6-8D551C8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hidden/>
    <w:qFormat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</w:style>
  <w:style w:type="paragraph" w:styleId="Nadpis1">
    <w:name w:val="heading 1"/>
    <w:basedOn w:val="Normln1"/>
    <w:next w:val="Normln1"/>
    <w:link w:val="Nadpis1Char"/>
    <w:autoRedefine/>
    <w:hidden/>
    <w:uiPriority w:val="99"/>
    <w:qFormat/>
    <w:pPr>
      <w:keepNext/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u w:val="single"/>
    </w:rPr>
  </w:style>
  <w:style w:type="paragraph" w:styleId="Nadpis2">
    <w:name w:val="heading 2"/>
    <w:basedOn w:val="Normln1"/>
    <w:next w:val="Normln1"/>
    <w:link w:val="Nadpis2Char"/>
    <w:autoRedefine/>
    <w:hidden/>
    <w:uiPriority w:val="99"/>
    <w:qFormat/>
    <w:pPr>
      <w:keepNext/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1"/>
    </w:pPr>
    <w:rPr>
      <w:position w:val="-1"/>
      <w:sz w:val="24"/>
      <w:szCs w:val="24"/>
      <w:u w:val="single"/>
    </w:rPr>
  </w:style>
  <w:style w:type="paragraph" w:styleId="Nadpis3">
    <w:name w:val="heading 3"/>
    <w:basedOn w:val="Normln1"/>
    <w:next w:val="Normln1"/>
    <w:link w:val="Nadpis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autoRedefine/>
    <w:hidden/>
    <w:uiPriority w:val="99"/>
    <w:qFormat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b/>
      <w:bCs/>
      <w:position w:val="-1"/>
      <w:sz w:val="24"/>
      <w:szCs w:val="24"/>
    </w:rPr>
  </w:style>
  <w:style w:type="paragraph" w:styleId="Nadpis6">
    <w:name w:val="heading 6"/>
    <w:basedOn w:val="Normln1"/>
    <w:next w:val="Normln1"/>
    <w:link w:val="Nadpis6Char"/>
    <w:autoRedefine/>
    <w:hidden/>
    <w:uiPriority w:val="99"/>
    <w:qFormat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5"/>
    </w:pPr>
    <w:rPr>
      <w:b/>
      <w:bCs/>
      <w:position w:val="-1"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Pr>
      <w:b/>
      <w:bCs/>
    </w:rPr>
  </w:style>
  <w:style w:type="paragraph" w:customStyle="1" w:styleId="Normln1">
    <w:name w:val="Normální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1"/>
    <w:next w:val="Normln1"/>
    <w:link w:val="Nzev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Znakapoznpodarou">
    <w:name w:val="footnote reference"/>
    <w:basedOn w:val="Standardnpsmoodstavce"/>
    <w:hidden/>
    <w:uiPriority w:val="99"/>
    <w:rPr>
      <w:w w:val="100"/>
      <w:sz w:val="20"/>
      <w:szCs w:val="20"/>
      <w:effect w:val="none"/>
      <w:vertAlign w:val="superscript"/>
      <w:em w:val="none"/>
    </w:rPr>
  </w:style>
  <w:style w:type="paragraph" w:styleId="Zkladntext3">
    <w:name w:val="Body Text 3"/>
    <w:basedOn w:val="Normln"/>
    <w:link w:val="Zkladntext3Char"/>
    <w:autoRedefine/>
    <w:hidden/>
    <w:uiPriority w:val="99"/>
    <w:pPr>
      <w:widowControl w:val="0"/>
      <w:spacing w:line="240" w:lineRule="atLeast"/>
      <w:jc w:val="both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autoRedefine/>
    <w:hidden/>
    <w:uiPriority w:val="99"/>
    <w:pPr>
      <w:widowControl w:val="0"/>
      <w:tabs>
        <w:tab w:val="left" w:pos="2410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autoRedefine/>
    <w:hidden/>
    <w:uiPriority w:val="99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autoRedefine/>
    <w:hidden/>
    <w:uiPriority w:val="99"/>
    <w:pPr>
      <w:widowControl w:val="0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autoRedefine/>
    <w:hidden/>
    <w:uiPriority w:val="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hidden/>
    <w:uiPriority w:val="99"/>
    <w:rPr>
      <w:w w:val="100"/>
      <w:sz w:val="16"/>
      <w:szCs w:val="16"/>
      <w:effect w:val="none"/>
      <w:vertAlign w:val="baseline"/>
      <w:em w:val="none"/>
    </w:rPr>
  </w:style>
  <w:style w:type="paragraph" w:styleId="Textkomente">
    <w:name w:val="annotation text"/>
    <w:basedOn w:val="Normln"/>
    <w:link w:val="TextkomenteChar"/>
    <w:autoRedefine/>
    <w:hidden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autoRedefine/>
    <w:hidden/>
    <w:uiPriority w:val="99"/>
    <w:rPr>
      <w:b/>
      <w:bCs/>
    </w:rPr>
  </w:style>
  <w:style w:type="paragraph" w:styleId="Rozloendokumentu">
    <w:name w:val="Document Map"/>
    <w:basedOn w:val="Normln"/>
    <w:link w:val="RozloendokumentuChar"/>
    <w:autoRedefine/>
    <w:hidden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Pr>
      <w:rFonts w:ascii="Times New Roman" w:hAnsi="Times New Roman" w:cs="Times New Roman"/>
      <w:sz w:val="2"/>
      <w:szCs w:val="2"/>
    </w:rPr>
  </w:style>
  <w:style w:type="character" w:customStyle="1" w:styleId="CharChar">
    <w:name w:val="Char Char"/>
    <w:hidden/>
    <w:uiPriority w:val="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"/>
    <w:autoRedefine/>
    <w:hidden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styleId="Zhlav">
    <w:name w:val="header"/>
    <w:basedOn w:val="Normln"/>
    <w:link w:val="ZhlavChar"/>
    <w:autoRedefine/>
    <w:hidden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hidden/>
    <w:uiPriority w:val="99"/>
    <w:rPr>
      <w:rFonts w:ascii="Times New Roman" w:hAnsi="Times New Roman" w:cs="Times New Roman"/>
      <w:color w:val="auto"/>
      <w:w w:val="100"/>
      <w:u w:val="single"/>
      <w:effect w:val="none"/>
      <w:vertAlign w:val="baseline"/>
      <w:em w:val="none"/>
    </w:rPr>
  </w:style>
  <w:style w:type="paragraph" w:styleId="Podnadpis">
    <w:name w:val="Subtitle"/>
    <w:basedOn w:val="Normln1"/>
    <w:next w:val="Normln1"/>
    <w:link w:val="Podnadpis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</cp:lastModifiedBy>
  <cp:revision>9</cp:revision>
  <dcterms:created xsi:type="dcterms:W3CDTF">2020-08-31T12:01:00Z</dcterms:created>
  <dcterms:modified xsi:type="dcterms:W3CDTF">2020-11-05T23:12:00Z</dcterms:modified>
</cp:coreProperties>
</file>