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043C" w:rsidRDefault="0083043C">
      <w:pPr>
        <w:pStyle w:val="Normln1"/>
        <w:widowControl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390" w:type="dxa"/>
        <w:tblInd w:w="-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420"/>
        <w:gridCol w:w="405"/>
        <w:gridCol w:w="105"/>
        <w:gridCol w:w="1695"/>
        <w:gridCol w:w="135"/>
        <w:gridCol w:w="855"/>
        <w:gridCol w:w="855"/>
        <w:gridCol w:w="135"/>
        <w:gridCol w:w="570"/>
        <w:gridCol w:w="135"/>
        <w:gridCol w:w="105"/>
        <w:gridCol w:w="630"/>
        <w:gridCol w:w="285"/>
        <w:gridCol w:w="570"/>
      </w:tblGrid>
      <w:tr w:rsidR="0083043C">
        <w:tc>
          <w:tcPr>
            <w:tcW w:w="9390" w:type="dxa"/>
            <w:gridSpan w:val="15"/>
            <w:shd w:val="clear" w:color="auto" w:fill="BDD6EE"/>
          </w:tcPr>
          <w:p w:rsidR="0083043C" w:rsidRDefault="0083043C">
            <w:pPr>
              <w:pStyle w:val="Normln1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F-V – Personální zabezpečení – akademičtí pracovníci</w:t>
            </w:r>
          </w:p>
        </w:tc>
      </w:tr>
      <w:tr w:rsidR="0083043C">
        <w:tc>
          <w:tcPr>
            <w:tcW w:w="2490" w:type="dxa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Vysoká škola</w:t>
            </w:r>
          </w:p>
        </w:tc>
        <w:tc>
          <w:tcPr>
            <w:tcW w:w="6900" w:type="dxa"/>
            <w:gridSpan w:val="14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color w:val="000000"/>
              </w:rPr>
              <w:t>Masarykova univerzita</w:t>
            </w:r>
          </w:p>
        </w:tc>
      </w:tr>
      <w:tr w:rsidR="0083043C">
        <w:tc>
          <w:tcPr>
            <w:tcW w:w="2490" w:type="dxa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Součást vysoké školy</w:t>
            </w:r>
          </w:p>
        </w:tc>
        <w:tc>
          <w:tcPr>
            <w:tcW w:w="6900" w:type="dxa"/>
            <w:gridSpan w:val="14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color w:val="000000"/>
              </w:rPr>
              <w:t>Filozofická fakulta</w:t>
            </w:r>
          </w:p>
        </w:tc>
      </w:tr>
      <w:tr w:rsidR="0083043C">
        <w:tc>
          <w:tcPr>
            <w:tcW w:w="2490" w:type="dxa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Název oboru řízení</w:t>
            </w:r>
          </w:p>
        </w:tc>
        <w:tc>
          <w:tcPr>
            <w:tcW w:w="6900" w:type="dxa"/>
            <w:gridSpan w:val="14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color w:val="000000"/>
              </w:rPr>
              <w:t>Religionistika</w:t>
            </w:r>
          </w:p>
        </w:tc>
      </w:tr>
      <w:tr w:rsidR="0083043C">
        <w:tc>
          <w:tcPr>
            <w:tcW w:w="2490" w:type="dxa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Jméno a příjmení</w:t>
            </w:r>
          </w:p>
        </w:tc>
        <w:tc>
          <w:tcPr>
            <w:tcW w:w="4605" w:type="dxa"/>
            <w:gridSpan w:val="8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Jana Valtrová, roz. Rozehnalová</w:t>
            </w:r>
          </w:p>
        </w:tc>
        <w:tc>
          <w:tcPr>
            <w:tcW w:w="705" w:type="dxa"/>
            <w:gridSpan w:val="2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Tituly</w:t>
            </w:r>
          </w:p>
        </w:tc>
        <w:tc>
          <w:tcPr>
            <w:tcW w:w="1590" w:type="dxa"/>
            <w:gridSpan w:val="4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Mgr., Ph.D.</w:t>
            </w:r>
          </w:p>
        </w:tc>
      </w:tr>
      <w:tr w:rsidR="0083043C">
        <w:tc>
          <w:tcPr>
            <w:tcW w:w="2490" w:type="dxa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 narození</w:t>
            </w:r>
          </w:p>
        </w:tc>
        <w:tc>
          <w:tcPr>
            <w:tcW w:w="825" w:type="dxa"/>
            <w:gridSpan w:val="2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1980</w:t>
            </w:r>
          </w:p>
        </w:tc>
        <w:tc>
          <w:tcPr>
            <w:tcW w:w="1800" w:type="dxa"/>
            <w:gridSpan w:val="2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vztahu k VŠ</w:t>
            </w:r>
          </w:p>
        </w:tc>
        <w:tc>
          <w:tcPr>
            <w:tcW w:w="990" w:type="dxa"/>
            <w:gridSpan w:val="2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pp.</w:t>
            </w:r>
          </w:p>
        </w:tc>
        <w:tc>
          <w:tcPr>
            <w:tcW w:w="990" w:type="dxa"/>
            <w:gridSpan w:val="2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rozsah</w:t>
            </w:r>
          </w:p>
        </w:tc>
        <w:tc>
          <w:tcPr>
            <w:tcW w:w="705" w:type="dxa"/>
            <w:gridSpan w:val="2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40</w:t>
            </w:r>
          </w:p>
        </w:tc>
        <w:tc>
          <w:tcPr>
            <w:tcW w:w="1020" w:type="dxa"/>
            <w:gridSpan w:val="3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 kdy</w:t>
            </w:r>
          </w:p>
        </w:tc>
        <w:tc>
          <w:tcPr>
            <w:tcW w:w="570" w:type="dxa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N</w:t>
            </w:r>
          </w:p>
        </w:tc>
      </w:tr>
      <w:tr w:rsidR="0083043C">
        <w:tc>
          <w:tcPr>
            <w:tcW w:w="5115" w:type="dxa"/>
            <w:gridSpan w:val="5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vztahu k součásti VŠ, na které probíhá řízení</w:t>
            </w:r>
          </w:p>
        </w:tc>
        <w:tc>
          <w:tcPr>
            <w:tcW w:w="990" w:type="dxa"/>
            <w:gridSpan w:val="2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pp.</w:t>
            </w:r>
          </w:p>
        </w:tc>
        <w:tc>
          <w:tcPr>
            <w:tcW w:w="990" w:type="dxa"/>
            <w:gridSpan w:val="2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rozsah</w:t>
            </w:r>
          </w:p>
        </w:tc>
        <w:tc>
          <w:tcPr>
            <w:tcW w:w="705" w:type="dxa"/>
            <w:gridSpan w:val="2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40</w:t>
            </w:r>
          </w:p>
        </w:tc>
        <w:tc>
          <w:tcPr>
            <w:tcW w:w="1020" w:type="dxa"/>
            <w:gridSpan w:val="3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 kdy</w:t>
            </w:r>
          </w:p>
        </w:tc>
        <w:tc>
          <w:tcPr>
            <w:tcW w:w="570" w:type="dxa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N</w:t>
            </w:r>
          </w:p>
        </w:tc>
      </w:tr>
      <w:tr w:rsidR="0083043C">
        <w:tc>
          <w:tcPr>
            <w:tcW w:w="6105" w:type="dxa"/>
            <w:gridSpan w:val="7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Další současná působení jako akademický pracovník na VŠ</w:t>
            </w:r>
          </w:p>
        </w:tc>
        <w:tc>
          <w:tcPr>
            <w:tcW w:w="1695" w:type="dxa"/>
            <w:gridSpan w:val="4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 prac. vztahu</w:t>
            </w:r>
          </w:p>
        </w:tc>
        <w:tc>
          <w:tcPr>
            <w:tcW w:w="1590" w:type="dxa"/>
            <w:gridSpan w:val="4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rozsah</w:t>
            </w:r>
          </w:p>
        </w:tc>
      </w:tr>
      <w:tr w:rsidR="0083043C">
        <w:tc>
          <w:tcPr>
            <w:tcW w:w="6105" w:type="dxa"/>
            <w:gridSpan w:val="7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1695" w:type="dxa"/>
            <w:gridSpan w:val="4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1590" w:type="dxa"/>
            <w:gridSpan w:val="4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-</w:t>
            </w:r>
          </w:p>
        </w:tc>
      </w:tr>
      <w:tr w:rsidR="0083043C">
        <w:tc>
          <w:tcPr>
            <w:tcW w:w="6105" w:type="dxa"/>
            <w:gridSpan w:val="7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1695" w:type="dxa"/>
            <w:gridSpan w:val="4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1590" w:type="dxa"/>
            <w:gridSpan w:val="4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</w:p>
        </w:tc>
      </w:tr>
      <w:tr w:rsidR="0083043C">
        <w:tc>
          <w:tcPr>
            <w:tcW w:w="6105" w:type="dxa"/>
            <w:gridSpan w:val="7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1695" w:type="dxa"/>
            <w:gridSpan w:val="4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1590" w:type="dxa"/>
            <w:gridSpan w:val="4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</w:p>
        </w:tc>
      </w:tr>
      <w:tr w:rsidR="0083043C">
        <w:tc>
          <w:tcPr>
            <w:tcW w:w="6105" w:type="dxa"/>
            <w:gridSpan w:val="7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1695" w:type="dxa"/>
            <w:gridSpan w:val="4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1590" w:type="dxa"/>
            <w:gridSpan w:val="4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</w:p>
        </w:tc>
      </w:tr>
      <w:tr w:rsidR="0083043C">
        <w:tc>
          <w:tcPr>
            <w:tcW w:w="9390" w:type="dxa"/>
            <w:gridSpan w:val="15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Údaje o oboru vzdělání na VŠ </w:t>
            </w:r>
          </w:p>
        </w:tc>
      </w:tr>
      <w:tr w:rsidR="0083043C">
        <w:trPr>
          <w:trHeight w:val="1055"/>
        </w:trPr>
        <w:tc>
          <w:tcPr>
            <w:tcW w:w="9390" w:type="dxa"/>
            <w:gridSpan w:val="15"/>
          </w:tcPr>
          <w:p w:rsidR="0083043C" w:rsidRDefault="0083043C">
            <w:pPr>
              <w:pStyle w:val="Normln1"/>
              <w:jc w:val="both"/>
            </w:pPr>
            <w:r>
              <w:t>2007: vysokoškolské doktorské vzdělání na Filozofické fakultě Masarykovy univerzity (prezenční forma studia,</w:t>
            </w:r>
          </w:p>
          <w:p w:rsidR="0083043C" w:rsidRDefault="0083043C">
            <w:pPr>
              <w:pStyle w:val="Normln1"/>
              <w:jc w:val="both"/>
            </w:pPr>
            <w:r>
              <w:t xml:space="preserve">studijní program P6101 D-PH Filozofie, studijní obor 6101V014 religionistika), titul doktorka (Ph.D.). Disertační práce: </w:t>
            </w:r>
            <w:r>
              <w:rPr>
                <w:i/>
                <w:iCs/>
                <w:color w:val="3A3A3A"/>
                <w:sz w:val="21"/>
                <w:szCs w:val="21"/>
              </w:rPr>
              <w:t>Obrazy Východu ve středověkých cestopisech: K proměnám evropského vztahu k „jinému“</w:t>
            </w:r>
            <w:r>
              <w:t xml:space="preserve"> (školitel: prof. PhDr. Pavel Spunar, CSc.).</w:t>
            </w:r>
          </w:p>
          <w:p w:rsidR="0083043C" w:rsidRDefault="0083043C">
            <w:pPr>
              <w:pStyle w:val="Normln1"/>
              <w:jc w:val="both"/>
            </w:pPr>
          </w:p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 xml:space="preserve">2003: vysokoškolské magisterské vzdělání na Filozofické fakultě Masarykovy univerzity v Brně (prezenční forma studia, studijní program 6107T M-HS Humanitní studia, studijní obory 6101T014 religionistika a  historie, titul magistra (Mgr.). Diplomová práce: </w:t>
            </w:r>
            <w:r>
              <w:rPr>
                <w:i/>
                <w:iCs/>
                <w:color w:val="3A3A3A"/>
                <w:sz w:val="21"/>
                <w:szCs w:val="21"/>
              </w:rPr>
              <w:t>Obraz tibetského buddhismu v českém kulturním prostředí</w:t>
            </w:r>
            <w:r>
              <w:rPr>
                <w:i/>
                <w:iCs/>
              </w:rPr>
              <w:t xml:space="preserve"> </w:t>
            </w:r>
            <w:r>
              <w:t>(vedoucí: doc. PhDr. Luboš Bělka, CSc.).</w:t>
            </w:r>
          </w:p>
          <w:p w:rsidR="0083043C" w:rsidRDefault="0083043C">
            <w:pPr>
              <w:pStyle w:val="Normln1"/>
              <w:jc w:val="both"/>
              <w:rPr>
                <w:color w:val="000000"/>
              </w:rPr>
            </w:pPr>
          </w:p>
        </w:tc>
      </w:tr>
      <w:tr w:rsidR="0083043C">
        <w:tc>
          <w:tcPr>
            <w:tcW w:w="9390" w:type="dxa"/>
            <w:gridSpan w:val="15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Údaje o odborném působení od absolvování VŠ</w:t>
            </w:r>
          </w:p>
        </w:tc>
      </w:tr>
      <w:tr w:rsidR="0083043C">
        <w:trPr>
          <w:trHeight w:val="1682"/>
        </w:trPr>
        <w:tc>
          <w:tcPr>
            <w:tcW w:w="9390" w:type="dxa"/>
            <w:gridSpan w:val="15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</w:p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 xml:space="preserve">2006-dosud: Masarykova univerzita, Filozofická fakulta, Ústav religionistiky (2006-2007: asistentka, 2007- dosud odborná asistentka). </w:t>
            </w:r>
          </w:p>
        </w:tc>
      </w:tr>
      <w:tr w:rsidR="0083043C">
        <w:trPr>
          <w:trHeight w:val="495"/>
        </w:trPr>
        <w:tc>
          <w:tcPr>
            <w:tcW w:w="2910" w:type="dxa"/>
            <w:gridSpan w:val="2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Obor habilitačního řízení </w:t>
            </w:r>
          </w:p>
        </w:tc>
        <w:tc>
          <w:tcPr>
            <w:tcW w:w="2340" w:type="dxa"/>
            <w:gridSpan w:val="4"/>
            <w:shd w:val="clear" w:color="auto" w:fill="F7CAAC"/>
          </w:tcPr>
          <w:p w:rsidR="0083043C" w:rsidRDefault="0083043C">
            <w:pPr>
              <w:pStyle w:val="Normln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 udělení hodnosti</w:t>
            </w:r>
          </w:p>
        </w:tc>
        <w:tc>
          <w:tcPr>
            <w:tcW w:w="1710" w:type="dxa"/>
            <w:gridSpan w:val="2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Řízení konáno na VŠ</w:t>
            </w:r>
          </w:p>
        </w:tc>
        <w:tc>
          <w:tcPr>
            <w:tcW w:w="2430" w:type="dxa"/>
            <w:gridSpan w:val="7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Ohlasy publikací</w:t>
            </w:r>
          </w:p>
        </w:tc>
      </w:tr>
      <w:tr w:rsidR="0083043C">
        <w:tc>
          <w:tcPr>
            <w:tcW w:w="2910" w:type="dxa"/>
            <w:gridSpan w:val="2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2340" w:type="dxa"/>
            <w:gridSpan w:val="4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--</w:t>
            </w:r>
          </w:p>
        </w:tc>
        <w:tc>
          <w:tcPr>
            <w:tcW w:w="1710" w:type="dxa"/>
            <w:gridSpan w:val="2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705" w:type="dxa"/>
            <w:gridSpan w:val="2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WOS</w:t>
            </w:r>
          </w:p>
        </w:tc>
        <w:tc>
          <w:tcPr>
            <w:tcW w:w="870" w:type="dxa"/>
            <w:gridSpan w:val="3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Scopus</w:t>
            </w:r>
          </w:p>
        </w:tc>
        <w:tc>
          <w:tcPr>
            <w:tcW w:w="855" w:type="dxa"/>
            <w:gridSpan w:val="2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ostatní</w:t>
            </w:r>
          </w:p>
        </w:tc>
      </w:tr>
      <w:tr w:rsidR="0083043C">
        <w:trPr>
          <w:cantSplit/>
          <w:trHeight w:val="70"/>
        </w:trPr>
        <w:tc>
          <w:tcPr>
            <w:tcW w:w="2910" w:type="dxa"/>
            <w:gridSpan w:val="2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Obor řízení k jmenování profesorem</w:t>
            </w:r>
          </w:p>
        </w:tc>
        <w:tc>
          <w:tcPr>
            <w:tcW w:w="2340" w:type="dxa"/>
            <w:gridSpan w:val="4"/>
            <w:shd w:val="clear" w:color="auto" w:fill="F7CAAC"/>
          </w:tcPr>
          <w:p w:rsidR="0083043C" w:rsidRDefault="0083043C">
            <w:pPr>
              <w:pStyle w:val="Normln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 udělení hodnosti</w:t>
            </w:r>
          </w:p>
        </w:tc>
        <w:tc>
          <w:tcPr>
            <w:tcW w:w="1710" w:type="dxa"/>
            <w:gridSpan w:val="2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Řízení konáno na VŠ</w:t>
            </w:r>
          </w:p>
        </w:tc>
        <w:tc>
          <w:tcPr>
            <w:tcW w:w="705" w:type="dxa"/>
            <w:gridSpan w:val="2"/>
            <w:vMerge w:val="restart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2</w:t>
            </w:r>
          </w:p>
        </w:tc>
        <w:tc>
          <w:tcPr>
            <w:tcW w:w="870" w:type="dxa"/>
            <w:gridSpan w:val="3"/>
            <w:vMerge w:val="restart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5</w:t>
            </w:r>
          </w:p>
        </w:tc>
        <w:tc>
          <w:tcPr>
            <w:tcW w:w="855" w:type="dxa"/>
            <w:gridSpan w:val="2"/>
            <w:vMerge w:val="restart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22</w:t>
            </w:r>
          </w:p>
        </w:tc>
      </w:tr>
      <w:tr w:rsidR="0083043C">
        <w:trPr>
          <w:cantSplit/>
          <w:trHeight w:val="249"/>
        </w:trPr>
        <w:tc>
          <w:tcPr>
            <w:tcW w:w="2910" w:type="dxa"/>
            <w:gridSpan w:val="2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2340" w:type="dxa"/>
            <w:gridSpan w:val="4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1710" w:type="dxa"/>
            <w:gridSpan w:val="2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t>-</w:t>
            </w:r>
          </w:p>
        </w:tc>
        <w:tc>
          <w:tcPr>
            <w:tcW w:w="705" w:type="dxa"/>
            <w:gridSpan w:val="2"/>
            <w:vMerge/>
          </w:tcPr>
          <w:p w:rsidR="0083043C" w:rsidRDefault="0083043C">
            <w:pPr>
              <w:pStyle w:val="Normln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870" w:type="dxa"/>
            <w:gridSpan w:val="3"/>
            <w:vMerge/>
          </w:tcPr>
          <w:p w:rsidR="0083043C" w:rsidRDefault="0083043C">
            <w:pPr>
              <w:pStyle w:val="Normln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855" w:type="dxa"/>
            <w:gridSpan w:val="2"/>
            <w:vMerge/>
          </w:tcPr>
          <w:p w:rsidR="0083043C" w:rsidRDefault="0083043C">
            <w:pPr>
              <w:pStyle w:val="Normln1"/>
              <w:widowControl w:val="0"/>
              <w:spacing w:line="276" w:lineRule="auto"/>
              <w:rPr>
                <w:color w:val="000000"/>
              </w:rPr>
            </w:pPr>
          </w:p>
        </w:tc>
      </w:tr>
      <w:tr w:rsidR="0083043C">
        <w:tc>
          <w:tcPr>
            <w:tcW w:w="9390" w:type="dxa"/>
            <w:gridSpan w:val="15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Přehled o nejvýznamnější vzdělávací činnosti vztahující se k oboru řízení</w:t>
            </w:r>
          </w:p>
        </w:tc>
      </w:tr>
      <w:tr w:rsidR="0083043C">
        <w:trPr>
          <w:trHeight w:val="1566"/>
        </w:trPr>
        <w:tc>
          <w:tcPr>
            <w:tcW w:w="9390" w:type="dxa"/>
            <w:gridSpan w:val="15"/>
          </w:tcPr>
          <w:p w:rsidR="0083043C" w:rsidRDefault="0083043C">
            <w:pPr>
              <w:pStyle w:val="Normln1"/>
              <w:jc w:val="both"/>
            </w:pPr>
            <w:r>
              <w:rPr>
                <w:b/>
                <w:bCs/>
              </w:rPr>
              <w:t>Pozvání k přednáškám na evropských univerzitách:</w:t>
            </w:r>
          </w:p>
          <w:p w:rsidR="0083043C" w:rsidRDefault="0083043C">
            <w:pPr>
              <w:pStyle w:val="Normln1"/>
              <w:jc w:val="both"/>
            </w:pPr>
            <w:r>
              <w:t>Vídeň, Bern, Lausanne, Lipsko, Krakow, Szeged, Bratislava</w:t>
            </w:r>
          </w:p>
          <w:p w:rsidR="0083043C" w:rsidRDefault="0083043C">
            <w:pPr>
              <w:pStyle w:val="Normln1"/>
              <w:jc w:val="both"/>
            </w:pPr>
          </w:p>
          <w:p w:rsidR="0083043C" w:rsidRDefault="0083043C">
            <w:pPr>
              <w:pStyle w:val="Normln1"/>
              <w:jc w:val="both"/>
            </w:pPr>
            <w:r>
              <w:rPr>
                <w:b/>
                <w:bCs/>
              </w:rPr>
              <w:t>Pravidelná výuka (výběr):</w:t>
            </w:r>
          </w:p>
          <w:p w:rsidR="0083043C" w:rsidRDefault="0083043C">
            <w:pPr>
              <w:pStyle w:val="Normln1"/>
              <w:jc w:val="both"/>
            </w:pPr>
            <w:r>
              <w:t>Buddhismus II</w:t>
            </w:r>
          </w:p>
          <w:p w:rsidR="0083043C" w:rsidRDefault="0083043C">
            <w:pPr>
              <w:pStyle w:val="Normln1"/>
              <w:jc w:val="both"/>
            </w:pPr>
            <w:r>
              <w:t>Příprava podkladů k disertační práci</w:t>
            </w:r>
          </w:p>
          <w:p w:rsidR="0083043C" w:rsidRDefault="0083043C">
            <w:pPr>
              <w:pStyle w:val="Normln1"/>
              <w:jc w:val="both"/>
            </w:pPr>
            <w:r>
              <w:t>Křesťanské misie</w:t>
            </w:r>
          </w:p>
          <w:p w:rsidR="0083043C" w:rsidRDefault="0083043C">
            <w:pPr>
              <w:pStyle w:val="Normln1"/>
              <w:jc w:val="both"/>
            </w:pPr>
            <w:r>
              <w:t>Křesťané a jinověrci ve středověku</w:t>
            </w:r>
          </w:p>
          <w:p w:rsidR="0083043C" w:rsidRDefault="0083043C">
            <w:pPr>
              <w:pStyle w:val="Normln1"/>
              <w:jc w:val="both"/>
            </w:pPr>
            <w:r>
              <w:t>Religionistická exkurze v Brně</w:t>
            </w:r>
          </w:p>
          <w:p w:rsidR="0083043C" w:rsidRDefault="0083043C">
            <w:pPr>
              <w:pStyle w:val="Normln1"/>
              <w:jc w:val="both"/>
            </w:pPr>
            <w:r>
              <w:t>Novokřtěnci</w:t>
            </w:r>
          </w:p>
          <w:p w:rsidR="0083043C" w:rsidRDefault="0083043C">
            <w:pPr>
              <w:pStyle w:val="Normln1"/>
              <w:jc w:val="both"/>
            </w:pPr>
          </w:p>
          <w:p w:rsidR="0083043C" w:rsidRDefault="0083043C">
            <w:pPr>
              <w:pStyle w:val="Normln1"/>
              <w:jc w:val="both"/>
            </w:pPr>
            <w:r>
              <w:rPr>
                <w:b/>
                <w:bCs/>
              </w:rPr>
              <w:t>Vedení prací:</w:t>
            </w:r>
            <w:r>
              <w:t xml:space="preserve"> </w:t>
            </w:r>
          </w:p>
          <w:p w:rsidR="0083043C" w:rsidRDefault="0083043C">
            <w:pPr>
              <w:pStyle w:val="Normln1"/>
              <w:jc w:val="both"/>
            </w:pPr>
            <w:r>
              <w:t>obhájeno 18 bakalářských prací, aktuálně vedena 1 magisterská a 1 doktorská</w:t>
            </w:r>
          </w:p>
          <w:p w:rsidR="0083043C" w:rsidRDefault="0083043C">
            <w:pPr>
              <w:pStyle w:val="Normln1"/>
              <w:jc w:val="both"/>
              <w:rPr>
                <w:sz w:val="24"/>
                <w:szCs w:val="24"/>
              </w:rPr>
            </w:pPr>
          </w:p>
        </w:tc>
      </w:tr>
      <w:tr w:rsidR="0083043C">
        <w:tc>
          <w:tcPr>
            <w:tcW w:w="9390" w:type="dxa"/>
            <w:gridSpan w:val="15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Přehled o nejvýznamnější publikační a další tvůrčí činnosti vztahující se k oboru řízení</w:t>
            </w:r>
          </w:p>
        </w:tc>
      </w:tr>
      <w:tr w:rsidR="0083043C">
        <w:trPr>
          <w:trHeight w:val="1450"/>
        </w:trPr>
        <w:tc>
          <w:tcPr>
            <w:tcW w:w="9390" w:type="dxa"/>
            <w:gridSpan w:val="15"/>
          </w:tcPr>
          <w:p w:rsidR="0083043C" w:rsidRDefault="0083043C">
            <w:pPr>
              <w:pStyle w:val="Normln1"/>
              <w:jc w:val="both"/>
              <w:rPr>
                <w:color w:val="0A0A0A"/>
              </w:rPr>
            </w:pPr>
            <w:r>
              <w:rPr>
                <w:color w:val="0A0A0A"/>
              </w:rPr>
              <w:t xml:space="preserve">Valtrová, Jana. Christian Material Culture and the Mongols: the Case of William of Rubruck. </w:t>
            </w:r>
            <w:r>
              <w:rPr>
                <w:i/>
                <w:iCs/>
                <w:color w:val="0A0A0A"/>
              </w:rPr>
              <w:t>Eurasian Studies</w:t>
            </w:r>
            <w:r>
              <w:rPr>
                <w:color w:val="0A0A0A"/>
              </w:rPr>
              <w:t xml:space="preserve">  17/2, 2020, 228-243.</w:t>
            </w:r>
          </w:p>
          <w:p w:rsidR="0083043C" w:rsidRDefault="0083043C">
            <w:pPr>
              <w:pStyle w:val="Normln1"/>
              <w:jc w:val="both"/>
              <w:rPr>
                <w:color w:val="0A0A0A"/>
              </w:rPr>
            </w:pPr>
            <w:r>
              <w:rPr>
                <w:color w:val="0A0A0A"/>
              </w:rPr>
              <w:t xml:space="preserve">Valtrová, Jana. "Religion" in Medieval Missionary Accounts about Asia. </w:t>
            </w:r>
            <w:r>
              <w:rPr>
                <w:i/>
                <w:iCs/>
                <w:color w:val="0A0A0A"/>
              </w:rPr>
              <w:t>Studi e Materiali di Storia delle Religioni</w:t>
            </w:r>
            <w:r>
              <w:rPr>
                <w:color w:val="0A0A0A"/>
              </w:rPr>
              <w:t xml:space="preserve"> 82/2, 2016, 571-592.</w:t>
            </w:r>
          </w:p>
          <w:p w:rsidR="0083043C" w:rsidRDefault="0083043C">
            <w:pPr>
              <w:pStyle w:val="Normln1"/>
              <w:jc w:val="both"/>
              <w:rPr>
                <w:color w:val="0A0A0A"/>
              </w:rPr>
            </w:pPr>
            <w:r>
              <w:rPr>
                <w:color w:val="0A0A0A"/>
              </w:rPr>
              <w:t xml:space="preserve">Valtrová, Jana. Středověké misie v mongolské říši - od poznávání jiného světa k budování křesťanských komunit. In: Pecha, Lukáš (ed.), </w:t>
            </w:r>
            <w:r>
              <w:rPr>
                <w:i/>
                <w:iCs/>
                <w:color w:val="0A0A0A"/>
              </w:rPr>
              <w:t>Staré civilizace Asie a Afriky.</w:t>
            </w:r>
            <w:r>
              <w:rPr>
                <w:color w:val="0A0A0A"/>
              </w:rPr>
              <w:t xml:space="preserve">  Plzeň: Západočeská univerzita v Plzni, 2016, 225-243.</w:t>
            </w:r>
          </w:p>
          <w:p w:rsidR="0083043C" w:rsidRDefault="0083043C">
            <w:pPr>
              <w:pStyle w:val="Normln1"/>
              <w:jc w:val="both"/>
              <w:rPr>
                <w:color w:val="0A0A0A"/>
                <w:sz w:val="24"/>
                <w:szCs w:val="24"/>
                <w:shd w:val="clear" w:color="auto" w:fill="F7F8FC"/>
              </w:rPr>
            </w:pPr>
          </w:p>
        </w:tc>
      </w:tr>
      <w:tr w:rsidR="0083043C">
        <w:trPr>
          <w:cantSplit/>
        </w:trPr>
        <w:tc>
          <w:tcPr>
            <w:tcW w:w="3420" w:type="dxa"/>
            <w:gridSpan w:val="4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Působení v zahraničí</w:t>
            </w:r>
          </w:p>
        </w:tc>
        <w:tc>
          <w:tcPr>
            <w:tcW w:w="5970" w:type="dxa"/>
            <w:gridSpan w:val="11"/>
            <w:vMerge w:val="restart"/>
          </w:tcPr>
          <w:p w:rsidR="0083043C" w:rsidRDefault="0083043C">
            <w:pPr>
              <w:pStyle w:val="Normln1"/>
              <w:rPr>
                <w:color w:val="3A3A3A"/>
              </w:rPr>
            </w:pPr>
          </w:p>
          <w:p w:rsidR="0083043C" w:rsidRDefault="0083043C">
            <w:pPr>
              <w:pStyle w:val="Normln1"/>
              <w:rPr>
                <w:color w:val="000000"/>
              </w:rPr>
            </w:pPr>
            <w:r>
              <w:rPr>
                <w:color w:val="3A3A3A"/>
              </w:rPr>
              <w:t>1. 3.- 30. 6. 2004 (4 měsíce), Institut für Südasien-, Tibet- und Buddhismuskunde, Vídeň, Rakousko.</w:t>
            </w:r>
          </w:p>
        </w:tc>
      </w:tr>
      <w:tr w:rsidR="0083043C">
        <w:trPr>
          <w:cantSplit/>
          <w:trHeight w:val="1046"/>
        </w:trPr>
        <w:tc>
          <w:tcPr>
            <w:tcW w:w="3420" w:type="dxa"/>
            <w:gridSpan w:val="4"/>
            <w:tcBorders>
              <w:right w:val="nil"/>
            </w:tcBorders>
          </w:tcPr>
          <w:p w:rsidR="0083043C" w:rsidRDefault="0083043C">
            <w:pPr>
              <w:pStyle w:val="Normln1"/>
              <w:rPr>
                <w:color w:val="000000"/>
              </w:rPr>
            </w:pPr>
          </w:p>
          <w:p w:rsidR="0083043C" w:rsidRDefault="0083043C">
            <w:pPr>
              <w:pStyle w:val="Normln1"/>
              <w:rPr>
                <w:color w:val="000000"/>
              </w:rPr>
            </w:pPr>
            <w:r>
              <w:rPr>
                <w:color w:val="3A3A3A"/>
              </w:rPr>
              <w:t>1.-31.5. 2006 (1 měsíc), Institut für Südasien-, Tibet- und Buddhismuskunde, Vídeň, Rakousko. Studijní pobyt v rámci doktorského studia.</w:t>
            </w:r>
          </w:p>
          <w:p w:rsidR="0083043C" w:rsidRDefault="008304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5970" w:type="dxa"/>
            <w:gridSpan w:val="11"/>
            <w:vMerge/>
          </w:tcPr>
          <w:p w:rsidR="0083043C" w:rsidRDefault="0083043C">
            <w:pPr>
              <w:pStyle w:val="Normln1"/>
              <w:widowControl w:val="0"/>
              <w:spacing w:line="276" w:lineRule="auto"/>
              <w:rPr>
                <w:color w:val="000000"/>
              </w:rPr>
            </w:pPr>
          </w:p>
        </w:tc>
      </w:tr>
      <w:tr w:rsidR="0083043C">
        <w:trPr>
          <w:trHeight w:val="470"/>
        </w:trPr>
        <w:tc>
          <w:tcPr>
            <w:tcW w:w="2490" w:type="dxa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Podpis </w:t>
            </w:r>
          </w:p>
        </w:tc>
        <w:tc>
          <w:tcPr>
            <w:tcW w:w="4605" w:type="dxa"/>
            <w:gridSpan w:val="8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</w:p>
        </w:tc>
        <w:tc>
          <w:tcPr>
            <w:tcW w:w="810" w:type="dxa"/>
            <w:gridSpan w:val="3"/>
            <w:shd w:val="clear" w:color="auto" w:fill="F7CAAC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datum</w:t>
            </w:r>
          </w:p>
        </w:tc>
        <w:tc>
          <w:tcPr>
            <w:tcW w:w="1485" w:type="dxa"/>
            <w:gridSpan w:val="3"/>
          </w:tcPr>
          <w:p w:rsidR="0083043C" w:rsidRDefault="0083043C">
            <w:pPr>
              <w:pStyle w:val="Normln1"/>
              <w:jc w:val="both"/>
              <w:rPr>
                <w:color w:val="000000"/>
              </w:rPr>
            </w:pPr>
            <w:r>
              <w:rPr>
                <w:color w:val="000000"/>
              </w:rPr>
              <w:t>17. 9. 2020</w:t>
            </w:r>
          </w:p>
        </w:tc>
      </w:tr>
    </w:tbl>
    <w:p w:rsidR="0083043C" w:rsidRDefault="0083043C">
      <w:pPr>
        <w:pStyle w:val="Normln1"/>
        <w:rPr>
          <w:color w:val="000000"/>
          <w:sz w:val="28"/>
          <w:szCs w:val="28"/>
        </w:rPr>
      </w:pPr>
    </w:p>
    <w:sectPr w:rsidR="0083043C" w:rsidSect="0083043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043C" w:rsidRDefault="0083043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separator/>
      </w:r>
    </w:p>
  </w:endnote>
  <w:endnote w:type="continuationSeparator" w:id="0">
    <w:p w:rsidR="0083043C" w:rsidRDefault="0083043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43C" w:rsidRDefault="0083043C">
    <w:pPr>
      <w:pStyle w:val="Normln1"/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83043C" w:rsidRDefault="0083043C">
    <w:pPr>
      <w:pStyle w:val="Normln1"/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43C" w:rsidRDefault="0083043C">
    <w:pPr>
      <w:pStyle w:val="Normln1"/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verze 22. 3.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043C" w:rsidRDefault="0083043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separator/>
      </w:r>
    </w:p>
  </w:footnote>
  <w:footnote w:type="continuationSeparator" w:id="0">
    <w:p w:rsidR="0083043C" w:rsidRDefault="0083043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43C" w:rsidRDefault="0083043C">
    <w:pPr>
      <w:pStyle w:val="Normln1"/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43C" w:rsidRDefault="0083043C">
    <w:pPr>
      <w:pStyle w:val="Normln1"/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9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3043C"/>
    <w:rsid w:val="0083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05DFEEAA-7A8D-4D2A-A446-D31E1CC2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hidden/>
    <w:qFormat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0"/>
      <w:szCs w:val="20"/>
    </w:rPr>
  </w:style>
  <w:style w:type="paragraph" w:styleId="Nadpis1">
    <w:name w:val="heading 1"/>
    <w:basedOn w:val="Normln1"/>
    <w:next w:val="Normln1"/>
    <w:link w:val="Nadpis1Char"/>
    <w:autoRedefine/>
    <w:hidden/>
    <w:uiPriority w:val="99"/>
    <w:qFormat/>
    <w:pPr>
      <w:keepNext/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u w:val="single"/>
    </w:rPr>
  </w:style>
  <w:style w:type="paragraph" w:styleId="Nadpis2">
    <w:name w:val="heading 2"/>
    <w:basedOn w:val="Normln1"/>
    <w:next w:val="Normln1"/>
    <w:link w:val="Nadpis2Char"/>
    <w:autoRedefine/>
    <w:hidden/>
    <w:uiPriority w:val="99"/>
    <w:qFormat/>
    <w:pPr>
      <w:keepNext/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1"/>
    </w:pPr>
    <w:rPr>
      <w:position w:val="-1"/>
      <w:sz w:val="24"/>
      <w:szCs w:val="24"/>
      <w:u w:val="single"/>
    </w:rPr>
  </w:style>
  <w:style w:type="paragraph" w:styleId="Nadpis3">
    <w:name w:val="heading 3"/>
    <w:basedOn w:val="Normln1"/>
    <w:next w:val="Normln1"/>
    <w:link w:val="Nadpis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autoRedefine/>
    <w:hidden/>
    <w:uiPriority w:val="99"/>
    <w:qFormat/>
    <w:pPr>
      <w:keepNext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4"/>
    </w:pPr>
    <w:rPr>
      <w:b/>
      <w:bCs/>
      <w:position w:val="-1"/>
      <w:sz w:val="24"/>
      <w:szCs w:val="24"/>
    </w:rPr>
  </w:style>
  <w:style w:type="paragraph" w:styleId="Nadpis6">
    <w:name w:val="heading 6"/>
    <w:basedOn w:val="Normln1"/>
    <w:next w:val="Normln1"/>
    <w:link w:val="Nadpis6Char"/>
    <w:autoRedefine/>
    <w:hidden/>
    <w:uiPriority w:val="99"/>
    <w:qFormat/>
    <w:p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5"/>
    </w:pPr>
    <w:rPr>
      <w:b/>
      <w:bCs/>
      <w:position w:val="-1"/>
      <w:sz w:val="22"/>
      <w:szCs w:val="22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Pr>
      <w:b/>
      <w:bCs/>
    </w:rPr>
  </w:style>
  <w:style w:type="paragraph" w:customStyle="1" w:styleId="Normln1">
    <w:name w:val="Normální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1"/>
    <w:next w:val="Normln1"/>
    <w:link w:val="Nzev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styleId="Znakapoznpodarou">
    <w:name w:val="footnote reference"/>
    <w:basedOn w:val="Standardnpsmoodstavce"/>
    <w:hidden/>
    <w:uiPriority w:val="99"/>
    <w:rPr>
      <w:w w:val="100"/>
      <w:sz w:val="20"/>
      <w:szCs w:val="20"/>
      <w:effect w:val="none"/>
      <w:vertAlign w:val="superscript"/>
      <w:em w:val="none"/>
    </w:rPr>
  </w:style>
  <w:style w:type="paragraph" w:styleId="Zkladntext3">
    <w:name w:val="Body Text 3"/>
    <w:basedOn w:val="Normln"/>
    <w:link w:val="Zkladntext3Char"/>
    <w:autoRedefine/>
    <w:hidden/>
    <w:uiPriority w:val="99"/>
    <w:pPr>
      <w:widowControl w:val="0"/>
      <w:spacing w:line="240" w:lineRule="atLeast"/>
      <w:jc w:val="both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Pr>
      <w:rFonts w:ascii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autoRedefine/>
    <w:hidden/>
    <w:uiPriority w:val="99"/>
    <w:pPr>
      <w:widowControl w:val="0"/>
      <w:tabs>
        <w:tab w:val="left" w:pos="2410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autoRedefine/>
    <w:hidden/>
    <w:uiPriority w:val="99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autoRedefine/>
    <w:hidden/>
    <w:uiPriority w:val="99"/>
    <w:pPr>
      <w:widowControl w:val="0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</w:rPr>
  </w:style>
  <w:style w:type="paragraph" w:customStyle="1" w:styleId="Textbubliny1">
    <w:name w:val="Text bubliny1"/>
    <w:basedOn w:val="Normln"/>
    <w:autoRedefine/>
    <w:hidden/>
    <w:uiPriority w:val="9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hidden/>
    <w:uiPriority w:val="99"/>
    <w:rPr>
      <w:w w:val="100"/>
      <w:sz w:val="16"/>
      <w:szCs w:val="16"/>
      <w:effect w:val="none"/>
      <w:vertAlign w:val="baseline"/>
      <w:em w:val="none"/>
    </w:rPr>
  </w:style>
  <w:style w:type="paragraph" w:styleId="Textkomente">
    <w:name w:val="annotation text"/>
    <w:basedOn w:val="Normln"/>
    <w:link w:val="TextkomenteChar"/>
    <w:autoRedefine/>
    <w:hidden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autoRedefine/>
    <w:hidden/>
    <w:uiPriority w:val="99"/>
    <w:rPr>
      <w:b/>
      <w:bCs/>
    </w:rPr>
  </w:style>
  <w:style w:type="paragraph" w:styleId="Rozloendokumentu">
    <w:name w:val="Document Map"/>
    <w:basedOn w:val="Normln"/>
    <w:link w:val="RozloendokumentuChar"/>
    <w:autoRedefine/>
    <w:hidden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Pr>
      <w:rFonts w:ascii="Times New Roman" w:hAnsi="Times New Roman" w:cs="Times New Roman"/>
      <w:sz w:val="2"/>
      <w:szCs w:val="2"/>
    </w:rPr>
  </w:style>
  <w:style w:type="character" w:customStyle="1" w:styleId="CharChar">
    <w:name w:val="Char Char"/>
    <w:hidden/>
    <w:uiPriority w:val="99"/>
    <w:rPr>
      <w:w w:val="100"/>
      <w:effect w:val="none"/>
      <w:vertAlign w:val="baseline"/>
      <w:em w:val="none"/>
    </w:rPr>
  </w:style>
  <w:style w:type="paragraph" w:styleId="Zpat">
    <w:name w:val="footer"/>
    <w:basedOn w:val="Normln"/>
    <w:link w:val="ZpatChar"/>
    <w:autoRedefine/>
    <w:hidden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hidden/>
    <w:uiPriority w:val="99"/>
    <w:rPr>
      <w:rFonts w:ascii="Times New Roman" w:hAnsi="Times New Roman" w:cs="Times New Roman"/>
      <w:w w:val="100"/>
      <w:effect w:val="none"/>
      <w:vertAlign w:val="baseline"/>
      <w:em w:val="none"/>
    </w:rPr>
  </w:style>
  <w:style w:type="paragraph" w:styleId="Zhlav">
    <w:name w:val="header"/>
    <w:basedOn w:val="Normln"/>
    <w:link w:val="ZhlavChar"/>
    <w:autoRedefine/>
    <w:hidden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hidden/>
    <w:uiPriority w:val="99"/>
    <w:rPr>
      <w:rFonts w:ascii="Times New Roman" w:hAnsi="Times New Roman" w:cs="Times New Roman"/>
      <w:color w:val="auto"/>
      <w:w w:val="100"/>
      <w:u w:val="single"/>
      <w:effect w:val="none"/>
      <w:vertAlign w:val="baseline"/>
      <w:em w:val="none"/>
    </w:rPr>
  </w:style>
  <w:style w:type="paragraph" w:styleId="Podnadpis">
    <w:name w:val="Subtitle"/>
    <w:basedOn w:val="Normln1"/>
    <w:next w:val="Normln1"/>
    <w:link w:val="PodnadpisChar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424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David</cp:lastModifiedBy>
  <cp:revision>6</cp:revision>
  <dcterms:created xsi:type="dcterms:W3CDTF">2020-08-31T12:01:00Z</dcterms:created>
  <dcterms:modified xsi:type="dcterms:W3CDTF">2020-11-02T22:46:00Z</dcterms:modified>
</cp:coreProperties>
</file>