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6F1A" w14:textId="77777777" w:rsidR="0083526E" w:rsidRDefault="0083526E" w:rsidP="0083526E">
      <w:pPr>
        <w:spacing w:after="120"/>
        <w:rPr>
          <w:b/>
        </w:rPr>
      </w:pPr>
    </w:p>
    <w:p w14:paraId="5B214C14" w14:textId="77777777" w:rsidR="0083526E" w:rsidRDefault="0083526E" w:rsidP="0083526E">
      <w:pPr>
        <w:spacing w:after="120"/>
        <w:rPr>
          <w:b/>
        </w:rPr>
      </w:pPr>
    </w:p>
    <w:p w14:paraId="20B03386" w14:textId="5D2B87BC" w:rsidR="00C13687" w:rsidRPr="0083526E" w:rsidRDefault="00C13687" w:rsidP="00C13687">
      <w:pPr>
        <w:spacing w:after="120" w:line="276" w:lineRule="auto"/>
        <w:jc w:val="both"/>
        <w:rPr>
          <w:rFonts w:ascii="Verdana" w:eastAsia="Times New Roman" w:hAnsi="Verdana" w:cs="Times New Roman"/>
          <w:b/>
          <w:szCs w:val="20"/>
          <w:lang w:eastAsia="cs-CZ"/>
        </w:rPr>
      </w:pP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Zápis ze zasedání Rady pro vnitřní hodnocení MU </w:t>
      </w:r>
      <w:r w:rsidR="00F766F5">
        <w:rPr>
          <w:rFonts w:ascii="Verdana" w:eastAsia="Times New Roman" w:hAnsi="Verdana" w:cs="Times New Roman"/>
          <w:b/>
          <w:szCs w:val="20"/>
          <w:lang w:eastAsia="cs-CZ"/>
        </w:rPr>
        <w:t>12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. </w:t>
      </w:r>
      <w:r w:rsidR="00F766F5">
        <w:rPr>
          <w:rFonts w:ascii="Verdana" w:eastAsia="Times New Roman" w:hAnsi="Verdana" w:cs="Times New Roman"/>
          <w:b/>
          <w:szCs w:val="20"/>
          <w:lang w:eastAsia="cs-CZ"/>
        </w:rPr>
        <w:t>prosince</w:t>
      </w: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 2017</w:t>
      </w:r>
    </w:p>
    <w:p w14:paraId="22B55D9E" w14:textId="77777777" w:rsidR="00C13687" w:rsidRPr="0083526E" w:rsidRDefault="00C13687" w:rsidP="00C13687">
      <w:pPr>
        <w:spacing w:after="120"/>
        <w:rPr>
          <w:rFonts w:ascii="Verdana" w:hAnsi="Verdana"/>
          <w:b/>
        </w:rPr>
      </w:pPr>
    </w:p>
    <w:p w14:paraId="22D54A3F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Přítomni: </w:t>
      </w:r>
      <w:r w:rsidRPr="0083526E">
        <w:rPr>
          <w:rFonts w:ascii="Verdana" w:hAnsi="Verdana"/>
          <w:sz w:val="20"/>
          <w:szCs w:val="20"/>
        </w:rPr>
        <w:t>dle prezenční listiny</w:t>
      </w:r>
    </w:p>
    <w:p w14:paraId="6B8E102D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Místo jednání: </w:t>
      </w:r>
      <w:r>
        <w:rPr>
          <w:rFonts w:ascii="Verdana" w:hAnsi="Verdana"/>
          <w:sz w:val="20"/>
          <w:szCs w:val="20"/>
        </w:rPr>
        <w:t>Velká zasedací místnost, Rektorát Masarykovy univerzity</w:t>
      </w:r>
    </w:p>
    <w:p w14:paraId="440F7E84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</w:p>
    <w:p w14:paraId="217564A6" w14:textId="77777777" w:rsidR="00C13687" w:rsidRPr="0083526E" w:rsidRDefault="00C13687" w:rsidP="00C13687">
      <w:pPr>
        <w:spacing w:after="12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>Program:</w:t>
      </w:r>
    </w:p>
    <w:p w14:paraId="0C9C1A93" w14:textId="77777777" w:rsidR="00665C0B" w:rsidRPr="00665C0B" w:rsidRDefault="00665C0B" w:rsidP="00665C0B">
      <w:pPr>
        <w:pStyle w:val="Odstavecseseznamem"/>
        <w:numPr>
          <w:ilvl w:val="0"/>
          <w:numId w:val="19"/>
        </w:numPr>
        <w:spacing w:after="120"/>
      </w:pPr>
      <w:r w:rsidRPr="00665C0B">
        <w:t>Panel hodnotitelů záměru vzniku navazujícího magisterského studijního programu Psychologie</w:t>
      </w:r>
    </w:p>
    <w:p w14:paraId="2FA2EDDA" w14:textId="441FEE9B" w:rsidR="00C13687" w:rsidRDefault="00665C0B" w:rsidP="00C13687">
      <w:pPr>
        <w:pStyle w:val="Odstavecseseznamem"/>
        <w:numPr>
          <w:ilvl w:val="0"/>
          <w:numId w:val="19"/>
        </w:numPr>
        <w:spacing w:after="120"/>
      </w:pPr>
      <w:r w:rsidRPr="00665C0B">
        <w:t>Bilance prvního roku fungování Rady pro vnitřní hodnocení</w:t>
      </w:r>
    </w:p>
    <w:p w14:paraId="18118129" w14:textId="7D84FA9B" w:rsidR="00665C0B" w:rsidRDefault="00665C0B" w:rsidP="00C13687">
      <w:pPr>
        <w:pStyle w:val="Odstavecseseznamem"/>
        <w:numPr>
          <w:ilvl w:val="0"/>
          <w:numId w:val="19"/>
        </w:numPr>
        <w:spacing w:after="120"/>
      </w:pPr>
      <w:r w:rsidRPr="00665C0B">
        <w:t>Výhled práce Rady pro vnitřní hodnocení v roce 2018</w:t>
      </w:r>
    </w:p>
    <w:p w14:paraId="71C87151" w14:textId="77777777" w:rsidR="00665C0B" w:rsidRPr="00665C0B" w:rsidRDefault="00665C0B" w:rsidP="00665C0B">
      <w:pPr>
        <w:pStyle w:val="Odstavecseseznamem"/>
        <w:numPr>
          <w:ilvl w:val="0"/>
          <w:numId w:val="19"/>
        </w:numPr>
        <w:spacing w:after="120"/>
      </w:pPr>
      <w:r w:rsidRPr="00665C0B">
        <w:t>Různé</w:t>
      </w:r>
    </w:p>
    <w:p w14:paraId="718F0491" w14:textId="77777777" w:rsidR="00665C0B" w:rsidRDefault="00665C0B" w:rsidP="00665C0B">
      <w:pPr>
        <w:pStyle w:val="Odstavecseseznamem"/>
        <w:spacing w:after="120"/>
      </w:pPr>
    </w:p>
    <w:p w14:paraId="06F58AD0" w14:textId="7E5E93FF" w:rsidR="00590D3E" w:rsidRDefault="0083526E" w:rsidP="00590D3E">
      <w:pPr>
        <w:spacing w:after="120"/>
        <w:jc w:val="both"/>
      </w:pPr>
      <w:r>
        <w:t>------------------------------------------------------------------------------------------------------------------------------------</w:t>
      </w:r>
      <w:r>
        <w:br/>
        <w:t>Úvodem přítomné přivítal prof. PhDr. Ladislav Rabušic, CSc., místopředseda Rady pro vnitřní hodnocení (dále pouze „RVH“)</w:t>
      </w:r>
      <w:r w:rsidR="00590D3E">
        <w:t>,</w:t>
      </w:r>
      <w:r>
        <w:t xml:space="preserve"> a představil </w:t>
      </w:r>
      <w:r w:rsidR="00590D3E">
        <w:t>program</w:t>
      </w:r>
      <w:r>
        <w:t xml:space="preserve"> a cíle zasedání.</w:t>
      </w:r>
    </w:p>
    <w:p w14:paraId="0D6098AD" w14:textId="77777777" w:rsidR="00590D3E" w:rsidRPr="00590D3E" w:rsidRDefault="00590D3E" w:rsidP="00590D3E">
      <w:pPr>
        <w:spacing w:after="120"/>
        <w:jc w:val="both"/>
      </w:pPr>
    </w:p>
    <w:p w14:paraId="2FB5754D" w14:textId="26F8976D" w:rsidR="00A410A3" w:rsidRPr="00665C0B" w:rsidRDefault="00665C0B" w:rsidP="00665C0B">
      <w:pPr>
        <w:pStyle w:val="Odstavecseseznamem"/>
        <w:numPr>
          <w:ilvl w:val="0"/>
          <w:numId w:val="20"/>
        </w:numPr>
        <w:spacing w:after="120" w:line="276" w:lineRule="auto"/>
        <w:ind w:left="426" w:hanging="437"/>
        <w:rPr>
          <w:b/>
          <w:sz w:val="24"/>
          <w:szCs w:val="24"/>
        </w:rPr>
      </w:pPr>
      <w:r w:rsidRPr="00665C0B">
        <w:rPr>
          <w:b/>
          <w:sz w:val="24"/>
          <w:szCs w:val="24"/>
        </w:rPr>
        <w:t>Panel hodnotitelů záměru vzniku navazujícího magisterského studijního programu Psychologie</w:t>
      </w:r>
    </w:p>
    <w:p w14:paraId="3900E2FD" w14:textId="7686B98E" w:rsidR="007D2C7D" w:rsidRDefault="00665C0B" w:rsidP="00B23FBA">
      <w:pPr>
        <w:spacing w:after="120"/>
        <w:jc w:val="both"/>
      </w:pPr>
      <w:r>
        <w:t xml:space="preserve">Ladislav Rabušic, místopředseda RVH, představil radě navrhovaný panel hodnotitelů </w:t>
      </w:r>
      <w:r w:rsidR="00132DA1">
        <w:t xml:space="preserve">záměru vzniku </w:t>
      </w:r>
      <w:r>
        <w:t xml:space="preserve">navazujícího magisterského programu Psychologie, který </w:t>
      </w:r>
      <w:r w:rsidR="00132DA1">
        <w:t xml:space="preserve">předložila </w:t>
      </w:r>
      <w:r>
        <w:t xml:space="preserve">Filozofická fakulta </w:t>
      </w:r>
      <w:proofErr w:type="gramStart"/>
      <w:r>
        <w:t>MU</w:t>
      </w:r>
      <w:proofErr w:type="gramEnd"/>
      <w:r>
        <w:t>.</w:t>
      </w:r>
      <w:r w:rsidR="00132DA1">
        <w:t xml:space="preserve"> Samotný záměr vzniku byl schválen na zasedání RVH dne 21. 11. 2017. Návrh panelu hodnotitelů byl Filozofické fakultě MU vrácen k přepracování.</w:t>
      </w:r>
    </w:p>
    <w:p w14:paraId="6EC7C2D9" w14:textId="4DF7D7F1" w:rsidR="00F766F5" w:rsidRDefault="00F766F5" w:rsidP="0083526E">
      <w:pPr>
        <w:spacing w:after="120"/>
      </w:pPr>
    </w:p>
    <w:p w14:paraId="746EFF95" w14:textId="09C8CBAD" w:rsidR="00925BD0" w:rsidRPr="00CE4C75" w:rsidRDefault="007D2C7D" w:rsidP="0083526E">
      <w:pPr>
        <w:spacing w:after="120"/>
      </w:pPr>
      <w:r w:rsidRPr="00C75FE7">
        <w:rPr>
          <w:b/>
        </w:rPr>
        <w:t>N</w:t>
      </w:r>
      <w:r w:rsidR="00925BD0" w:rsidRPr="00C75FE7">
        <w:rPr>
          <w:b/>
        </w:rPr>
        <w:t>ávrh usnesení</w:t>
      </w:r>
      <w:r w:rsidR="00925BD0" w:rsidRPr="00CE4C75">
        <w:t>:</w:t>
      </w:r>
    </w:p>
    <w:p w14:paraId="58903996" w14:textId="06520E37" w:rsidR="0052646E" w:rsidRPr="00CE4C75" w:rsidRDefault="00665C0B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 w:rsidRPr="00665C0B">
        <w:rPr>
          <w:i/>
        </w:rPr>
        <w:t>Rada pro vnitřní hodnocení schvaluje návrh členů panelu hodnotitelů pro záměr vzniku magisterského studijního programu Psychologie v prezenční formě, předložený dne 4. 12. 2017 Filozofickou fakultou Masarykovy univerzity.</w:t>
      </w:r>
    </w:p>
    <w:p w14:paraId="47A98C98" w14:textId="02DC2B64" w:rsidR="00B750E3" w:rsidRPr="00CE4C75" w:rsidRDefault="00B750E3" w:rsidP="0083526E">
      <w:pPr>
        <w:spacing w:after="120"/>
      </w:pPr>
      <w:r w:rsidRPr="00C75FE7">
        <w:rPr>
          <w:b/>
        </w:rPr>
        <w:t>Hlasování</w:t>
      </w:r>
      <w:r w:rsidR="00C75FE7">
        <w:t>:</w:t>
      </w:r>
      <w:r w:rsidRPr="00CE4C75">
        <w:t xml:space="preserve"> </w:t>
      </w:r>
    </w:p>
    <w:p w14:paraId="02833395" w14:textId="77777777" w:rsidR="00590D3E" w:rsidRPr="00CE4C75" w:rsidRDefault="00590D3E" w:rsidP="00590D3E">
      <w:pPr>
        <w:pStyle w:val="Odstavecseseznamem"/>
        <w:spacing w:after="120"/>
      </w:pPr>
    </w:p>
    <w:p w14:paraId="4FE23FA2" w14:textId="155C1013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Počet přítomných členů pře</w:t>
      </w:r>
      <w:r w:rsidR="00AD0E82">
        <w:t>d</w:t>
      </w:r>
      <w:r w:rsidRPr="00CE4C75">
        <w:t xml:space="preserve"> zahájením hlasování: </w:t>
      </w:r>
      <w:r w:rsidR="00F766F5">
        <w:t>13</w:t>
      </w:r>
    </w:p>
    <w:p w14:paraId="08DEB0E1" w14:textId="13928919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Pro:</w:t>
      </w:r>
      <w:r w:rsidR="00572129">
        <w:t xml:space="preserve"> </w:t>
      </w:r>
      <w:r w:rsidR="00F766F5">
        <w:t>13</w:t>
      </w:r>
    </w:p>
    <w:p w14:paraId="01F73BB3" w14:textId="58D9E62E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Proti:</w:t>
      </w:r>
      <w:r w:rsidR="00572129">
        <w:t xml:space="preserve"> 0</w:t>
      </w:r>
    </w:p>
    <w:p w14:paraId="59BB81A7" w14:textId="45A13776" w:rsidR="00925BD0" w:rsidRPr="00CE4C75" w:rsidRDefault="00925BD0" w:rsidP="0083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E4C75">
        <w:t>Zdržel se:</w:t>
      </w:r>
      <w:r w:rsidR="00572129">
        <w:t xml:space="preserve"> 0</w:t>
      </w:r>
    </w:p>
    <w:p w14:paraId="02A62B29" w14:textId="77A24112" w:rsidR="00B750E3" w:rsidRDefault="00C75FE7" w:rsidP="0083526E">
      <w:pPr>
        <w:spacing w:after="120"/>
      </w:pPr>
      <w:r>
        <w:t>U</w:t>
      </w:r>
      <w:r w:rsidR="00572129">
        <w:t>snesení bylo přijato</w:t>
      </w:r>
      <w:r>
        <w:t>.</w:t>
      </w:r>
    </w:p>
    <w:p w14:paraId="3545B0C1" w14:textId="77777777" w:rsidR="00C75FE7" w:rsidRDefault="00C75FE7" w:rsidP="0083526E">
      <w:pPr>
        <w:spacing w:after="120"/>
      </w:pPr>
    </w:p>
    <w:p w14:paraId="18E4DA96" w14:textId="7434BACB" w:rsidR="00925BD0" w:rsidRPr="001C105E" w:rsidRDefault="001C105E" w:rsidP="001C105E">
      <w:pPr>
        <w:pStyle w:val="Odstavecseseznamem"/>
        <w:numPr>
          <w:ilvl w:val="0"/>
          <w:numId w:val="20"/>
        </w:numPr>
        <w:spacing w:after="120"/>
        <w:ind w:left="284"/>
        <w:rPr>
          <w:b/>
          <w:sz w:val="24"/>
          <w:szCs w:val="24"/>
        </w:rPr>
      </w:pPr>
      <w:r w:rsidRPr="001C105E">
        <w:rPr>
          <w:b/>
          <w:sz w:val="24"/>
          <w:szCs w:val="24"/>
        </w:rPr>
        <w:lastRenderedPageBreak/>
        <w:t>Bilance prvního roku fungování Rady pro vnitřní hodnocení</w:t>
      </w:r>
    </w:p>
    <w:p w14:paraId="0761085B" w14:textId="578BEB94" w:rsidR="00F766F5" w:rsidRDefault="00BB7A85" w:rsidP="0083526E">
      <w:pPr>
        <w:spacing w:after="120"/>
      </w:pPr>
      <w:r w:rsidRPr="00BB7A85">
        <w:t>L</w:t>
      </w:r>
      <w:r>
        <w:t xml:space="preserve">adislav </w:t>
      </w:r>
      <w:r w:rsidRPr="00BB7A85">
        <w:t>R</w:t>
      </w:r>
      <w:r>
        <w:t>abušic</w:t>
      </w:r>
      <w:r w:rsidRPr="00BB7A85">
        <w:t xml:space="preserve"> představil hlavní výsledky práce RVH</w:t>
      </w:r>
      <w:r>
        <w:t>. Rada v roce 2017:</w:t>
      </w:r>
    </w:p>
    <w:p w14:paraId="1DD9CDE5" w14:textId="06699697" w:rsidR="00B23FBA" w:rsidRPr="00B23FBA" w:rsidRDefault="00B23FBA" w:rsidP="00B23FBA">
      <w:pPr>
        <w:pStyle w:val="Odstavecseseznamem"/>
        <w:numPr>
          <w:ilvl w:val="0"/>
          <w:numId w:val="22"/>
        </w:numPr>
        <w:spacing w:after="120"/>
      </w:pPr>
      <w:r>
        <w:t xml:space="preserve">uskutečnila </w:t>
      </w:r>
      <w:r w:rsidRPr="00B23FBA">
        <w:rPr>
          <w:b/>
        </w:rPr>
        <w:t>11</w:t>
      </w:r>
      <w:r>
        <w:t xml:space="preserve"> </w:t>
      </w:r>
      <w:r w:rsidRPr="00B23FBA">
        <w:t>zasedání (vč</w:t>
      </w:r>
      <w:r>
        <w:t>etně dvou</w:t>
      </w:r>
      <w:r w:rsidRPr="00B23FBA">
        <w:t xml:space="preserve"> výjezdních)</w:t>
      </w:r>
    </w:p>
    <w:p w14:paraId="47BC9CB0" w14:textId="69EC720A" w:rsidR="00B23FBA" w:rsidRPr="00B23FBA" w:rsidRDefault="00B23FBA" w:rsidP="00B23FBA">
      <w:pPr>
        <w:pStyle w:val="Odstavecseseznamem"/>
        <w:numPr>
          <w:ilvl w:val="0"/>
          <w:numId w:val="22"/>
        </w:numPr>
        <w:spacing w:after="120"/>
      </w:pPr>
      <w:r>
        <w:t xml:space="preserve">projednala </w:t>
      </w:r>
      <w:r w:rsidRPr="00B23FBA">
        <w:rPr>
          <w:b/>
        </w:rPr>
        <w:t>3</w:t>
      </w:r>
      <w:r>
        <w:t xml:space="preserve"> </w:t>
      </w:r>
      <w:r w:rsidRPr="00B23FBA">
        <w:t xml:space="preserve">vnitřní předpisy k zajišťování kvality </w:t>
      </w:r>
      <w:proofErr w:type="gramStart"/>
      <w:r w:rsidRPr="00B23FBA">
        <w:t>MU</w:t>
      </w:r>
      <w:proofErr w:type="gramEnd"/>
    </w:p>
    <w:p w14:paraId="29D3E541" w14:textId="35C53B35" w:rsidR="00B23FBA" w:rsidRPr="00B23FBA" w:rsidRDefault="00B23FBA" w:rsidP="00B23FBA">
      <w:pPr>
        <w:pStyle w:val="Odstavecseseznamem"/>
        <w:numPr>
          <w:ilvl w:val="0"/>
          <w:numId w:val="22"/>
        </w:numPr>
        <w:spacing w:after="120"/>
      </w:pPr>
      <w:r>
        <w:t xml:space="preserve">projednala </w:t>
      </w:r>
      <w:r w:rsidRPr="00B23FBA">
        <w:rPr>
          <w:b/>
        </w:rPr>
        <w:t xml:space="preserve">12 </w:t>
      </w:r>
      <w:r w:rsidRPr="00B23FBA">
        <w:t xml:space="preserve">akreditačních formulářů </w:t>
      </w:r>
      <w:proofErr w:type="gramStart"/>
      <w:r w:rsidRPr="00B23FBA">
        <w:t>MU</w:t>
      </w:r>
      <w:proofErr w:type="gramEnd"/>
    </w:p>
    <w:p w14:paraId="410EB5DF" w14:textId="6C4D6F68" w:rsidR="00B23FBA" w:rsidRPr="00B23FBA" w:rsidRDefault="00B23FBA" w:rsidP="00B23FBA">
      <w:pPr>
        <w:pStyle w:val="Odstavecseseznamem"/>
        <w:numPr>
          <w:ilvl w:val="0"/>
          <w:numId w:val="22"/>
        </w:numPr>
        <w:spacing w:after="120"/>
      </w:pPr>
      <w:r w:rsidRPr="00B23FBA">
        <w:t>schvál</w:t>
      </w:r>
      <w:r>
        <w:t xml:space="preserve">ila </w:t>
      </w:r>
      <w:r w:rsidRPr="00B23FBA">
        <w:rPr>
          <w:b/>
        </w:rPr>
        <w:t>3</w:t>
      </w:r>
      <w:r w:rsidRPr="00B23FBA">
        <w:t xml:space="preserve"> záměry vzniku studijních programů</w:t>
      </w:r>
    </w:p>
    <w:p w14:paraId="6C63FBE2" w14:textId="489C3C34" w:rsidR="00B23FBA" w:rsidRPr="00B23FBA" w:rsidRDefault="00B23FBA" w:rsidP="00B23FBA">
      <w:pPr>
        <w:pStyle w:val="Odstavecseseznamem"/>
        <w:numPr>
          <w:ilvl w:val="0"/>
          <w:numId w:val="22"/>
        </w:numPr>
        <w:spacing w:after="120"/>
      </w:pPr>
      <w:r>
        <w:t>místopředseda RVH určil</w:t>
      </w:r>
      <w:r w:rsidRPr="00B23FBA">
        <w:t xml:space="preserve"> hodnotitele přeměny</w:t>
      </w:r>
      <w:r>
        <w:t xml:space="preserve"> </w:t>
      </w:r>
      <w:r w:rsidRPr="00B23FBA">
        <w:rPr>
          <w:b/>
        </w:rPr>
        <w:t>180</w:t>
      </w:r>
      <w:r>
        <w:t xml:space="preserve"> </w:t>
      </w:r>
      <w:r w:rsidRPr="00B23FBA">
        <w:t>studijních programů</w:t>
      </w:r>
    </w:p>
    <w:p w14:paraId="3CDA46D5" w14:textId="75AE3EBE" w:rsidR="00B23FBA" w:rsidRDefault="00B23FBA" w:rsidP="0083526E">
      <w:pPr>
        <w:spacing w:after="120"/>
      </w:pPr>
      <w:r>
        <w:t>V rámci přípravy žádosti o udělení institucionální akreditace projednala RVH</w:t>
      </w:r>
    </w:p>
    <w:p w14:paraId="69F69E9B" w14:textId="46C85551" w:rsidR="00B23FBA" w:rsidRDefault="00B23FBA" w:rsidP="00B23FBA">
      <w:pPr>
        <w:pStyle w:val="Odstavecseseznamem"/>
        <w:numPr>
          <w:ilvl w:val="0"/>
          <w:numId w:val="23"/>
        </w:numPr>
        <w:spacing w:after="120"/>
      </w:pPr>
      <w:r>
        <w:t>Zprávu o vnitřním hodnocení</w:t>
      </w:r>
    </w:p>
    <w:p w14:paraId="0E7DDA12" w14:textId="36C26344" w:rsidR="00B23FBA" w:rsidRDefault="00B23FBA" w:rsidP="00B23FBA">
      <w:pPr>
        <w:pStyle w:val="Odstavecseseznamem"/>
        <w:numPr>
          <w:ilvl w:val="0"/>
          <w:numId w:val="23"/>
        </w:numPr>
        <w:spacing w:after="120"/>
      </w:pPr>
      <w:r>
        <w:t>Institucionální část sebehodnoticí zprávy</w:t>
      </w:r>
    </w:p>
    <w:p w14:paraId="5A670A3C" w14:textId="70292CE0" w:rsidR="00B23FBA" w:rsidRDefault="00B23FBA" w:rsidP="00B23FBA">
      <w:pPr>
        <w:pStyle w:val="Odstavecseseznamem"/>
        <w:numPr>
          <w:ilvl w:val="0"/>
          <w:numId w:val="23"/>
        </w:numPr>
        <w:spacing w:after="120"/>
      </w:pPr>
      <w:r>
        <w:t>Sebehodnoticí zprávy 23 oblastí vzdělávání, pro které MU žádá o institucionální akreditaci</w:t>
      </w:r>
    </w:p>
    <w:p w14:paraId="76AB8867" w14:textId="77777777" w:rsidR="00B23FBA" w:rsidRDefault="00B23FBA" w:rsidP="00B23FBA">
      <w:pPr>
        <w:pStyle w:val="Odstavecseseznamem"/>
        <w:spacing w:after="120"/>
      </w:pPr>
    </w:p>
    <w:p w14:paraId="1EA2709B" w14:textId="5D03C17F" w:rsidR="00925BD0" w:rsidRDefault="00925BD0" w:rsidP="0083526E">
      <w:pPr>
        <w:spacing w:after="120"/>
        <w:rPr>
          <w:b/>
          <w:sz w:val="24"/>
        </w:rPr>
      </w:pPr>
      <w:r w:rsidRPr="00AF45EB">
        <w:rPr>
          <w:b/>
          <w:sz w:val="24"/>
        </w:rPr>
        <w:t>3.</w:t>
      </w:r>
      <w:r w:rsidRPr="00AF45EB">
        <w:rPr>
          <w:b/>
          <w:sz w:val="24"/>
        </w:rPr>
        <w:tab/>
      </w:r>
      <w:r w:rsidR="000A3BDA" w:rsidRPr="000A3BDA">
        <w:rPr>
          <w:b/>
          <w:sz w:val="24"/>
        </w:rPr>
        <w:t>Výhled práce Rady pro vnitřní hodnocení v roce 2018</w:t>
      </w:r>
    </w:p>
    <w:p w14:paraId="5C7D3614" w14:textId="7451D399" w:rsidR="00543FA7" w:rsidRDefault="00543FA7" w:rsidP="00543FA7">
      <w:pPr>
        <w:spacing w:after="120"/>
        <w:jc w:val="both"/>
        <w:rPr>
          <w:sz w:val="24"/>
        </w:rPr>
      </w:pPr>
      <w:r>
        <w:rPr>
          <w:sz w:val="24"/>
        </w:rPr>
        <w:t xml:space="preserve">Ladislav Rabušic představil předpokládaný plán činnosti RVH v příštím roce. V prvních měsících roku </w:t>
      </w:r>
      <w:r w:rsidR="00132DA1">
        <w:rPr>
          <w:sz w:val="24"/>
        </w:rPr>
        <w:t>se dle informací od fakult předpokládá projednávání záměrů</w:t>
      </w:r>
      <w:r>
        <w:rPr>
          <w:sz w:val="24"/>
        </w:rPr>
        <w:t xml:space="preserve"> vzniku </w:t>
      </w:r>
      <w:r w:rsidR="00132DA1">
        <w:rPr>
          <w:sz w:val="24"/>
        </w:rPr>
        <w:t xml:space="preserve">nových studijních </w:t>
      </w:r>
      <w:r>
        <w:rPr>
          <w:sz w:val="24"/>
        </w:rPr>
        <w:t>program</w:t>
      </w:r>
      <w:r w:rsidR="00132DA1">
        <w:rPr>
          <w:sz w:val="24"/>
        </w:rPr>
        <w:t>ů.</w:t>
      </w:r>
      <w:r w:rsidR="00F40307">
        <w:rPr>
          <w:sz w:val="24"/>
        </w:rPr>
        <w:t xml:space="preserve"> </w:t>
      </w:r>
      <w:r>
        <w:rPr>
          <w:sz w:val="24"/>
        </w:rPr>
        <w:t>V </w:t>
      </w:r>
      <w:r w:rsidR="00132DA1">
        <w:rPr>
          <w:sz w:val="24"/>
        </w:rPr>
        <w:t>období od března do</w:t>
      </w:r>
      <w:r>
        <w:rPr>
          <w:sz w:val="24"/>
        </w:rPr>
        <w:t xml:space="preserve"> </w:t>
      </w:r>
      <w:r w:rsidR="00132DA1">
        <w:rPr>
          <w:sz w:val="24"/>
        </w:rPr>
        <w:t xml:space="preserve">října se bude RVH soustředit zejména na projednávání návrhů přeměn studijních oborů na studijní programy, které budou v předběžně plánovaných časových úsecích předkládat všechny fakulty </w:t>
      </w:r>
      <w:proofErr w:type="gramStart"/>
      <w:r w:rsidR="00132DA1">
        <w:rPr>
          <w:sz w:val="24"/>
        </w:rPr>
        <w:t>MU</w:t>
      </w:r>
      <w:proofErr w:type="gramEnd"/>
      <w:r w:rsidR="00132DA1">
        <w:rPr>
          <w:sz w:val="24"/>
        </w:rPr>
        <w:t xml:space="preserve">. </w:t>
      </w:r>
    </w:p>
    <w:p w14:paraId="4A907C0D" w14:textId="022F8833" w:rsidR="00543FA7" w:rsidRDefault="00543FA7" w:rsidP="00543FA7">
      <w:pPr>
        <w:spacing w:after="120"/>
        <w:jc w:val="both"/>
        <w:rPr>
          <w:sz w:val="24"/>
        </w:rPr>
      </w:pPr>
      <w:r>
        <w:rPr>
          <w:sz w:val="24"/>
        </w:rPr>
        <w:t xml:space="preserve">V následné diskusi se členové rady shodli na nutnosti pro každý </w:t>
      </w:r>
      <w:r w:rsidR="00132DA1">
        <w:rPr>
          <w:sz w:val="24"/>
        </w:rPr>
        <w:t xml:space="preserve">studijní </w:t>
      </w:r>
      <w:r>
        <w:rPr>
          <w:sz w:val="24"/>
        </w:rPr>
        <w:t>program určit zpravodaje, který bude mít k dispozici rámcov</w:t>
      </w:r>
      <w:r w:rsidR="00132DA1">
        <w:rPr>
          <w:sz w:val="24"/>
        </w:rPr>
        <w:t>ý návod pro postup v hodnocení studijního programu.</w:t>
      </w:r>
    </w:p>
    <w:p w14:paraId="23F3CFF2" w14:textId="5F350A6E" w:rsidR="00543FA7" w:rsidRDefault="00543FA7" w:rsidP="00543FA7">
      <w:pPr>
        <w:spacing w:after="120"/>
        <w:jc w:val="both"/>
        <w:rPr>
          <w:sz w:val="24"/>
        </w:rPr>
      </w:pPr>
      <w:r>
        <w:rPr>
          <w:sz w:val="24"/>
        </w:rPr>
        <w:t>Dále byla diskutována náplň práce RVH</w:t>
      </w:r>
      <w:r w:rsidR="00132DA1">
        <w:rPr>
          <w:sz w:val="24"/>
        </w:rPr>
        <w:t xml:space="preserve"> odlišná od rozhodovací činnosti</w:t>
      </w:r>
      <w:r>
        <w:rPr>
          <w:sz w:val="24"/>
        </w:rPr>
        <w:t xml:space="preserve">, která by se měla věnovat zejména </w:t>
      </w:r>
      <w:r w:rsidR="00132DA1">
        <w:rPr>
          <w:sz w:val="24"/>
        </w:rPr>
        <w:t>hodnocení a rozvoji systému zajišťování kvality činností MU</w:t>
      </w:r>
      <w:r>
        <w:rPr>
          <w:sz w:val="24"/>
        </w:rPr>
        <w:t xml:space="preserve">. </w:t>
      </w:r>
    </w:p>
    <w:p w14:paraId="742310A8" w14:textId="0042EFFA" w:rsidR="00543FA7" w:rsidRDefault="00543FA7" w:rsidP="0083526E">
      <w:pPr>
        <w:spacing w:after="120"/>
        <w:rPr>
          <w:b/>
          <w:sz w:val="24"/>
        </w:rPr>
      </w:pPr>
    </w:p>
    <w:p w14:paraId="22FCEF83" w14:textId="06CE3E8D" w:rsidR="00543FA7" w:rsidRDefault="00543FA7" w:rsidP="0083526E">
      <w:pPr>
        <w:spacing w:after="120"/>
        <w:rPr>
          <w:b/>
          <w:sz w:val="24"/>
        </w:rPr>
      </w:pPr>
      <w:r w:rsidRPr="00543FA7">
        <w:rPr>
          <w:b/>
          <w:sz w:val="24"/>
        </w:rPr>
        <w:t>4.</w:t>
      </w:r>
      <w:r>
        <w:rPr>
          <w:b/>
          <w:sz w:val="24"/>
        </w:rPr>
        <w:tab/>
        <w:t>Různé</w:t>
      </w:r>
    </w:p>
    <w:p w14:paraId="31426B7C" w14:textId="42C7BE96" w:rsidR="00395537" w:rsidRPr="00395537" w:rsidRDefault="00395537" w:rsidP="0083526E">
      <w:pPr>
        <w:spacing w:after="120"/>
        <w:rPr>
          <w:i/>
        </w:rPr>
      </w:pPr>
      <w:r w:rsidRPr="00395537">
        <w:rPr>
          <w:i/>
          <w:sz w:val="24"/>
        </w:rPr>
        <w:t>(</w:t>
      </w:r>
      <w:r w:rsidR="00584F35">
        <w:rPr>
          <w:i/>
          <w:sz w:val="24"/>
        </w:rPr>
        <w:t>D</w:t>
      </w:r>
      <w:r w:rsidRPr="00395537">
        <w:rPr>
          <w:i/>
          <w:sz w:val="24"/>
        </w:rPr>
        <w:t xml:space="preserve">ostavili </w:t>
      </w:r>
      <w:r w:rsidR="00584F35">
        <w:rPr>
          <w:i/>
          <w:sz w:val="24"/>
        </w:rPr>
        <w:t xml:space="preserve">se </w:t>
      </w:r>
      <w:r w:rsidRPr="00395537">
        <w:rPr>
          <w:i/>
          <w:sz w:val="24"/>
        </w:rPr>
        <w:t>členové RVH Mikuláš Bek a Zbyněk Vybíral)</w:t>
      </w:r>
    </w:p>
    <w:p w14:paraId="7974C7C1" w14:textId="10DDF82E" w:rsidR="00590D3E" w:rsidRPr="00590D3E" w:rsidRDefault="00543FA7" w:rsidP="00590D3E">
      <w:pPr>
        <w:spacing w:after="120"/>
        <w:jc w:val="both"/>
        <w:rPr>
          <w:rFonts w:cstheme="minorHAnsi"/>
          <w:i/>
          <w:sz w:val="24"/>
          <w:szCs w:val="24"/>
        </w:rPr>
      </w:pPr>
      <w:r>
        <w:rPr>
          <w:sz w:val="24"/>
        </w:rPr>
        <w:t>Donika Zůbková</w:t>
      </w:r>
      <w:r w:rsidR="00132DA1">
        <w:rPr>
          <w:sz w:val="24"/>
        </w:rPr>
        <w:t xml:space="preserve"> (Odbor pro kvalitu)</w:t>
      </w:r>
      <w:r>
        <w:rPr>
          <w:sz w:val="24"/>
        </w:rPr>
        <w:t>, představila členům rady nové prvky webu RVH. Nově jsou na něm dostupné formuláře pro hodnocení a schvalování studijních programů a průběžně aktualizovaný soubor často kladených otázek.</w:t>
      </w:r>
      <w:r w:rsidR="00590D3E">
        <w:rPr>
          <w:sz w:val="24"/>
        </w:rPr>
        <w:t xml:space="preserve"> </w:t>
      </w:r>
      <w:r w:rsidR="00590D3E" w:rsidRPr="00590D3E">
        <w:rPr>
          <w:rFonts w:cstheme="minorHAnsi"/>
          <w:sz w:val="24"/>
          <w:szCs w:val="24"/>
        </w:rPr>
        <w:t>Dále informovala radu, že Akademický senát Masarykovy univerzity na svém posledním zasedání schválil novelizaci vnitřního předpisu</w:t>
      </w:r>
      <w:r w:rsidR="00590D3E">
        <w:rPr>
          <w:rFonts w:cstheme="minorHAnsi"/>
          <w:sz w:val="24"/>
          <w:szCs w:val="24"/>
        </w:rPr>
        <w:t xml:space="preserve"> </w:t>
      </w:r>
      <w:r w:rsidR="00590D3E">
        <w:rPr>
          <w:rFonts w:ascii="Verdana" w:hAnsi="Verdana"/>
          <w:color w:val="333333"/>
          <w:sz w:val="19"/>
          <w:szCs w:val="19"/>
          <w:shd w:val="clear" w:color="auto" w:fill="FFFFFF"/>
        </w:rPr>
        <w:t>Schvalování, řízení a hodnocení kvality studijních programů Masarykovy univerzity</w:t>
      </w:r>
      <w:r w:rsidR="00590D3E" w:rsidRPr="00590D3E">
        <w:rPr>
          <w:rFonts w:cstheme="minorHAnsi"/>
          <w:i/>
          <w:color w:val="333333"/>
          <w:sz w:val="24"/>
          <w:szCs w:val="24"/>
          <w:shd w:val="clear" w:color="auto" w:fill="FFFFFF"/>
        </w:rPr>
        <w:t>.</w:t>
      </w:r>
    </w:p>
    <w:p w14:paraId="36E9CC4F" w14:textId="2374EFAA" w:rsidR="00590D3E" w:rsidRDefault="00590D3E" w:rsidP="00F40307">
      <w:pPr>
        <w:spacing w:after="200"/>
        <w:jc w:val="both"/>
        <w:rPr>
          <w:rFonts w:cstheme="minorHAnsi"/>
          <w:sz w:val="24"/>
          <w:szCs w:val="24"/>
        </w:rPr>
      </w:pPr>
      <w:r w:rsidRPr="00590D3E">
        <w:rPr>
          <w:rFonts w:cstheme="minorHAnsi"/>
          <w:sz w:val="24"/>
          <w:szCs w:val="24"/>
        </w:rPr>
        <w:t>Závěrem zasedání se rektor MU rozloučil se členy RVH a poděkoval jim za dosavadní činnost ve prospěch univerzity.</w:t>
      </w:r>
    </w:p>
    <w:p w14:paraId="552E2A3D" w14:textId="66D65C23" w:rsidR="00590D3E" w:rsidRPr="00590D3E" w:rsidRDefault="00590D3E" w:rsidP="00590D3E">
      <w:pPr>
        <w:jc w:val="both"/>
        <w:rPr>
          <w:rFonts w:cstheme="minorHAnsi"/>
          <w:sz w:val="24"/>
          <w:szCs w:val="24"/>
        </w:rPr>
      </w:pPr>
      <w:r w:rsidRPr="00590D3E">
        <w:rPr>
          <w:rFonts w:cstheme="minorHAnsi"/>
          <w:b/>
          <w:sz w:val="24"/>
          <w:szCs w:val="24"/>
        </w:rPr>
        <w:t xml:space="preserve">Závěr: </w:t>
      </w:r>
      <w:r w:rsidRPr="00590D3E">
        <w:rPr>
          <w:rFonts w:cstheme="minorHAnsi"/>
          <w:sz w:val="24"/>
          <w:szCs w:val="24"/>
        </w:rPr>
        <w:t xml:space="preserve">Další zasedání RVH se uskuteční </w:t>
      </w:r>
      <w:r w:rsidR="00B50D53">
        <w:rPr>
          <w:rFonts w:cstheme="minorHAnsi"/>
          <w:sz w:val="24"/>
          <w:szCs w:val="24"/>
        </w:rPr>
        <w:t>30</w:t>
      </w:r>
      <w:bookmarkStart w:id="0" w:name="_GoBack"/>
      <w:bookmarkEnd w:id="0"/>
      <w:r w:rsidRPr="00590D3E">
        <w:rPr>
          <w:rFonts w:cstheme="minorHAnsi"/>
          <w:sz w:val="24"/>
          <w:szCs w:val="24"/>
        </w:rPr>
        <w:t>. 1. 201</w:t>
      </w:r>
      <w:r w:rsidR="00F40307">
        <w:rPr>
          <w:rFonts w:cstheme="minorHAnsi"/>
          <w:sz w:val="24"/>
          <w:szCs w:val="24"/>
        </w:rPr>
        <w:t>8</w:t>
      </w:r>
      <w:r w:rsidRPr="00590D3E">
        <w:rPr>
          <w:rFonts w:cstheme="minorHAnsi"/>
          <w:sz w:val="24"/>
          <w:szCs w:val="24"/>
        </w:rPr>
        <w:t xml:space="preserve"> ve velké zasedací místnosti RMU.  </w:t>
      </w:r>
    </w:p>
    <w:p w14:paraId="7E618748" w14:textId="77777777" w:rsidR="00F40307" w:rsidRDefault="00F40307" w:rsidP="00590D3E">
      <w:pPr>
        <w:jc w:val="both"/>
        <w:rPr>
          <w:rFonts w:cstheme="minorHAnsi"/>
          <w:b/>
          <w:sz w:val="24"/>
          <w:szCs w:val="24"/>
        </w:rPr>
      </w:pPr>
    </w:p>
    <w:p w14:paraId="3136AFC5" w14:textId="2E86A480" w:rsidR="00590D3E" w:rsidRPr="00590D3E" w:rsidRDefault="00590D3E" w:rsidP="00590D3E">
      <w:pPr>
        <w:jc w:val="both"/>
        <w:rPr>
          <w:rFonts w:cstheme="minorHAnsi"/>
          <w:sz w:val="24"/>
          <w:szCs w:val="24"/>
        </w:rPr>
      </w:pPr>
      <w:r w:rsidRPr="00590D3E">
        <w:rPr>
          <w:rFonts w:cstheme="minorHAnsi"/>
          <w:b/>
          <w:sz w:val="24"/>
          <w:szCs w:val="24"/>
        </w:rPr>
        <w:t xml:space="preserve">Zapsal: </w:t>
      </w:r>
      <w:r w:rsidRPr="00590D3E">
        <w:rPr>
          <w:rFonts w:cstheme="minorHAnsi"/>
          <w:sz w:val="24"/>
          <w:szCs w:val="24"/>
        </w:rPr>
        <w:t>Zdeněk Ježek</w:t>
      </w:r>
    </w:p>
    <w:p w14:paraId="7352A50F" w14:textId="7E8FCB9D" w:rsidR="00590D3E" w:rsidRPr="00590D3E" w:rsidRDefault="00590D3E" w:rsidP="00F40307">
      <w:pPr>
        <w:jc w:val="both"/>
        <w:rPr>
          <w:rFonts w:cstheme="minorHAnsi"/>
          <w:b/>
          <w:sz w:val="24"/>
          <w:szCs w:val="24"/>
        </w:rPr>
      </w:pPr>
      <w:r w:rsidRPr="00590D3E">
        <w:rPr>
          <w:rFonts w:cstheme="minorHAnsi"/>
          <w:b/>
          <w:sz w:val="24"/>
          <w:szCs w:val="24"/>
        </w:rPr>
        <w:t xml:space="preserve">Schválil: </w:t>
      </w:r>
      <w:r w:rsidRPr="00590D3E">
        <w:rPr>
          <w:rFonts w:cstheme="minorHAnsi"/>
          <w:sz w:val="24"/>
          <w:szCs w:val="24"/>
        </w:rPr>
        <w:t>Ladislav Rabušic</w:t>
      </w:r>
      <w:r w:rsidRPr="00590D3E">
        <w:rPr>
          <w:rFonts w:cstheme="minorHAnsi"/>
          <w:b/>
          <w:sz w:val="24"/>
          <w:szCs w:val="24"/>
        </w:rPr>
        <w:br w:type="page"/>
      </w:r>
    </w:p>
    <w:p w14:paraId="7B5A3E7B" w14:textId="4C0D57B0" w:rsidR="00395537" w:rsidRDefault="00395537" w:rsidP="00395537">
      <w:pPr>
        <w:spacing w:after="200"/>
      </w:pPr>
      <w:r>
        <w:rPr>
          <w:b/>
        </w:rPr>
        <w:lastRenderedPageBreak/>
        <w:t>Příloha</w:t>
      </w:r>
      <w:r w:rsidRPr="00CF3AC5">
        <w:rPr>
          <w:b/>
        </w:rPr>
        <w:t>:</w:t>
      </w:r>
    </w:p>
    <w:p w14:paraId="501BDDCF" w14:textId="0A7BE2BB" w:rsidR="00395537" w:rsidRPr="00BC385A" w:rsidRDefault="00395537" w:rsidP="00395537">
      <w:pPr>
        <w:rPr>
          <w:b/>
        </w:rPr>
      </w:pPr>
      <w:r w:rsidRPr="00BC385A">
        <w:rPr>
          <w:b/>
        </w:rPr>
        <w:t>Prezenční listina</w:t>
      </w:r>
      <w:r>
        <w:rPr>
          <w:b/>
        </w:rPr>
        <w:t xml:space="preserve"> členů Rady pro vnitřní hodnocení</w:t>
      </w:r>
      <w:r w:rsidR="00590D3E">
        <w:rPr>
          <w:b/>
        </w:rPr>
        <w:t xml:space="preserve"> MU</w:t>
      </w:r>
    </w:p>
    <w:p w14:paraId="5819220B" w14:textId="77777777" w:rsidR="00395537" w:rsidRDefault="00395537" w:rsidP="00395537"/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2127"/>
      </w:tblGrid>
      <w:tr w:rsidR="006214D3" w14:paraId="0FF6B758" w14:textId="05838A51" w:rsidTr="006214D3">
        <w:trPr>
          <w:trHeight w:val="442"/>
        </w:trPr>
        <w:tc>
          <w:tcPr>
            <w:tcW w:w="4248" w:type="dxa"/>
          </w:tcPr>
          <w:p w14:paraId="573BE3A6" w14:textId="77777777" w:rsidR="006214D3" w:rsidRDefault="006214D3" w:rsidP="0075514E"/>
        </w:tc>
        <w:tc>
          <w:tcPr>
            <w:tcW w:w="2551" w:type="dxa"/>
          </w:tcPr>
          <w:p w14:paraId="2F994779" w14:textId="77777777" w:rsidR="006214D3" w:rsidRPr="00CF3AC5" w:rsidRDefault="006214D3" w:rsidP="0075514E">
            <w:pPr>
              <w:jc w:val="center"/>
              <w:rPr>
                <w:b/>
              </w:rPr>
            </w:pPr>
            <w:r w:rsidRPr="00CF3AC5">
              <w:rPr>
                <w:b/>
              </w:rPr>
              <w:t>Přítomen</w:t>
            </w:r>
          </w:p>
        </w:tc>
        <w:tc>
          <w:tcPr>
            <w:tcW w:w="2127" w:type="dxa"/>
          </w:tcPr>
          <w:p w14:paraId="2657C393" w14:textId="77777777" w:rsidR="006214D3" w:rsidRPr="00CF3AC5" w:rsidRDefault="006214D3" w:rsidP="0075514E">
            <w:pPr>
              <w:jc w:val="center"/>
              <w:rPr>
                <w:b/>
              </w:rPr>
            </w:pPr>
            <w:r w:rsidRPr="00CF3AC5">
              <w:rPr>
                <w:b/>
              </w:rPr>
              <w:t>Nepřítomen</w:t>
            </w:r>
          </w:p>
        </w:tc>
      </w:tr>
      <w:tr w:rsidR="006214D3" w14:paraId="141792E4" w14:textId="09C68BBB" w:rsidTr="006214D3">
        <w:trPr>
          <w:trHeight w:val="442"/>
        </w:trPr>
        <w:tc>
          <w:tcPr>
            <w:tcW w:w="4248" w:type="dxa"/>
            <w:vAlign w:val="center"/>
          </w:tcPr>
          <w:p w14:paraId="06E475C0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PhDr. Stanislav Balík, Ph.D.</w:t>
            </w:r>
          </w:p>
        </w:tc>
        <w:tc>
          <w:tcPr>
            <w:tcW w:w="2551" w:type="dxa"/>
            <w:vAlign w:val="center"/>
          </w:tcPr>
          <w:p w14:paraId="058604DF" w14:textId="08CDE738" w:rsidR="006214D3" w:rsidRPr="00F40307" w:rsidRDefault="006214D3" w:rsidP="00590D3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01758262" w14:textId="5ACA4A5A" w:rsidR="006214D3" w:rsidRPr="00F40307" w:rsidRDefault="006214D3" w:rsidP="0075514E">
            <w:pPr>
              <w:jc w:val="center"/>
              <w:rPr>
                <w:rFonts w:cstheme="minorHAnsi"/>
              </w:rPr>
            </w:pPr>
          </w:p>
        </w:tc>
      </w:tr>
      <w:tr w:rsidR="006214D3" w14:paraId="2E161BFF" w14:textId="7D52899F" w:rsidTr="006214D3">
        <w:trPr>
          <w:trHeight w:val="442"/>
        </w:trPr>
        <w:tc>
          <w:tcPr>
            <w:tcW w:w="4248" w:type="dxa"/>
            <w:vAlign w:val="center"/>
          </w:tcPr>
          <w:p w14:paraId="676AEB86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PhDr. Mikuláš Bek, Ph.D.</w:t>
            </w:r>
          </w:p>
        </w:tc>
        <w:tc>
          <w:tcPr>
            <w:tcW w:w="2551" w:type="dxa"/>
            <w:vAlign w:val="center"/>
          </w:tcPr>
          <w:p w14:paraId="0BDA6FF4" w14:textId="1634F5FF" w:rsidR="006214D3" w:rsidRPr="00F40307" w:rsidRDefault="006214D3" w:rsidP="00590D3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6058D99" w14:textId="44931CF2" w:rsidR="006214D3" w:rsidRPr="00F40307" w:rsidRDefault="006214D3" w:rsidP="0075514E">
            <w:pPr>
              <w:jc w:val="center"/>
              <w:rPr>
                <w:rFonts w:cstheme="minorHAnsi"/>
              </w:rPr>
            </w:pPr>
          </w:p>
        </w:tc>
      </w:tr>
      <w:tr w:rsidR="006214D3" w14:paraId="052BB2AA" w14:textId="785EA9ED" w:rsidTr="006214D3">
        <w:trPr>
          <w:trHeight w:val="442"/>
        </w:trPr>
        <w:tc>
          <w:tcPr>
            <w:tcW w:w="4248" w:type="dxa"/>
            <w:vAlign w:val="center"/>
          </w:tcPr>
          <w:p w14:paraId="213CD151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Ing. Ladislav Blažek, CSc.</w:t>
            </w:r>
          </w:p>
        </w:tc>
        <w:tc>
          <w:tcPr>
            <w:tcW w:w="2551" w:type="dxa"/>
            <w:vAlign w:val="center"/>
          </w:tcPr>
          <w:p w14:paraId="3536D570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13A6E855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39555DD2" w14:textId="2A45ADDC" w:rsidTr="006214D3">
        <w:trPr>
          <w:trHeight w:val="442"/>
        </w:trPr>
        <w:tc>
          <w:tcPr>
            <w:tcW w:w="4248" w:type="dxa"/>
            <w:vAlign w:val="center"/>
          </w:tcPr>
          <w:p w14:paraId="7871D68E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 xml:space="preserve">PhDr. Jan </w:t>
            </w:r>
            <w:proofErr w:type="spellStart"/>
            <w:r w:rsidRPr="00F40307">
              <w:rPr>
                <w:rFonts w:cstheme="minorHAnsi"/>
              </w:rPr>
              <w:t>Cacek</w:t>
            </w:r>
            <w:proofErr w:type="spellEnd"/>
            <w:r w:rsidRPr="00F40307">
              <w:rPr>
                <w:rFonts w:cstheme="minorHAnsi"/>
              </w:rPr>
              <w:t>, Ph.D.</w:t>
            </w:r>
          </w:p>
        </w:tc>
        <w:tc>
          <w:tcPr>
            <w:tcW w:w="2551" w:type="dxa"/>
            <w:vAlign w:val="center"/>
          </w:tcPr>
          <w:p w14:paraId="42410BA2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4681E0B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3B8B8800" w14:textId="77AB2167" w:rsidTr="006214D3">
        <w:trPr>
          <w:trHeight w:val="442"/>
        </w:trPr>
        <w:tc>
          <w:tcPr>
            <w:tcW w:w="4248" w:type="dxa"/>
            <w:vAlign w:val="center"/>
          </w:tcPr>
          <w:p w14:paraId="1AFD0241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RNDr. Ivana Černá, CSc.</w:t>
            </w:r>
          </w:p>
        </w:tc>
        <w:tc>
          <w:tcPr>
            <w:tcW w:w="2551" w:type="dxa"/>
            <w:vAlign w:val="center"/>
          </w:tcPr>
          <w:p w14:paraId="774C3D98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42E3E315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33E20AE2" w14:textId="183CC67B" w:rsidTr="006214D3">
        <w:trPr>
          <w:trHeight w:val="442"/>
        </w:trPr>
        <w:tc>
          <w:tcPr>
            <w:tcW w:w="4248" w:type="dxa"/>
            <w:vAlign w:val="center"/>
          </w:tcPr>
          <w:p w14:paraId="72ED4D00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Mgr. Světlana Hanušová, Ph.D.</w:t>
            </w:r>
          </w:p>
        </w:tc>
        <w:tc>
          <w:tcPr>
            <w:tcW w:w="2551" w:type="dxa"/>
            <w:vAlign w:val="center"/>
          </w:tcPr>
          <w:p w14:paraId="14AFF383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3D1D9B77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51BDEC7E" w14:textId="355C3AAB" w:rsidTr="006214D3">
        <w:trPr>
          <w:trHeight w:val="442"/>
        </w:trPr>
        <w:tc>
          <w:tcPr>
            <w:tcW w:w="4248" w:type="dxa"/>
            <w:vAlign w:val="center"/>
          </w:tcPr>
          <w:p w14:paraId="01C8541A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 xml:space="preserve">prof. JUDr. Jan </w:t>
            </w:r>
            <w:proofErr w:type="spellStart"/>
            <w:r w:rsidRPr="00F40307">
              <w:rPr>
                <w:rFonts w:cstheme="minorHAnsi"/>
              </w:rPr>
              <w:t>Hurdík</w:t>
            </w:r>
            <w:proofErr w:type="spellEnd"/>
            <w:r w:rsidRPr="00F40307">
              <w:rPr>
                <w:rFonts w:cstheme="minorHAnsi"/>
              </w:rPr>
              <w:t>, DrSc.</w:t>
            </w:r>
          </w:p>
        </w:tc>
        <w:tc>
          <w:tcPr>
            <w:tcW w:w="2551" w:type="dxa"/>
            <w:vAlign w:val="center"/>
          </w:tcPr>
          <w:p w14:paraId="7D4F0E4E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CE4D4A0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78BF6353" w14:textId="70FE26CB" w:rsidTr="006214D3">
        <w:trPr>
          <w:trHeight w:val="442"/>
        </w:trPr>
        <w:tc>
          <w:tcPr>
            <w:tcW w:w="4248" w:type="dxa"/>
            <w:vAlign w:val="center"/>
          </w:tcPr>
          <w:p w14:paraId="7E268CF7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 xml:space="preserve">prof. RNDr. Josef </w:t>
            </w:r>
            <w:proofErr w:type="spellStart"/>
            <w:r w:rsidRPr="00F40307">
              <w:rPr>
                <w:rFonts w:cstheme="minorHAnsi"/>
              </w:rPr>
              <w:t>Janyška</w:t>
            </w:r>
            <w:proofErr w:type="spellEnd"/>
            <w:r w:rsidRPr="00F40307">
              <w:rPr>
                <w:rFonts w:cstheme="minorHAnsi"/>
              </w:rPr>
              <w:t xml:space="preserve">, </w:t>
            </w:r>
            <w:proofErr w:type="spellStart"/>
            <w:r w:rsidRPr="00F40307">
              <w:rPr>
                <w:rFonts w:cstheme="minorHAnsi"/>
              </w:rPr>
              <w:t>DSc</w:t>
            </w:r>
            <w:proofErr w:type="spellEnd"/>
            <w:r w:rsidRPr="00F40307">
              <w:rPr>
                <w:rFonts w:cstheme="minorHAnsi"/>
              </w:rPr>
              <w:t>.</w:t>
            </w:r>
          </w:p>
        </w:tc>
        <w:tc>
          <w:tcPr>
            <w:tcW w:w="2551" w:type="dxa"/>
            <w:vAlign w:val="center"/>
          </w:tcPr>
          <w:p w14:paraId="27FACEDA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BDE430E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4CA1A02A" w14:textId="1F4AB2D6" w:rsidTr="006214D3">
        <w:trPr>
          <w:trHeight w:val="442"/>
        </w:trPr>
        <w:tc>
          <w:tcPr>
            <w:tcW w:w="4248" w:type="dxa"/>
            <w:vAlign w:val="center"/>
          </w:tcPr>
          <w:p w14:paraId="61524EED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MVDr. Břetislav Koudela, CSc. </w:t>
            </w:r>
          </w:p>
        </w:tc>
        <w:tc>
          <w:tcPr>
            <w:tcW w:w="2551" w:type="dxa"/>
            <w:vAlign w:val="center"/>
          </w:tcPr>
          <w:p w14:paraId="2DAAC9F8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0C12E9D7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693927F6" w14:textId="28863C66" w:rsidTr="006214D3">
        <w:trPr>
          <w:trHeight w:val="442"/>
        </w:trPr>
        <w:tc>
          <w:tcPr>
            <w:tcW w:w="4248" w:type="dxa"/>
            <w:vAlign w:val="center"/>
          </w:tcPr>
          <w:p w14:paraId="6F8A5AE6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RNDr. Ludmila Křivánková, CSc.</w:t>
            </w:r>
          </w:p>
        </w:tc>
        <w:tc>
          <w:tcPr>
            <w:tcW w:w="2551" w:type="dxa"/>
            <w:vAlign w:val="center"/>
          </w:tcPr>
          <w:p w14:paraId="29CE1C1F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6319A0C2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545262FC" w14:textId="50BA3DA6" w:rsidTr="006214D3">
        <w:trPr>
          <w:trHeight w:val="442"/>
        </w:trPr>
        <w:tc>
          <w:tcPr>
            <w:tcW w:w="4248" w:type="dxa"/>
            <w:vAlign w:val="center"/>
          </w:tcPr>
          <w:p w14:paraId="50BF0160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Mgr. Vojtěch Kyselý</w:t>
            </w:r>
          </w:p>
        </w:tc>
        <w:tc>
          <w:tcPr>
            <w:tcW w:w="2551" w:type="dxa"/>
            <w:vAlign w:val="center"/>
          </w:tcPr>
          <w:p w14:paraId="4AA4A720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29AC5C01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7265D681" w14:textId="756F3691" w:rsidTr="006214D3">
        <w:trPr>
          <w:trHeight w:val="414"/>
        </w:trPr>
        <w:tc>
          <w:tcPr>
            <w:tcW w:w="4248" w:type="dxa"/>
            <w:vAlign w:val="center"/>
          </w:tcPr>
          <w:p w14:paraId="77AC4877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Ladislav Rabušic, CSc.</w:t>
            </w:r>
          </w:p>
        </w:tc>
        <w:tc>
          <w:tcPr>
            <w:tcW w:w="2551" w:type="dxa"/>
            <w:vAlign w:val="center"/>
          </w:tcPr>
          <w:p w14:paraId="27650527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69836FD3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35B137B3" w14:textId="37C29F9F" w:rsidTr="006214D3">
        <w:trPr>
          <w:trHeight w:val="442"/>
        </w:trPr>
        <w:tc>
          <w:tcPr>
            <w:tcW w:w="4248" w:type="dxa"/>
            <w:vAlign w:val="center"/>
          </w:tcPr>
          <w:p w14:paraId="47E2FF6F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RNDr. Josef Tomandl, Ph.D.</w:t>
            </w:r>
          </w:p>
        </w:tc>
        <w:tc>
          <w:tcPr>
            <w:tcW w:w="2551" w:type="dxa"/>
            <w:vAlign w:val="center"/>
          </w:tcPr>
          <w:p w14:paraId="6A6E26CE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1ED392BE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3CFCC31A" w14:textId="7FD846D0" w:rsidTr="006214D3">
        <w:trPr>
          <w:trHeight w:val="442"/>
        </w:trPr>
        <w:tc>
          <w:tcPr>
            <w:tcW w:w="4248" w:type="dxa"/>
            <w:vAlign w:val="center"/>
          </w:tcPr>
          <w:p w14:paraId="6AB29C1A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Zbyněk Vybíral, Ph.D.</w:t>
            </w:r>
          </w:p>
        </w:tc>
        <w:tc>
          <w:tcPr>
            <w:tcW w:w="2551" w:type="dxa"/>
            <w:vAlign w:val="center"/>
          </w:tcPr>
          <w:p w14:paraId="611B759F" w14:textId="77777777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757C4F57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  <w:tr w:rsidR="006214D3" w14:paraId="3414B7E5" w14:textId="50AA13A4" w:rsidTr="006214D3">
        <w:trPr>
          <w:trHeight w:val="442"/>
        </w:trPr>
        <w:tc>
          <w:tcPr>
            <w:tcW w:w="4248" w:type="dxa"/>
            <w:vAlign w:val="center"/>
          </w:tcPr>
          <w:p w14:paraId="47D59815" w14:textId="77777777" w:rsidR="006214D3" w:rsidRPr="00F40307" w:rsidRDefault="006214D3" w:rsidP="0075514E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Jan Zouhar, CSc.</w:t>
            </w:r>
          </w:p>
        </w:tc>
        <w:tc>
          <w:tcPr>
            <w:tcW w:w="2551" w:type="dxa"/>
            <w:vAlign w:val="center"/>
          </w:tcPr>
          <w:p w14:paraId="68383D16" w14:textId="5EFD4DF8" w:rsidR="006214D3" w:rsidRPr="00F40307" w:rsidRDefault="006214D3" w:rsidP="0075514E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08C5E91" w14:textId="77777777" w:rsidR="006214D3" w:rsidRPr="00F40307" w:rsidRDefault="006214D3" w:rsidP="0075514E">
            <w:pPr>
              <w:rPr>
                <w:rFonts w:cstheme="minorHAnsi"/>
              </w:rPr>
            </w:pPr>
          </w:p>
        </w:tc>
      </w:tr>
    </w:tbl>
    <w:p w14:paraId="19DF9027" w14:textId="77777777" w:rsidR="00395537" w:rsidRPr="00134B32" w:rsidRDefault="00395537" w:rsidP="00395537"/>
    <w:p w14:paraId="670E4D5A" w14:textId="77777777" w:rsidR="001C6543" w:rsidRDefault="001C6543" w:rsidP="0083526E">
      <w:pPr>
        <w:spacing w:after="120"/>
      </w:pPr>
    </w:p>
    <w:sectPr w:rsidR="001C6543" w:rsidSect="00066FB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D5A4" w14:textId="77777777" w:rsidR="0083526E" w:rsidRDefault="0083526E" w:rsidP="0083526E">
      <w:pPr>
        <w:spacing w:after="0" w:line="240" w:lineRule="auto"/>
      </w:pPr>
      <w:r>
        <w:separator/>
      </w:r>
    </w:p>
  </w:endnote>
  <w:endnote w:type="continuationSeparator" w:id="0">
    <w:p w14:paraId="17B74D05" w14:textId="77777777" w:rsidR="0083526E" w:rsidRDefault="0083526E" w:rsidP="008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7E196" w14:textId="77777777" w:rsidR="0083526E" w:rsidRDefault="0083526E" w:rsidP="0083526E">
      <w:pPr>
        <w:spacing w:after="0" w:line="240" w:lineRule="auto"/>
      </w:pPr>
      <w:r>
        <w:separator/>
      </w:r>
    </w:p>
  </w:footnote>
  <w:footnote w:type="continuationSeparator" w:id="0">
    <w:p w14:paraId="362F4470" w14:textId="77777777" w:rsidR="0083526E" w:rsidRDefault="0083526E" w:rsidP="0083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75570" w14:textId="055FD7A9" w:rsidR="00066FBD" w:rsidRDefault="00066F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8E134C1" wp14:editId="02B1991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8C8"/>
    <w:multiLevelType w:val="hybridMultilevel"/>
    <w:tmpl w:val="2E92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281"/>
    <w:multiLevelType w:val="hybridMultilevel"/>
    <w:tmpl w:val="248468C2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8094FA1"/>
    <w:multiLevelType w:val="hybridMultilevel"/>
    <w:tmpl w:val="4210D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3E4E"/>
    <w:multiLevelType w:val="hybridMultilevel"/>
    <w:tmpl w:val="14788C2C"/>
    <w:lvl w:ilvl="0" w:tplc="9536C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105"/>
    <w:multiLevelType w:val="hybridMultilevel"/>
    <w:tmpl w:val="2A824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6DF"/>
    <w:multiLevelType w:val="hybridMultilevel"/>
    <w:tmpl w:val="F3F24368"/>
    <w:lvl w:ilvl="0" w:tplc="A886C19C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CBE1E8A"/>
    <w:multiLevelType w:val="hybridMultilevel"/>
    <w:tmpl w:val="8F60C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1809"/>
    <w:multiLevelType w:val="hybridMultilevel"/>
    <w:tmpl w:val="7F7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03C87"/>
    <w:multiLevelType w:val="hybridMultilevel"/>
    <w:tmpl w:val="F0DCC5CA"/>
    <w:lvl w:ilvl="0" w:tplc="2CECD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B28C7"/>
    <w:multiLevelType w:val="hybridMultilevel"/>
    <w:tmpl w:val="4294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06035"/>
    <w:multiLevelType w:val="hybridMultilevel"/>
    <w:tmpl w:val="6396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B3100"/>
    <w:multiLevelType w:val="hybridMultilevel"/>
    <w:tmpl w:val="EDCE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A681D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06002"/>
    <w:multiLevelType w:val="hybridMultilevel"/>
    <w:tmpl w:val="3810304C"/>
    <w:lvl w:ilvl="0" w:tplc="635893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3770E"/>
    <w:multiLevelType w:val="hybridMultilevel"/>
    <w:tmpl w:val="651E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56A9A"/>
    <w:multiLevelType w:val="hybridMultilevel"/>
    <w:tmpl w:val="E88C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2282A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1519A"/>
    <w:multiLevelType w:val="hybridMultilevel"/>
    <w:tmpl w:val="7D06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36FA9"/>
    <w:multiLevelType w:val="hybridMultilevel"/>
    <w:tmpl w:val="EB4C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93C87"/>
    <w:multiLevelType w:val="hybridMultilevel"/>
    <w:tmpl w:val="78FA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A358E"/>
    <w:multiLevelType w:val="hybridMultilevel"/>
    <w:tmpl w:val="A67A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B3051"/>
    <w:multiLevelType w:val="hybridMultilevel"/>
    <w:tmpl w:val="A2668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0"/>
  </w:num>
  <w:num w:numId="5">
    <w:abstractNumId w:val="18"/>
  </w:num>
  <w:num w:numId="6">
    <w:abstractNumId w:val="1"/>
  </w:num>
  <w:num w:numId="7">
    <w:abstractNumId w:val="13"/>
  </w:num>
  <w:num w:numId="8">
    <w:abstractNumId w:val="21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9"/>
  </w:num>
  <w:num w:numId="14">
    <w:abstractNumId w:val="20"/>
  </w:num>
  <w:num w:numId="15">
    <w:abstractNumId w:val="12"/>
  </w:num>
  <w:num w:numId="16">
    <w:abstractNumId w:val="10"/>
  </w:num>
  <w:num w:numId="17">
    <w:abstractNumId w:val="14"/>
  </w:num>
  <w:num w:numId="18">
    <w:abstractNumId w:val="2"/>
  </w:num>
  <w:num w:numId="19">
    <w:abstractNumId w:val="17"/>
  </w:num>
  <w:num w:numId="20">
    <w:abstractNumId w:val="5"/>
  </w:num>
  <w:num w:numId="21">
    <w:abstractNumId w:val="3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9"/>
    <w:rsid w:val="000260B0"/>
    <w:rsid w:val="00030872"/>
    <w:rsid w:val="000409B2"/>
    <w:rsid w:val="00045952"/>
    <w:rsid w:val="00066FBD"/>
    <w:rsid w:val="0006715B"/>
    <w:rsid w:val="0006729E"/>
    <w:rsid w:val="000A0DA2"/>
    <w:rsid w:val="000A3BDA"/>
    <w:rsid w:val="000F00D5"/>
    <w:rsid w:val="00103AE3"/>
    <w:rsid w:val="001111BF"/>
    <w:rsid w:val="00132DA1"/>
    <w:rsid w:val="00142020"/>
    <w:rsid w:val="00146715"/>
    <w:rsid w:val="00150A79"/>
    <w:rsid w:val="001C105E"/>
    <w:rsid w:val="001C6543"/>
    <w:rsid w:val="00216678"/>
    <w:rsid w:val="002769BF"/>
    <w:rsid w:val="00285377"/>
    <w:rsid w:val="002A5C4D"/>
    <w:rsid w:val="002B2285"/>
    <w:rsid w:val="002D27B1"/>
    <w:rsid w:val="002E0E46"/>
    <w:rsid w:val="002F7C16"/>
    <w:rsid w:val="00310F85"/>
    <w:rsid w:val="00315C39"/>
    <w:rsid w:val="003427B0"/>
    <w:rsid w:val="00384EC5"/>
    <w:rsid w:val="00395537"/>
    <w:rsid w:val="003D491D"/>
    <w:rsid w:val="00413E76"/>
    <w:rsid w:val="0043172C"/>
    <w:rsid w:val="004A06CF"/>
    <w:rsid w:val="004A3E4D"/>
    <w:rsid w:val="004B0D30"/>
    <w:rsid w:val="004D1D33"/>
    <w:rsid w:val="004E7352"/>
    <w:rsid w:val="0052646E"/>
    <w:rsid w:val="00533DA1"/>
    <w:rsid w:val="0054056C"/>
    <w:rsid w:val="00543FA7"/>
    <w:rsid w:val="00572129"/>
    <w:rsid w:val="005801FD"/>
    <w:rsid w:val="00584F35"/>
    <w:rsid w:val="00587BC5"/>
    <w:rsid w:val="00590D3E"/>
    <w:rsid w:val="0059101C"/>
    <w:rsid w:val="005A2C29"/>
    <w:rsid w:val="005C0B70"/>
    <w:rsid w:val="005C7099"/>
    <w:rsid w:val="005D43AE"/>
    <w:rsid w:val="005E0239"/>
    <w:rsid w:val="005F3963"/>
    <w:rsid w:val="00611D23"/>
    <w:rsid w:val="006214D3"/>
    <w:rsid w:val="00646AE6"/>
    <w:rsid w:val="00646EBD"/>
    <w:rsid w:val="00665C0B"/>
    <w:rsid w:val="006C1C8A"/>
    <w:rsid w:val="007004C9"/>
    <w:rsid w:val="00735227"/>
    <w:rsid w:val="007454F0"/>
    <w:rsid w:val="00751759"/>
    <w:rsid w:val="007B6974"/>
    <w:rsid w:val="007C41AF"/>
    <w:rsid w:val="007D2C7D"/>
    <w:rsid w:val="007E22D9"/>
    <w:rsid w:val="007E482F"/>
    <w:rsid w:val="00810527"/>
    <w:rsid w:val="00820345"/>
    <w:rsid w:val="0083526E"/>
    <w:rsid w:val="00862B5E"/>
    <w:rsid w:val="008633C9"/>
    <w:rsid w:val="00875764"/>
    <w:rsid w:val="0089108C"/>
    <w:rsid w:val="008F017F"/>
    <w:rsid w:val="00925BD0"/>
    <w:rsid w:val="00950460"/>
    <w:rsid w:val="00960486"/>
    <w:rsid w:val="00962D17"/>
    <w:rsid w:val="00980528"/>
    <w:rsid w:val="00983ECE"/>
    <w:rsid w:val="009B030C"/>
    <w:rsid w:val="009E4460"/>
    <w:rsid w:val="009F267F"/>
    <w:rsid w:val="00A256DF"/>
    <w:rsid w:val="00A4032A"/>
    <w:rsid w:val="00A410A3"/>
    <w:rsid w:val="00A4425F"/>
    <w:rsid w:val="00A457F2"/>
    <w:rsid w:val="00AB230C"/>
    <w:rsid w:val="00AD0E82"/>
    <w:rsid w:val="00AD3D30"/>
    <w:rsid w:val="00AF45EB"/>
    <w:rsid w:val="00B15DD2"/>
    <w:rsid w:val="00B23FBA"/>
    <w:rsid w:val="00B50D53"/>
    <w:rsid w:val="00B750E3"/>
    <w:rsid w:val="00B80C84"/>
    <w:rsid w:val="00BB7A85"/>
    <w:rsid w:val="00BC5574"/>
    <w:rsid w:val="00C13687"/>
    <w:rsid w:val="00C20A81"/>
    <w:rsid w:val="00C238ED"/>
    <w:rsid w:val="00C75FE7"/>
    <w:rsid w:val="00C84D7D"/>
    <w:rsid w:val="00C91126"/>
    <w:rsid w:val="00CA451C"/>
    <w:rsid w:val="00CA65FF"/>
    <w:rsid w:val="00CC350D"/>
    <w:rsid w:val="00CD2FC1"/>
    <w:rsid w:val="00CD6327"/>
    <w:rsid w:val="00CE4C75"/>
    <w:rsid w:val="00D50CBF"/>
    <w:rsid w:val="00D6344A"/>
    <w:rsid w:val="00D85502"/>
    <w:rsid w:val="00DB402F"/>
    <w:rsid w:val="00DB6619"/>
    <w:rsid w:val="00DB6E99"/>
    <w:rsid w:val="00DD5735"/>
    <w:rsid w:val="00DF2CD4"/>
    <w:rsid w:val="00DF3A37"/>
    <w:rsid w:val="00DF4CAD"/>
    <w:rsid w:val="00E0572D"/>
    <w:rsid w:val="00E206AC"/>
    <w:rsid w:val="00E25389"/>
    <w:rsid w:val="00E4627E"/>
    <w:rsid w:val="00E7258C"/>
    <w:rsid w:val="00E77921"/>
    <w:rsid w:val="00EA1442"/>
    <w:rsid w:val="00F145A7"/>
    <w:rsid w:val="00F40307"/>
    <w:rsid w:val="00F54ABE"/>
    <w:rsid w:val="00F766F5"/>
    <w:rsid w:val="00F8022F"/>
    <w:rsid w:val="00F85E82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2ACB"/>
  <w15:chartTrackingRefBased/>
  <w15:docId w15:val="{539F3FD5-4539-4D57-95B7-043CE49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7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7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7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6E"/>
  </w:style>
  <w:style w:type="paragraph" w:styleId="Zpat">
    <w:name w:val="footer"/>
    <w:basedOn w:val="Normln"/>
    <w:link w:val="Zpat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6E"/>
  </w:style>
  <w:style w:type="table" w:styleId="Mkatabulky">
    <w:name w:val="Table Grid"/>
    <w:basedOn w:val="Normlntabulka"/>
    <w:uiPriority w:val="39"/>
    <w:rsid w:val="0039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Zůbková</dc:creator>
  <cp:keywords/>
  <dc:description/>
  <cp:lastModifiedBy>Zdeněk Ježek</cp:lastModifiedBy>
  <cp:revision>5</cp:revision>
  <cp:lastPrinted>2017-05-22T08:41:00Z</cp:lastPrinted>
  <dcterms:created xsi:type="dcterms:W3CDTF">2017-12-12T15:16:00Z</dcterms:created>
  <dcterms:modified xsi:type="dcterms:W3CDTF">2017-12-14T13:51:00Z</dcterms:modified>
</cp:coreProperties>
</file>