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39" w:rsidRPr="00241547" w:rsidRDefault="00C23A39" w:rsidP="00C23A39">
      <w:bookmarkStart w:id="0" w:name="_GoBack"/>
      <w:bookmarkEnd w:id="0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C23A39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3A39" w:rsidRPr="00241547" w:rsidRDefault="00C23A39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23A39" w:rsidRPr="00241547" w:rsidRDefault="00C23A39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3A39" w:rsidRPr="00241547" w:rsidRDefault="00C23A39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Ch2aF4a000000h1051z</w:t>
            </w:r>
          </w:p>
          <w:p w:rsidR="00C23A39" w:rsidRPr="00241547" w:rsidRDefault="00C23A39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Ch2</w:t>
            </w:r>
            <w:r w:rsidRPr="00241547">
              <w:tab/>
            </w:r>
            <w:r w:rsidRPr="00241547">
              <w:rPr>
                <w:b/>
                <w:bCs/>
              </w:rPr>
              <w:t>Směsi</w:t>
            </w:r>
          </w:p>
          <w:p w:rsidR="00C23A39" w:rsidRPr="00241547" w:rsidRDefault="00C23A39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Ch2a</w:t>
            </w:r>
            <w:r w:rsidRPr="00241547">
              <w:tab/>
            </w:r>
            <w:r w:rsidRPr="00241547">
              <w:rPr>
                <w:bCs/>
              </w:rPr>
              <w:t>Směsi</w:t>
            </w:r>
          </w:p>
          <w:p w:rsidR="00C23A39" w:rsidRPr="00241547" w:rsidRDefault="00C23A39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F4</w:t>
            </w:r>
            <w:r w:rsidRPr="00241547">
              <w:tab/>
            </w:r>
            <w:r w:rsidRPr="00241547">
              <w:rPr>
                <w:b/>
                <w:szCs w:val="16"/>
              </w:rPr>
              <w:t>Energie</w:t>
            </w:r>
          </w:p>
          <w:p w:rsidR="00C23A39" w:rsidRPr="00241547" w:rsidRDefault="00C23A39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 w:rsidRPr="00241547">
              <w:t>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F4a</w:t>
            </w:r>
            <w:r w:rsidRPr="00241547">
              <w:rPr>
                <w:szCs w:val="16"/>
              </w:rPr>
              <w:tab/>
              <w:t>Formy energie</w:t>
            </w:r>
          </w:p>
          <w:p w:rsidR="00C23A39" w:rsidRPr="00241547" w:rsidRDefault="00C23A39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h</w:t>
            </w:r>
            <w:r w:rsidRPr="00241547">
              <w:tab/>
              <w:t>Chemická hřebenovka</w:t>
            </w:r>
          </w:p>
          <w:p w:rsidR="00C23A39" w:rsidRPr="00241547" w:rsidRDefault="00C23A39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1</w:t>
            </w:r>
          </w:p>
          <w:p w:rsidR="00C23A39" w:rsidRPr="00241547" w:rsidRDefault="00C23A39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5 minut</w:t>
            </w:r>
          </w:p>
          <w:p w:rsidR="00C23A39" w:rsidRPr="00241547" w:rsidRDefault="00C23A39" w:rsidP="008D581A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3A39" w:rsidRPr="00241547" w:rsidRDefault="00C23A39" w:rsidP="008D581A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1033145" cy="313055"/>
                  <wp:effectExtent l="0" t="0" r="0" b="0"/>
                  <wp:docPr id="1" name="Obrázek 1" descr="0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3" descr="0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A39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3A39" w:rsidRPr="00241547" w:rsidRDefault="00C23A39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23A39" w:rsidRPr="00241547" w:rsidRDefault="00C23A39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:rsidR="00C23A39" w:rsidRPr="00241547" w:rsidRDefault="00C23A39" w:rsidP="008D581A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C23A39" w:rsidRPr="00241547" w:rsidRDefault="00C23A39" w:rsidP="008D581A">
            <w:pPr>
              <w:pStyle w:val="NADPIS1"/>
            </w:pPr>
          </w:p>
        </w:tc>
      </w:tr>
    </w:tbl>
    <w:p w:rsidR="00C23A39" w:rsidRPr="00241547" w:rsidRDefault="00C23A39" w:rsidP="003755C2">
      <w:pPr>
        <w:pStyle w:val="lohanzev"/>
        <w:numPr>
          <w:ilvl w:val="0"/>
          <w:numId w:val="6"/>
        </w:numPr>
      </w:pPr>
      <w:bookmarkStart w:id="1" w:name="_Toc427310462"/>
      <w:bookmarkStart w:id="2" w:name="_Toc511225610"/>
      <w:r w:rsidRPr="00241547">
        <w:t>Slitina z p</w:t>
      </w:r>
      <w:r>
        <w:rPr>
          <w:lang w:val="cs-CZ"/>
        </w:rPr>
        <w:t>r</w:t>
      </w:r>
      <w:r w:rsidRPr="00241547">
        <w:t>avěku</w:t>
      </w:r>
      <w:bookmarkEnd w:id="1"/>
      <w:bookmarkEnd w:id="2"/>
    </w:p>
    <w:p w:rsidR="00C23A39" w:rsidRPr="00241547" w:rsidRDefault="00C23A39" w:rsidP="00C23A39">
      <w:pPr>
        <w:jc w:val="both"/>
        <w:rPr>
          <w:szCs w:val="24"/>
        </w:rPr>
      </w:pPr>
      <w:r w:rsidRPr="00241547">
        <w:rPr>
          <w:szCs w:val="24"/>
        </w:rPr>
        <w:tab/>
        <w:t xml:space="preserve">První slitinu objevili lidé asi před 6 000 lety. Zjistili, že slitím dvou nebo více kovů </w:t>
      </w:r>
      <w:r>
        <w:rPr>
          <w:szCs w:val="24"/>
        </w:rPr>
        <w:t>může vzniknout</w:t>
      </w:r>
      <w:r w:rsidRPr="00241547">
        <w:rPr>
          <w:szCs w:val="24"/>
        </w:rPr>
        <w:t xml:space="preserve"> směs lepších vlastností. Slitina uvedená v jednostranné hřebenovce se používala tak </w:t>
      </w:r>
      <w:proofErr w:type="gramStart"/>
      <w:r w:rsidRPr="00241547">
        <w:rPr>
          <w:szCs w:val="24"/>
        </w:rPr>
        <w:t>často</w:t>
      </w:r>
      <w:proofErr w:type="gramEnd"/>
      <w:r w:rsidRPr="00241547">
        <w:rPr>
          <w:szCs w:val="24"/>
        </w:rPr>
        <w:t xml:space="preserve"> a tak dlouho, že podle ní bylo nazvá</w:t>
      </w:r>
      <w:r w:rsidRPr="00241547">
        <w:rPr>
          <w:szCs w:val="24"/>
        </w:rPr>
        <w:softHyphen/>
        <w:t xml:space="preserve">no celé </w:t>
      </w:r>
      <w:r>
        <w:rPr>
          <w:szCs w:val="24"/>
        </w:rPr>
        <w:t xml:space="preserve">historické </w:t>
      </w:r>
      <w:r w:rsidRPr="00241547">
        <w:rPr>
          <w:szCs w:val="24"/>
        </w:rPr>
        <w:t>období. Vyráběly se z ní např. čepele mečů, dýk a seker pro vojenské účely, ochranná zbroj, šperky. Později se ze slitiny mědi, cínu a dalších kovů získávala „</w:t>
      </w:r>
      <w:proofErr w:type="spellStart"/>
      <w:r w:rsidRPr="00241547">
        <w:rPr>
          <w:szCs w:val="24"/>
        </w:rPr>
        <w:t>zvonařina</w:t>
      </w:r>
      <w:proofErr w:type="spellEnd"/>
      <w:r w:rsidRPr="00241547">
        <w:rPr>
          <w:szCs w:val="24"/>
        </w:rPr>
        <w:t>“ pro výrobu zvonů.</w:t>
      </w:r>
    </w:p>
    <w:p w:rsidR="00C23A39" w:rsidRPr="00241547" w:rsidRDefault="00C23A39" w:rsidP="00C23A39">
      <w:pPr>
        <w:jc w:val="both"/>
        <w:rPr>
          <w:szCs w:val="24"/>
        </w:rPr>
      </w:pPr>
    </w:p>
    <w:tbl>
      <w:tblPr>
        <w:tblpPr w:leftFromText="6" w:rightFromText="142" w:vertAnchor="text" w:horzAnchor="margin" w:tblpXSpec="right" w:tblpY="5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</w:tblGrid>
      <w:tr w:rsidR="00C23A39" w:rsidRPr="00241547" w:rsidTr="008D581A">
        <w:trPr>
          <w:trHeight w:val="340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A39" w:rsidRPr="00241547" w:rsidRDefault="00C23A39" w:rsidP="008D581A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  <w:r w:rsidRPr="00241547">
              <w:t>3</w:t>
            </w:r>
          </w:p>
        </w:tc>
      </w:tr>
      <w:tr w:rsidR="00C23A39" w:rsidRPr="00241547" w:rsidTr="008D581A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23A39" w:rsidRPr="00241547" w:rsidRDefault="00C23A39" w:rsidP="008D581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23A39" w:rsidRPr="00241547" w:rsidRDefault="00C23A39" w:rsidP="008D581A">
            <w:pPr>
              <w:jc w:val="center"/>
              <w:rPr>
                <w:b/>
              </w:rPr>
            </w:pPr>
            <w:r w:rsidRPr="00241547">
              <w:rPr>
                <w:b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23A39" w:rsidRPr="00241547" w:rsidRDefault="00C23A39" w:rsidP="008D581A">
            <w:pPr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23A39" w:rsidRPr="00241547" w:rsidRDefault="00C23A39" w:rsidP="008D581A">
            <w:pPr>
              <w:jc w:val="center"/>
              <w:rPr>
                <w:b/>
              </w:rPr>
            </w:pPr>
            <w:r w:rsidRPr="00241547">
              <w:rPr>
                <w:b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23A39" w:rsidRPr="00241547" w:rsidRDefault="00C23A39" w:rsidP="008D581A">
            <w:pPr>
              <w:jc w:val="center"/>
              <w:rPr>
                <w:b/>
              </w:rPr>
            </w:pPr>
          </w:p>
        </w:tc>
      </w:tr>
      <w:tr w:rsidR="00C23A39" w:rsidRPr="00241547" w:rsidTr="008D581A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</w:tr>
      <w:tr w:rsidR="00C23A39" w:rsidRPr="00241547" w:rsidTr="008D581A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</w:tr>
      <w:tr w:rsidR="00C23A39" w:rsidRPr="00241547" w:rsidTr="008D581A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</w:tr>
      <w:tr w:rsidR="00C23A39" w:rsidRPr="00241547" w:rsidTr="008D581A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241547" w:rsidRDefault="00C23A39" w:rsidP="008D581A">
            <w:pPr>
              <w:jc w:val="center"/>
            </w:pPr>
          </w:p>
        </w:tc>
      </w:tr>
    </w:tbl>
    <w:p w:rsidR="00C23A39" w:rsidRPr="00241547" w:rsidRDefault="00C23A39" w:rsidP="00C23A39">
      <w:r w:rsidRPr="002415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104775</wp:posOffset>
                </wp:positionV>
                <wp:extent cx="0" cy="229870"/>
                <wp:effectExtent l="58420" t="5080" r="55880" b="2222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CA06E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45pt,8.25pt" to="333.4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">
                <v:stroke endarrow="block"/>
              </v:line>
            </w:pict>
          </mc:Fallback>
        </mc:AlternateContent>
      </w:r>
      <w:r w:rsidRPr="00241547">
        <w:t>Legenda:</w:t>
      </w:r>
    </w:p>
    <w:p w:rsidR="00C23A39" w:rsidRPr="00241547" w:rsidRDefault="00C23A39" w:rsidP="00C23A39">
      <w:pPr>
        <w:numPr>
          <w:ilvl w:val="0"/>
          <w:numId w:val="2"/>
        </w:numPr>
        <w:jc w:val="both"/>
      </w:pPr>
      <w:r w:rsidRPr="00241547">
        <w:t>Stavební pojivo složené ze směsí cementu, písku a vody.</w:t>
      </w:r>
    </w:p>
    <w:p w:rsidR="00C23A39" w:rsidRPr="00241547" w:rsidRDefault="00C23A39" w:rsidP="00C23A39">
      <w:pPr>
        <w:numPr>
          <w:ilvl w:val="0"/>
          <w:numId w:val="2"/>
        </w:numPr>
        <w:jc w:val="both"/>
      </w:pPr>
      <w:r w:rsidRPr="00241547">
        <w:t xml:space="preserve">Jedovatý </w:t>
      </w:r>
      <w:r>
        <w:t xml:space="preserve">měkký </w:t>
      </w:r>
      <w:r w:rsidRPr="00241547">
        <w:t>těžký kov.</w:t>
      </w:r>
    </w:p>
    <w:p w:rsidR="00C23A39" w:rsidRPr="00241547" w:rsidRDefault="00C23A39" w:rsidP="00C23A39">
      <w:pPr>
        <w:pStyle w:val="koly-text"/>
        <w:numPr>
          <w:ilvl w:val="0"/>
          <w:numId w:val="2"/>
        </w:numPr>
      </w:pPr>
      <w:r w:rsidRPr="00241547">
        <w:t>Drahý kov žluté barvy a vysokého lesku.</w:t>
      </w:r>
    </w:p>
    <w:p w:rsidR="00C23A39" w:rsidRPr="00241547" w:rsidRDefault="00C23A39" w:rsidP="00C23A39"/>
    <w:p w:rsidR="00C23A39" w:rsidRPr="00241547" w:rsidRDefault="00C23A39" w:rsidP="00C23A39">
      <w:pPr>
        <w:pStyle w:val="koly-hlavikaChar"/>
      </w:pPr>
      <w:r w:rsidRPr="00241547">
        <w:t>Úkoly:</w:t>
      </w:r>
    </w:p>
    <w:p w:rsidR="00C23A39" w:rsidRPr="00241547" w:rsidRDefault="00C23A39" w:rsidP="00C23A39">
      <w:pPr>
        <w:pStyle w:val="koly-text"/>
        <w:numPr>
          <w:ilvl w:val="0"/>
          <w:numId w:val="3"/>
        </w:numPr>
      </w:pPr>
      <w:r w:rsidRPr="00241547">
        <w:t>Jakým způsobem se připravují slitiny?</w:t>
      </w:r>
    </w:p>
    <w:p w:rsidR="00C23A39" w:rsidRPr="00241547" w:rsidRDefault="00C23A39" w:rsidP="00C23A39">
      <w:pPr>
        <w:pStyle w:val="koly-text"/>
        <w:numPr>
          <w:ilvl w:val="0"/>
          <w:numId w:val="3"/>
        </w:numPr>
        <w:tabs>
          <w:tab w:val="right" w:pos="6237"/>
        </w:tabs>
        <w:jc w:val="left"/>
      </w:pPr>
      <w:r w:rsidRPr="00241547">
        <w:t>Ze kterých prvků se skládá slitina</w:t>
      </w:r>
      <w:r>
        <w:t xml:space="preserve"> odhalená v tajence</w:t>
      </w:r>
      <w:r w:rsidRPr="00241547">
        <w:t>? Čím je tato slitina vhodnější p</w:t>
      </w:r>
      <w:r>
        <w:t>ro </w:t>
      </w:r>
      <w:r w:rsidRPr="00241547">
        <w:t>výrobu nástrojů a zbraní než měď?</w:t>
      </w:r>
    </w:p>
    <w:p w:rsidR="003755C2" w:rsidRDefault="00C23A39" w:rsidP="00C23A39">
      <w:pPr>
        <w:pStyle w:val="koly-text"/>
        <w:numPr>
          <w:ilvl w:val="0"/>
          <w:numId w:val="3"/>
        </w:numPr>
        <w:sectPr w:rsidR="003755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1547">
        <w:t>K daným slitinám přiřaďte chemické prvky, z nichž se skládají</w:t>
      </w:r>
    </w:p>
    <w:p w:rsidR="00C23A39" w:rsidRPr="00241547" w:rsidRDefault="00C23A39" w:rsidP="00C23A39">
      <w:pPr>
        <w:pStyle w:val="koly-text"/>
        <w:numPr>
          <w:ilvl w:val="1"/>
          <w:numId w:val="3"/>
        </w:numPr>
        <w:ind w:left="567"/>
      </w:pPr>
      <w:r w:rsidRPr="00241547">
        <w:t>mosaz</w:t>
      </w:r>
      <w:r w:rsidRPr="00241547">
        <w:tab/>
      </w:r>
      <w:r w:rsidRPr="00241547">
        <w:tab/>
      </w:r>
      <w:r w:rsidRPr="00241547">
        <w:tab/>
      </w:r>
    </w:p>
    <w:p w:rsidR="00C23A39" w:rsidRPr="00241547" w:rsidRDefault="00C23A39" w:rsidP="00C23A39">
      <w:pPr>
        <w:pStyle w:val="koly-text"/>
        <w:numPr>
          <w:ilvl w:val="1"/>
          <w:numId w:val="3"/>
        </w:numPr>
        <w:ind w:left="567"/>
      </w:pPr>
      <w:r w:rsidRPr="00241547">
        <w:t>pájka</w:t>
      </w:r>
      <w:r w:rsidRPr="00241547">
        <w:tab/>
      </w:r>
      <w:r w:rsidRPr="00241547">
        <w:tab/>
      </w:r>
      <w:r w:rsidRPr="00241547">
        <w:tab/>
      </w:r>
    </w:p>
    <w:p w:rsidR="00C23A39" w:rsidRPr="00241547" w:rsidRDefault="00C23A39" w:rsidP="00C23A39">
      <w:pPr>
        <w:pStyle w:val="koly-text"/>
        <w:numPr>
          <w:ilvl w:val="1"/>
          <w:numId w:val="3"/>
        </w:numPr>
        <w:ind w:left="567"/>
      </w:pPr>
      <w:r w:rsidRPr="00241547">
        <w:t>dural</w:t>
      </w:r>
      <w:r w:rsidRPr="00241547">
        <w:tab/>
      </w:r>
    </w:p>
    <w:p w:rsidR="00C23A39" w:rsidRPr="00241547" w:rsidRDefault="00C23A39" w:rsidP="00C23A39">
      <w:pPr>
        <w:pStyle w:val="koly-text"/>
        <w:numPr>
          <w:ilvl w:val="1"/>
          <w:numId w:val="4"/>
        </w:numPr>
      </w:pPr>
      <w:r>
        <w:t xml:space="preserve">Al, </w:t>
      </w:r>
      <w:proofErr w:type="spellStart"/>
      <w:r w:rsidRPr="00241547">
        <w:t>Cu</w:t>
      </w:r>
      <w:proofErr w:type="spellEnd"/>
      <w:r w:rsidRPr="00241547">
        <w:t xml:space="preserve">, Mg, </w:t>
      </w:r>
      <w:r>
        <w:t>Mn.</w:t>
      </w:r>
    </w:p>
    <w:p w:rsidR="00C23A39" w:rsidRPr="00241547" w:rsidRDefault="00C23A39" w:rsidP="00C23A39">
      <w:pPr>
        <w:pStyle w:val="koly-text"/>
        <w:numPr>
          <w:ilvl w:val="1"/>
          <w:numId w:val="4"/>
        </w:numPr>
      </w:pPr>
      <w:proofErr w:type="spellStart"/>
      <w:r w:rsidRPr="00241547">
        <w:t>Zn</w:t>
      </w:r>
      <w:proofErr w:type="spellEnd"/>
      <w:r w:rsidRPr="00241547">
        <w:t xml:space="preserve">, </w:t>
      </w:r>
      <w:proofErr w:type="spellStart"/>
      <w:r w:rsidRPr="00241547">
        <w:t>Cu</w:t>
      </w:r>
      <w:proofErr w:type="spellEnd"/>
    </w:p>
    <w:p w:rsidR="003755C2" w:rsidRDefault="00C23A39" w:rsidP="00C23A39">
      <w:pPr>
        <w:pStyle w:val="koly-text"/>
        <w:numPr>
          <w:ilvl w:val="1"/>
          <w:numId w:val="4"/>
        </w:numPr>
        <w:jc w:val="left"/>
        <w:sectPr w:rsidR="003755C2" w:rsidSect="003755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241547">
        <w:t>Sn</w:t>
      </w:r>
      <w:proofErr w:type="spellEnd"/>
      <w:r w:rsidRPr="00241547">
        <w:t xml:space="preserve">, </w:t>
      </w:r>
    </w:p>
    <w:p w:rsidR="00C23A39" w:rsidRDefault="00C23A39" w:rsidP="00C23A39">
      <w:pPr>
        <w:numPr>
          <w:ilvl w:val="0"/>
          <w:numId w:val="5"/>
        </w:numPr>
        <w:jc w:val="both"/>
      </w:pPr>
      <w:r w:rsidRPr="00241547">
        <w:t xml:space="preserve">Slitina se používá již po staletí také na výrobu zvonů, které nejenom plní různé informační funkce, ale jsou i unikátními hudebními nástroji. </w:t>
      </w:r>
      <w:r>
        <w:t>Některé z nich s</w:t>
      </w:r>
      <w:r w:rsidRPr="00241547">
        <w:t xml:space="preserve">vými rozměry vzbuzují úctu ve všech, kdo tyto, mnohdy monstrózní nástroje, upevňovali na požadované místo. Dokážete vypočítat, jakou práci je třeba vykonat při umístění </w:t>
      </w:r>
      <w:proofErr w:type="gramStart"/>
      <w:r w:rsidRPr="00241547">
        <w:t>300kg</w:t>
      </w:r>
      <w:proofErr w:type="gramEnd"/>
      <w:r w:rsidRPr="00241547">
        <w:t xml:space="preserve"> zvonu do výšky 10 metrů?</w:t>
      </w:r>
      <w:r>
        <w:t xml:space="preserve"> Při výpočtu použijte hodnotu g = 10 m/s</w:t>
      </w:r>
      <w:r w:rsidRPr="00AD105A">
        <w:rPr>
          <w:vertAlign w:val="superscript"/>
        </w:rPr>
        <w:t>2</w:t>
      </w:r>
      <w:r>
        <w:t>.</w:t>
      </w:r>
    </w:p>
    <w:p w:rsidR="006B3A77" w:rsidRDefault="006A0F0C"/>
    <w:sectPr w:rsidR="006B3A77" w:rsidSect="003755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205A4"/>
    <w:multiLevelType w:val="multilevel"/>
    <w:tmpl w:val="0A5CD692"/>
    <w:numStyleLink w:val="lohyslovn"/>
  </w:abstractNum>
  <w:abstractNum w:abstractNumId="1" w15:restartNumberingAfterBreak="0">
    <w:nsid w:val="4EED32BF"/>
    <w:multiLevelType w:val="multilevel"/>
    <w:tmpl w:val="DE5CEA62"/>
    <w:lvl w:ilvl="0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upperLetter"/>
      <w:lvlText w:val="%2)"/>
      <w:lvlJc w:val="left"/>
      <w:pPr>
        <w:tabs>
          <w:tab w:val="num" w:pos="992"/>
        </w:tabs>
        <w:ind w:left="992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6E307498"/>
    <w:multiLevelType w:val="hybridMultilevel"/>
    <w:tmpl w:val="EF9CF3A6"/>
    <w:lvl w:ilvl="0" w:tplc="4BF0B4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30834"/>
    <w:multiLevelType w:val="multilevel"/>
    <w:tmpl w:val="7A22F42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upperLetter"/>
      <w:lvlText w:val="%2)"/>
      <w:lvlJc w:val="left"/>
      <w:pPr>
        <w:tabs>
          <w:tab w:val="num" w:pos="992"/>
        </w:tabs>
        <w:ind w:left="992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716C09DA"/>
    <w:multiLevelType w:val="multilevel"/>
    <w:tmpl w:val="0A5CD692"/>
    <w:numStyleLink w:val="lohyslovn"/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39"/>
    <w:rsid w:val="00045FC5"/>
    <w:rsid w:val="003755C2"/>
    <w:rsid w:val="005A28E8"/>
    <w:rsid w:val="006A0F0C"/>
    <w:rsid w:val="00C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C1875-9113-4AB1-ABED-E58CD93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3A3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C23A39"/>
    <w:pPr>
      <w:spacing w:before="240"/>
    </w:pPr>
    <w:rPr>
      <w:b/>
      <w:i/>
    </w:rPr>
  </w:style>
  <w:style w:type="paragraph" w:customStyle="1" w:styleId="koly-hlavikaChar">
    <w:name w:val="úkoly-hlavička Char"/>
    <w:basedOn w:val="Normln"/>
    <w:link w:val="koly-hlavikaCharChar"/>
    <w:rsid w:val="00C23A39"/>
  </w:style>
  <w:style w:type="paragraph" w:customStyle="1" w:styleId="koly-text">
    <w:name w:val="úkoly-text"/>
    <w:basedOn w:val="Normln"/>
    <w:rsid w:val="00C23A39"/>
    <w:pPr>
      <w:jc w:val="both"/>
    </w:pPr>
  </w:style>
  <w:style w:type="paragraph" w:customStyle="1" w:styleId="hlavikakromkdu">
    <w:name w:val="hlavička kromě kódu"/>
    <w:basedOn w:val="Normln"/>
    <w:rsid w:val="00C23A39"/>
    <w:rPr>
      <w:i/>
      <w:sz w:val="16"/>
    </w:rPr>
  </w:style>
  <w:style w:type="paragraph" w:customStyle="1" w:styleId="NADPIS1">
    <w:name w:val="NADPIS 1"/>
    <w:basedOn w:val="Normln"/>
    <w:rsid w:val="00C23A39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C23A39"/>
    <w:rPr>
      <w:b/>
      <w:i/>
      <w:sz w:val="22"/>
      <w:szCs w:val="22"/>
    </w:rPr>
  </w:style>
  <w:style w:type="character" w:customStyle="1" w:styleId="koly-hlavikaCharChar">
    <w:name w:val="úkoly-hlavička Char Char"/>
    <w:link w:val="koly-hlavikaChar"/>
    <w:rsid w:val="00C23A39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lohanzev">
    <w:name w:val="úloha název"/>
    <w:basedOn w:val="Normln"/>
    <w:link w:val="lohanzevChar"/>
    <w:rsid w:val="00C23A39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C23A39"/>
    <w:pPr>
      <w:numPr>
        <w:numId w:val="1"/>
      </w:numPr>
    </w:pPr>
  </w:style>
  <w:style w:type="character" w:customStyle="1" w:styleId="lohanzevChar">
    <w:name w:val="úloha název Char"/>
    <w:link w:val="lohanzev"/>
    <w:rsid w:val="00C23A39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2018-06-13T08:28:00Z</dcterms:created>
  <dcterms:modified xsi:type="dcterms:W3CDTF">2018-06-18T12:13:00Z</dcterms:modified>
</cp:coreProperties>
</file>