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78" w:rsidRDefault="00CB477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Univ.-Prof.</w:t>
      </w:r>
      <w:proofErr w:type="gramEnd"/>
      <w:r>
        <w:rPr>
          <w:sz w:val="24"/>
          <w:szCs w:val="24"/>
        </w:rPr>
        <w:t xml:space="preserve"> Dr. Dr. h. c. Thomas Winkelbauer</w:t>
      </w:r>
      <w:bookmarkStart w:id="0" w:name="_GoBack"/>
      <w:bookmarkEnd w:id="0"/>
    </w:p>
    <w:p w:rsidR="00CB4778" w:rsidRDefault="00CB4778">
      <w:pPr>
        <w:rPr>
          <w:sz w:val="24"/>
          <w:szCs w:val="24"/>
        </w:rPr>
      </w:pPr>
      <w:r>
        <w:rPr>
          <w:sz w:val="24"/>
          <w:szCs w:val="24"/>
        </w:rPr>
        <w:t>Ředitel Institutu pro rakouský dějezpyt</w:t>
      </w:r>
    </w:p>
    <w:p w:rsidR="00CB4778" w:rsidRDefault="00CB4778">
      <w:pPr>
        <w:rPr>
          <w:sz w:val="24"/>
          <w:szCs w:val="24"/>
        </w:rPr>
      </w:pPr>
      <w:r>
        <w:rPr>
          <w:sz w:val="24"/>
          <w:szCs w:val="24"/>
        </w:rPr>
        <w:t>Univerzita Vídeň</w:t>
      </w:r>
    </w:p>
    <w:p w:rsidR="00CB4778" w:rsidRDefault="00CB4778">
      <w:pPr>
        <w:rPr>
          <w:sz w:val="24"/>
          <w:szCs w:val="24"/>
        </w:rPr>
      </w:pPr>
      <w:r>
        <w:rPr>
          <w:sz w:val="24"/>
          <w:szCs w:val="24"/>
        </w:rPr>
        <w:t>Universitätsring 1</w:t>
      </w:r>
    </w:p>
    <w:p w:rsidR="00CB4778" w:rsidRDefault="00CB4778">
      <w:pPr>
        <w:rPr>
          <w:sz w:val="24"/>
          <w:szCs w:val="24"/>
        </w:rPr>
      </w:pPr>
      <w:r>
        <w:rPr>
          <w:sz w:val="24"/>
          <w:szCs w:val="24"/>
        </w:rPr>
        <w:t>1010 Wien</w:t>
      </w:r>
    </w:p>
    <w:p w:rsidR="00CB4778" w:rsidRDefault="00CB4778">
      <w:pPr>
        <w:rPr>
          <w:sz w:val="24"/>
          <w:szCs w:val="24"/>
        </w:rPr>
      </w:pPr>
      <w:r>
        <w:rPr>
          <w:sz w:val="24"/>
          <w:szCs w:val="24"/>
        </w:rPr>
        <w:t>Tel.: +43-1-4277-27210</w:t>
      </w:r>
    </w:p>
    <w:p w:rsidR="00CB4778" w:rsidRDefault="00CB4778">
      <w:pPr>
        <w:rPr>
          <w:sz w:val="24"/>
          <w:szCs w:val="24"/>
        </w:rPr>
      </w:pPr>
      <w:r>
        <w:rPr>
          <w:sz w:val="24"/>
          <w:szCs w:val="24"/>
        </w:rPr>
        <w:t>Fax.: +43-1-4277-9272</w:t>
      </w:r>
    </w:p>
    <w:p w:rsidR="00CB4778" w:rsidRDefault="00CB4778">
      <w:pPr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7" w:history="1">
        <w:r w:rsidRPr="00BA35FF">
          <w:rPr>
            <w:rStyle w:val="Hypertextovodkaz"/>
            <w:sz w:val="24"/>
            <w:szCs w:val="24"/>
          </w:rPr>
          <w:t>thomas.winklebauer@univie.ac.at</w:t>
        </w:r>
      </w:hyperlink>
    </w:p>
    <w:p w:rsidR="00CB4778" w:rsidRDefault="00CB4778">
      <w:pPr>
        <w:rPr>
          <w:sz w:val="24"/>
          <w:szCs w:val="24"/>
        </w:rPr>
      </w:pPr>
    </w:p>
    <w:p w:rsidR="00A77A17" w:rsidRDefault="009160AC">
      <w:pPr>
        <w:rPr>
          <w:sz w:val="24"/>
          <w:szCs w:val="24"/>
        </w:rPr>
      </w:pPr>
      <w:r>
        <w:rPr>
          <w:sz w:val="24"/>
          <w:szCs w:val="24"/>
        </w:rPr>
        <w:t xml:space="preserve">Vážený pan </w:t>
      </w:r>
    </w:p>
    <w:p w:rsidR="009160AC" w:rsidRDefault="009160AC">
      <w:pPr>
        <w:rPr>
          <w:sz w:val="24"/>
          <w:szCs w:val="24"/>
        </w:rPr>
      </w:pPr>
      <w:r>
        <w:rPr>
          <w:sz w:val="24"/>
          <w:szCs w:val="24"/>
        </w:rPr>
        <w:t>prof. PhDr. Milan Pol, CSc.</w:t>
      </w:r>
    </w:p>
    <w:p w:rsidR="009160AC" w:rsidRDefault="009160AC">
      <w:pPr>
        <w:rPr>
          <w:sz w:val="24"/>
          <w:szCs w:val="24"/>
        </w:rPr>
      </w:pPr>
      <w:r>
        <w:rPr>
          <w:sz w:val="24"/>
          <w:szCs w:val="24"/>
        </w:rPr>
        <w:t>Masarykova univerzita</w:t>
      </w:r>
    </w:p>
    <w:p w:rsidR="009160AC" w:rsidRDefault="009160AC">
      <w:pPr>
        <w:rPr>
          <w:sz w:val="24"/>
          <w:szCs w:val="24"/>
        </w:rPr>
      </w:pPr>
      <w:r>
        <w:rPr>
          <w:sz w:val="24"/>
          <w:szCs w:val="24"/>
        </w:rPr>
        <w:t>Filozofická fakulta</w:t>
      </w:r>
    </w:p>
    <w:p w:rsidR="009160AC" w:rsidRDefault="009160AC">
      <w:pPr>
        <w:rPr>
          <w:sz w:val="24"/>
          <w:szCs w:val="24"/>
        </w:rPr>
      </w:pPr>
      <w:r>
        <w:rPr>
          <w:sz w:val="24"/>
          <w:szCs w:val="24"/>
        </w:rPr>
        <w:t>Habilitační a jmenovací řízení</w:t>
      </w:r>
    </w:p>
    <w:p w:rsidR="009160AC" w:rsidRDefault="009160AC">
      <w:pPr>
        <w:rPr>
          <w:sz w:val="24"/>
          <w:szCs w:val="24"/>
        </w:rPr>
      </w:pPr>
      <w:r>
        <w:rPr>
          <w:sz w:val="24"/>
          <w:szCs w:val="24"/>
        </w:rPr>
        <w:t>Arna Nováka 1</w:t>
      </w:r>
    </w:p>
    <w:p w:rsidR="009160AC" w:rsidRDefault="009160AC">
      <w:pPr>
        <w:rPr>
          <w:sz w:val="24"/>
          <w:szCs w:val="24"/>
        </w:rPr>
      </w:pPr>
      <w:r>
        <w:rPr>
          <w:sz w:val="24"/>
          <w:szCs w:val="24"/>
        </w:rPr>
        <w:t>602 00 BRNO</w:t>
      </w:r>
    </w:p>
    <w:p w:rsidR="009160AC" w:rsidRDefault="009160AC">
      <w:pPr>
        <w:rPr>
          <w:sz w:val="24"/>
          <w:szCs w:val="24"/>
        </w:rPr>
      </w:pPr>
    </w:p>
    <w:p w:rsidR="009160AC" w:rsidRDefault="009160A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Vídeň, 11. července 2013</w:t>
      </w:r>
    </w:p>
    <w:p w:rsidR="009160AC" w:rsidRDefault="009160AC">
      <w:pPr>
        <w:rPr>
          <w:sz w:val="24"/>
          <w:szCs w:val="24"/>
        </w:rPr>
      </w:pPr>
    </w:p>
    <w:p w:rsidR="009160AC" w:rsidRDefault="009160AC">
      <w:pPr>
        <w:rPr>
          <w:sz w:val="24"/>
          <w:szCs w:val="24"/>
        </w:rPr>
      </w:pPr>
      <w:r>
        <w:rPr>
          <w:sz w:val="24"/>
          <w:szCs w:val="24"/>
        </w:rPr>
        <w:t>Vážený pane proděkane, milý pane kolego!</w:t>
      </w:r>
    </w:p>
    <w:p w:rsidR="009160AC" w:rsidRDefault="009160AC">
      <w:pPr>
        <w:rPr>
          <w:sz w:val="24"/>
          <w:szCs w:val="24"/>
        </w:rPr>
      </w:pPr>
    </w:p>
    <w:p w:rsidR="009160AC" w:rsidRDefault="009160AC">
      <w:pPr>
        <w:rPr>
          <w:sz w:val="24"/>
          <w:szCs w:val="24"/>
        </w:rPr>
      </w:pPr>
      <w:r>
        <w:rPr>
          <w:sz w:val="24"/>
          <w:szCs w:val="24"/>
        </w:rPr>
        <w:t>s omluvou za velké zpoždění stejně jako za to, ž</w:t>
      </w:r>
      <w:r w:rsidR="00CB4778">
        <w:rPr>
          <w:sz w:val="24"/>
          <w:szCs w:val="24"/>
        </w:rPr>
        <w:t>e tak činím v německém jazyce, V</w:t>
      </w:r>
      <w:r>
        <w:rPr>
          <w:sz w:val="24"/>
          <w:szCs w:val="24"/>
        </w:rPr>
        <w:t>ám tímto zasílám svůj</w:t>
      </w:r>
    </w:p>
    <w:p w:rsidR="009160AC" w:rsidRPr="009160AC" w:rsidRDefault="009160AC" w:rsidP="009160AC">
      <w:pPr>
        <w:jc w:val="center"/>
        <w:rPr>
          <w:b/>
          <w:sz w:val="24"/>
          <w:szCs w:val="24"/>
        </w:rPr>
      </w:pPr>
      <w:r w:rsidRPr="009160AC">
        <w:rPr>
          <w:b/>
          <w:sz w:val="24"/>
          <w:szCs w:val="24"/>
        </w:rPr>
        <w:t>posudek</w:t>
      </w:r>
    </w:p>
    <w:p w:rsidR="009160AC" w:rsidRDefault="009160AC" w:rsidP="009160AC">
      <w:pPr>
        <w:jc w:val="center"/>
        <w:rPr>
          <w:sz w:val="24"/>
          <w:szCs w:val="24"/>
        </w:rPr>
      </w:pPr>
      <w:r w:rsidRPr="009160AC">
        <w:rPr>
          <w:b/>
          <w:sz w:val="24"/>
          <w:szCs w:val="24"/>
        </w:rPr>
        <w:t>rukopisu Pavla Himla „Zrození vagabunda. Neusedlí lidé v Čechách v 17. a 18. století“ (Brno 2012), podaného jako habilitační spis na Filozofické fakultě Masarykovy univerzity v Brně</w:t>
      </w:r>
    </w:p>
    <w:p w:rsidR="00CB4778" w:rsidRDefault="00CB4778">
      <w:pPr>
        <w:rPr>
          <w:sz w:val="24"/>
          <w:szCs w:val="24"/>
        </w:rPr>
      </w:pPr>
    </w:p>
    <w:p w:rsidR="009160AC" w:rsidRDefault="009160AC">
      <w:pPr>
        <w:rPr>
          <w:sz w:val="24"/>
          <w:szCs w:val="24"/>
        </w:rPr>
      </w:pPr>
      <w:r>
        <w:rPr>
          <w:sz w:val="24"/>
          <w:szCs w:val="24"/>
        </w:rPr>
        <w:t>Pavel Himl (nar. 1971), ve své generaci jeden z nejnadanějších a nejlepších českých historiků raného novověku</w:t>
      </w:r>
      <w:r w:rsidR="00CB4778">
        <w:rPr>
          <w:sz w:val="24"/>
          <w:szCs w:val="24"/>
        </w:rPr>
        <w:t>,</w:t>
      </w:r>
      <w:r>
        <w:rPr>
          <w:sz w:val="24"/>
          <w:szCs w:val="24"/>
        </w:rPr>
        <w:t xml:space="preserve"> vydal v roce 2007 v pražském nakladatelství Argo</w:t>
      </w:r>
      <w:r w:rsidR="00747B33">
        <w:rPr>
          <w:sz w:val="24"/>
          <w:szCs w:val="24"/>
        </w:rPr>
        <w:t xml:space="preserve"> bez poznámek svou druhou výzkumnou monografii a rozšířenou o poznámkový aparát – tolik budiž předesláno – ji z</w:t>
      </w:r>
      <w:r w:rsidR="00CB4778">
        <w:rPr>
          <w:sz w:val="24"/>
          <w:szCs w:val="24"/>
        </w:rPr>
        <w:t>cela oprávněně podal jako habil</w:t>
      </w:r>
      <w:r w:rsidR="00747B33">
        <w:rPr>
          <w:sz w:val="24"/>
          <w:szCs w:val="24"/>
        </w:rPr>
        <w:t>i</w:t>
      </w:r>
      <w:r w:rsidR="00CB4778">
        <w:rPr>
          <w:sz w:val="24"/>
          <w:szCs w:val="24"/>
        </w:rPr>
        <w:t>t</w:t>
      </w:r>
      <w:r w:rsidR="00747B33">
        <w:rPr>
          <w:sz w:val="24"/>
          <w:szCs w:val="24"/>
        </w:rPr>
        <w:t xml:space="preserve">ační spis. Téma není příliš vzdálené jeho první monografii „Die ‚armben Leüte‘ und die Macht. Die Untertanen der südböhmischen Herrschaft Český </w:t>
      </w:r>
      <w:r w:rsidR="00747B33">
        <w:rPr>
          <w:sz w:val="24"/>
          <w:szCs w:val="24"/>
        </w:rPr>
        <w:lastRenderedPageBreak/>
        <w:t>Krumlov/Krumau im Spannungsfeld zwischen Gemeinde, Obrigkeit und Kirche (1680-1781)“, Stuttgart 2003. Tentokrát ale nejsou v centr</w:t>
      </w:r>
      <w:r w:rsidR="00CB4778">
        <w:rPr>
          <w:sz w:val="24"/>
          <w:szCs w:val="24"/>
        </w:rPr>
        <w:t>u jeho badatelského zájmu usedlí poddaní, nýbrž neusedlí</w:t>
      </w:r>
      <w:r w:rsidR="00747B33">
        <w:rPr>
          <w:sz w:val="24"/>
          <w:szCs w:val="24"/>
        </w:rPr>
        <w:t xml:space="preserve"> lidé v Čechách (a na Moravě) v přibližně stejné periodě. Regionální těžistě spočívá na (rovněž schwarzenberském) panství Třeboň a městě Soběslav.</w:t>
      </w:r>
    </w:p>
    <w:p w:rsidR="00747B33" w:rsidRDefault="00747B33">
      <w:pPr>
        <w:rPr>
          <w:sz w:val="24"/>
          <w:szCs w:val="24"/>
        </w:rPr>
      </w:pPr>
      <w:r>
        <w:rPr>
          <w:sz w:val="24"/>
          <w:szCs w:val="24"/>
        </w:rPr>
        <w:t xml:space="preserve">Vedle </w:t>
      </w:r>
      <w:r w:rsidRPr="00CB4778">
        <w:rPr>
          <w:sz w:val="24"/>
          <w:szCs w:val="24"/>
          <w:u w:val="single"/>
        </w:rPr>
        <w:t>úvodní části</w:t>
      </w:r>
      <w:r>
        <w:rPr>
          <w:sz w:val="24"/>
          <w:szCs w:val="24"/>
        </w:rPr>
        <w:t xml:space="preserve"> (kapitola 1) a závěrečné kapitoly (kapitola 6) sestává práce ze čtyř hlavních oddílů. V úvodní části </w:t>
      </w:r>
      <w:r w:rsidR="00DC6C5C">
        <w:rPr>
          <w:sz w:val="24"/>
          <w:szCs w:val="24"/>
        </w:rPr>
        <w:t>prezentuje</w:t>
      </w:r>
      <w:r>
        <w:rPr>
          <w:sz w:val="24"/>
          <w:szCs w:val="24"/>
        </w:rPr>
        <w:t xml:space="preserve"> Hi</w:t>
      </w:r>
      <w:r w:rsidR="00DC6C5C">
        <w:rPr>
          <w:sz w:val="24"/>
          <w:szCs w:val="24"/>
        </w:rPr>
        <w:t>ml esejistickým způsobem závažné teoretické reflexe o ověřitelnosti, věrohodnosti a přiměřenosti historických interpretací. Vychází přitom z osobního pozorování toho, jak se zachází se současnými bezdomovci, pojednává o (problematickém) dochování pramenů pro vlastní téma a hlásí se k historiografickým vzorům a inspirátorům jako Carlo Ginzburg nebo Natalie Zemon Davis.</w:t>
      </w:r>
    </w:p>
    <w:p w:rsidR="00DC6C5C" w:rsidRDefault="00DC6C5C">
      <w:pPr>
        <w:rPr>
          <w:sz w:val="24"/>
          <w:szCs w:val="24"/>
        </w:rPr>
      </w:pPr>
      <w:r>
        <w:rPr>
          <w:sz w:val="24"/>
          <w:szCs w:val="24"/>
        </w:rPr>
        <w:t>V </w:t>
      </w:r>
      <w:r w:rsidR="00AF199E">
        <w:rPr>
          <w:sz w:val="24"/>
          <w:szCs w:val="24"/>
          <w:u w:val="single"/>
        </w:rPr>
        <w:t>prvním hlavním oddílu</w:t>
      </w:r>
      <w:r>
        <w:rPr>
          <w:sz w:val="24"/>
          <w:szCs w:val="24"/>
        </w:rPr>
        <w:t xml:space="preserve"> (kapitola 2) popisuje autor sociální prostor, v němž se neusedlí lidé v raněnovověkých Čechách pohybovali, přičemž </w:t>
      </w:r>
      <w:r w:rsidR="00CB4778">
        <w:rPr>
          <w:sz w:val="24"/>
          <w:szCs w:val="24"/>
        </w:rPr>
        <w:t xml:space="preserve">sem </w:t>
      </w:r>
      <w:r>
        <w:rPr>
          <w:sz w:val="24"/>
          <w:szCs w:val="24"/>
        </w:rPr>
        <w:t>nezahrnuje královská (zvláště pražská města)</w:t>
      </w:r>
      <w:r w:rsidR="00CB4778">
        <w:rPr>
          <w:sz w:val="24"/>
          <w:szCs w:val="24"/>
        </w:rPr>
        <w:t>: insti</w:t>
      </w:r>
      <w:r w:rsidR="003D5DAE">
        <w:rPr>
          <w:sz w:val="24"/>
          <w:szCs w:val="24"/>
        </w:rPr>
        <w:t>tuce usedlé společnosti a jejich představitele, s nimiž se neusedlí dostávali do styku a do konfliktů, tedy zemské a zeměpanské úřady (jako České místodržitelství</w:t>
      </w:r>
      <w:r w:rsidR="00CB4778">
        <w:rPr>
          <w:sz w:val="24"/>
          <w:szCs w:val="24"/>
        </w:rPr>
        <w:t xml:space="preserve"> a pražský Apelační soud), krajsk</w:t>
      </w:r>
      <w:r w:rsidR="003D5DAE">
        <w:rPr>
          <w:sz w:val="24"/>
          <w:szCs w:val="24"/>
        </w:rPr>
        <w:t>é</w:t>
      </w:r>
      <w:r w:rsidR="00CB4778">
        <w:rPr>
          <w:sz w:val="24"/>
          <w:szCs w:val="24"/>
        </w:rPr>
        <w:t xml:space="preserve"> úřady a úředníky, vrchnostenské</w:t>
      </w:r>
      <w:r w:rsidR="003D5DAE">
        <w:rPr>
          <w:sz w:val="24"/>
          <w:szCs w:val="24"/>
        </w:rPr>
        <w:t xml:space="preserve"> úředníky, úřady a držitele úřadů ve městech a vesnicích (starosty, městské radní, venkovské rychtáře, konšely), obce a sousedství, rolníky, hlavy domácností, hostinské atd. Dále Himl poskytuje přehled o zeměpanských patentech, mandátech a dekretech. Ke zjevné a ostré kriminalizaci „obyčejné“ potulky došlo mimochodem teprve na začátku 18. století (v hrdelním řádu, vydaném Josefem I. v roce 1708).</w:t>
      </w:r>
    </w:p>
    <w:p w:rsidR="003D5DAE" w:rsidRDefault="00AF199E">
      <w:pPr>
        <w:rPr>
          <w:sz w:val="24"/>
          <w:szCs w:val="24"/>
        </w:rPr>
      </w:pPr>
      <w:r>
        <w:rPr>
          <w:sz w:val="24"/>
          <w:szCs w:val="24"/>
          <w:u w:val="single"/>
        </w:rPr>
        <w:t>Druhý hlavní oddíl</w:t>
      </w:r>
      <w:r w:rsidR="003D5DAE">
        <w:rPr>
          <w:sz w:val="24"/>
          <w:szCs w:val="24"/>
        </w:rPr>
        <w:t xml:space="preserve"> (kapitola 3) je věnován </w:t>
      </w:r>
      <w:r w:rsidR="00930CC0">
        <w:rPr>
          <w:sz w:val="24"/>
          <w:szCs w:val="24"/>
        </w:rPr>
        <w:t xml:space="preserve">neusedlým, zachytitelným v pramenech, a jejich osudům, stejně jako otázce, zda, jak a kým byly prosazovány protitulácké normy. Vylíčení plánování, příprav a provádění žebráckýchh vizitací, konaných od roku 1723 také v českých zemích („generální vizitace“, „partikulární vizitace“), při kterých se jednalo o hony na žebráky, podobné raziím, představuje důležitý příspěvek ke každodenním dějinám správy. Autor přináší názorné příklady </w:t>
      </w:r>
      <w:r w:rsidR="006F058B">
        <w:rPr>
          <w:sz w:val="24"/>
          <w:szCs w:val="24"/>
        </w:rPr>
        <w:t xml:space="preserve">dopadu zemských vizitací a následného postrku na životy konkrétních tuláků a potulných žebráků, stejně jako příklady „vyjednávacích“ a „výpovědních“ „strategií“ přistižených a zadržených (např. používání několika jmen). Nebylo zjevně příliš těžké, „padělat či prostě podle potřeby znovu a jinak zhotovit základní písemnosti, které totožnost jedince dokládaly – kromě vysvědčení zachovalosti a počestného chování (ve službě) k nim patřily potvrzení o křtu, sňatku, propouštěcí list z panství (fedrovní </w:t>
      </w:r>
      <w:r w:rsidR="006F058B">
        <w:rPr>
          <w:sz w:val="24"/>
          <w:szCs w:val="24"/>
        </w:rPr>
        <w:lastRenderedPageBreak/>
        <w:t>list, losbríf), cechovní či řemeslnické dokumenty anebo vysvědčení chudoby a pasy pro žebráky či pocestné“ (s. 126n).</w:t>
      </w:r>
    </w:p>
    <w:p w:rsidR="006F058B" w:rsidRDefault="006F058B">
      <w:pPr>
        <w:rPr>
          <w:sz w:val="24"/>
          <w:szCs w:val="24"/>
        </w:rPr>
      </w:pPr>
      <w:r>
        <w:rPr>
          <w:sz w:val="24"/>
          <w:szCs w:val="24"/>
        </w:rPr>
        <w:t xml:space="preserve">Tématem </w:t>
      </w:r>
      <w:r w:rsidRPr="00CB4778">
        <w:rPr>
          <w:sz w:val="24"/>
          <w:szCs w:val="24"/>
          <w:u w:val="single"/>
        </w:rPr>
        <w:t>třetí</w:t>
      </w:r>
      <w:r>
        <w:rPr>
          <w:sz w:val="24"/>
          <w:szCs w:val="24"/>
        </w:rPr>
        <w:t xml:space="preserve"> a zdaleka nejrozsáhlejší </w:t>
      </w:r>
      <w:r w:rsidR="000335A2">
        <w:rPr>
          <w:sz w:val="24"/>
          <w:szCs w:val="24"/>
        </w:rPr>
        <w:t xml:space="preserve">(128 stran) </w:t>
      </w:r>
      <w:r w:rsidR="00AF199E">
        <w:rPr>
          <w:sz w:val="24"/>
          <w:szCs w:val="24"/>
        </w:rPr>
        <w:t>hlavní části</w:t>
      </w:r>
      <w:r>
        <w:rPr>
          <w:sz w:val="24"/>
          <w:szCs w:val="24"/>
        </w:rPr>
        <w:t xml:space="preserve"> (kapitola 4) jsou potulní „Cikáni“ v Čechách a na Moravě v 17. a 18. století. Himl píše o četných rozsudcích smrti nad „Cikány“</w:t>
      </w:r>
      <w:r w:rsidR="000335A2">
        <w:rPr>
          <w:sz w:val="24"/>
          <w:szCs w:val="24"/>
        </w:rPr>
        <w:t>, ale také – a to je přece jen překvapivé – o početných žádostech o milost panovníkovi, jimž bylo vyhověno. Údajně teprve sedmnáctiletý Honza Pinka odpověděl v roce 1740 na výtku lomnického syndika (písaře) Thomase Velického, že se protiprávně toulá bez pasu, překvapivě: „My jsme zdeť rozený, nepotřebujeme pasu“ (s. 139). Padesátiletý Jan C</w:t>
      </w:r>
      <w:r w:rsidR="00CB4778">
        <w:rPr>
          <w:sz w:val="24"/>
          <w:szCs w:val="24"/>
        </w:rPr>
        <w:t>harvát se v roce 1712 vyjádřil při</w:t>
      </w:r>
      <w:r w:rsidR="000335A2">
        <w:rPr>
          <w:sz w:val="24"/>
          <w:szCs w:val="24"/>
        </w:rPr>
        <w:t xml:space="preserve"> výslechu v Kolíně (s. 164): „Kdyby nás Pán Bůh na svět nechtěl mít, nebyl by nás na svět stvořil, však jsme také krví Krista Pána vykoupení a jsme křesťané.“ Charvát byl odsouzen k smrti oběšením. Jeho žádost o milost byla zamítnuta a on byl patrně popraven.</w:t>
      </w:r>
    </w:p>
    <w:p w:rsidR="000335A2" w:rsidRDefault="000335A2">
      <w:pPr>
        <w:rPr>
          <w:sz w:val="24"/>
          <w:szCs w:val="24"/>
        </w:rPr>
      </w:pPr>
      <w:r>
        <w:rPr>
          <w:sz w:val="24"/>
          <w:szCs w:val="24"/>
        </w:rPr>
        <w:t>Jak se žádostmi „Cikánů“ a „Cikánek“ o milost zacházel pražský</w:t>
      </w:r>
      <w:r w:rsidR="00CB4778">
        <w:rPr>
          <w:sz w:val="24"/>
          <w:szCs w:val="24"/>
        </w:rPr>
        <w:t xml:space="preserve"> A</w:t>
      </w:r>
      <w:r>
        <w:rPr>
          <w:sz w:val="24"/>
          <w:szCs w:val="24"/>
        </w:rPr>
        <w:t>pelační soud, vysvítá z</w:t>
      </w:r>
      <w:r w:rsidR="003E5ED1">
        <w:rPr>
          <w:sz w:val="24"/>
          <w:szCs w:val="24"/>
        </w:rPr>
        <w:t xml:space="preserve"> jeho </w:t>
      </w:r>
      <w:r>
        <w:rPr>
          <w:sz w:val="24"/>
          <w:szCs w:val="24"/>
        </w:rPr>
        <w:t xml:space="preserve">dobrozdání </w:t>
      </w:r>
      <w:r w:rsidR="003E5ED1">
        <w:rPr>
          <w:sz w:val="24"/>
          <w:szCs w:val="24"/>
        </w:rPr>
        <w:t>pro císaře Karla VI., dochovaných bohužel jen pro léta 1714 a 1715. V případě „českých“ (tj. „domácích“) Cikánům mladého věku, u nichž existovala naděje na „nápravu“, se apela</w:t>
      </w:r>
      <w:r w:rsidR="00CB4778">
        <w:rPr>
          <w:sz w:val="24"/>
          <w:szCs w:val="24"/>
        </w:rPr>
        <w:t>ční radové klonili k doporučení</w:t>
      </w:r>
      <w:r w:rsidR="003E5ED1">
        <w:rPr>
          <w:sz w:val="24"/>
          <w:szCs w:val="24"/>
        </w:rPr>
        <w:t xml:space="preserve"> žádosti o milost vyhovět, stejně jako k tomu odejmout „cikánské děti“ jejich rodičům a předat je do domácností „usedlých“ poddaných. Zajímavé, ale stejně tak obtížně interpretovatelné je to, že Apelační soud označil jistého Vavřince Groše jako „Cikána“ a zároveň jako „dobrého Čecha“ (s. 175). </w:t>
      </w:r>
      <w:r w:rsidR="00CE6AE4">
        <w:rPr>
          <w:sz w:val="24"/>
          <w:szCs w:val="24"/>
        </w:rPr>
        <w:t>Podle všeho běžná p</w:t>
      </w:r>
      <w:r w:rsidR="00CB4778">
        <w:rPr>
          <w:sz w:val="24"/>
          <w:szCs w:val="24"/>
        </w:rPr>
        <w:t xml:space="preserve">ředstava, že „Cikáni“, </w:t>
      </w:r>
      <w:r w:rsidR="00AF199E">
        <w:rPr>
          <w:sz w:val="24"/>
          <w:szCs w:val="24"/>
        </w:rPr>
        <w:t>jež provázela pověst</w:t>
      </w:r>
      <w:r w:rsidR="00CE6AE4">
        <w:rPr>
          <w:sz w:val="24"/>
          <w:szCs w:val="24"/>
        </w:rPr>
        <w:t xml:space="preserve"> </w:t>
      </w:r>
      <w:r w:rsidR="00AF199E">
        <w:rPr>
          <w:sz w:val="24"/>
          <w:szCs w:val="24"/>
        </w:rPr>
        <w:t>zlodějů, žhářů a špiónů</w:t>
      </w:r>
      <w:r w:rsidR="00CE6AE4">
        <w:rPr>
          <w:sz w:val="24"/>
          <w:szCs w:val="24"/>
        </w:rPr>
        <w:t>, se mohou „polepšit“, ukazuje, že ve studovaném období nebyli „Cikáni“ esencialistickým nebo rasistickým označením.</w:t>
      </w:r>
    </w:p>
    <w:p w:rsidR="00CE6AE4" w:rsidRDefault="00CE6AE4">
      <w:pPr>
        <w:rPr>
          <w:sz w:val="24"/>
          <w:szCs w:val="24"/>
        </w:rPr>
      </w:pPr>
      <w:r>
        <w:rPr>
          <w:sz w:val="24"/>
          <w:szCs w:val="24"/>
        </w:rPr>
        <w:t xml:space="preserve">Ve </w:t>
      </w:r>
      <w:r w:rsidRPr="00AF199E">
        <w:rPr>
          <w:sz w:val="24"/>
          <w:szCs w:val="24"/>
          <w:u w:val="single"/>
        </w:rPr>
        <w:t>čtvrtém</w:t>
      </w:r>
      <w:r>
        <w:rPr>
          <w:sz w:val="24"/>
          <w:szCs w:val="24"/>
        </w:rPr>
        <w:t xml:space="preserve"> a posledním </w:t>
      </w:r>
      <w:r w:rsidR="00AF199E">
        <w:rPr>
          <w:sz w:val="24"/>
          <w:szCs w:val="24"/>
          <w:u w:val="single"/>
        </w:rPr>
        <w:t>hlavním oddílu</w:t>
      </w:r>
      <w:r>
        <w:rPr>
          <w:sz w:val="24"/>
          <w:szCs w:val="24"/>
        </w:rPr>
        <w:t xml:space="preserve"> (kapitola 5) zkoumá Himl (roustoucí) význam hranic a teritoriální přináležitosti pro život neusedlých.</w:t>
      </w:r>
    </w:p>
    <w:p w:rsidR="00CE6AE4" w:rsidRDefault="00CE6AE4">
      <w:pPr>
        <w:rPr>
          <w:sz w:val="24"/>
          <w:szCs w:val="24"/>
        </w:rPr>
      </w:pPr>
      <w:r>
        <w:rPr>
          <w:sz w:val="24"/>
          <w:szCs w:val="24"/>
        </w:rPr>
        <w:t>V </w:t>
      </w:r>
      <w:r w:rsidRPr="00AF199E">
        <w:rPr>
          <w:sz w:val="24"/>
          <w:szCs w:val="24"/>
          <w:u w:val="single"/>
        </w:rPr>
        <w:t>závěrečné kapitole</w:t>
      </w:r>
      <w:r>
        <w:rPr>
          <w:sz w:val="24"/>
          <w:szCs w:val="24"/>
        </w:rPr>
        <w:t xml:space="preserve"> autor konečně sleduje souvislosti mezi „bezpečností“ (usedlého obyvatelstva), (novými) praktikami a technikami „identifikace“ a vznikem „moderního státu“. Upozorňuje přitom mimojiné na to, že nejrůznější identifikační a kontrolní techniky (např. vlastnoruční podpisy v pasech) byly nejprve použity při zacházení s neusedlým obyvatelstvem a jinými „podezřelými“ skupinami. Přesvědčivě argumentuje, že </w:t>
      </w:r>
      <w:r w:rsidR="004C4CB9">
        <w:rPr>
          <w:sz w:val="24"/>
          <w:szCs w:val="24"/>
        </w:rPr>
        <w:t>nutnost koordinovat opatření proti „potulce“ hrála vedle výběru daní a rekrutování vojáků důležitou roli při integraci pnaství, města a vesnic do centrální státní struktury.</w:t>
      </w:r>
    </w:p>
    <w:p w:rsidR="004C4CB9" w:rsidRDefault="004C4CB9">
      <w:pPr>
        <w:rPr>
          <w:sz w:val="24"/>
          <w:szCs w:val="24"/>
        </w:rPr>
      </w:pPr>
      <w:r>
        <w:rPr>
          <w:sz w:val="24"/>
          <w:szCs w:val="24"/>
        </w:rPr>
        <w:lastRenderedPageBreak/>
        <w:t>Na příkladu pramenně doložitelných „tuláků“ a „vagabundů“ – mužů, žen a dětí bez příslušnosti ke konkrétnímu panství nebo městu – zkoumá Himl, jakým metod užíval postupně se centralizující a byrokratizující „stát“ 17. a 18. století (v podobě habsburské monarchie, resp. Království českého), aby zajistil, kontroloval, disciplinoval, usazoval, identifikoval (pasy, cejchy, uřezáváním uší atd.), vypovídal ze země a konečně prostřednictvím trestu smrti eliminoval „neusedlé“. Ve středu zájmu příkladné historicko-antropologické analýzy jsou přitom jednoznačně „lidé na okraji“, tedy sami „neusedlí“</w:t>
      </w:r>
      <w:r w:rsidR="008F5696">
        <w:rPr>
          <w:sz w:val="24"/>
          <w:szCs w:val="24"/>
        </w:rPr>
        <w:t xml:space="preserve">. Na základě co nejširšího spektra pramenů seznamuje Himl čtenáře se životem a osudy několika desítek těchto lidí. Přitom se z velké většiny jedná o lidi, kteří byli vrchnostmi (centrálními vídeňskými úřady, českými zemskými úřady, krajskými hejtmany a úředníky, lokálními vrchnostmi a panskými úředníky, starosty a konšely) označeni jako „Cikáni“ a kteří se k této identitě často také sami výslovně hlásili (ať již jako „čeští“ nebo „němečtí Cikáni“, „domácí“ nebo „cizí“, resp. „cizozemští Cikáni“). </w:t>
      </w:r>
      <w:r w:rsidR="00AF199E">
        <w:rPr>
          <w:sz w:val="24"/>
          <w:szCs w:val="24"/>
        </w:rPr>
        <w:t>Autor o</w:t>
      </w:r>
      <w:r w:rsidR="008F5696">
        <w:rPr>
          <w:sz w:val="24"/>
          <w:szCs w:val="24"/>
        </w:rPr>
        <w:t>pakovaně upoz</w:t>
      </w:r>
      <w:r w:rsidR="00AF199E">
        <w:rPr>
          <w:sz w:val="24"/>
          <w:szCs w:val="24"/>
        </w:rPr>
        <w:t>o</w:t>
      </w:r>
      <w:r w:rsidR="008F5696">
        <w:rPr>
          <w:sz w:val="24"/>
          <w:szCs w:val="24"/>
        </w:rPr>
        <w:t>rňuje na to, „že rekonstruovat pohled usedlých na neusedlé, a tedy to, zda a jak byli vrchnostenskými normami opravdu ovlivněni, se podaří jedn zřídka“ (zde s. 186).</w:t>
      </w:r>
    </w:p>
    <w:p w:rsidR="008F5696" w:rsidRDefault="008F5696">
      <w:pPr>
        <w:rPr>
          <w:sz w:val="24"/>
          <w:szCs w:val="24"/>
        </w:rPr>
      </w:pPr>
      <w:r>
        <w:rPr>
          <w:sz w:val="24"/>
          <w:szCs w:val="24"/>
        </w:rPr>
        <w:t xml:space="preserve">Autor je vynikajícím znalcem literatury, relavantní v nejširším smyslu pro jeho téma, v češtině, němčině, francouzštině, angličtině a polštině. Kriticky se vyrovnává především s pracemi těch českých kolegů a kolegyň, kteří a </w:t>
      </w:r>
      <w:proofErr w:type="gramStart"/>
      <w:r>
        <w:rPr>
          <w:sz w:val="24"/>
          <w:szCs w:val="24"/>
        </w:rPr>
        <w:t>které</w:t>
      </w:r>
      <w:proofErr w:type="gramEnd"/>
      <w:r>
        <w:rPr>
          <w:sz w:val="24"/>
          <w:szCs w:val="24"/>
        </w:rPr>
        <w:t xml:space="preserve"> se „vagabundům“ a „Cikánům“ v barokních Čechách věnovali již před ním</w:t>
      </w:r>
      <w:r w:rsidR="005A56BD">
        <w:rPr>
          <w:sz w:val="24"/>
          <w:szCs w:val="24"/>
        </w:rPr>
        <w:t>, jako zejm. Eva Procházková, Jaroslav Pánek a Jiří Hanzal.</w:t>
      </w:r>
    </w:p>
    <w:p w:rsidR="005A56BD" w:rsidRDefault="005A56BD">
      <w:pPr>
        <w:rPr>
          <w:sz w:val="24"/>
          <w:szCs w:val="24"/>
        </w:rPr>
      </w:pPr>
      <w:r>
        <w:rPr>
          <w:sz w:val="24"/>
          <w:szCs w:val="24"/>
        </w:rPr>
        <w:t>Pavel Himl je mimořádně subtilně argumentující a vlastní badatelskou roli reflektující historik. Jeho habilitační spis tím místy nabývá charakter velkého, na pramenech založeného narativního eseje a občas působí poněkud nesystematickým, ne vždy šťastně členěným a přehledným dojmem, který je posilován pasážemi, oddělovaným pouze třemi hvědzičkami a nikoliv např. mezinadpisy</w:t>
      </w:r>
      <w:r w:rsidR="00AF199E">
        <w:rPr>
          <w:sz w:val="24"/>
          <w:szCs w:val="24"/>
        </w:rPr>
        <w:t xml:space="preserve"> od hlavního textu</w:t>
      </w:r>
      <w:r>
        <w:rPr>
          <w:sz w:val="24"/>
          <w:szCs w:val="24"/>
        </w:rPr>
        <w:t>. Na druhé straně má text veskrze jisté literární kvality.</w:t>
      </w:r>
    </w:p>
    <w:p w:rsidR="005A56BD" w:rsidRDefault="005A56BD">
      <w:pPr>
        <w:rPr>
          <w:sz w:val="24"/>
          <w:szCs w:val="24"/>
        </w:rPr>
      </w:pPr>
      <w:r>
        <w:rPr>
          <w:sz w:val="24"/>
          <w:szCs w:val="24"/>
        </w:rPr>
        <w:t>Předložený rukopis splňuje bez jakékoliv pochybnosti nár</w:t>
      </w:r>
      <w:r w:rsidR="00AF199E">
        <w:rPr>
          <w:sz w:val="24"/>
          <w:szCs w:val="24"/>
        </w:rPr>
        <w:t>oky, kladené v mezinárodním měří</w:t>
      </w:r>
      <w:r>
        <w:rPr>
          <w:sz w:val="24"/>
          <w:szCs w:val="24"/>
        </w:rPr>
        <w:t>tku na habilitační spis v oboru historie. Doporučuji proto jeho přijetí coby habilitační práce.</w:t>
      </w:r>
    </w:p>
    <w:p w:rsidR="005A56BD" w:rsidRDefault="005A56BD">
      <w:pPr>
        <w:rPr>
          <w:sz w:val="24"/>
          <w:szCs w:val="24"/>
        </w:rPr>
      </w:pPr>
    </w:p>
    <w:p w:rsidR="004C4CB9" w:rsidRDefault="004C4CB9">
      <w:pPr>
        <w:rPr>
          <w:sz w:val="24"/>
          <w:szCs w:val="24"/>
        </w:rPr>
      </w:pPr>
    </w:p>
    <w:p w:rsidR="009160AC" w:rsidRPr="009160AC" w:rsidRDefault="005A56B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Univ.-Prof.</w:t>
      </w:r>
      <w:proofErr w:type="gramEnd"/>
      <w:r>
        <w:rPr>
          <w:sz w:val="24"/>
          <w:szCs w:val="24"/>
        </w:rPr>
        <w:t xml:space="preserve"> Dr. Dr. h. c. Thomas Winkelbauer</w:t>
      </w:r>
    </w:p>
    <w:sectPr w:rsidR="009160AC" w:rsidRPr="009160A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8F7" w:rsidRDefault="007238F7" w:rsidP="003D5DAE">
      <w:pPr>
        <w:spacing w:line="240" w:lineRule="auto"/>
      </w:pPr>
      <w:r>
        <w:separator/>
      </w:r>
    </w:p>
  </w:endnote>
  <w:endnote w:type="continuationSeparator" w:id="0">
    <w:p w:rsidR="007238F7" w:rsidRDefault="007238F7" w:rsidP="003D5D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1562264"/>
      <w:docPartObj>
        <w:docPartGallery w:val="Page Numbers (Bottom of Page)"/>
        <w:docPartUnique/>
      </w:docPartObj>
    </w:sdtPr>
    <w:sdtEndPr/>
    <w:sdtContent>
      <w:p w:rsidR="003D5DAE" w:rsidRDefault="003D5DA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99E">
          <w:rPr>
            <w:noProof/>
          </w:rPr>
          <w:t>1</w:t>
        </w:r>
        <w:r>
          <w:fldChar w:fldCharType="end"/>
        </w:r>
      </w:p>
    </w:sdtContent>
  </w:sdt>
  <w:p w:rsidR="003D5DAE" w:rsidRDefault="003D5DA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8F7" w:rsidRDefault="007238F7" w:rsidP="003D5DAE">
      <w:pPr>
        <w:spacing w:line="240" w:lineRule="auto"/>
      </w:pPr>
      <w:r>
        <w:separator/>
      </w:r>
    </w:p>
  </w:footnote>
  <w:footnote w:type="continuationSeparator" w:id="0">
    <w:p w:rsidR="007238F7" w:rsidRDefault="007238F7" w:rsidP="003D5D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0AC"/>
    <w:rsid w:val="000335A2"/>
    <w:rsid w:val="003D5DAE"/>
    <w:rsid w:val="003E5ED1"/>
    <w:rsid w:val="004C4CB9"/>
    <w:rsid w:val="005A56BD"/>
    <w:rsid w:val="006F058B"/>
    <w:rsid w:val="007238F7"/>
    <w:rsid w:val="00747B33"/>
    <w:rsid w:val="008F5696"/>
    <w:rsid w:val="009160AC"/>
    <w:rsid w:val="00930CC0"/>
    <w:rsid w:val="00A77A17"/>
    <w:rsid w:val="00AF199E"/>
    <w:rsid w:val="00CB4778"/>
    <w:rsid w:val="00CE6AE4"/>
    <w:rsid w:val="00D645C5"/>
    <w:rsid w:val="00DC6C5C"/>
    <w:rsid w:val="00EA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5DA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5DAE"/>
  </w:style>
  <w:style w:type="paragraph" w:styleId="Zpat">
    <w:name w:val="footer"/>
    <w:basedOn w:val="Normln"/>
    <w:link w:val="ZpatChar"/>
    <w:uiPriority w:val="99"/>
    <w:unhideWhenUsed/>
    <w:rsid w:val="003D5DA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5DAE"/>
  </w:style>
  <w:style w:type="character" w:styleId="Hypertextovodkaz">
    <w:name w:val="Hyperlink"/>
    <w:basedOn w:val="Standardnpsmoodstavce"/>
    <w:uiPriority w:val="99"/>
    <w:unhideWhenUsed/>
    <w:rsid w:val="00CB47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5DA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5DAE"/>
  </w:style>
  <w:style w:type="paragraph" w:styleId="Zpat">
    <w:name w:val="footer"/>
    <w:basedOn w:val="Normln"/>
    <w:link w:val="ZpatChar"/>
    <w:uiPriority w:val="99"/>
    <w:unhideWhenUsed/>
    <w:rsid w:val="003D5DA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5DAE"/>
  </w:style>
  <w:style w:type="character" w:styleId="Hypertextovodkaz">
    <w:name w:val="Hyperlink"/>
    <w:basedOn w:val="Standardnpsmoodstavce"/>
    <w:uiPriority w:val="99"/>
    <w:unhideWhenUsed/>
    <w:rsid w:val="00CB47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homas.winklebauer@univie.ac.a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1258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2014-03-24T21:13:00Z</dcterms:created>
  <dcterms:modified xsi:type="dcterms:W3CDTF">2014-03-25T07:50:00Z</dcterms:modified>
</cp:coreProperties>
</file>