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2C" w:rsidRDefault="0022392C" w:rsidP="0022392C">
      <w:pPr>
        <w:rPr>
          <w:rFonts w:ascii="Arial" w:hAnsi="Arial" w:cs="Arial"/>
          <w:b/>
        </w:rPr>
      </w:pPr>
      <w:bookmarkStart w:id="0" w:name="_GoBack"/>
      <w:bookmarkEnd w:id="0"/>
    </w:p>
    <w:p w:rsidR="0022392C" w:rsidRDefault="0022392C" w:rsidP="002239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6: Posudek oponenta habilitační práce</w:t>
      </w:r>
    </w:p>
    <w:p w:rsidR="0022392C" w:rsidRDefault="0022392C" w:rsidP="0022392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80"/>
      </w:tblGrid>
      <w:tr w:rsidR="0022392C" w:rsidRPr="00E67BE5" w:rsidTr="00E67BE5">
        <w:tc>
          <w:tcPr>
            <w:tcW w:w="2808" w:type="dxa"/>
          </w:tcPr>
          <w:p w:rsidR="0022392C" w:rsidRPr="00E67BE5" w:rsidRDefault="0022392C" w:rsidP="0022392C">
            <w:pPr>
              <w:rPr>
                <w:b/>
              </w:rPr>
            </w:pPr>
            <w:r w:rsidRPr="00E67BE5">
              <w:rPr>
                <w:b/>
              </w:rPr>
              <w:t>Masarykova univerzita</w:t>
            </w:r>
          </w:p>
        </w:tc>
        <w:tc>
          <w:tcPr>
            <w:tcW w:w="6480" w:type="dxa"/>
          </w:tcPr>
          <w:p w:rsidR="0022392C" w:rsidRPr="00E67BE5" w:rsidRDefault="0022392C" w:rsidP="0022392C">
            <w:pPr>
              <w:rPr>
                <w:b/>
              </w:rPr>
            </w:pPr>
          </w:p>
        </w:tc>
      </w:tr>
      <w:tr w:rsidR="0022392C" w:rsidRPr="00E67BE5" w:rsidTr="00E67BE5">
        <w:tc>
          <w:tcPr>
            <w:tcW w:w="2808" w:type="dxa"/>
          </w:tcPr>
          <w:p w:rsidR="0022392C" w:rsidRPr="00E67BE5" w:rsidRDefault="0022392C" w:rsidP="0022392C">
            <w:pPr>
              <w:rPr>
                <w:b/>
              </w:rPr>
            </w:pPr>
            <w:r w:rsidRPr="00E67BE5">
              <w:rPr>
                <w:b/>
              </w:rPr>
              <w:t>Fakulta</w:t>
            </w:r>
          </w:p>
        </w:tc>
        <w:tc>
          <w:tcPr>
            <w:tcW w:w="6480" w:type="dxa"/>
          </w:tcPr>
          <w:p w:rsidR="0022392C" w:rsidRPr="00A87F26" w:rsidRDefault="0022392C" w:rsidP="0022392C">
            <w:r>
              <w:t>Fakulta sociálních studií MU</w:t>
            </w:r>
          </w:p>
        </w:tc>
      </w:tr>
      <w:tr w:rsidR="0022392C" w:rsidRPr="00E67BE5" w:rsidTr="00E67BE5">
        <w:tc>
          <w:tcPr>
            <w:tcW w:w="2808" w:type="dxa"/>
          </w:tcPr>
          <w:p w:rsidR="0022392C" w:rsidRPr="00E67BE5" w:rsidRDefault="0022392C" w:rsidP="0022392C">
            <w:pPr>
              <w:rPr>
                <w:b/>
              </w:rPr>
            </w:pPr>
            <w:r w:rsidRPr="00E67BE5">
              <w:rPr>
                <w:b/>
              </w:rPr>
              <w:t>Habilitační obor</w:t>
            </w:r>
          </w:p>
        </w:tc>
        <w:tc>
          <w:tcPr>
            <w:tcW w:w="6480" w:type="dxa"/>
          </w:tcPr>
          <w:p w:rsidR="0022392C" w:rsidRPr="00C50A11" w:rsidRDefault="002D1761" w:rsidP="00DA0A9A">
            <w:r>
              <w:t>politologie</w:t>
            </w:r>
          </w:p>
        </w:tc>
      </w:tr>
      <w:tr w:rsidR="0022392C" w:rsidRPr="00E67BE5" w:rsidTr="00E67BE5">
        <w:tc>
          <w:tcPr>
            <w:tcW w:w="2808" w:type="dxa"/>
          </w:tcPr>
          <w:p w:rsidR="0022392C" w:rsidRPr="00E67BE5" w:rsidRDefault="0022392C" w:rsidP="0022392C">
            <w:pPr>
              <w:rPr>
                <w:b/>
              </w:rPr>
            </w:pPr>
          </w:p>
        </w:tc>
        <w:tc>
          <w:tcPr>
            <w:tcW w:w="6480" w:type="dxa"/>
          </w:tcPr>
          <w:p w:rsidR="0022392C" w:rsidRPr="00E67BE5" w:rsidRDefault="0022392C" w:rsidP="0022392C">
            <w:pPr>
              <w:rPr>
                <w:b/>
              </w:rPr>
            </w:pPr>
          </w:p>
        </w:tc>
      </w:tr>
      <w:tr w:rsidR="0022392C" w:rsidRPr="00E67BE5" w:rsidTr="00E67BE5">
        <w:tc>
          <w:tcPr>
            <w:tcW w:w="2808" w:type="dxa"/>
          </w:tcPr>
          <w:p w:rsidR="0022392C" w:rsidRPr="00E67BE5" w:rsidRDefault="0022392C" w:rsidP="0022392C">
            <w:pPr>
              <w:rPr>
                <w:b/>
              </w:rPr>
            </w:pPr>
            <w:r w:rsidRPr="00E67BE5">
              <w:rPr>
                <w:b/>
              </w:rPr>
              <w:t>Uchazeč</w:t>
            </w:r>
          </w:p>
        </w:tc>
        <w:tc>
          <w:tcPr>
            <w:tcW w:w="6480" w:type="dxa"/>
          </w:tcPr>
          <w:p w:rsidR="0022392C" w:rsidRPr="00A87F26" w:rsidRDefault="002D1761" w:rsidP="00181AE8">
            <w:r>
              <w:t xml:space="preserve">PhDr. Věra </w:t>
            </w:r>
            <w:proofErr w:type="spellStart"/>
            <w:r>
              <w:t>Stojarová</w:t>
            </w:r>
            <w:proofErr w:type="spellEnd"/>
            <w:r>
              <w:t>, Ph.D.</w:t>
            </w:r>
          </w:p>
        </w:tc>
      </w:tr>
      <w:tr w:rsidR="0022392C" w:rsidRPr="00E67BE5" w:rsidTr="00E67BE5">
        <w:tc>
          <w:tcPr>
            <w:tcW w:w="2808" w:type="dxa"/>
          </w:tcPr>
          <w:p w:rsidR="0022392C" w:rsidRPr="00E67BE5" w:rsidRDefault="0022392C" w:rsidP="0022392C">
            <w:pPr>
              <w:rPr>
                <w:b/>
              </w:rPr>
            </w:pPr>
            <w:r w:rsidRPr="00E67BE5">
              <w:rPr>
                <w:b/>
              </w:rPr>
              <w:t>Pracoviště</w:t>
            </w:r>
          </w:p>
        </w:tc>
        <w:tc>
          <w:tcPr>
            <w:tcW w:w="6480" w:type="dxa"/>
          </w:tcPr>
          <w:p w:rsidR="0022392C" w:rsidRPr="00A87F26" w:rsidRDefault="00DA0A9A" w:rsidP="0022392C">
            <w:r>
              <w:t>Fakulta sociálních studií Masarykovy univerzity, Brno</w:t>
            </w:r>
          </w:p>
        </w:tc>
      </w:tr>
      <w:tr w:rsidR="0022392C" w:rsidRPr="00E67BE5" w:rsidTr="00E67BE5">
        <w:tc>
          <w:tcPr>
            <w:tcW w:w="2808" w:type="dxa"/>
          </w:tcPr>
          <w:p w:rsidR="0022392C" w:rsidRPr="00E67BE5" w:rsidRDefault="0022392C" w:rsidP="0022392C">
            <w:pPr>
              <w:rPr>
                <w:b/>
              </w:rPr>
            </w:pPr>
            <w:r w:rsidRPr="00E67BE5">
              <w:rPr>
                <w:b/>
              </w:rPr>
              <w:t>Habilitační práce</w:t>
            </w:r>
          </w:p>
        </w:tc>
        <w:tc>
          <w:tcPr>
            <w:tcW w:w="6480" w:type="dxa"/>
          </w:tcPr>
          <w:p w:rsidR="0022392C" w:rsidRPr="00A87F26" w:rsidRDefault="002D1761" w:rsidP="0022392C">
            <w:proofErr w:type="spellStart"/>
            <w:r>
              <w:t>The</w:t>
            </w:r>
            <w:proofErr w:type="spellEnd"/>
            <w:r>
              <w:t xml:space="preserve"> Far </w:t>
            </w:r>
            <w:proofErr w:type="spellStart"/>
            <w:r>
              <w:t>Right</w:t>
            </w:r>
            <w:proofErr w:type="spellEnd"/>
            <w:r>
              <w:t xml:space="preserve"> in </w:t>
            </w:r>
            <w:proofErr w:type="spellStart"/>
            <w:r>
              <w:t>Selected</w:t>
            </w:r>
            <w:proofErr w:type="spellEnd"/>
            <w:r>
              <w:t xml:space="preserve"> </w:t>
            </w:r>
            <w:proofErr w:type="spellStart"/>
            <w:r>
              <w:t>Balkan</w:t>
            </w:r>
            <w:proofErr w:type="spellEnd"/>
            <w:r>
              <w:t xml:space="preserve"> </w:t>
            </w:r>
            <w:proofErr w:type="spellStart"/>
            <w:r>
              <w:t>countries</w:t>
            </w:r>
            <w:proofErr w:type="spellEnd"/>
            <w:r w:rsidR="00D102D5">
              <w:t xml:space="preserve">  </w:t>
            </w:r>
          </w:p>
        </w:tc>
      </w:tr>
      <w:tr w:rsidR="0022392C" w:rsidRPr="00E67BE5" w:rsidTr="00E67BE5">
        <w:tc>
          <w:tcPr>
            <w:tcW w:w="2808" w:type="dxa"/>
          </w:tcPr>
          <w:p w:rsidR="0022392C" w:rsidRPr="00E67BE5" w:rsidRDefault="0022392C" w:rsidP="0022392C">
            <w:pPr>
              <w:rPr>
                <w:b/>
              </w:rPr>
            </w:pPr>
          </w:p>
        </w:tc>
        <w:tc>
          <w:tcPr>
            <w:tcW w:w="6480" w:type="dxa"/>
          </w:tcPr>
          <w:p w:rsidR="0022392C" w:rsidRDefault="0022392C" w:rsidP="0022392C"/>
        </w:tc>
      </w:tr>
      <w:tr w:rsidR="0022392C" w:rsidRPr="00E67BE5" w:rsidTr="00E67BE5">
        <w:tc>
          <w:tcPr>
            <w:tcW w:w="2808" w:type="dxa"/>
          </w:tcPr>
          <w:p w:rsidR="0022392C" w:rsidRPr="00E67BE5" w:rsidRDefault="0022392C" w:rsidP="0022392C">
            <w:pPr>
              <w:rPr>
                <w:b/>
              </w:rPr>
            </w:pPr>
            <w:r w:rsidRPr="00E67BE5">
              <w:rPr>
                <w:b/>
              </w:rPr>
              <w:t>Oponent</w:t>
            </w:r>
          </w:p>
        </w:tc>
        <w:tc>
          <w:tcPr>
            <w:tcW w:w="6480" w:type="dxa"/>
          </w:tcPr>
          <w:p w:rsidR="0022392C" w:rsidRPr="004147B4" w:rsidRDefault="00A72919" w:rsidP="00181AE8">
            <w:r>
              <w:t>Doc. PhDr. Ladislav Cabada, Ph.D.</w:t>
            </w:r>
          </w:p>
        </w:tc>
      </w:tr>
      <w:tr w:rsidR="0022392C" w:rsidRPr="00E67BE5" w:rsidTr="00E67BE5">
        <w:tc>
          <w:tcPr>
            <w:tcW w:w="2808" w:type="dxa"/>
          </w:tcPr>
          <w:p w:rsidR="0022392C" w:rsidRPr="00E67BE5" w:rsidRDefault="0022392C" w:rsidP="0022392C">
            <w:pPr>
              <w:rPr>
                <w:b/>
              </w:rPr>
            </w:pPr>
            <w:r w:rsidRPr="00E67BE5">
              <w:rPr>
                <w:b/>
              </w:rPr>
              <w:t>Pracoviště</w:t>
            </w:r>
          </w:p>
        </w:tc>
        <w:tc>
          <w:tcPr>
            <w:tcW w:w="6480" w:type="dxa"/>
          </w:tcPr>
          <w:p w:rsidR="0022392C" w:rsidRPr="004147B4" w:rsidRDefault="00A72919" w:rsidP="00A72919">
            <w:r>
              <w:rPr>
                <w:rStyle w:val="ff3"/>
              </w:rPr>
              <w:t>Metropolitní univerzita Praha</w:t>
            </w:r>
          </w:p>
        </w:tc>
      </w:tr>
    </w:tbl>
    <w:p w:rsidR="0022392C" w:rsidRDefault="0022392C" w:rsidP="0022392C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22392C" w:rsidRPr="00E67BE5" w:rsidTr="00E67BE5">
        <w:trPr>
          <w:trHeight w:val="3962"/>
        </w:trPr>
        <w:tc>
          <w:tcPr>
            <w:tcW w:w="9288" w:type="dxa"/>
          </w:tcPr>
          <w:p w:rsidR="0019008F" w:rsidRPr="00E67BE5" w:rsidRDefault="0022392C" w:rsidP="0019008F">
            <w:pPr>
              <w:rPr>
                <w:b/>
              </w:rPr>
            </w:pPr>
            <w:r w:rsidRPr="00E67BE5">
              <w:rPr>
                <w:b/>
              </w:rPr>
              <w:t>Text posudku (rozsah dle zvážení oponenta)</w:t>
            </w:r>
          </w:p>
          <w:p w:rsidR="00F54688" w:rsidRDefault="00F54688" w:rsidP="00E67BE5">
            <w:pPr>
              <w:jc w:val="both"/>
            </w:pPr>
          </w:p>
          <w:p w:rsidR="008C57FB" w:rsidRDefault="00335F75" w:rsidP="008C57FB">
            <w:pPr>
              <w:jc w:val="both"/>
            </w:pPr>
            <w:r w:rsidRPr="00E67BE5">
              <w:rPr>
                <w:lang w:val="sk-SK"/>
              </w:rPr>
              <w:t xml:space="preserve"> </w:t>
            </w:r>
            <w:r w:rsidR="008C57FB">
              <w:t xml:space="preserve">Habilitační práce Věry </w:t>
            </w:r>
            <w:proofErr w:type="spellStart"/>
            <w:r w:rsidR="008C57FB">
              <w:t>Stojarové</w:t>
            </w:r>
            <w:proofErr w:type="spellEnd"/>
            <w:r w:rsidR="008C57FB">
              <w:t xml:space="preserve"> navazuje na její předchozí dlouholetý a vědecky a publikačně rozsáhle demonstrovaný zájem o dvě vzájemně propojené komponenty – region jihovýchodní Evropy a problematiku politického stranictví. V autorčině  bohaté dosavadní bibliografii nacházíme celou řadu knižních i časopiseckých publikací, jež jsou těmto dvěma výzkumným rovinám samostatně i ve vzájemné korelaci věnovány, přičemž nelze přehlédnout a nezmínit výrazný mezinárodní přesah v podobě dominantně anglicky psaných výstupů z výzkumu. Logicky tak Věra </w:t>
            </w:r>
            <w:proofErr w:type="spellStart"/>
            <w:r w:rsidR="008C57FB">
              <w:t>Stojarová</w:t>
            </w:r>
            <w:proofErr w:type="spellEnd"/>
            <w:r w:rsidR="008C57FB">
              <w:t xml:space="preserve"> předkládá jako habilitační spis monograficky orientovaný text v anglickém jazyce, v němž se zaměřuje na problematiku krajní pravice v prostoru jihovýchodní Evropy. V rámci operacionalizace pojmů přitom již v úvodu textu jasně argumentuje ve prospěch svého rozhodnutí předloženou analýzu okleštit o některé případy, konkrétně Bosnu a Hercegovinu, Kosovo a Moldovu – základním důvodem je pro autorku nedokončený proces národně-suverénní emancipace, resp. budování státu/národa. Jen na okraj dodávám, že někteří autoři s výrazným historickým zázemím (např. stoupenci teorie </w:t>
            </w:r>
            <w:proofErr w:type="spellStart"/>
            <w:r w:rsidR="008C57FB" w:rsidRPr="00B73557">
              <w:rPr>
                <w:i/>
              </w:rPr>
              <w:t>path</w:t>
            </w:r>
            <w:proofErr w:type="spellEnd"/>
            <w:r w:rsidR="008C57FB" w:rsidRPr="00B73557">
              <w:rPr>
                <w:i/>
              </w:rPr>
              <w:t xml:space="preserve"> </w:t>
            </w:r>
            <w:proofErr w:type="spellStart"/>
            <w:r w:rsidR="008C57FB" w:rsidRPr="00B73557">
              <w:rPr>
                <w:i/>
              </w:rPr>
              <w:t>dependency</w:t>
            </w:r>
            <w:proofErr w:type="spellEnd"/>
            <w:r w:rsidR="008C57FB">
              <w:t>) by k Balkánu uměli řadit i Řecko a Maďarsko, přičemž zejména druhý případ by nabízel řadu zajímavých podnětů; respektuji nicméně zcela autorčino vymezení teritoriálního rozsahu její komparativní studie a nemám proti němu žádných výhrad.</w:t>
            </w:r>
          </w:p>
          <w:p w:rsidR="008C57FB" w:rsidRDefault="008C57FB" w:rsidP="008C57FB">
            <w:pPr>
              <w:jc w:val="both"/>
            </w:pPr>
            <w:r>
              <w:t>V úvodu práce (kapitoly I. a II.) autorka prezentuje širší kontext výzkumu krajně-pravicového politického stranictví, zejména se věnuje otázce její restaurace v 90. letech 20. století v prostředí západní Evropy a současně fenoménu re-etablování či zrodu krajní pravice v transformujícím se prostoru středovýchodní Evropy. Pro svůj výzkum si pak na str. 6 klade osm srozumitelných otázek, které vytvářejí půdorys pro vlastní komparativní výzkum jak v rámci zvolené skupiny zemí, tak i s přesahem k obecnějším politologickým či sociálně-vědním rámcům výzkumů pravicového radikalismu a extremismu. Úvodní kapitoly jsou současně heuristickým zázemím textu, když autorka představuje vývoj debaty o krajně pravicové politice v (</w:t>
            </w:r>
            <w:proofErr w:type="spellStart"/>
            <w:r>
              <w:t>západo</w:t>
            </w:r>
            <w:proofErr w:type="spellEnd"/>
            <w:r>
              <w:t xml:space="preserve">)evropské politologii a později rovněž možnosti a limity dosavadního výzkumu tohoto fenoménu na Balkáně. Srozumitelně jsou vysvětleny rovněž terminologické rámce, zejména rozlišení mezi politickým </w:t>
            </w:r>
            <w:proofErr w:type="spellStart"/>
            <w:r>
              <w:t>mainstreamem</w:t>
            </w:r>
            <w:proofErr w:type="spellEnd"/>
            <w:r>
              <w:t xml:space="preserve"> a krajní pravicí včetně synonym, nuancí a konotací (radikální a extrémní pravice, populistická pravice atd.). </w:t>
            </w:r>
            <w:proofErr w:type="spellStart"/>
            <w:r>
              <w:t>Preanalytická</w:t>
            </w:r>
            <w:proofErr w:type="spellEnd"/>
            <w:r>
              <w:t xml:space="preserve"> část text je uzavřena třetí kapitolou, v níž autorka pro každou zemi zařazenou do výzkumného vzorku odděleně představuje soubor krajně-pravicových politických stran, jimiž se chce zabývat. Soudím, že tento vzorek je vytvořen pečlivě, nepostrádám žádný relevantní subjekt a současně považuji za jasná i kritéria, podle nichž výběr proběhnul.</w:t>
            </w:r>
          </w:p>
          <w:p w:rsidR="008C57FB" w:rsidRDefault="008C57FB" w:rsidP="008C57FB">
            <w:pPr>
              <w:jc w:val="both"/>
            </w:pPr>
            <w:r>
              <w:t xml:space="preserve">Vlastní analýza je rozdělena do pěti kapitol zabývajících se dílčími aspekty fungování a aktivit analyzovaných subjektů – ideologií, strategií a taktikou, vnitřní organizační strukturou </w:t>
            </w:r>
            <w:r>
              <w:lastRenderedPageBreak/>
              <w:t xml:space="preserve">a otázkou vůdcovství, zapojením do mezinárodního kontextu. Specifickou je 8. kapitola, kde </w:t>
            </w:r>
            <w:proofErr w:type="spellStart"/>
            <w:r>
              <w:t>habilitantka</w:t>
            </w:r>
            <w:proofErr w:type="spellEnd"/>
            <w:r>
              <w:t xml:space="preserve"> hledá důvody pro úspěch či neúspěch krajně-pravicových subjektů ve zkoumaném vzorku zemí – její analýza se zde rozkládá na škále od zemí s velmi úspěšnou krajně-pravicovou politickou formací (Srbsko, Rumunsko a Bulharsko), přes země s marginálním a kolísavým zastoupením odtržené krajně-pravicové formace v národním parlamentu až po příklad země, kde jsou krajně-pravicové formace fakticky irelevantní. Právě její analýzu makedonského případu považuji za velmi zdařilou, což ovšem platí o naprosté většině textu.</w:t>
            </w:r>
          </w:p>
          <w:p w:rsidR="008C57FB" w:rsidRDefault="008C57FB" w:rsidP="008C57FB">
            <w:pPr>
              <w:jc w:val="both"/>
            </w:pPr>
            <w:r>
              <w:t xml:space="preserve">V závěrečné části práce autorka míří do oblasti sociologie politiky, když se zabývá otázkou, kdo jsou voliči krajně-pravicových stran. Zde se – s odkazem k řadě dalších autorů a analýz – přiklání zejména ke konstatování, že jakousi </w:t>
            </w:r>
            <w:proofErr w:type="spellStart"/>
            <w:r>
              <w:t>metapříčinou</w:t>
            </w:r>
            <w:proofErr w:type="spellEnd"/>
            <w:r>
              <w:t xml:space="preserve"> poměrně výrazných pozic krajně-pravicových subjektů v řadě balkánských zemí je nedokončená či deformovaná </w:t>
            </w:r>
            <w:proofErr w:type="spellStart"/>
            <w:r>
              <w:t>tranzice</w:t>
            </w:r>
            <w:proofErr w:type="spellEnd"/>
            <w:r>
              <w:t xml:space="preserve"> spojená se socioekonomickou exkluzí a frustrací, ale rovněž se silnou štěpící linií mezi tradicionalismem a (post)modernitou, která může souviset jak s výše pojmenovanou exkluzí, tak rovněž se silnou štěpící linií mezi městem a venkovem. Autorčina analýza jde nicméně i zde do úrovně jednotlivých zemí a historicko-politického kontextu sledovaných příčin, projevů a vazeb. </w:t>
            </w:r>
          </w:p>
          <w:p w:rsidR="008C57FB" w:rsidRDefault="008C57FB" w:rsidP="008C57FB">
            <w:pPr>
              <w:jc w:val="both"/>
            </w:pPr>
            <w:r>
              <w:t xml:space="preserve">Před přechodem k závěru, v němž autorka ve vazbě na v úvodu položených osm otázek sumarizuje svá zjištění (částečně tak činí již na str. 112-113 textu), prezentuje ještě </w:t>
            </w:r>
            <w:proofErr w:type="spellStart"/>
            <w:r>
              <w:t>paramilitární</w:t>
            </w:r>
            <w:proofErr w:type="spellEnd"/>
            <w:r>
              <w:t xml:space="preserve"> organizace spojené s krajně-pravicovou politickou scénou ve zkoumaných zemích. Tím dotváří celistvý pohled na krajně-pravicovou politickou scénu.</w:t>
            </w:r>
          </w:p>
          <w:p w:rsidR="008C57FB" w:rsidRDefault="008C57FB" w:rsidP="008C57FB">
            <w:pPr>
              <w:jc w:val="both"/>
            </w:pPr>
            <w:r>
              <w:t>Osobně považuji předložený text za kvalitní habilitační práci bez výraznější slabiny. Dílčí akademické polemiky bychom zajisté mohli vést o tom, zda do textu mohlo být zahrnuto něco dalšího (např. rozšířený vzorek zemí, výraznější historický exkurz zabývající se zejména konzervativně-nacionalistickými tradicemi balkánské krajní pravice apod.), či zda mohla autorka „knižní“ charakter textu narušit prohloubenou a „puntičkářskou“ analýzou některého z jí analyzovaných jevů; navrhoval bych ovšem zůstat skutečně pouze v rovině akademických debat bez jakýchkoli ultimativních podnětů ke změnám. Autorka předložila čtivý a ucelený text, v němž prokazuje všechny znalosti i dovednosti, jež si spojuji s aspirantem habilitace.</w:t>
            </w:r>
          </w:p>
          <w:p w:rsidR="0005370C" w:rsidRPr="008C57FB" w:rsidRDefault="008C57FB" w:rsidP="008C57FB">
            <w:pPr>
              <w:jc w:val="both"/>
            </w:pPr>
            <w:r>
              <w:t xml:space="preserve">Celkově předloženou práci považuji za kvalitní habilitační spis a rád ji doporučuji jako podklad pro úspěšné ukončení habilitačního řízení Dr. Věry </w:t>
            </w:r>
            <w:proofErr w:type="spellStart"/>
            <w:r>
              <w:t>Stojarové</w:t>
            </w:r>
            <w:proofErr w:type="spellEnd"/>
            <w:r>
              <w:t>.</w:t>
            </w:r>
          </w:p>
        </w:tc>
      </w:tr>
      <w:tr w:rsidR="00CC6560" w:rsidRPr="00E67BE5" w:rsidTr="00E67BE5">
        <w:trPr>
          <w:trHeight w:val="80"/>
        </w:trPr>
        <w:tc>
          <w:tcPr>
            <w:tcW w:w="9288" w:type="dxa"/>
          </w:tcPr>
          <w:p w:rsidR="00463388" w:rsidRPr="00335F75" w:rsidRDefault="00463388" w:rsidP="0019008F"/>
        </w:tc>
      </w:tr>
    </w:tbl>
    <w:p w:rsidR="0022392C" w:rsidRPr="00F54688" w:rsidRDefault="0022392C" w:rsidP="0022392C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22392C" w:rsidRPr="00E67BE5" w:rsidTr="00E67BE5">
        <w:trPr>
          <w:trHeight w:val="1418"/>
        </w:trPr>
        <w:tc>
          <w:tcPr>
            <w:tcW w:w="9288" w:type="dxa"/>
          </w:tcPr>
          <w:p w:rsidR="0022392C" w:rsidRPr="00E67BE5" w:rsidRDefault="0022392C" w:rsidP="0022392C">
            <w:pPr>
              <w:rPr>
                <w:b/>
              </w:rPr>
            </w:pPr>
            <w:r w:rsidRPr="00E67BE5">
              <w:rPr>
                <w:b/>
              </w:rPr>
              <w:t>Dotazy oponenta k obhajobě habilitační práce (počet dotazů dle zvážení oponenta)</w:t>
            </w:r>
          </w:p>
          <w:p w:rsidR="008C57FB" w:rsidRDefault="008C57FB" w:rsidP="008C57FB">
            <w:pPr>
              <w:jc w:val="both"/>
            </w:pPr>
            <w:r>
              <w:t xml:space="preserve">Abych neponechal svůj posudek zcela bez dotazu, rád bych Věru </w:t>
            </w:r>
            <w:proofErr w:type="spellStart"/>
            <w:r>
              <w:t>Stojarovou</w:t>
            </w:r>
            <w:proofErr w:type="spellEnd"/>
            <w:r>
              <w:t xml:space="preserve"> požádal o </w:t>
            </w:r>
            <w:proofErr w:type="spellStart"/>
            <w:r>
              <w:t>kontextualizaci</w:t>
            </w:r>
            <w:proofErr w:type="spellEnd"/>
            <w:r>
              <w:t xml:space="preserve"> jejího závěru, že bulharská formace GERB může být řazena ke krajní pravici. Obecně je tato strana považována za nový subjekt, nelze nicméně přehlédnout, že někteří z vrcholných členů strany měli původně vazby na Bulharskou socialistickou stranu.</w:t>
            </w:r>
          </w:p>
          <w:p w:rsidR="00A51D4D" w:rsidRPr="00E67BE5" w:rsidRDefault="00A51D4D" w:rsidP="003D6E4A">
            <w:pPr>
              <w:rPr>
                <w:lang w:val="sk-SK"/>
              </w:rPr>
            </w:pPr>
          </w:p>
          <w:p w:rsidR="00A51D4D" w:rsidRDefault="00A51D4D" w:rsidP="003D6E4A"/>
          <w:p w:rsidR="00F72CB0" w:rsidRPr="00F54688" w:rsidRDefault="00F72CB0" w:rsidP="00E67BE5">
            <w:pPr>
              <w:ind w:left="360"/>
            </w:pPr>
          </w:p>
        </w:tc>
      </w:tr>
    </w:tbl>
    <w:p w:rsidR="0022392C" w:rsidRPr="00F54688" w:rsidRDefault="0022392C" w:rsidP="0022392C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22392C" w:rsidRPr="00E67BE5" w:rsidTr="00E67BE5">
        <w:trPr>
          <w:trHeight w:val="1266"/>
        </w:trPr>
        <w:tc>
          <w:tcPr>
            <w:tcW w:w="9288" w:type="dxa"/>
          </w:tcPr>
          <w:p w:rsidR="0022392C" w:rsidRPr="00E67BE5" w:rsidRDefault="0022392C" w:rsidP="0022392C">
            <w:pPr>
              <w:rPr>
                <w:b/>
              </w:rPr>
            </w:pPr>
            <w:r w:rsidRPr="00E67BE5">
              <w:rPr>
                <w:b/>
              </w:rPr>
              <w:t>Závěr</w:t>
            </w:r>
          </w:p>
          <w:p w:rsidR="0022392C" w:rsidRPr="00F54688" w:rsidRDefault="00D102D5" w:rsidP="008C57FB">
            <w:r>
              <w:t xml:space="preserve">Habilitační práce </w:t>
            </w:r>
            <w:r w:rsidR="002D1761">
              <w:t xml:space="preserve">PhDr. Věry </w:t>
            </w:r>
            <w:proofErr w:type="spellStart"/>
            <w:r w:rsidR="002D1761">
              <w:t>Stojarové</w:t>
            </w:r>
            <w:proofErr w:type="spellEnd"/>
            <w:r w:rsidR="005116B8">
              <w:t>, Ph.D.</w:t>
            </w:r>
            <w:r>
              <w:t xml:space="preserve"> „</w:t>
            </w:r>
            <w:proofErr w:type="spellStart"/>
            <w:r w:rsidR="002D1761">
              <w:t>The</w:t>
            </w:r>
            <w:proofErr w:type="spellEnd"/>
            <w:r w:rsidR="002D1761">
              <w:t xml:space="preserve"> Far </w:t>
            </w:r>
            <w:proofErr w:type="spellStart"/>
            <w:r w:rsidR="002D1761">
              <w:t>Right</w:t>
            </w:r>
            <w:proofErr w:type="spellEnd"/>
            <w:r w:rsidR="002D1761">
              <w:t xml:space="preserve"> in </w:t>
            </w:r>
            <w:proofErr w:type="spellStart"/>
            <w:r w:rsidR="002D1761">
              <w:t>Selected</w:t>
            </w:r>
            <w:proofErr w:type="spellEnd"/>
            <w:r w:rsidR="002D1761">
              <w:t xml:space="preserve"> </w:t>
            </w:r>
            <w:proofErr w:type="spellStart"/>
            <w:r w:rsidR="002D1761">
              <w:t>Balkan</w:t>
            </w:r>
            <w:proofErr w:type="spellEnd"/>
            <w:r w:rsidR="002D1761">
              <w:t xml:space="preserve"> </w:t>
            </w:r>
            <w:proofErr w:type="spellStart"/>
            <w:r w:rsidR="002D1761">
              <w:t>countries</w:t>
            </w:r>
            <w:proofErr w:type="spellEnd"/>
            <w:r w:rsidR="002D1761">
              <w:t>“</w:t>
            </w:r>
            <w:r>
              <w:t xml:space="preserve"> </w:t>
            </w:r>
            <w:r w:rsidRPr="00E67BE5">
              <w:rPr>
                <w:b/>
                <w:i/>
              </w:rPr>
              <w:t>splňuje</w:t>
            </w:r>
            <w:r w:rsidR="005116B8" w:rsidRPr="00E67BE5">
              <w:rPr>
                <w:b/>
                <w:i/>
              </w:rPr>
              <w:t xml:space="preserve"> </w:t>
            </w:r>
            <w:r>
              <w:t>požadavky standardně kladené na habilitační práce v</w:t>
            </w:r>
            <w:r w:rsidR="002D1761">
              <w:t> </w:t>
            </w:r>
            <w:r>
              <w:t>oboru</w:t>
            </w:r>
            <w:r w:rsidR="002D1761">
              <w:t xml:space="preserve"> politologie</w:t>
            </w:r>
            <w:r>
              <w:t xml:space="preserve"> </w:t>
            </w:r>
            <w:proofErr w:type="gramStart"/>
            <w:r>
              <w:t>na MU</w:t>
            </w:r>
            <w:r w:rsidR="000C3FC4">
              <w:t>.</w:t>
            </w:r>
            <w:proofErr w:type="gramEnd"/>
            <w:r w:rsidR="00F54688" w:rsidRPr="00F54688">
              <w:t xml:space="preserve"> </w:t>
            </w:r>
          </w:p>
        </w:tc>
      </w:tr>
    </w:tbl>
    <w:p w:rsidR="0022392C" w:rsidRPr="00F54688" w:rsidRDefault="0022392C" w:rsidP="0022392C">
      <w:pPr>
        <w:rPr>
          <w:rFonts w:ascii="Arial" w:hAnsi="Arial" w:cs="Arial"/>
          <w:b/>
        </w:rPr>
      </w:pPr>
    </w:p>
    <w:p w:rsidR="0022392C" w:rsidRPr="00F54688" w:rsidRDefault="0022392C" w:rsidP="0022392C">
      <w:pPr>
        <w:rPr>
          <w:rFonts w:ascii="Arial" w:hAnsi="Arial" w:cs="Arial"/>
          <w:b/>
        </w:rPr>
      </w:pPr>
    </w:p>
    <w:p w:rsidR="0022392C" w:rsidRDefault="0022392C" w:rsidP="0022392C">
      <w:pPr>
        <w:rPr>
          <w:rFonts w:ascii="Arial" w:hAnsi="Arial" w:cs="Arial"/>
          <w:b/>
        </w:rPr>
      </w:pPr>
    </w:p>
    <w:p w:rsidR="0022392C" w:rsidRDefault="00E67BE5" w:rsidP="008C57FB">
      <w:pPr>
        <w:tabs>
          <w:tab w:val="left" w:pos="5040"/>
        </w:tabs>
      </w:pPr>
      <w:r>
        <w:t>V</w:t>
      </w:r>
      <w:r w:rsidR="00181AE8">
        <w:t xml:space="preserve"> </w:t>
      </w:r>
      <w:r w:rsidR="00A90431">
        <w:t>Plzni</w:t>
      </w:r>
      <w:r w:rsidR="00E17145">
        <w:t>,</w:t>
      </w:r>
      <w:r w:rsidR="00DB2D95">
        <w:t xml:space="preserve"> dne</w:t>
      </w:r>
      <w:r w:rsidR="008C57FB">
        <w:t xml:space="preserve"> 10. Března 2011 </w:t>
      </w:r>
      <w:r w:rsidR="00DB2D95">
        <w:t xml:space="preserve"> </w:t>
      </w:r>
      <w:r w:rsidR="000130BC">
        <w:t xml:space="preserve"> </w:t>
      </w:r>
      <w:r w:rsidR="00A61242">
        <w:tab/>
      </w:r>
      <w:r w:rsidR="00A90431">
        <w:t xml:space="preserve">doc. PhDr. Ladislav </w:t>
      </w:r>
      <w:proofErr w:type="spellStart"/>
      <w:r w:rsidR="00A90431">
        <w:t>Cabada</w:t>
      </w:r>
      <w:proofErr w:type="spellEnd"/>
      <w:r w:rsidR="00A90431">
        <w:t>, Ph.D.</w:t>
      </w:r>
    </w:p>
    <w:sectPr w:rsidR="0022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F7796"/>
    <w:multiLevelType w:val="hybridMultilevel"/>
    <w:tmpl w:val="3A261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6D15BD"/>
    <w:multiLevelType w:val="hybridMultilevel"/>
    <w:tmpl w:val="5DA622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2C"/>
    <w:rsid w:val="000130BC"/>
    <w:rsid w:val="00014507"/>
    <w:rsid w:val="00016E86"/>
    <w:rsid w:val="0005370C"/>
    <w:rsid w:val="00056B80"/>
    <w:rsid w:val="000C1A0F"/>
    <w:rsid w:val="000C3FC4"/>
    <w:rsid w:val="000C77D1"/>
    <w:rsid w:val="000D3B08"/>
    <w:rsid w:val="000E1C96"/>
    <w:rsid w:val="000F0717"/>
    <w:rsid w:val="001277F8"/>
    <w:rsid w:val="001710A5"/>
    <w:rsid w:val="00181AE8"/>
    <w:rsid w:val="00182037"/>
    <w:rsid w:val="0019008F"/>
    <w:rsid w:val="001B72EA"/>
    <w:rsid w:val="001C1B89"/>
    <w:rsid w:val="001E5886"/>
    <w:rsid w:val="002068C6"/>
    <w:rsid w:val="002072E5"/>
    <w:rsid w:val="0022392C"/>
    <w:rsid w:val="0022394C"/>
    <w:rsid w:val="002D1761"/>
    <w:rsid w:val="00307E86"/>
    <w:rsid w:val="00335F75"/>
    <w:rsid w:val="00351CB4"/>
    <w:rsid w:val="0035776B"/>
    <w:rsid w:val="003703D3"/>
    <w:rsid w:val="003D44F4"/>
    <w:rsid w:val="003D6E4A"/>
    <w:rsid w:val="004147B4"/>
    <w:rsid w:val="00415796"/>
    <w:rsid w:val="00415B48"/>
    <w:rsid w:val="0042620A"/>
    <w:rsid w:val="00431E8F"/>
    <w:rsid w:val="004368E2"/>
    <w:rsid w:val="0043700C"/>
    <w:rsid w:val="004401FB"/>
    <w:rsid w:val="0044233D"/>
    <w:rsid w:val="004616CF"/>
    <w:rsid w:val="00463388"/>
    <w:rsid w:val="0048731C"/>
    <w:rsid w:val="004A22DA"/>
    <w:rsid w:val="004D063D"/>
    <w:rsid w:val="004E3918"/>
    <w:rsid w:val="005116B8"/>
    <w:rsid w:val="005209AD"/>
    <w:rsid w:val="00565B6C"/>
    <w:rsid w:val="005818F5"/>
    <w:rsid w:val="005A6DED"/>
    <w:rsid w:val="005A7F49"/>
    <w:rsid w:val="005F6085"/>
    <w:rsid w:val="00610651"/>
    <w:rsid w:val="0061547D"/>
    <w:rsid w:val="006216A9"/>
    <w:rsid w:val="00635638"/>
    <w:rsid w:val="006738F2"/>
    <w:rsid w:val="006A1D68"/>
    <w:rsid w:val="006A6427"/>
    <w:rsid w:val="006B5BC2"/>
    <w:rsid w:val="006C3746"/>
    <w:rsid w:val="006E2302"/>
    <w:rsid w:val="00706940"/>
    <w:rsid w:val="00726E96"/>
    <w:rsid w:val="00743193"/>
    <w:rsid w:val="00753F13"/>
    <w:rsid w:val="007A3399"/>
    <w:rsid w:val="007C4522"/>
    <w:rsid w:val="007E571D"/>
    <w:rsid w:val="007E73E8"/>
    <w:rsid w:val="007F51CB"/>
    <w:rsid w:val="007F7A05"/>
    <w:rsid w:val="00863B15"/>
    <w:rsid w:val="00884A0E"/>
    <w:rsid w:val="008C57FB"/>
    <w:rsid w:val="008D53A4"/>
    <w:rsid w:val="008D66DE"/>
    <w:rsid w:val="008E2E17"/>
    <w:rsid w:val="0090426C"/>
    <w:rsid w:val="00905161"/>
    <w:rsid w:val="00927D12"/>
    <w:rsid w:val="00960110"/>
    <w:rsid w:val="009674AD"/>
    <w:rsid w:val="009A71CA"/>
    <w:rsid w:val="009B0D6E"/>
    <w:rsid w:val="009B4001"/>
    <w:rsid w:val="009C69C0"/>
    <w:rsid w:val="009D7F39"/>
    <w:rsid w:val="009E0F2E"/>
    <w:rsid w:val="00A34A4E"/>
    <w:rsid w:val="00A4176D"/>
    <w:rsid w:val="00A51D4D"/>
    <w:rsid w:val="00A53B69"/>
    <w:rsid w:val="00A61242"/>
    <w:rsid w:val="00A72919"/>
    <w:rsid w:val="00A81BF2"/>
    <w:rsid w:val="00A90431"/>
    <w:rsid w:val="00AA10D4"/>
    <w:rsid w:val="00AB7908"/>
    <w:rsid w:val="00AD42A8"/>
    <w:rsid w:val="00AF4561"/>
    <w:rsid w:val="00AF6D04"/>
    <w:rsid w:val="00B570D6"/>
    <w:rsid w:val="00BA165A"/>
    <w:rsid w:val="00BA6088"/>
    <w:rsid w:val="00BE68E3"/>
    <w:rsid w:val="00BF062D"/>
    <w:rsid w:val="00C014C7"/>
    <w:rsid w:val="00C51CB1"/>
    <w:rsid w:val="00C53C3B"/>
    <w:rsid w:val="00C61792"/>
    <w:rsid w:val="00C77F17"/>
    <w:rsid w:val="00CC6560"/>
    <w:rsid w:val="00CE535B"/>
    <w:rsid w:val="00D102D5"/>
    <w:rsid w:val="00D23B02"/>
    <w:rsid w:val="00D2451E"/>
    <w:rsid w:val="00DA0A9A"/>
    <w:rsid w:val="00DA29E5"/>
    <w:rsid w:val="00DB2D95"/>
    <w:rsid w:val="00DE0089"/>
    <w:rsid w:val="00DE117E"/>
    <w:rsid w:val="00DF2DAD"/>
    <w:rsid w:val="00DF36E5"/>
    <w:rsid w:val="00E04456"/>
    <w:rsid w:val="00E17145"/>
    <w:rsid w:val="00E2655F"/>
    <w:rsid w:val="00E31568"/>
    <w:rsid w:val="00E4529F"/>
    <w:rsid w:val="00E47A06"/>
    <w:rsid w:val="00E54447"/>
    <w:rsid w:val="00E60FAA"/>
    <w:rsid w:val="00E63121"/>
    <w:rsid w:val="00E671BA"/>
    <w:rsid w:val="00E67BE5"/>
    <w:rsid w:val="00EA2526"/>
    <w:rsid w:val="00ED463C"/>
    <w:rsid w:val="00EF5712"/>
    <w:rsid w:val="00F20E1E"/>
    <w:rsid w:val="00F2311C"/>
    <w:rsid w:val="00F24DCD"/>
    <w:rsid w:val="00F4492F"/>
    <w:rsid w:val="00F54688"/>
    <w:rsid w:val="00F72CB0"/>
    <w:rsid w:val="00F8046C"/>
    <w:rsid w:val="00F82450"/>
    <w:rsid w:val="00F85B0A"/>
    <w:rsid w:val="00FB7444"/>
    <w:rsid w:val="00FC0E3B"/>
    <w:rsid w:val="00FD6C89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392C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223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3">
    <w:name w:val="ff3"/>
    <w:basedOn w:val="Standardnpsmoodstavce"/>
    <w:rsid w:val="002D1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392C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223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3">
    <w:name w:val="ff3"/>
    <w:basedOn w:val="Standardnpsmoodstavce"/>
    <w:rsid w:val="002D1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Příloha 6: Posudek oponenta habilitační práce</vt:lpstr>
      <vt:lpstr>Příloha 6: Posudek oponenta habilitační práce</vt:lpstr>
    </vt:vector>
  </TitlesOfParts>
  <Company>utfa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6: Posudek oponenta habilitační práce</dc:title>
  <dc:creator>utfa</dc:creator>
  <cp:lastModifiedBy>Cabada</cp:lastModifiedBy>
  <cp:revision>2</cp:revision>
  <cp:lastPrinted>2009-12-10T13:29:00Z</cp:lastPrinted>
  <dcterms:created xsi:type="dcterms:W3CDTF">2011-03-10T13:18:00Z</dcterms:created>
  <dcterms:modified xsi:type="dcterms:W3CDTF">2011-03-10T13:18:00Z</dcterms:modified>
</cp:coreProperties>
</file>