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66" w:rsidRPr="00E21F46" w:rsidRDefault="00DF191F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>Annex</w:t>
      </w:r>
      <w:r w:rsidR="00D93666" w:rsidRPr="00E21F46">
        <w:rPr>
          <w:rFonts w:ascii="Arial" w:hAnsi="Arial" w:cs="Arial"/>
          <w:b/>
        </w:rPr>
        <w:t xml:space="preserve"> 2: </w:t>
      </w:r>
      <w:r w:rsidRPr="00E21F46">
        <w:rPr>
          <w:rFonts w:ascii="Arial" w:hAnsi="Arial" w:cs="Arial"/>
          <w:b/>
        </w:rPr>
        <w:t xml:space="preserve">List of </w:t>
      </w:r>
      <w:r w:rsidR="00795D63" w:rsidRPr="00E21F46">
        <w:rPr>
          <w:rFonts w:ascii="Arial" w:hAnsi="Arial" w:cs="Arial"/>
          <w:b/>
        </w:rPr>
        <w:t xml:space="preserve">scholarly, </w:t>
      </w:r>
      <w:r w:rsidR="006544B1" w:rsidRPr="00E21F46">
        <w:rPr>
          <w:rFonts w:ascii="Arial" w:hAnsi="Arial" w:cs="Arial"/>
          <w:b/>
        </w:rPr>
        <w:t xml:space="preserve">scientific and artistic works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>a) Monogra</w:t>
      </w:r>
      <w:r w:rsidR="006544B1" w:rsidRPr="00E21F46">
        <w:rPr>
          <w:rFonts w:ascii="Arial" w:hAnsi="Arial" w:cs="Arial"/>
          <w:b/>
        </w:rPr>
        <w:t>phs</w:t>
      </w:r>
      <w:r w:rsidRPr="00E21F46">
        <w:rPr>
          <w:rFonts w:ascii="Arial" w:hAnsi="Arial" w:cs="Arial"/>
          <w:b/>
        </w:rPr>
        <w:t xml:space="preserve">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b) </w:t>
      </w:r>
      <w:r w:rsidR="006544B1" w:rsidRPr="00E21F46">
        <w:rPr>
          <w:rFonts w:ascii="Arial" w:hAnsi="Arial" w:cs="Arial"/>
          <w:b/>
        </w:rPr>
        <w:t xml:space="preserve">Chapters in monographs </w:t>
      </w:r>
    </w:p>
    <w:p w:rsidR="001A34CC" w:rsidRPr="00E21F46" w:rsidRDefault="001A34CC" w:rsidP="00D93666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92"/>
        <w:gridCol w:w="7229"/>
        <w:gridCol w:w="676"/>
        <w:gridCol w:w="849"/>
      </w:tblGrid>
      <w:tr w:rsidR="00274D7E" w:rsidRPr="00E21F46" w:rsidTr="00274D7E">
        <w:tc>
          <w:tcPr>
            <w:tcW w:w="392" w:type="dxa"/>
          </w:tcPr>
          <w:p w:rsidR="00796C74" w:rsidRPr="00E21F46" w:rsidRDefault="00796C74" w:rsidP="00274D7E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</w:t>
            </w:r>
          </w:p>
        </w:tc>
        <w:tc>
          <w:tcPr>
            <w:tcW w:w="7229" w:type="dxa"/>
          </w:tcPr>
          <w:p w:rsidR="00796C74" w:rsidRPr="00E21F46" w:rsidRDefault="00796C74" w:rsidP="00274D7E">
            <w:pPr>
              <w:spacing w:before="120" w:after="120"/>
              <w:ind w:left="-108"/>
              <w:jc w:val="both"/>
              <w:outlineLvl w:val="0"/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</w:rPr>
              <w:t xml:space="preserve">Winkler P, </w:t>
            </w:r>
            <w:proofErr w:type="spellStart"/>
            <w:r w:rsidRPr="00E21F46">
              <w:rPr>
                <w:rFonts w:ascii="Arial" w:hAnsi="Arial" w:cs="Arial"/>
              </w:rPr>
              <w:t>Siedlecki</w:t>
            </w:r>
            <w:proofErr w:type="spellEnd"/>
            <w:r w:rsidRPr="00E21F46">
              <w:rPr>
                <w:rFonts w:ascii="Arial" w:hAnsi="Arial" w:cs="Arial"/>
              </w:rPr>
              <w:t xml:space="preserve"> Z, </w:t>
            </w:r>
            <w:proofErr w:type="spellStart"/>
            <w:r w:rsidRPr="00E21F46">
              <w:rPr>
                <w:rFonts w:ascii="Arial" w:hAnsi="Arial" w:cs="Arial"/>
              </w:rPr>
              <w:t>Beuth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Nowacka</w:t>
            </w:r>
            <w:proofErr w:type="spellEnd"/>
            <w:r w:rsidRPr="00E21F46">
              <w:rPr>
                <w:rFonts w:ascii="Arial" w:hAnsi="Arial" w:cs="Arial"/>
              </w:rPr>
              <w:t xml:space="preserve"> K, </w:t>
            </w:r>
            <w:proofErr w:type="spellStart"/>
            <w:r w:rsidRPr="00E21F46">
              <w:rPr>
                <w:rFonts w:ascii="Arial" w:hAnsi="Arial" w:cs="Arial"/>
              </w:rPr>
              <w:t>Ploceinniczak</w:t>
            </w:r>
            <w:proofErr w:type="spellEnd"/>
            <w:r w:rsidRPr="00E21F46">
              <w:rPr>
                <w:rFonts w:ascii="Arial" w:hAnsi="Arial" w:cs="Arial"/>
              </w:rPr>
              <w:t xml:space="preserve"> L, </w:t>
            </w:r>
            <w:proofErr w:type="spellStart"/>
            <w:r w:rsidRPr="00E21F46">
              <w:rPr>
                <w:rFonts w:ascii="Arial" w:hAnsi="Arial" w:cs="Arial"/>
              </w:rPr>
              <w:t>Nowacka</w:t>
            </w:r>
            <w:proofErr w:type="spellEnd"/>
            <w:r w:rsidRPr="00E21F46">
              <w:rPr>
                <w:rFonts w:ascii="Arial" w:hAnsi="Arial" w:cs="Arial"/>
              </w:rPr>
              <w:t xml:space="preserve"> A, </w:t>
            </w:r>
            <w:proofErr w:type="spellStart"/>
            <w:r w:rsidRPr="00E21F46">
              <w:rPr>
                <w:rFonts w:ascii="Arial" w:hAnsi="Arial" w:cs="Arial"/>
              </w:rPr>
              <w:t>Hagner-Derengowska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Wiacek-Zubrzycka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Borkowska</w:t>
            </w:r>
            <w:proofErr w:type="spellEnd"/>
            <w:r w:rsidRPr="00E21F46">
              <w:rPr>
                <w:rFonts w:ascii="Arial" w:hAnsi="Arial" w:cs="Arial"/>
              </w:rPr>
              <w:t xml:space="preserve"> A, </w:t>
            </w:r>
            <w:proofErr w:type="spellStart"/>
            <w:r w:rsidRPr="00E21F46">
              <w:rPr>
                <w:rFonts w:ascii="Arial" w:hAnsi="Arial" w:cs="Arial"/>
              </w:rPr>
              <w:t>Jaracz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Cyrankiewicz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Krupa</w:t>
            </w:r>
            <w:proofErr w:type="spellEnd"/>
            <w:r w:rsidRPr="00E21F46">
              <w:rPr>
                <w:rFonts w:ascii="Arial" w:hAnsi="Arial" w:cs="Arial"/>
              </w:rPr>
              <w:t xml:space="preserve"> P, </w:t>
            </w:r>
            <w:proofErr w:type="spellStart"/>
            <w:r w:rsidRPr="00E21F46">
              <w:rPr>
                <w:rFonts w:ascii="Arial" w:hAnsi="Arial" w:cs="Arial"/>
              </w:rPr>
              <w:t>Kusza</w:t>
            </w:r>
            <w:proofErr w:type="spellEnd"/>
            <w:r w:rsidRPr="00E21F46">
              <w:rPr>
                <w:rFonts w:ascii="Arial" w:hAnsi="Arial" w:cs="Arial"/>
              </w:rPr>
              <w:t xml:space="preserve"> K. 2010 Early outcome and rehabilitation results of patients with brain tumors treated surgically under </w:t>
            </w:r>
            <w:proofErr w:type="spellStart"/>
            <w:r w:rsidRPr="00E21F46">
              <w:rPr>
                <w:rFonts w:ascii="Arial" w:hAnsi="Arial" w:cs="Arial"/>
              </w:rPr>
              <w:t>itraoperative</w:t>
            </w:r>
            <w:proofErr w:type="spellEnd"/>
            <w:r w:rsidRPr="00E21F46">
              <w:rPr>
                <w:rFonts w:ascii="Arial" w:hAnsi="Arial" w:cs="Arial"/>
              </w:rPr>
              <w:t xml:space="preserve"> awake conditions. In: Neurosurgery- advances in therapy, nursing and rehabilitation. Eds. </w:t>
            </w:r>
            <w:proofErr w:type="spellStart"/>
            <w:r w:rsidRPr="00E21F46">
              <w:rPr>
                <w:rFonts w:ascii="Arial" w:hAnsi="Arial" w:cs="Arial"/>
              </w:rPr>
              <w:t>Kotwica</w:t>
            </w:r>
            <w:proofErr w:type="spellEnd"/>
            <w:r w:rsidRPr="00E21F46">
              <w:rPr>
                <w:rFonts w:ascii="Arial" w:hAnsi="Arial" w:cs="Arial"/>
              </w:rPr>
              <w:t xml:space="preserve"> Z. </w:t>
            </w:r>
            <w:r w:rsidR="0082077F" w:rsidRPr="00E21F46">
              <w:rPr>
                <w:rFonts w:ascii="Arial" w:hAnsi="Arial" w:cs="Arial"/>
              </w:rPr>
              <w:t xml:space="preserve"> </w:t>
            </w:r>
            <w:proofErr w:type="spellStart"/>
            <w:r w:rsidR="0082077F" w:rsidRPr="00E21F46">
              <w:rPr>
                <w:rFonts w:ascii="Arial" w:hAnsi="Arial" w:cs="Arial"/>
              </w:rPr>
              <w:t>Bygdoszcz</w:t>
            </w:r>
            <w:proofErr w:type="spellEnd"/>
            <w:r w:rsidR="0082077F" w:rsidRPr="00E21F46">
              <w:rPr>
                <w:rFonts w:ascii="Arial" w:hAnsi="Arial" w:cs="Arial"/>
              </w:rPr>
              <w:t>, Poland</w:t>
            </w:r>
          </w:p>
        </w:tc>
        <w:tc>
          <w:tcPr>
            <w:tcW w:w="676" w:type="dxa"/>
            <w:vAlign w:val="center"/>
          </w:tcPr>
          <w:p w:rsidR="00796C74" w:rsidRPr="00E21F46" w:rsidRDefault="00796C74" w:rsidP="00274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N/L</w:t>
            </w:r>
          </w:p>
        </w:tc>
        <w:tc>
          <w:tcPr>
            <w:tcW w:w="849" w:type="dxa"/>
            <w:vAlign w:val="center"/>
          </w:tcPr>
          <w:p w:rsidR="00796C74" w:rsidRPr="00E21F46" w:rsidRDefault="00796C74" w:rsidP="00274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  <w:tr w:rsidR="00274D7E" w:rsidRPr="00E21F46" w:rsidTr="00274D7E">
        <w:tc>
          <w:tcPr>
            <w:tcW w:w="392" w:type="dxa"/>
          </w:tcPr>
          <w:p w:rsidR="00796C74" w:rsidRPr="00E21F46" w:rsidRDefault="00796C74" w:rsidP="00274D7E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2</w:t>
            </w:r>
          </w:p>
        </w:tc>
        <w:tc>
          <w:tcPr>
            <w:tcW w:w="7229" w:type="dxa"/>
          </w:tcPr>
          <w:p w:rsidR="00796C74" w:rsidRPr="00E21F46" w:rsidRDefault="00796C74" w:rsidP="00274D7E">
            <w:pPr>
              <w:spacing w:before="120" w:after="120"/>
              <w:ind w:left="-108"/>
              <w:jc w:val="both"/>
              <w:rPr>
                <w:rFonts w:ascii="Arial" w:hAnsi="Arial" w:cs="Arial"/>
                <w:b/>
              </w:rPr>
            </w:pPr>
            <w:proofErr w:type="spellStart"/>
            <w:r w:rsidRPr="00E21F46">
              <w:rPr>
                <w:rFonts w:ascii="Arial" w:hAnsi="Arial" w:cs="Arial"/>
              </w:rPr>
              <w:t>Pospiech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Nowacka</w:t>
            </w:r>
            <w:proofErr w:type="spellEnd"/>
            <w:r w:rsidRPr="00E21F46">
              <w:rPr>
                <w:rFonts w:ascii="Arial" w:hAnsi="Arial" w:cs="Arial"/>
              </w:rPr>
              <w:t xml:space="preserve"> K, </w:t>
            </w:r>
            <w:proofErr w:type="spellStart"/>
            <w:r w:rsidRPr="00E21F46">
              <w:rPr>
                <w:rFonts w:ascii="Arial" w:hAnsi="Arial" w:cs="Arial"/>
              </w:rPr>
              <w:t>Sasinowska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Glowacka</w:t>
            </w:r>
            <w:proofErr w:type="spellEnd"/>
            <w:r w:rsidRPr="00E21F46">
              <w:rPr>
                <w:rFonts w:ascii="Arial" w:hAnsi="Arial" w:cs="Arial"/>
              </w:rPr>
              <w:t xml:space="preserve"> I, </w:t>
            </w:r>
            <w:proofErr w:type="spellStart"/>
            <w:r w:rsidRPr="00E21F46">
              <w:rPr>
                <w:rFonts w:ascii="Arial" w:hAnsi="Arial" w:cs="Arial"/>
              </w:rPr>
              <w:t>Winklerm</w:t>
            </w:r>
            <w:proofErr w:type="spellEnd"/>
            <w:r w:rsidRPr="00E21F46">
              <w:rPr>
                <w:rFonts w:ascii="Arial" w:hAnsi="Arial" w:cs="Arial"/>
              </w:rPr>
              <w:t xml:space="preserve"> P, </w:t>
            </w:r>
            <w:proofErr w:type="spellStart"/>
            <w:r w:rsidRPr="00E21F46">
              <w:rPr>
                <w:rFonts w:ascii="Arial" w:hAnsi="Arial" w:cs="Arial"/>
              </w:rPr>
              <w:t>Wiacek-Zubrzycka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Hagner-Derengowska</w:t>
            </w:r>
            <w:proofErr w:type="spellEnd"/>
            <w:r w:rsidRPr="00E21F46">
              <w:rPr>
                <w:rFonts w:ascii="Arial" w:hAnsi="Arial" w:cs="Arial"/>
              </w:rPr>
              <w:t xml:space="preserve"> M. 2010 Selected Music Forms of Wolfgang Amadeus Mozart as an elimination agent of stress in patients with paraplegia, during hospitalization. In: Neurosurgery- advances in therapy, nursing and rehabilitation. Eds. </w:t>
            </w:r>
            <w:proofErr w:type="spellStart"/>
            <w:r w:rsidRPr="00E21F46">
              <w:rPr>
                <w:rFonts w:ascii="Arial" w:hAnsi="Arial" w:cs="Arial"/>
              </w:rPr>
              <w:t>Kotwica</w:t>
            </w:r>
            <w:proofErr w:type="spellEnd"/>
            <w:r w:rsidRPr="00E21F46">
              <w:rPr>
                <w:rFonts w:ascii="Arial" w:hAnsi="Arial" w:cs="Arial"/>
              </w:rPr>
              <w:t xml:space="preserve"> Z.</w:t>
            </w:r>
            <w:r w:rsidR="0082077F" w:rsidRPr="00E21F46">
              <w:rPr>
                <w:rFonts w:ascii="Arial" w:hAnsi="Arial" w:cs="Arial"/>
              </w:rPr>
              <w:t xml:space="preserve"> </w:t>
            </w:r>
            <w:proofErr w:type="spellStart"/>
            <w:r w:rsidR="0082077F" w:rsidRPr="00E21F46">
              <w:rPr>
                <w:rFonts w:ascii="Arial" w:hAnsi="Arial" w:cs="Arial"/>
              </w:rPr>
              <w:t>Bygdoszcz</w:t>
            </w:r>
            <w:proofErr w:type="spellEnd"/>
            <w:r w:rsidR="0082077F" w:rsidRPr="00E21F46">
              <w:rPr>
                <w:rFonts w:ascii="Arial" w:hAnsi="Arial" w:cs="Arial"/>
              </w:rPr>
              <w:t>, Poland</w:t>
            </w:r>
          </w:p>
        </w:tc>
        <w:tc>
          <w:tcPr>
            <w:tcW w:w="676" w:type="dxa"/>
            <w:vAlign w:val="center"/>
          </w:tcPr>
          <w:p w:rsidR="00796C74" w:rsidRPr="00E21F46" w:rsidRDefault="00796C74" w:rsidP="00274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N/L</w:t>
            </w:r>
          </w:p>
        </w:tc>
        <w:tc>
          <w:tcPr>
            <w:tcW w:w="849" w:type="dxa"/>
            <w:vAlign w:val="center"/>
          </w:tcPr>
          <w:p w:rsidR="00796C74" w:rsidRPr="00E21F46" w:rsidRDefault="00796C74" w:rsidP="00274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  <w:tr w:rsidR="00274D7E" w:rsidRPr="00E21F46" w:rsidTr="00274D7E">
        <w:tc>
          <w:tcPr>
            <w:tcW w:w="392" w:type="dxa"/>
          </w:tcPr>
          <w:p w:rsidR="00796C74" w:rsidRPr="00E21F46" w:rsidRDefault="00796C74" w:rsidP="00274D7E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3</w:t>
            </w:r>
          </w:p>
        </w:tc>
        <w:tc>
          <w:tcPr>
            <w:tcW w:w="7229" w:type="dxa"/>
          </w:tcPr>
          <w:p w:rsidR="00796C74" w:rsidRPr="00E21F46" w:rsidRDefault="00796C74" w:rsidP="00274D7E">
            <w:pPr>
              <w:spacing w:before="120" w:after="120"/>
              <w:ind w:left="-108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E21F46">
              <w:rPr>
                <w:rFonts w:ascii="Arial" w:hAnsi="Arial" w:cs="Arial"/>
              </w:rPr>
              <w:t>Glowacka</w:t>
            </w:r>
            <w:proofErr w:type="spellEnd"/>
            <w:r w:rsidRPr="00E21F46">
              <w:rPr>
                <w:rFonts w:ascii="Arial" w:hAnsi="Arial" w:cs="Arial"/>
              </w:rPr>
              <w:t xml:space="preserve"> I, </w:t>
            </w:r>
            <w:proofErr w:type="spellStart"/>
            <w:r w:rsidRPr="00E21F46">
              <w:rPr>
                <w:rFonts w:ascii="Arial" w:hAnsi="Arial" w:cs="Arial"/>
              </w:rPr>
              <w:t>Nowacak</w:t>
            </w:r>
            <w:proofErr w:type="spellEnd"/>
            <w:r w:rsidRPr="00E21F46">
              <w:rPr>
                <w:rFonts w:ascii="Arial" w:hAnsi="Arial" w:cs="Arial"/>
              </w:rPr>
              <w:t xml:space="preserve"> K, hanger W, </w:t>
            </w:r>
            <w:proofErr w:type="spellStart"/>
            <w:r w:rsidRPr="00E21F46">
              <w:rPr>
                <w:rFonts w:ascii="Arial" w:hAnsi="Arial" w:cs="Arial"/>
              </w:rPr>
              <w:t>Kotwica</w:t>
            </w:r>
            <w:proofErr w:type="spellEnd"/>
            <w:r w:rsidRPr="00E21F46">
              <w:rPr>
                <w:rFonts w:ascii="Arial" w:hAnsi="Arial" w:cs="Arial"/>
              </w:rPr>
              <w:t xml:space="preserve"> Z, </w:t>
            </w:r>
            <w:proofErr w:type="spellStart"/>
            <w:r w:rsidRPr="00E21F46">
              <w:rPr>
                <w:rFonts w:ascii="Arial" w:hAnsi="Arial" w:cs="Arial"/>
              </w:rPr>
              <w:t>Sasinowska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Siedlecki</w:t>
            </w:r>
            <w:proofErr w:type="spellEnd"/>
            <w:r w:rsidRPr="00E21F46">
              <w:rPr>
                <w:rFonts w:ascii="Arial" w:hAnsi="Arial" w:cs="Arial"/>
              </w:rPr>
              <w:t xml:space="preserve"> Z, </w:t>
            </w:r>
            <w:proofErr w:type="spellStart"/>
            <w:r w:rsidRPr="00E21F46">
              <w:rPr>
                <w:rFonts w:ascii="Arial" w:hAnsi="Arial" w:cs="Arial"/>
              </w:rPr>
              <w:t>Wiacek-Zubrzycka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Hagner-Derengowska</w:t>
            </w:r>
            <w:proofErr w:type="spellEnd"/>
            <w:r w:rsidRPr="00E21F46">
              <w:rPr>
                <w:rFonts w:ascii="Arial" w:hAnsi="Arial" w:cs="Arial"/>
              </w:rPr>
              <w:t xml:space="preserve"> M</w:t>
            </w:r>
            <w:r w:rsidR="0082077F" w:rsidRPr="00E21F46">
              <w:rPr>
                <w:rFonts w:ascii="Arial" w:hAnsi="Arial" w:cs="Arial"/>
              </w:rPr>
              <w:t>.</w:t>
            </w:r>
            <w:r w:rsidRPr="00E21F46">
              <w:rPr>
                <w:rFonts w:ascii="Arial" w:hAnsi="Arial" w:cs="Arial"/>
              </w:rPr>
              <w:t xml:space="preserve"> 2010 Value of an early rehabilitation after ischemic cerebral stroke. In: Neurosurgery- advances in therapy, nursing and rehabilitation. Eds. </w:t>
            </w:r>
            <w:proofErr w:type="spellStart"/>
            <w:r w:rsidRPr="00E21F46">
              <w:rPr>
                <w:rFonts w:ascii="Arial" w:hAnsi="Arial" w:cs="Arial"/>
              </w:rPr>
              <w:t>Kotwica</w:t>
            </w:r>
            <w:proofErr w:type="spellEnd"/>
            <w:r w:rsidRPr="00E21F46">
              <w:rPr>
                <w:rFonts w:ascii="Arial" w:hAnsi="Arial" w:cs="Arial"/>
              </w:rPr>
              <w:t xml:space="preserve"> Z</w:t>
            </w:r>
            <w:r w:rsidR="0082077F" w:rsidRPr="00E21F46">
              <w:rPr>
                <w:rFonts w:ascii="Arial" w:hAnsi="Arial" w:cs="Arial"/>
              </w:rPr>
              <w:t xml:space="preserve">. </w:t>
            </w:r>
            <w:proofErr w:type="spellStart"/>
            <w:r w:rsidR="0082077F" w:rsidRPr="00E21F46">
              <w:rPr>
                <w:rFonts w:ascii="Arial" w:hAnsi="Arial" w:cs="Arial"/>
              </w:rPr>
              <w:t>Bygdoszcz</w:t>
            </w:r>
            <w:proofErr w:type="spellEnd"/>
            <w:r w:rsidR="0082077F" w:rsidRPr="00E21F46">
              <w:rPr>
                <w:rFonts w:ascii="Arial" w:hAnsi="Arial" w:cs="Arial"/>
              </w:rPr>
              <w:t>, Poland</w:t>
            </w:r>
          </w:p>
        </w:tc>
        <w:tc>
          <w:tcPr>
            <w:tcW w:w="676" w:type="dxa"/>
            <w:vAlign w:val="center"/>
          </w:tcPr>
          <w:p w:rsidR="00796C74" w:rsidRPr="00E21F46" w:rsidRDefault="00796C74" w:rsidP="00274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N/L</w:t>
            </w:r>
          </w:p>
        </w:tc>
        <w:tc>
          <w:tcPr>
            <w:tcW w:w="849" w:type="dxa"/>
            <w:vAlign w:val="center"/>
          </w:tcPr>
          <w:p w:rsidR="00796C74" w:rsidRPr="00E21F46" w:rsidRDefault="00796C74" w:rsidP="00274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</w:tbl>
    <w:p w:rsidR="00796C74" w:rsidRPr="00E21F46" w:rsidRDefault="00796C74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c) </w:t>
      </w:r>
      <w:r w:rsidR="006544B1" w:rsidRPr="00E21F46">
        <w:rPr>
          <w:rFonts w:ascii="Arial" w:hAnsi="Arial" w:cs="Arial"/>
          <w:b/>
        </w:rPr>
        <w:t xml:space="preserve">Original scientific articles in journals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83"/>
        <w:gridCol w:w="7044"/>
        <w:gridCol w:w="590"/>
        <w:gridCol w:w="1171"/>
      </w:tblGrid>
      <w:tr w:rsidR="00D93666" w:rsidRPr="00E21F46" w:rsidTr="0082077F">
        <w:tc>
          <w:tcPr>
            <w:tcW w:w="0" w:type="auto"/>
          </w:tcPr>
          <w:p w:rsidR="00D93666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</w:t>
            </w:r>
          </w:p>
        </w:tc>
        <w:tc>
          <w:tcPr>
            <w:tcW w:w="4732" w:type="dxa"/>
          </w:tcPr>
          <w:p w:rsidR="00D93666" w:rsidRPr="00E21F46" w:rsidRDefault="00A01ACA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Borcz</w:t>
            </w:r>
            <w:proofErr w:type="spellEnd"/>
            <w:r w:rsidRPr="00E21F46">
              <w:t xml:space="preserve"> A, </w:t>
            </w: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Zajac</w:t>
            </w:r>
            <w:proofErr w:type="spellEnd"/>
            <w:r w:rsidRPr="00E21F46">
              <w:t xml:space="preserve"> A, </w:t>
            </w:r>
            <w:proofErr w:type="spellStart"/>
            <w:r w:rsidRPr="00E21F46">
              <w:t>Broda</w:t>
            </w:r>
            <w:proofErr w:type="spellEnd"/>
            <w:r w:rsidRPr="00E21F46">
              <w:t xml:space="preserve"> D,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IZ. 2006. The Short Review on Protein Markers in Sport and Fitness Exercises. Journal of Human Kinetics 16:121-138. </w:t>
            </w:r>
          </w:p>
        </w:tc>
        <w:tc>
          <w:tcPr>
            <w:tcW w:w="0" w:type="auto"/>
            <w:vAlign w:val="center"/>
          </w:tcPr>
          <w:p w:rsidR="00D93666" w:rsidRPr="00E21F46" w:rsidRDefault="00BA7D21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D93666" w:rsidRPr="00E21F46" w:rsidRDefault="00D93666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  <w:tr w:rsidR="00D93666" w:rsidRPr="00E21F46" w:rsidTr="0082077F">
        <w:tc>
          <w:tcPr>
            <w:tcW w:w="0" w:type="auto"/>
          </w:tcPr>
          <w:p w:rsidR="00D93666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2</w:t>
            </w:r>
          </w:p>
        </w:tc>
        <w:tc>
          <w:tcPr>
            <w:tcW w:w="4732" w:type="dxa"/>
          </w:tcPr>
          <w:p w:rsidR="00D93666" w:rsidRPr="00E21F46" w:rsidRDefault="00A01ACA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IZ. 2006. The Level of Functional Fitness of Elderly in Southeastern Region of Poland. Journal of Human Kinetics 16:91-96. </w:t>
            </w:r>
          </w:p>
        </w:tc>
        <w:tc>
          <w:tcPr>
            <w:tcW w:w="0" w:type="auto"/>
            <w:vAlign w:val="center"/>
          </w:tcPr>
          <w:p w:rsidR="00D93666" w:rsidRPr="00E21F46" w:rsidRDefault="00D93666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D93666" w:rsidRPr="00E21F46" w:rsidRDefault="00BA7D21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  <w:tr w:rsidR="00D93666" w:rsidRPr="00E21F46" w:rsidTr="0082077F">
        <w:tc>
          <w:tcPr>
            <w:tcW w:w="0" w:type="auto"/>
          </w:tcPr>
          <w:p w:rsidR="00D93666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3</w:t>
            </w:r>
          </w:p>
        </w:tc>
        <w:tc>
          <w:tcPr>
            <w:tcW w:w="4732" w:type="dxa"/>
          </w:tcPr>
          <w:p w:rsidR="00D93666" w:rsidRPr="00E21F46" w:rsidRDefault="00A01ACA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IZ, </w:t>
            </w:r>
            <w:proofErr w:type="spellStart"/>
            <w:r w:rsidRPr="00E21F46">
              <w:t>Hagner</w:t>
            </w:r>
            <w:proofErr w:type="spellEnd"/>
            <w:r w:rsidRPr="00E21F46">
              <w:t xml:space="preserve"> W. 2007. The correlations between BMI </w:t>
            </w:r>
            <w:proofErr w:type="spellStart"/>
            <w:r w:rsidRPr="00E21F46">
              <w:t>andfu</w:t>
            </w:r>
            <w:r w:rsidR="006904A7" w:rsidRPr="00E21F46">
              <w:t>nctional</w:t>
            </w:r>
            <w:proofErr w:type="spellEnd"/>
            <w:r w:rsidR="006904A7" w:rsidRPr="00E21F46">
              <w:t xml:space="preserve"> fitness measurements of</w:t>
            </w:r>
            <w:r w:rsidRPr="00E21F46">
              <w:t xml:space="preserve"> older people living in log-term care facilities. Medical and Biological Sciences 21(2):85-88 </w:t>
            </w:r>
          </w:p>
        </w:tc>
        <w:tc>
          <w:tcPr>
            <w:tcW w:w="0" w:type="auto"/>
            <w:vAlign w:val="center"/>
          </w:tcPr>
          <w:p w:rsidR="00D93666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N/L</w:t>
            </w:r>
          </w:p>
        </w:tc>
        <w:tc>
          <w:tcPr>
            <w:tcW w:w="0" w:type="auto"/>
            <w:vAlign w:val="center"/>
          </w:tcPr>
          <w:p w:rsidR="00D93666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  <w:tr w:rsidR="00A01ACA" w:rsidRPr="00E21F46" w:rsidTr="0082077F">
        <w:tc>
          <w:tcPr>
            <w:tcW w:w="0" w:type="auto"/>
          </w:tcPr>
          <w:p w:rsidR="00A01ACA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4</w:t>
            </w:r>
          </w:p>
        </w:tc>
        <w:tc>
          <w:tcPr>
            <w:tcW w:w="4732" w:type="dxa"/>
          </w:tcPr>
          <w:p w:rsidR="00A01ACA" w:rsidRDefault="00A01ACA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Zubrzycki</w:t>
            </w:r>
            <w:proofErr w:type="spellEnd"/>
            <w:r w:rsidRPr="00E21F46">
              <w:t xml:space="preserve"> IZ, </w:t>
            </w:r>
            <w:proofErr w:type="spellStart"/>
            <w:r w:rsidRPr="00E21F46">
              <w:t>Borcz</w:t>
            </w:r>
            <w:proofErr w:type="spellEnd"/>
            <w:r w:rsidRPr="00E21F46">
              <w:t xml:space="preserve"> A, </w:t>
            </w: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Hagner</w:t>
            </w:r>
            <w:proofErr w:type="spellEnd"/>
            <w:r w:rsidRPr="00E21F46">
              <w:t xml:space="preserve"> W. 2007. The studies on substrate, product and inhibitor binding to a wild-type and </w:t>
            </w:r>
            <w:proofErr w:type="spellStart"/>
            <w:r w:rsidRPr="00E21F46">
              <w:t>neuronopathic</w:t>
            </w:r>
            <w:proofErr w:type="spellEnd"/>
            <w:r w:rsidRPr="00E21F46">
              <w:t xml:space="preserve"> form of human acid-beta-</w:t>
            </w:r>
            <w:proofErr w:type="spellStart"/>
            <w:r w:rsidRPr="00E21F46">
              <w:t>glucosidase</w:t>
            </w:r>
            <w:proofErr w:type="spellEnd"/>
            <w:r w:rsidRPr="00E21F46">
              <w:t xml:space="preserve">. Journal of Molecular Modeling 13:1133-1139. </w:t>
            </w:r>
          </w:p>
          <w:p w:rsidR="00E21F46" w:rsidRPr="00E21F46" w:rsidRDefault="00E21F46" w:rsidP="001942B0">
            <w:pPr>
              <w:pStyle w:val="Default"/>
              <w:spacing w:before="120" w:after="120"/>
              <w:jc w:val="both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01ACA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A01ACA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="00A01ACA" w:rsidRPr="00E21F46">
              <w:rPr>
                <w:rFonts w:ascii="Arial" w:hAnsi="Arial" w:cs="Arial"/>
                <w:bCs/>
              </w:rPr>
              <w:t>1.814</w:t>
            </w:r>
          </w:p>
        </w:tc>
      </w:tr>
      <w:tr w:rsidR="00A01ACA" w:rsidRPr="00E21F46" w:rsidTr="0082077F">
        <w:tc>
          <w:tcPr>
            <w:tcW w:w="0" w:type="auto"/>
          </w:tcPr>
          <w:p w:rsidR="00A01ACA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732" w:type="dxa"/>
          </w:tcPr>
          <w:p w:rsidR="00A01ACA" w:rsidRPr="00E21F46" w:rsidRDefault="00A01ACA" w:rsidP="001942B0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Hagner</w:t>
            </w:r>
            <w:proofErr w:type="spellEnd"/>
            <w:r w:rsidRPr="00E21F46">
              <w:t xml:space="preserve"> W, </w:t>
            </w:r>
            <w:proofErr w:type="spellStart"/>
            <w:r w:rsidRPr="00E21F46">
              <w:t>Kazmierczak</w:t>
            </w:r>
            <w:proofErr w:type="spellEnd"/>
            <w:r w:rsidRPr="00E21F46">
              <w:t xml:space="preserve"> U, </w:t>
            </w: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IZ. 2008. The primary study on influence of fitness camps on rehabilitation efficiency of full </w:t>
            </w:r>
            <w:proofErr w:type="spellStart"/>
            <w:r w:rsidRPr="00E21F46">
              <w:t>laryngectomy</w:t>
            </w:r>
            <w:proofErr w:type="spellEnd"/>
            <w:r w:rsidRPr="00E21F46">
              <w:t xml:space="preserve"> patients. Journal of Rehabilitation Research 31:356-358. </w:t>
            </w:r>
          </w:p>
        </w:tc>
        <w:tc>
          <w:tcPr>
            <w:tcW w:w="0" w:type="auto"/>
            <w:vAlign w:val="center"/>
          </w:tcPr>
          <w:p w:rsidR="00A01ACA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A01ACA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="00A01ACA" w:rsidRPr="00E21F46">
              <w:rPr>
                <w:rFonts w:ascii="Arial" w:hAnsi="Arial" w:cs="Arial"/>
                <w:bCs/>
              </w:rPr>
              <w:t>0.686</w:t>
            </w:r>
          </w:p>
        </w:tc>
      </w:tr>
      <w:tr w:rsidR="00A01ACA" w:rsidRPr="00E21F46" w:rsidTr="0082077F">
        <w:tc>
          <w:tcPr>
            <w:tcW w:w="0" w:type="auto"/>
          </w:tcPr>
          <w:p w:rsidR="00A01ACA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6</w:t>
            </w:r>
          </w:p>
        </w:tc>
        <w:tc>
          <w:tcPr>
            <w:tcW w:w="4732" w:type="dxa"/>
          </w:tcPr>
          <w:p w:rsidR="00A01ACA" w:rsidRPr="00E21F46" w:rsidRDefault="00A01ACA" w:rsidP="001942B0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Hagner</w:t>
            </w:r>
            <w:proofErr w:type="spellEnd"/>
            <w:r w:rsidRPr="00E21F46">
              <w:t xml:space="preserve"> W. 2008. The history and economic impact on the functional fitness of elderly in the South-Eastern region of Poland: A comparison with US citizens. Archives of Gerontology and Geriatrics 46(2):221-226. </w:t>
            </w:r>
          </w:p>
        </w:tc>
        <w:tc>
          <w:tcPr>
            <w:tcW w:w="0" w:type="auto"/>
            <w:vAlign w:val="center"/>
          </w:tcPr>
          <w:p w:rsidR="00A01ACA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A01ACA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="00A01ACA" w:rsidRPr="00E21F46">
              <w:rPr>
                <w:rFonts w:ascii="Arial" w:hAnsi="Arial" w:cs="Arial"/>
                <w:bCs/>
              </w:rPr>
              <w:t>1.311</w:t>
            </w:r>
          </w:p>
        </w:tc>
      </w:tr>
      <w:tr w:rsidR="000C2C89" w:rsidRPr="00E21F46" w:rsidTr="0082077F">
        <w:tc>
          <w:tcPr>
            <w:tcW w:w="0" w:type="auto"/>
          </w:tcPr>
          <w:p w:rsidR="000C2C89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7</w:t>
            </w:r>
          </w:p>
        </w:tc>
        <w:tc>
          <w:tcPr>
            <w:tcW w:w="4732" w:type="dxa"/>
          </w:tcPr>
          <w:p w:rsidR="000C2C89" w:rsidRPr="00E21F46" w:rsidRDefault="000C2C89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Hagner</w:t>
            </w:r>
            <w:proofErr w:type="spellEnd"/>
            <w:r w:rsidRPr="00E21F46">
              <w:t xml:space="preserve"> W, </w:t>
            </w:r>
            <w:proofErr w:type="spellStart"/>
            <w:r w:rsidRPr="00E21F46">
              <w:t>Hagner-Derengowska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IZ. 2009. Changes in level of (V) over </w:t>
            </w:r>
            <w:proofErr w:type="spellStart"/>
            <w:proofErr w:type="gramStart"/>
            <w:r w:rsidRPr="00E21F46">
              <w:t>dotO</w:t>
            </w:r>
            <w:proofErr w:type="spellEnd"/>
            <w:r w:rsidRPr="00E21F46">
              <w:t>(</w:t>
            </w:r>
            <w:proofErr w:type="gramEnd"/>
            <w:r w:rsidRPr="00E21F46">
              <w:t xml:space="preserve">2max), blood lipids, and waist circumference in the response to moderate endurance training as a function of ovarian aging. Menopause-the Journal of the North American Menopause Society 16(5):1009-1013. 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0C2C89" w:rsidRPr="00E21F46" w:rsidRDefault="000C2C89" w:rsidP="001942B0">
            <w:pPr>
              <w:pStyle w:val="Default"/>
              <w:spacing w:before="120" w:after="120"/>
              <w:jc w:val="center"/>
              <w:rPr>
                <w:bCs/>
              </w:rPr>
            </w:pPr>
            <w:r w:rsidRPr="00E21F46">
              <w:t>IF=3.446</w:t>
            </w:r>
          </w:p>
        </w:tc>
      </w:tr>
      <w:tr w:rsidR="000C2C89" w:rsidRPr="00E21F46" w:rsidTr="0082077F">
        <w:tc>
          <w:tcPr>
            <w:tcW w:w="0" w:type="auto"/>
          </w:tcPr>
          <w:p w:rsidR="000C2C89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8</w:t>
            </w:r>
          </w:p>
        </w:tc>
        <w:tc>
          <w:tcPr>
            <w:tcW w:w="4732" w:type="dxa"/>
          </w:tcPr>
          <w:p w:rsidR="000C2C89" w:rsidRPr="00E21F46" w:rsidRDefault="000C2C89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Hagner-Derengowska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Nowacka</w:t>
            </w:r>
            <w:proofErr w:type="spellEnd"/>
            <w:r w:rsidRPr="00E21F46">
              <w:t xml:space="preserve"> K, </w:t>
            </w:r>
            <w:proofErr w:type="spellStart"/>
            <w:r w:rsidRPr="00E21F46">
              <w:t>Hagner</w:t>
            </w:r>
            <w:proofErr w:type="spellEnd"/>
            <w:r w:rsidRPr="00E21F46">
              <w:t xml:space="preserve"> W, </w:t>
            </w:r>
            <w:proofErr w:type="spellStart"/>
            <w:r w:rsidRPr="00E21F46">
              <w:t>Wiacek-Zubrzycka</w:t>
            </w:r>
            <w:proofErr w:type="spellEnd"/>
            <w:r w:rsidRPr="00E21F46">
              <w:t xml:space="preserve"> M. 2009. NORDIC WALKING – NEW TREND IN REHABILITATION. Medical and Biological Sciences 23(3):45-50. 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N/L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1F46">
              <w:rPr>
                <w:rFonts w:ascii="Arial" w:hAnsi="Arial" w:cs="Arial"/>
                <w:bCs/>
              </w:rPr>
              <w:t>R</w:t>
            </w:r>
          </w:p>
        </w:tc>
      </w:tr>
      <w:tr w:rsidR="00A01ACA" w:rsidRPr="00E21F46" w:rsidTr="0082077F">
        <w:tc>
          <w:tcPr>
            <w:tcW w:w="0" w:type="auto"/>
          </w:tcPr>
          <w:p w:rsidR="00A01ACA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9</w:t>
            </w:r>
          </w:p>
        </w:tc>
        <w:tc>
          <w:tcPr>
            <w:tcW w:w="4732" w:type="dxa"/>
          </w:tcPr>
          <w:p w:rsidR="00A01ACA" w:rsidRPr="00E21F46" w:rsidRDefault="000C2C89" w:rsidP="001942B0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Hagner</w:t>
            </w:r>
            <w:proofErr w:type="spellEnd"/>
            <w:r w:rsidRPr="00E21F46">
              <w:t xml:space="preserve"> W, </w:t>
            </w:r>
            <w:proofErr w:type="spellStart"/>
            <w:r w:rsidRPr="00E21F46">
              <w:t>Hagner-Derengowska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Bluj</w:t>
            </w:r>
            <w:proofErr w:type="spellEnd"/>
            <w:r w:rsidRPr="00E21F46">
              <w:t xml:space="preserve"> B, </w:t>
            </w:r>
            <w:proofErr w:type="spellStart"/>
            <w:r w:rsidRPr="00E21F46">
              <w:t>Czereba</w:t>
            </w:r>
            <w:proofErr w:type="spellEnd"/>
            <w:r w:rsidRPr="00E21F46">
              <w:t xml:space="preserve"> J, </w:t>
            </w:r>
            <w:proofErr w:type="spellStart"/>
            <w:r w:rsidRPr="00E21F46">
              <w:t>Drozd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IZ. 2009. Deterioration of basic coordinative parameters defines life quality of elderly. Archives of Gerontology and Geriatrics 49(2):212-214. </w:t>
            </w:r>
          </w:p>
        </w:tc>
        <w:tc>
          <w:tcPr>
            <w:tcW w:w="0" w:type="auto"/>
            <w:vAlign w:val="center"/>
          </w:tcPr>
          <w:p w:rsidR="00A01ACA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A01ACA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="00A01ACA" w:rsidRPr="00E21F46">
              <w:rPr>
                <w:rFonts w:ascii="Arial" w:hAnsi="Arial" w:cs="Arial"/>
                <w:bCs/>
              </w:rPr>
              <w:t>1.311</w:t>
            </w:r>
          </w:p>
        </w:tc>
      </w:tr>
      <w:tr w:rsidR="00A01ACA" w:rsidRPr="00E21F46" w:rsidTr="0082077F">
        <w:tc>
          <w:tcPr>
            <w:tcW w:w="436" w:type="dxa"/>
          </w:tcPr>
          <w:p w:rsidR="00A01ACA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A01ACA" w:rsidRPr="00E21F46" w:rsidRDefault="000C2C89" w:rsidP="006904A7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Hagner</w:t>
            </w:r>
            <w:proofErr w:type="spellEnd"/>
            <w:r w:rsidRPr="00E21F46">
              <w:t xml:space="preserve"> W, </w:t>
            </w:r>
            <w:proofErr w:type="spellStart"/>
            <w:r w:rsidRPr="00E21F46">
              <w:t>Hagner-Derengowska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Bluj</w:t>
            </w:r>
            <w:proofErr w:type="spellEnd"/>
            <w:r w:rsidRPr="00E21F46">
              <w:t xml:space="preserve"> B, </w:t>
            </w:r>
            <w:proofErr w:type="spellStart"/>
            <w:r w:rsidRPr="00E21F46">
              <w:t>Czereba</w:t>
            </w:r>
            <w:proofErr w:type="spellEnd"/>
            <w:r w:rsidRPr="00E21F46">
              <w:t xml:space="preserve"> J, </w:t>
            </w:r>
            <w:proofErr w:type="spellStart"/>
            <w:r w:rsidRPr="00E21F46">
              <w:t>Drozd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Zubrzycki</w:t>
            </w:r>
            <w:proofErr w:type="spellEnd"/>
            <w:r w:rsidRPr="00E21F46">
              <w:t xml:space="preserve"> IZ. 2009. </w:t>
            </w:r>
            <w:r w:rsidR="006904A7" w:rsidRPr="00E21F46">
              <w:t xml:space="preserve">Correlations between postural stability and strength of lower body extremities of women population living in long-term care facilities </w:t>
            </w:r>
            <w:r w:rsidRPr="00E21F46">
              <w:t xml:space="preserve">Archives </w:t>
            </w:r>
            <w:r w:rsidR="006904A7" w:rsidRPr="00E21F46">
              <w:t>of Gerontology and Geriatrics 48(3</w:t>
            </w:r>
            <w:r w:rsidRPr="00E21F46">
              <w:t>):</w:t>
            </w:r>
            <w:r w:rsidR="006904A7" w:rsidRPr="00E21F46">
              <w:t>346-349</w:t>
            </w:r>
            <w:r w:rsidRPr="00E21F46">
              <w:t xml:space="preserve">. </w:t>
            </w:r>
          </w:p>
        </w:tc>
        <w:tc>
          <w:tcPr>
            <w:tcW w:w="0" w:type="auto"/>
            <w:vAlign w:val="center"/>
          </w:tcPr>
          <w:p w:rsidR="00A01ACA" w:rsidRPr="00E21F46" w:rsidRDefault="006904A7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A01ACA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="00A01ACA" w:rsidRPr="00E21F46">
              <w:rPr>
                <w:rFonts w:ascii="Arial" w:hAnsi="Arial" w:cs="Arial"/>
                <w:bCs/>
              </w:rPr>
              <w:t>1.311</w:t>
            </w:r>
          </w:p>
        </w:tc>
      </w:tr>
      <w:tr w:rsidR="000C2C89" w:rsidRPr="00E21F46" w:rsidTr="0082077F">
        <w:tc>
          <w:tcPr>
            <w:tcW w:w="436" w:type="dxa"/>
          </w:tcPr>
          <w:p w:rsidR="000C2C89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F9284A" w:rsidRPr="00E21F46" w:rsidRDefault="000C2C89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Andrzejewski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Chmura</w:t>
            </w:r>
            <w:proofErr w:type="spellEnd"/>
            <w:r w:rsidRPr="00E21F46">
              <w:t xml:space="preserve"> J, </w:t>
            </w: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="00F9284A" w:rsidRPr="00E21F46">
              <w:t>Zubrzycki</w:t>
            </w:r>
            <w:proofErr w:type="spellEnd"/>
            <w:r w:rsidR="00F9284A" w:rsidRPr="00E21F46">
              <w:t xml:space="preserve"> IZ</w:t>
            </w:r>
            <w:r w:rsidRPr="00E21F46">
              <w:t xml:space="preserve">. 2010. The influence of individualized training on psychomotor performance of young soccer players. Journal of Strength and Conditioning Research. </w:t>
            </w:r>
          </w:p>
          <w:p w:rsidR="000C2C89" w:rsidRPr="00E21F46" w:rsidRDefault="00F9284A" w:rsidP="001942B0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doi</w:t>
            </w:r>
            <w:proofErr w:type="spellEnd"/>
            <w:r w:rsidRPr="00E21F46">
              <w:t>: 10.1519/JSC.0b013e3181bac390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0C2C89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Pr="00E21F46">
              <w:rPr>
                <w:rFonts w:ascii="Arial" w:hAnsi="Arial" w:cs="Arial"/>
                <w:bCs/>
              </w:rPr>
              <w:t>1.282</w:t>
            </w:r>
          </w:p>
        </w:tc>
      </w:tr>
      <w:tr w:rsidR="000C2C89" w:rsidRPr="00E21F46" w:rsidTr="0082077F">
        <w:tc>
          <w:tcPr>
            <w:tcW w:w="436" w:type="dxa"/>
          </w:tcPr>
          <w:p w:rsidR="000C2C89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0C2C89" w:rsidRPr="00E21F46" w:rsidRDefault="000C2C89" w:rsidP="001942B0">
            <w:pPr>
              <w:pStyle w:val="Default"/>
              <w:spacing w:before="120" w:after="120"/>
              <w:jc w:val="both"/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Andrzejewski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Chmura</w:t>
            </w:r>
            <w:proofErr w:type="spellEnd"/>
            <w:r w:rsidRPr="00E21F46">
              <w:t xml:space="preserve"> J, </w:t>
            </w:r>
            <w:proofErr w:type="spellStart"/>
            <w:r w:rsidR="00F9284A" w:rsidRPr="00E21F46">
              <w:t>Zubrzycki</w:t>
            </w:r>
            <w:proofErr w:type="spellEnd"/>
            <w:r w:rsidR="00F9284A" w:rsidRPr="00E21F46">
              <w:t xml:space="preserve"> IZ. </w:t>
            </w:r>
            <w:r w:rsidRPr="00E21F46">
              <w:t xml:space="preserve"> </w:t>
            </w:r>
            <w:proofErr w:type="gramStart"/>
            <w:r w:rsidRPr="00E21F46">
              <w:t>in</w:t>
            </w:r>
            <w:proofErr w:type="gramEnd"/>
            <w:r w:rsidRPr="00E21F46">
              <w:t xml:space="preserve"> press. The changes of the specific physiological parameters in response to 12-week individualized training of young soccer players. Journal of Strength and Conditioning Research 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0C2C89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Pr="00E21F46">
              <w:rPr>
                <w:rFonts w:ascii="Arial" w:hAnsi="Arial" w:cs="Arial"/>
                <w:bCs/>
              </w:rPr>
              <w:t>1.282</w:t>
            </w:r>
          </w:p>
        </w:tc>
      </w:tr>
      <w:tr w:rsidR="000C2C89" w:rsidRPr="00E21F46" w:rsidTr="0082077F">
        <w:tc>
          <w:tcPr>
            <w:tcW w:w="436" w:type="dxa"/>
          </w:tcPr>
          <w:p w:rsidR="000C2C89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F9284A" w:rsidRPr="00E21F46" w:rsidRDefault="000C2C89" w:rsidP="001942B0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="00F9284A" w:rsidRPr="00E21F46">
              <w:t>Zubrzycki</w:t>
            </w:r>
            <w:proofErr w:type="spellEnd"/>
            <w:r w:rsidR="00F9284A" w:rsidRPr="00E21F46">
              <w:t xml:space="preserve"> IZ. 2010 </w:t>
            </w:r>
            <w:r w:rsidRPr="00E21F46">
              <w:t xml:space="preserve">The age dependent divergence of strength and coordinating parameters among men and women: the cross-sectional studies. Archives of Gerontology and Geriatrics. </w:t>
            </w:r>
          </w:p>
          <w:p w:rsidR="000C2C89" w:rsidRPr="00E21F46" w:rsidRDefault="00AB2A6F" w:rsidP="00F9284A">
            <w:pPr>
              <w:jc w:val="both"/>
              <w:rPr>
                <w:rFonts w:ascii="Arial" w:hAnsi="Arial" w:cs="Arial"/>
              </w:rPr>
            </w:pPr>
            <w:r w:rsidRPr="00065594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65pt;height:7.35pt">
                  <v:imagedata r:id="rId5" r:href="rId6"/>
                </v:shape>
              </w:pict>
            </w:r>
            <w:r w:rsidR="00F9284A" w:rsidRPr="00E21F46">
              <w:rPr>
                <w:rFonts w:ascii="Arial" w:hAnsi="Arial" w:cs="Arial"/>
              </w:rPr>
              <w:t>doi:10.1016/j.archger.2009.12.008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0C2C89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Pr="00E21F46">
              <w:rPr>
                <w:rFonts w:ascii="Arial" w:hAnsi="Arial" w:cs="Arial"/>
                <w:bCs/>
              </w:rPr>
              <w:t>1.311</w:t>
            </w:r>
          </w:p>
        </w:tc>
      </w:tr>
      <w:tr w:rsidR="000C2C89" w:rsidRPr="00E21F46" w:rsidTr="0082077F">
        <w:tc>
          <w:tcPr>
            <w:tcW w:w="436" w:type="dxa"/>
          </w:tcPr>
          <w:p w:rsidR="000C2C89" w:rsidRPr="00E21F46" w:rsidRDefault="000C2C89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0" w:type="auto"/>
          </w:tcPr>
          <w:p w:rsidR="000C2C89" w:rsidRPr="00E21F46" w:rsidRDefault="000C2C89" w:rsidP="00F9284A">
            <w:pPr>
              <w:pStyle w:val="Default"/>
              <w:spacing w:before="120" w:after="120"/>
              <w:jc w:val="both"/>
              <w:rPr>
                <w:bCs/>
              </w:rPr>
            </w:pPr>
            <w:proofErr w:type="spellStart"/>
            <w:r w:rsidRPr="00E21F46">
              <w:t>Wiacek</w:t>
            </w:r>
            <w:proofErr w:type="spellEnd"/>
            <w:r w:rsidRPr="00E21F46">
              <w:t xml:space="preserve"> M, </w:t>
            </w:r>
            <w:proofErr w:type="spellStart"/>
            <w:r w:rsidRPr="00E21F46">
              <w:t>Skrzek</w:t>
            </w:r>
            <w:proofErr w:type="spellEnd"/>
            <w:r w:rsidRPr="00E21F46">
              <w:t xml:space="preserve"> A, </w:t>
            </w:r>
            <w:proofErr w:type="spellStart"/>
            <w:r w:rsidRPr="00E21F46">
              <w:t>Ignasiak</w:t>
            </w:r>
            <w:proofErr w:type="spellEnd"/>
            <w:r w:rsidRPr="00E21F46">
              <w:t xml:space="preserve"> Z, </w:t>
            </w:r>
            <w:proofErr w:type="spellStart"/>
            <w:r w:rsidR="00F9284A" w:rsidRPr="00E21F46">
              <w:t>Zubrzycki</w:t>
            </w:r>
            <w:proofErr w:type="spellEnd"/>
            <w:r w:rsidR="00F9284A" w:rsidRPr="00E21F46">
              <w:t xml:space="preserve"> IZ. </w:t>
            </w:r>
            <w:proofErr w:type="gramStart"/>
            <w:r w:rsidRPr="00E21F46">
              <w:t>in</w:t>
            </w:r>
            <w:proofErr w:type="gramEnd"/>
            <w:r w:rsidRPr="00E21F46">
              <w:t xml:space="preserve"> press. The changes of bone mineral density in relation to body mass index and aging among polish and different ethnic women in the United States: a cross sectional st</w:t>
            </w:r>
            <w:r w:rsidR="00D942FA" w:rsidRPr="00E21F46">
              <w:t>udies. Journal of Clinical Densi</w:t>
            </w:r>
            <w:r w:rsidRPr="00E21F46">
              <w:t>tometry.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0C2C89" w:rsidRPr="00E21F46" w:rsidRDefault="000C2C89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Pr="00E21F46">
              <w:rPr>
                <w:rFonts w:ascii="Arial" w:hAnsi="Arial" w:cs="Arial"/>
                <w:bCs/>
              </w:rPr>
              <w:t>1.910</w:t>
            </w:r>
          </w:p>
        </w:tc>
      </w:tr>
      <w:tr w:rsidR="000C2C89" w:rsidRPr="00E21F46" w:rsidTr="0082077F">
        <w:tc>
          <w:tcPr>
            <w:tcW w:w="436" w:type="dxa"/>
          </w:tcPr>
          <w:p w:rsidR="000C2C89" w:rsidRPr="00E21F46" w:rsidRDefault="001942B0" w:rsidP="001942B0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0C2C89" w:rsidRPr="00E21F46" w:rsidRDefault="00F9284A" w:rsidP="001942B0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21F46">
              <w:rPr>
                <w:rFonts w:ascii="Arial" w:hAnsi="Arial" w:cs="Arial"/>
                <w:bCs/>
              </w:rPr>
              <w:t>Wiacek</w:t>
            </w:r>
            <w:proofErr w:type="spellEnd"/>
            <w:r w:rsidRPr="00E21F46">
              <w:rPr>
                <w:rFonts w:ascii="Arial" w:hAnsi="Arial" w:cs="Arial"/>
                <w:bCs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  <w:bCs/>
              </w:rPr>
              <w:t>Hagner</w:t>
            </w:r>
            <w:proofErr w:type="spellEnd"/>
            <w:r w:rsidRPr="00E21F46">
              <w:rPr>
                <w:rFonts w:ascii="Arial" w:hAnsi="Arial" w:cs="Arial"/>
                <w:bCs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  <w:bCs/>
              </w:rPr>
              <w:t>Zubrzycki</w:t>
            </w:r>
            <w:proofErr w:type="spellEnd"/>
            <w:r w:rsidRPr="00E21F46">
              <w:rPr>
                <w:rFonts w:ascii="Arial" w:hAnsi="Arial" w:cs="Arial"/>
                <w:bCs/>
              </w:rPr>
              <w:t xml:space="preserve"> IZ. </w:t>
            </w:r>
            <w:proofErr w:type="gramStart"/>
            <w:r w:rsidRPr="00E21F46">
              <w:rPr>
                <w:rFonts w:ascii="Arial" w:hAnsi="Arial" w:cs="Arial"/>
                <w:bCs/>
              </w:rPr>
              <w:t>in</w:t>
            </w:r>
            <w:proofErr w:type="gramEnd"/>
            <w:r w:rsidRPr="00E21F46">
              <w:rPr>
                <w:rFonts w:ascii="Arial" w:hAnsi="Arial" w:cs="Arial"/>
                <w:bCs/>
              </w:rPr>
              <w:t xml:space="preserve"> press </w:t>
            </w:r>
            <w:r w:rsidR="001942B0" w:rsidRPr="00E21F46">
              <w:rPr>
                <w:rFonts w:ascii="Arial" w:hAnsi="Arial" w:cs="Arial"/>
                <w:bCs/>
              </w:rPr>
              <w:t>Measures of menopause driven differences in levels of blood lipids, follicle stimulating hormone and luteinizing hormone women age 35-60: NHANES III and NHANES 1999-2002 study.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:rsidR="000C2C89" w:rsidRPr="00E21F46" w:rsidRDefault="001942B0" w:rsidP="001942B0">
            <w:pPr>
              <w:pStyle w:val="Default"/>
              <w:spacing w:before="120" w:after="120"/>
              <w:jc w:val="center"/>
            </w:pPr>
            <w:r w:rsidRPr="00E21F46">
              <w:t>IF=3.446</w:t>
            </w:r>
          </w:p>
        </w:tc>
      </w:tr>
      <w:tr w:rsidR="001E5070" w:rsidRPr="00E21F46" w:rsidTr="0082077F">
        <w:tc>
          <w:tcPr>
            <w:tcW w:w="436" w:type="dxa"/>
          </w:tcPr>
          <w:p w:rsidR="001E5070" w:rsidRPr="00E21F46" w:rsidRDefault="001E5070" w:rsidP="001942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5070" w:rsidRPr="00E21F46" w:rsidRDefault="001E5070" w:rsidP="001942B0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F9284A" w:rsidRPr="00E21F46" w:rsidRDefault="00F9284A" w:rsidP="001942B0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387FC0" w:rsidRPr="00E21F46" w:rsidRDefault="00387FC0" w:rsidP="001942B0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F9284A" w:rsidRPr="00E21F46" w:rsidRDefault="00F9284A" w:rsidP="001942B0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F9284A" w:rsidRPr="00E21F46" w:rsidRDefault="00F9284A" w:rsidP="001942B0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1E5070" w:rsidRPr="00E21F46" w:rsidRDefault="001E5070" w:rsidP="001942B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E5070" w:rsidRPr="00E21F46" w:rsidRDefault="001E5070" w:rsidP="001942B0">
            <w:pPr>
              <w:pStyle w:val="Default"/>
              <w:spacing w:before="120" w:after="120"/>
              <w:jc w:val="center"/>
            </w:pPr>
          </w:p>
        </w:tc>
      </w:tr>
    </w:tbl>
    <w:p w:rsidR="00D93666" w:rsidRPr="00E21F46" w:rsidRDefault="00D93666" w:rsidP="003D5E76">
      <w:pPr>
        <w:outlineLvl w:val="0"/>
        <w:rPr>
          <w:rFonts w:ascii="Arial" w:hAnsi="Arial" w:cs="Arial"/>
        </w:rPr>
      </w:pPr>
      <w:r w:rsidRPr="00E21F46">
        <w:rPr>
          <w:rFonts w:ascii="Arial" w:hAnsi="Arial" w:cs="Arial"/>
          <w:b/>
        </w:rPr>
        <w:t xml:space="preserve">d) </w:t>
      </w:r>
      <w:r w:rsidR="006544B1" w:rsidRPr="00E21F46">
        <w:rPr>
          <w:rFonts w:ascii="Arial" w:hAnsi="Arial" w:cs="Arial"/>
          <w:b/>
        </w:rPr>
        <w:t xml:space="preserve">Special subject-oriented collections editorial work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6057FF">
      <w:pPr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e) </w:t>
      </w:r>
      <w:r w:rsidR="006544B1" w:rsidRPr="00E21F46">
        <w:rPr>
          <w:rFonts w:ascii="Arial" w:hAnsi="Arial" w:cs="Arial"/>
          <w:b/>
        </w:rPr>
        <w:t xml:space="preserve">Original scientific articles in proceedings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83"/>
        <w:gridCol w:w="7999"/>
        <w:gridCol w:w="416"/>
        <w:gridCol w:w="390"/>
      </w:tblGrid>
      <w:tr w:rsidR="00D93666" w:rsidRPr="00E21F46" w:rsidTr="001A34CC"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[1]</w:t>
            </w:r>
          </w:p>
        </w:tc>
        <w:tc>
          <w:tcPr>
            <w:tcW w:w="0" w:type="auto"/>
          </w:tcPr>
          <w:p w:rsidR="00D93666" w:rsidRPr="00E21F46" w:rsidRDefault="0031447B" w:rsidP="001A34CC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M. The level of functional fitness of elderly in southeastern region of Poland 14th Conference on „Physical Education and Sport in Scientific Researches” </w:t>
            </w:r>
            <w:proofErr w:type="spellStart"/>
            <w:r w:rsidRPr="00E21F46">
              <w:rPr>
                <w:rFonts w:ascii="Arial" w:hAnsi="Arial" w:cs="Arial"/>
              </w:rPr>
              <w:t>Rydzyna</w:t>
            </w:r>
            <w:proofErr w:type="spellEnd"/>
            <w:r w:rsidRPr="00E21F46">
              <w:rPr>
                <w:rFonts w:ascii="Arial" w:hAnsi="Arial" w:cs="Arial"/>
              </w:rPr>
              <w:t>, Poland 2006</w:t>
            </w:r>
          </w:p>
        </w:tc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  <w:tr w:rsidR="00D93666" w:rsidRPr="00E21F46" w:rsidTr="001A34CC"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[2]</w:t>
            </w:r>
          </w:p>
        </w:tc>
        <w:tc>
          <w:tcPr>
            <w:tcW w:w="0" w:type="auto"/>
          </w:tcPr>
          <w:p w:rsidR="00D93666" w:rsidRPr="00E21F46" w:rsidRDefault="0031447B" w:rsidP="001A34CC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Meenakshi</w:t>
            </w:r>
            <w:proofErr w:type="spellEnd"/>
            <w:r w:rsidRPr="00E21F46">
              <w:rPr>
                <w:rFonts w:ascii="Arial" w:hAnsi="Arial" w:cs="Arial"/>
              </w:rPr>
              <w:t xml:space="preserve"> </w:t>
            </w:r>
            <w:proofErr w:type="spellStart"/>
            <w:r w:rsidRPr="00E21F46">
              <w:rPr>
                <w:rFonts w:ascii="Arial" w:hAnsi="Arial" w:cs="Arial"/>
              </w:rPr>
              <w:t>Dwivedi</w:t>
            </w:r>
            <w:proofErr w:type="spellEnd"/>
            <w:r w:rsidRPr="00E21F46">
              <w:rPr>
                <w:rFonts w:ascii="Arial" w:hAnsi="Arial" w:cs="Arial"/>
              </w:rPr>
              <w:t xml:space="preserve">, M., </w:t>
            </w:r>
            <w:proofErr w:type="spellStart"/>
            <w:r w:rsidRPr="00E21F46">
              <w:rPr>
                <w:rFonts w:ascii="Arial" w:hAnsi="Arial" w:cs="Arial"/>
              </w:rPr>
              <w:t>Kalichamy</w:t>
            </w:r>
            <w:proofErr w:type="spellEnd"/>
            <w:r w:rsidRPr="00E21F46">
              <w:rPr>
                <w:rFonts w:ascii="Arial" w:hAnsi="Arial" w:cs="Arial"/>
              </w:rPr>
              <w:t xml:space="preserve">, K., </w:t>
            </w: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, M., and </w:t>
            </w:r>
            <w:proofErr w:type="spellStart"/>
            <w:r w:rsidRPr="00E21F46">
              <w:rPr>
                <w:rFonts w:ascii="Arial" w:hAnsi="Arial" w:cs="Arial"/>
              </w:rPr>
              <w:t>Ahnn</w:t>
            </w:r>
            <w:proofErr w:type="spellEnd"/>
            <w:r w:rsidRPr="00E21F46">
              <w:rPr>
                <w:rFonts w:ascii="Arial" w:hAnsi="Arial" w:cs="Arial"/>
              </w:rPr>
              <w:t xml:space="preserve"> J Lifespan extension in </w:t>
            </w:r>
            <w:proofErr w:type="spellStart"/>
            <w:r w:rsidRPr="00E21F46">
              <w:rPr>
                <w:rFonts w:ascii="Arial" w:hAnsi="Arial" w:cs="Arial"/>
              </w:rPr>
              <w:t>calcineurin</w:t>
            </w:r>
            <w:proofErr w:type="spellEnd"/>
            <w:r w:rsidRPr="00E21F46">
              <w:rPr>
                <w:rFonts w:ascii="Arial" w:hAnsi="Arial" w:cs="Arial"/>
              </w:rPr>
              <w:t xml:space="preserve">-defective mutants requires </w:t>
            </w:r>
            <w:proofErr w:type="spellStart"/>
            <w:r w:rsidRPr="00E21F46">
              <w:rPr>
                <w:rFonts w:ascii="Arial" w:hAnsi="Arial" w:cs="Arial"/>
              </w:rPr>
              <w:t>autophagy</w:t>
            </w:r>
            <w:proofErr w:type="spellEnd"/>
            <w:r w:rsidRPr="00E21F46">
              <w:rPr>
                <w:rFonts w:ascii="Arial" w:hAnsi="Arial" w:cs="Arial"/>
              </w:rPr>
              <w:t xml:space="preserve"> genes in </w:t>
            </w:r>
            <w:r w:rsidRPr="00E21F46">
              <w:rPr>
                <w:rFonts w:ascii="Arial" w:hAnsi="Arial" w:cs="Arial"/>
                <w:i/>
                <w:iCs/>
              </w:rPr>
              <w:t xml:space="preserve">C. </w:t>
            </w:r>
            <w:proofErr w:type="spellStart"/>
            <w:r w:rsidRPr="00E21F46">
              <w:rPr>
                <w:rFonts w:ascii="Arial" w:hAnsi="Arial" w:cs="Arial"/>
                <w:i/>
                <w:iCs/>
              </w:rPr>
              <w:t>elegans</w:t>
            </w:r>
            <w:proofErr w:type="spellEnd"/>
            <w:r w:rsidRPr="00E21F46">
              <w:rPr>
                <w:rFonts w:ascii="Arial" w:hAnsi="Arial" w:cs="Arial"/>
              </w:rPr>
              <w:t xml:space="preserve">. 17th International C. </w:t>
            </w:r>
            <w:proofErr w:type="spellStart"/>
            <w:r w:rsidRPr="00E21F46">
              <w:rPr>
                <w:rFonts w:ascii="Arial" w:hAnsi="Arial" w:cs="Arial"/>
              </w:rPr>
              <w:t>elegans</w:t>
            </w:r>
            <w:proofErr w:type="spellEnd"/>
            <w:r w:rsidRPr="00E21F46">
              <w:rPr>
                <w:rFonts w:ascii="Arial" w:hAnsi="Arial" w:cs="Arial"/>
              </w:rPr>
              <w:t xml:space="preserve"> meeting, University of California Los </w:t>
            </w:r>
            <w:proofErr w:type="spellStart"/>
            <w:r w:rsidRPr="00E21F46">
              <w:rPr>
                <w:rFonts w:ascii="Arial" w:hAnsi="Arial" w:cs="Arial"/>
              </w:rPr>
              <w:t>angeles</w:t>
            </w:r>
            <w:proofErr w:type="spellEnd"/>
            <w:r w:rsidRPr="00E21F46">
              <w:rPr>
                <w:rFonts w:ascii="Arial" w:hAnsi="Arial" w:cs="Arial"/>
              </w:rPr>
              <w:t xml:space="preserve">, 2009 </w:t>
            </w:r>
          </w:p>
        </w:tc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</w:tc>
      </w:tr>
    </w:tbl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f) </w:t>
      </w:r>
      <w:r w:rsidR="006544B1" w:rsidRPr="00E21F46">
        <w:rPr>
          <w:rFonts w:ascii="Arial" w:hAnsi="Arial" w:cs="Arial"/>
          <w:b/>
        </w:rPr>
        <w:t xml:space="preserve">Invited lectures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83"/>
        <w:gridCol w:w="8389"/>
        <w:gridCol w:w="416"/>
      </w:tblGrid>
      <w:tr w:rsidR="00D93666" w:rsidRPr="00E21F46" w:rsidTr="001A34CC"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[1]</w:t>
            </w:r>
          </w:p>
        </w:tc>
        <w:tc>
          <w:tcPr>
            <w:tcW w:w="0" w:type="auto"/>
          </w:tcPr>
          <w:p w:rsidR="00D93666" w:rsidRPr="00E21F46" w:rsidRDefault="0031447B" w:rsidP="001A34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Protein purification – the steps in high quality protein purification from avian blood samples.</w:t>
            </w:r>
            <w:r w:rsidR="001A34CC" w:rsidRPr="00E21F46">
              <w:rPr>
                <w:rFonts w:ascii="Arial" w:hAnsi="Arial" w:cs="Arial"/>
              </w:rPr>
              <w:t xml:space="preserve"> – </w:t>
            </w:r>
            <w:proofErr w:type="spellStart"/>
            <w:r w:rsidR="001A34CC" w:rsidRPr="00E21F46">
              <w:rPr>
                <w:rFonts w:ascii="Arial" w:hAnsi="Arial" w:cs="Arial"/>
              </w:rPr>
              <w:t>Hanyang</w:t>
            </w:r>
            <w:proofErr w:type="spellEnd"/>
            <w:r w:rsidR="001A34CC" w:rsidRPr="00E21F46">
              <w:rPr>
                <w:rFonts w:ascii="Arial" w:hAnsi="Arial" w:cs="Arial"/>
              </w:rPr>
              <w:t xml:space="preserve"> University, Soul, Korea, 2010</w:t>
            </w:r>
          </w:p>
        </w:tc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</w:tr>
      <w:tr w:rsidR="00D93666" w:rsidRPr="00E21F46" w:rsidTr="001A34CC"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[2]</w:t>
            </w:r>
          </w:p>
        </w:tc>
        <w:tc>
          <w:tcPr>
            <w:tcW w:w="0" w:type="auto"/>
          </w:tcPr>
          <w:p w:rsidR="00D93666" w:rsidRPr="00E21F46" w:rsidRDefault="0031447B" w:rsidP="001A34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 xml:space="preserve">The advantages of the use of GE 2D clean kit. Step by step protein cleaning preceding two-dimensional electrophoresis </w:t>
            </w:r>
            <w:r w:rsidR="001A34CC" w:rsidRPr="00E21F46">
              <w:rPr>
                <w:rFonts w:ascii="Arial" w:hAnsi="Arial" w:cs="Arial"/>
              </w:rPr>
              <w:t xml:space="preserve"> – </w:t>
            </w:r>
            <w:proofErr w:type="spellStart"/>
            <w:r w:rsidR="001A34CC" w:rsidRPr="00E21F46">
              <w:rPr>
                <w:rFonts w:ascii="Arial" w:hAnsi="Arial" w:cs="Arial"/>
              </w:rPr>
              <w:t>Hanyang</w:t>
            </w:r>
            <w:proofErr w:type="spellEnd"/>
            <w:r w:rsidR="001A34CC" w:rsidRPr="00E21F46">
              <w:rPr>
                <w:rFonts w:ascii="Arial" w:hAnsi="Arial" w:cs="Arial"/>
              </w:rPr>
              <w:t xml:space="preserve"> University, Soul, Korea, 2010</w:t>
            </w:r>
          </w:p>
        </w:tc>
        <w:tc>
          <w:tcPr>
            <w:tcW w:w="0" w:type="auto"/>
          </w:tcPr>
          <w:p w:rsidR="00D93666" w:rsidRPr="00E21F46" w:rsidRDefault="001A34CC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</w:tr>
      <w:tr w:rsidR="00D93666" w:rsidRPr="00E21F46" w:rsidTr="001A34CC">
        <w:tc>
          <w:tcPr>
            <w:tcW w:w="0" w:type="auto"/>
          </w:tcPr>
          <w:p w:rsidR="00D93666" w:rsidRPr="00E21F46" w:rsidRDefault="00D93666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[3]</w:t>
            </w:r>
          </w:p>
        </w:tc>
        <w:tc>
          <w:tcPr>
            <w:tcW w:w="0" w:type="auto"/>
          </w:tcPr>
          <w:p w:rsidR="00F104FC" w:rsidRPr="00E21F46" w:rsidRDefault="001A34CC" w:rsidP="001A34CC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Isoelectrophocusing</w:t>
            </w:r>
            <w:proofErr w:type="spellEnd"/>
            <w:r w:rsidRPr="00E21F46">
              <w:rPr>
                <w:rFonts w:ascii="Arial" w:hAnsi="Arial" w:cs="Arial"/>
              </w:rPr>
              <w:t xml:space="preserve"> – the appropriate approach to </w:t>
            </w:r>
            <w:proofErr w:type="spellStart"/>
            <w:r w:rsidRPr="00E21F46">
              <w:rPr>
                <w:rFonts w:ascii="Arial" w:hAnsi="Arial" w:cs="Arial"/>
              </w:rPr>
              <w:t>isoelectrophocusing</w:t>
            </w:r>
            <w:proofErr w:type="spellEnd"/>
            <w:r w:rsidRPr="00E21F46">
              <w:rPr>
                <w:rFonts w:ascii="Arial" w:hAnsi="Arial" w:cs="Arial"/>
              </w:rPr>
              <w:t xml:space="preserve"> of samples elucidated from different sources – </w:t>
            </w:r>
            <w:proofErr w:type="spellStart"/>
            <w:r w:rsidRPr="00E21F46">
              <w:rPr>
                <w:rFonts w:ascii="Arial" w:hAnsi="Arial" w:cs="Arial"/>
              </w:rPr>
              <w:t>Hanyang</w:t>
            </w:r>
            <w:proofErr w:type="spellEnd"/>
            <w:r w:rsidRPr="00E21F46">
              <w:rPr>
                <w:rFonts w:ascii="Arial" w:hAnsi="Arial" w:cs="Arial"/>
              </w:rPr>
              <w:t xml:space="preserve"> University, Soul, Korea, 2010</w:t>
            </w:r>
          </w:p>
        </w:tc>
        <w:tc>
          <w:tcPr>
            <w:tcW w:w="0" w:type="auto"/>
          </w:tcPr>
          <w:p w:rsidR="00D93666" w:rsidRPr="00E21F46" w:rsidRDefault="001A34CC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</w:tr>
      <w:tr w:rsidR="001A34CC" w:rsidRPr="00E21F46" w:rsidTr="001A34CC">
        <w:tc>
          <w:tcPr>
            <w:tcW w:w="0" w:type="auto"/>
          </w:tcPr>
          <w:p w:rsidR="001A34CC" w:rsidRPr="00E21F46" w:rsidRDefault="001A34CC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[4]</w:t>
            </w:r>
          </w:p>
        </w:tc>
        <w:tc>
          <w:tcPr>
            <w:tcW w:w="0" w:type="auto"/>
          </w:tcPr>
          <w:p w:rsidR="001A34CC" w:rsidRPr="00E21F46" w:rsidRDefault="001A34CC" w:rsidP="001A34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 xml:space="preserve">Second dimension electrophoresis - parameter adjustment. The influence of running conditions on the final quality of the gel. – </w:t>
            </w:r>
            <w:proofErr w:type="spellStart"/>
            <w:r w:rsidRPr="00E21F46">
              <w:rPr>
                <w:rFonts w:ascii="Arial" w:hAnsi="Arial" w:cs="Arial"/>
              </w:rPr>
              <w:t>Hanyang</w:t>
            </w:r>
            <w:proofErr w:type="spellEnd"/>
            <w:r w:rsidRPr="00E21F46">
              <w:rPr>
                <w:rFonts w:ascii="Arial" w:hAnsi="Arial" w:cs="Arial"/>
              </w:rPr>
              <w:t xml:space="preserve"> University, Soul, Korea, 2010</w:t>
            </w:r>
          </w:p>
        </w:tc>
        <w:tc>
          <w:tcPr>
            <w:tcW w:w="0" w:type="auto"/>
          </w:tcPr>
          <w:p w:rsidR="001A34CC" w:rsidRPr="00E21F46" w:rsidRDefault="001A34CC" w:rsidP="001A34CC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</w:tr>
    </w:tbl>
    <w:p w:rsidR="00F104FC" w:rsidRDefault="00F104FC" w:rsidP="00D93666">
      <w:pPr>
        <w:rPr>
          <w:rFonts w:ascii="Arial" w:hAnsi="Arial" w:cs="Arial"/>
          <w:b/>
        </w:rPr>
      </w:pPr>
    </w:p>
    <w:p w:rsidR="00E21F46" w:rsidRPr="00E21F46" w:rsidRDefault="00E21F46" w:rsidP="00D93666">
      <w:pPr>
        <w:rPr>
          <w:rFonts w:ascii="Arial" w:hAnsi="Arial" w:cs="Arial"/>
          <w:b/>
        </w:rPr>
      </w:pPr>
    </w:p>
    <w:p w:rsidR="00D93666" w:rsidRPr="00E21F46" w:rsidRDefault="00D93666" w:rsidP="00D93666">
      <w:pPr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lastRenderedPageBreak/>
        <w:t>g) Abstra</w:t>
      </w:r>
      <w:r w:rsidR="006544B1" w:rsidRPr="00E21F46">
        <w:rPr>
          <w:rFonts w:ascii="Arial" w:hAnsi="Arial" w:cs="Arial"/>
          <w:b/>
        </w:rPr>
        <w:t>c</w:t>
      </w:r>
      <w:r w:rsidRPr="00E21F46">
        <w:rPr>
          <w:rFonts w:ascii="Arial" w:hAnsi="Arial" w:cs="Arial"/>
          <w:b/>
        </w:rPr>
        <w:t>t</w:t>
      </w:r>
      <w:r w:rsidR="006544B1" w:rsidRPr="00E21F46">
        <w:rPr>
          <w:rFonts w:ascii="Arial" w:hAnsi="Arial" w:cs="Arial"/>
          <w:b/>
        </w:rPr>
        <w:t xml:space="preserve">s related to active contributions to conferences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83"/>
        <w:gridCol w:w="8389"/>
        <w:gridCol w:w="416"/>
      </w:tblGrid>
      <w:tr w:rsidR="001A34CC" w:rsidRPr="00E21F46" w:rsidTr="00667ADE">
        <w:tc>
          <w:tcPr>
            <w:tcW w:w="0" w:type="auto"/>
          </w:tcPr>
          <w:p w:rsidR="001A34CC" w:rsidRPr="00E21F46" w:rsidRDefault="001A34C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[1]</w:t>
            </w:r>
          </w:p>
        </w:tc>
        <w:tc>
          <w:tcPr>
            <w:tcW w:w="0" w:type="auto"/>
          </w:tcPr>
          <w:p w:rsidR="001A34CC" w:rsidRPr="00E21F46" w:rsidRDefault="001A34CC" w:rsidP="0057441A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Meenakshi</w:t>
            </w:r>
            <w:proofErr w:type="spellEnd"/>
            <w:r w:rsidRPr="00E21F46">
              <w:rPr>
                <w:rFonts w:ascii="Arial" w:hAnsi="Arial" w:cs="Arial"/>
              </w:rPr>
              <w:t xml:space="preserve"> </w:t>
            </w:r>
            <w:proofErr w:type="spellStart"/>
            <w:r w:rsidRPr="00E21F46">
              <w:rPr>
                <w:rFonts w:ascii="Arial" w:hAnsi="Arial" w:cs="Arial"/>
              </w:rPr>
              <w:t>Dwivedi</w:t>
            </w:r>
            <w:proofErr w:type="spellEnd"/>
            <w:r w:rsidRPr="00E21F46">
              <w:rPr>
                <w:rFonts w:ascii="Arial" w:hAnsi="Arial" w:cs="Arial"/>
              </w:rPr>
              <w:t xml:space="preserve">, M., </w:t>
            </w:r>
            <w:proofErr w:type="spellStart"/>
            <w:r w:rsidRPr="00E21F46">
              <w:rPr>
                <w:rFonts w:ascii="Arial" w:hAnsi="Arial" w:cs="Arial"/>
              </w:rPr>
              <w:t>Kalichamy</w:t>
            </w:r>
            <w:proofErr w:type="spellEnd"/>
            <w:r w:rsidRPr="00E21F46">
              <w:rPr>
                <w:rFonts w:ascii="Arial" w:hAnsi="Arial" w:cs="Arial"/>
              </w:rPr>
              <w:t xml:space="preserve">, K., </w:t>
            </w: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, M., and </w:t>
            </w:r>
            <w:proofErr w:type="spellStart"/>
            <w:r w:rsidRPr="00E21F46">
              <w:rPr>
                <w:rFonts w:ascii="Arial" w:hAnsi="Arial" w:cs="Arial"/>
              </w:rPr>
              <w:t>Ahnn</w:t>
            </w:r>
            <w:proofErr w:type="spellEnd"/>
            <w:r w:rsidRPr="00E21F46">
              <w:rPr>
                <w:rFonts w:ascii="Arial" w:hAnsi="Arial" w:cs="Arial"/>
              </w:rPr>
              <w:t xml:space="preserve"> J Lifespan extension in </w:t>
            </w:r>
            <w:proofErr w:type="spellStart"/>
            <w:r w:rsidRPr="00E21F46">
              <w:rPr>
                <w:rFonts w:ascii="Arial" w:hAnsi="Arial" w:cs="Arial"/>
              </w:rPr>
              <w:t>calcineurin</w:t>
            </w:r>
            <w:proofErr w:type="spellEnd"/>
            <w:r w:rsidRPr="00E21F46">
              <w:rPr>
                <w:rFonts w:ascii="Arial" w:hAnsi="Arial" w:cs="Arial"/>
              </w:rPr>
              <w:t xml:space="preserve">-defective mutants requires </w:t>
            </w:r>
            <w:proofErr w:type="spellStart"/>
            <w:r w:rsidRPr="00E21F46">
              <w:rPr>
                <w:rFonts w:ascii="Arial" w:hAnsi="Arial" w:cs="Arial"/>
              </w:rPr>
              <w:t>autophagy</w:t>
            </w:r>
            <w:proofErr w:type="spellEnd"/>
            <w:r w:rsidRPr="00E21F46">
              <w:rPr>
                <w:rFonts w:ascii="Arial" w:hAnsi="Arial" w:cs="Arial"/>
              </w:rPr>
              <w:t xml:space="preserve"> genes in </w:t>
            </w:r>
            <w:r w:rsidRPr="00E21F46">
              <w:rPr>
                <w:rFonts w:ascii="Arial" w:hAnsi="Arial" w:cs="Arial"/>
                <w:i/>
                <w:iCs/>
              </w:rPr>
              <w:t xml:space="preserve">C. </w:t>
            </w:r>
            <w:proofErr w:type="spellStart"/>
            <w:r w:rsidRPr="00E21F46">
              <w:rPr>
                <w:rFonts w:ascii="Arial" w:hAnsi="Arial" w:cs="Arial"/>
                <w:i/>
                <w:iCs/>
              </w:rPr>
              <w:t>elegans</w:t>
            </w:r>
            <w:proofErr w:type="spellEnd"/>
            <w:r w:rsidRPr="00E21F46">
              <w:rPr>
                <w:rFonts w:ascii="Arial" w:hAnsi="Arial" w:cs="Arial"/>
              </w:rPr>
              <w:t xml:space="preserve">. 17th International C. </w:t>
            </w:r>
            <w:proofErr w:type="spellStart"/>
            <w:r w:rsidRPr="00E21F46">
              <w:rPr>
                <w:rFonts w:ascii="Arial" w:hAnsi="Arial" w:cs="Arial"/>
              </w:rPr>
              <w:t>elegans</w:t>
            </w:r>
            <w:proofErr w:type="spellEnd"/>
            <w:r w:rsidRPr="00E21F46">
              <w:rPr>
                <w:rFonts w:ascii="Arial" w:hAnsi="Arial" w:cs="Arial"/>
              </w:rPr>
              <w:t xml:space="preserve"> meeting, University of California Los </w:t>
            </w:r>
            <w:proofErr w:type="spellStart"/>
            <w:r w:rsidRPr="00E21F46">
              <w:rPr>
                <w:rFonts w:ascii="Arial" w:hAnsi="Arial" w:cs="Arial"/>
              </w:rPr>
              <w:t>angeles</w:t>
            </w:r>
            <w:proofErr w:type="spellEnd"/>
            <w:r w:rsidRPr="00E21F46">
              <w:rPr>
                <w:rFonts w:ascii="Arial" w:hAnsi="Arial" w:cs="Arial"/>
              </w:rPr>
              <w:t xml:space="preserve">, 2009 </w:t>
            </w:r>
          </w:p>
        </w:tc>
        <w:tc>
          <w:tcPr>
            <w:tcW w:w="0" w:type="auto"/>
          </w:tcPr>
          <w:p w:rsidR="001A34CC" w:rsidRPr="00E21F46" w:rsidRDefault="001A34C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</w:tr>
    </w:tbl>
    <w:p w:rsidR="001A34CC" w:rsidRPr="00E21F46" w:rsidRDefault="001A34CC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h) </w:t>
      </w:r>
      <w:r w:rsidR="006544B1" w:rsidRPr="00E21F46">
        <w:rPr>
          <w:rFonts w:ascii="Arial" w:hAnsi="Arial" w:cs="Arial"/>
          <w:b/>
        </w:rPr>
        <w:t>List of presentations for c</w:t>
      </w:r>
      <w:r w:rsidRPr="00E21F46">
        <w:rPr>
          <w:rFonts w:ascii="Arial" w:hAnsi="Arial" w:cs="Arial"/>
          <w:b/>
        </w:rPr>
        <w:t>onferenc</w:t>
      </w:r>
      <w:r w:rsidR="006544B1" w:rsidRPr="00E21F46">
        <w:rPr>
          <w:rFonts w:ascii="Arial" w:hAnsi="Arial" w:cs="Arial"/>
          <w:b/>
        </w:rPr>
        <w:t>es that have not issued proceedings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proofErr w:type="spellStart"/>
      <w:r w:rsidRPr="00E21F46">
        <w:rPr>
          <w:rFonts w:ascii="Arial" w:hAnsi="Arial" w:cs="Arial"/>
          <w:b/>
        </w:rPr>
        <w:t>i</w:t>
      </w:r>
      <w:proofErr w:type="spellEnd"/>
      <w:r w:rsidRPr="00E21F46">
        <w:rPr>
          <w:rFonts w:ascii="Arial" w:hAnsi="Arial" w:cs="Arial"/>
          <w:b/>
        </w:rPr>
        <w:t xml:space="preserve">) </w:t>
      </w:r>
      <w:r w:rsidR="006544B1" w:rsidRPr="00E21F46">
        <w:rPr>
          <w:rFonts w:ascii="Arial" w:hAnsi="Arial" w:cs="Arial"/>
          <w:b/>
        </w:rPr>
        <w:t xml:space="preserve">Purpose-oriented publications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83"/>
        <w:gridCol w:w="8805"/>
      </w:tblGrid>
      <w:tr w:rsidR="00D93666" w:rsidRPr="00E21F46" w:rsidTr="00667ADE">
        <w:tc>
          <w:tcPr>
            <w:tcW w:w="0" w:type="auto"/>
          </w:tcPr>
          <w:p w:rsidR="00D93666" w:rsidRPr="00E21F46" w:rsidRDefault="00D93666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[1]</w:t>
            </w:r>
          </w:p>
        </w:tc>
        <w:tc>
          <w:tcPr>
            <w:tcW w:w="0" w:type="auto"/>
          </w:tcPr>
          <w:p w:rsidR="00274D7E" w:rsidRPr="00E21F46" w:rsidRDefault="001A34CC" w:rsidP="00274D7E">
            <w:pPr>
              <w:rPr>
                <w:rFonts w:ascii="Arial" w:hAnsi="Arial" w:cs="Arial"/>
                <w:bCs/>
                <w:lang w:bidi="en-US"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</w:t>
            </w:r>
            <w:r w:rsidR="00274D7E" w:rsidRPr="00E21F46">
              <w:rPr>
                <w:rFonts w:ascii="Arial" w:hAnsi="Arial" w:cs="Arial"/>
              </w:rPr>
              <w:t>M</w:t>
            </w:r>
            <w:r w:rsidR="00D93666" w:rsidRPr="00E21F46">
              <w:rPr>
                <w:rFonts w:ascii="Arial" w:hAnsi="Arial" w:cs="Arial"/>
              </w:rPr>
              <w:t>.</w:t>
            </w:r>
            <w:r w:rsidR="00274D7E" w:rsidRPr="00E21F46">
              <w:rPr>
                <w:rFonts w:ascii="Arial" w:hAnsi="Arial" w:cs="Arial"/>
              </w:rPr>
              <w:t xml:space="preserve"> </w:t>
            </w:r>
            <w:r w:rsidR="00274D7E" w:rsidRPr="00E21F46">
              <w:rPr>
                <w:rFonts w:ascii="Arial" w:hAnsi="Arial" w:cs="Arial"/>
                <w:bCs/>
                <w:lang w:bidi="en-US"/>
              </w:rPr>
              <w:t>The analysis of specific factors influencing health related quality of life: large scale studies on women population age 12 to 85. Habilitation thesis. Masaryk University, Brno, Czech Republic, 2010</w:t>
            </w:r>
          </w:p>
          <w:p w:rsidR="00D93666" w:rsidRPr="00E21F46" w:rsidRDefault="00D93666" w:rsidP="00274D7E">
            <w:pPr>
              <w:rPr>
                <w:rFonts w:ascii="Arial" w:hAnsi="Arial" w:cs="Arial"/>
                <w:b/>
              </w:rPr>
            </w:pPr>
          </w:p>
        </w:tc>
      </w:tr>
      <w:tr w:rsidR="00D93666" w:rsidRPr="00E21F46" w:rsidTr="00667ADE">
        <w:tc>
          <w:tcPr>
            <w:tcW w:w="0" w:type="auto"/>
          </w:tcPr>
          <w:p w:rsidR="00D93666" w:rsidRPr="00E21F46" w:rsidRDefault="00D93666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[2]</w:t>
            </w:r>
          </w:p>
        </w:tc>
        <w:tc>
          <w:tcPr>
            <w:tcW w:w="0" w:type="auto"/>
          </w:tcPr>
          <w:p w:rsidR="00D93666" w:rsidRPr="00E21F46" w:rsidRDefault="001A34CC" w:rsidP="001A34CC">
            <w:pPr>
              <w:rPr>
                <w:rFonts w:ascii="Arial" w:hAnsi="Arial" w:cs="Arial"/>
                <w:b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 The analysis of coordinative parameters of elderly, Thesis to confer </w:t>
            </w:r>
            <w:proofErr w:type="spellStart"/>
            <w:r w:rsidRPr="00E21F46">
              <w:rPr>
                <w:rFonts w:ascii="Arial" w:hAnsi="Arial" w:cs="Arial"/>
              </w:rPr>
              <w:t>DrMed</w:t>
            </w:r>
            <w:proofErr w:type="spellEnd"/>
            <w:r w:rsidRPr="00E21F46">
              <w:rPr>
                <w:rFonts w:ascii="Arial" w:hAnsi="Arial" w:cs="Arial"/>
              </w:rPr>
              <w:t xml:space="preserve">. degree, </w:t>
            </w:r>
            <w:proofErr w:type="spellStart"/>
            <w:r w:rsidR="00274D7E" w:rsidRPr="00E21F46">
              <w:rPr>
                <w:rFonts w:ascii="Arial" w:hAnsi="Arial" w:cs="Arial"/>
              </w:rPr>
              <w:t>Nicolaus</w:t>
            </w:r>
            <w:proofErr w:type="spellEnd"/>
            <w:r w:rsidR="00274D7E" w:rsidRPr="00E21F46">
              <w:rPr>
                <w:rFonts w:ascii="Arial" w:hAnsi="Arial" w:cs="Arial"/>
              </w:rPr>
              <w:t xml:space="preserve"> University, </w:t>
            </w:r>
            <w:r w:rsidRPr="00E21F46">
              <w:rPr>
                <w:rFonts w:ascii="Arial" w:hAnsi="Arial" w:cs="Arial"/>
              </w:rPr>
              <w:t xml:space="preserve">Torun, </w:t>
            </w:r>
            <w:r w:rsidR="00274D7E" w:rsidRPr="00E21F46">
              <w:rPr>
                <w:rFonts w:ascii="Arial" w:hAnsi="Arial" w:cs="Arial"/>
              </w:rPr>
              <w:t xml:space="preserve">Poland, </w:t>
            </w:r>
            <w:r w:rsidRPr="00E21F46">
              <w:rPr>
                <w:rFonts w:ascii="Arial" w:hAnsi="Arial" w:cs="Arial"/>
              </w:rPr>
              <w:t>2008</w:t>
            </w:r>
          </w:p>
        </w:tc>
      </w:tr>
      <w:tr w:rsidR="00D93666" w:rsidRPr="00E21F46" w:rsidTr="00667ADE">
        <w:tc>
          <w:tcPr>
            <w:tcW w:w="0" w:type="auto"/>
          </w:tcPr>
          <w:p w:rsidR="00D93666" w:rsidRPr="00E21F46" w:rsidRDefault="00D93666" w:rsidP="00D936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93666" w:rsidRPr="00E21F46" w:rsidRDefault="00D93666" w:rsidP="00D93666">
            <w:pPr>
              <w:rPr>
                <w:rFonts w:ascii="Arial" w:hAnsi="Arial" w:cs="Arial"/>
              </w:rPr>
            </w:pPr>
          </w:p>
        </w:tc>
      </w:tr>
    </w:tbl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j) </w:t>
      </w:r>
      <w:r w:rsidR="001078B3" w:rsidRPr="00E21F46">
        <w:rPr>
          <w:rFonts w:ascii="Arial" w:hAnsi="Arial" w:cs="Arial"/>
          <w:b/>
        </w:rPr>
        <w:t xml:space="preserve">Research/Development projects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D93666">
      <w:pPr>
        <w:rPr>
          <w:rFonts w:ascii="Arial" w:hAnsi="Arial" w:cs="Arial"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>k)  Patent</w:t>
      </w:r>
      <w:r w:rsidR="001078B3" w:rsidRPr="00E21F46">
        <w:rPr>
          <w:rFonts w:ascii="Arial" w:hAnsi="Arial" w:cs="Arial"/>
          <w:b/>
        </w:rPr>
        <w:t>s</w:t>
      </w:r>
      <w:r w:rsidRPr="00E21F46">
        <w:rPr>
          <w:rFonts w:ascii="Arial" w:hAnsi="Arial" w:cs="Arial"/>
          <w:b/>
        </w:rPr>
        <w:t xml:space="preserve"> a</w:t>
      </w:r>
      <w:r w:rsidR="001078B3" w:rsidRPr="00E21F46">
        <w:rPr>
          <w:rFonts w:ascii="Arial" w:hAnsi="Arial" w:cs="Arial"/>
          <w:b/>
        </w:rPr>
        <w:t>nd other results</w:t>
      </w:r>
      <w:r w:rsidRPr="00E21F46">
        <w:rPr>
          <w:rFonts w:ascii="Arial" w:hAnsi="Arial" w:cs="Arial"/>
          <w:b/>
        </w:rPr>
        <w:t xml:space="preserve"> …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l)  </w:t>
      </w:r>
      <w:r w:rsidR="001078B3" w:rsidRPr="00E21F46">
        <w:rPr>
          <w:rFonts w:ascii="Arial" w:hAnsi="Arial" w:cs="Arial"/>
          <w:b/>
        </w:rPr>
        <w:t>Audiovisual/web research and development presentations</w:t>
      </w:r>
    </w:p>
    <w:p w:rsidR="00273DDD" w:rsidRPr="00E21F46" w:rsidRDefault="00273DDD" w:rsidP="003D5E76">
      <w:pPr>
        <w:outlineLvl w:val="0"/>
        <w:rPr>
          <w:rFonts w:ascii="Arial" w:hAnsi="Arial" w:cs="Arial"/>
          <w:b/>
        </w:rPr>
      </w:pPr>
    </w:p>
    <w:p w:rsidR="00D93666" w:rsidRPr="00E21F46" w:rsidRDefault="001078B3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m) Original artistic works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proofErr w:type="gramStart"/>
      <w:r w:rsidRPr="00E21F46">
        <w:rPr>
          <w:rFonts w:ascii="Arial" w:hAnsi="Arial" w:cs="Arial"/>
          <w:b/>
        </w:rPr>
        <w:t>n</w:t>
      </w:r>
      <w:proofErr w:type="gramEnd"/>
      <w:r w:rsidRPr="00E21F46">
        <w:rPr>
          <w:rFonts w:ascii="Arial" w:hAnsi="Arial" w:cs="Arial"/>
          <w:b/>
        </w:rPr>
        <w:t>) Audiovi</w:t>
      </w:r>
      <w:r w:rsidR="001078B3" w:rsidRPr="00E21F46">
        <w:rPr>
          <w:rFonts w:ascii="Arial" w:hAnsi="Arial" w:cs="Arial"/>
          <w:b/>
        </w:rPr>
        <w:t>s</w:t>
      </w:r>
      <w:r w:rsidRPr="00E21F46">
        <w:rPr>
          <w:rFonts w:ascii="Arial" w:hAnsi="Arial" w:cs="Arial"/>
          <w:b/>
        </w:rPr>
        <w:t>u</w:t>
      </w:r>
      <w:r w:rsidR="001078B3" w:rsidRPr="00E21F46">
        <w:rPr>
          <w:rFonts w:ascii="Arial" w:hAnsi="Arial" w:cs="Arial"/>
          <w:b/>
        </w:rPr>
        <w:t>a</w:t>
      </w:r>
      <w:r w:rsidRPr="00E21F46">
        <w:rPr>
          <w:rFonts w:ascii="Arial" w:hAnsi="Arial" w:cs="Arial"/>
          <w:b/>
        </w:rPr>
        <w:t>l</w:t>
      </w:r>
      <w:r w:rsidR="001078B3" w:rsidRPr="00E21F46">
        <w:rPr>
          <w:rFonts w:ascii="Arial" w:hAnsi="Arial" w:cs="Arial"/>
          <w:b/>
        </w:rPr>
        <w:t xml:space="preserve"> /</w:t>
      </w:r>
      <w:r w:rsidRPr="00E21F46">
        <w:rPr>
          <w:rFonts w:ascii="Arial" w:hAnsi="Arial" w:cs="Arial"/>
          <w:b/>
        </w:rPr>
        <w:t xml:space="preserve"> web</w:t>
      </w:r>
      <w:r w:rsidR="001078B3" w:rsidRPr="00E21F46">
        <w:rPr>
          <w:rFonts w:ascii="Arial" w:hAnsi="Arial" w:cs="Arial"/>
          <w:b/>
        </w:rPr>
        <w:t xml:space="preserve"> art presentations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 xml:space="preserve">o) </w:t>
      </w:r>
      <w:proofErr w:type="gramStart"/>
      <w:r w:rsidR="001078B3" w:rsidRPr="00E21F46">
        <w:rPr>
          <w:rFonts w:ascii="Arial" w:hAnsi="Arial" w:cs="Arial"/>
          <w:b/>
        </w:rPr>
        <w:t>other</w:t>
      </w:r>
      <w:proofErr w:type="gramEnd"/>
      <w:r w:rsidR="001078B3" w:rsidRPr="00E21F46">
        <w:rPr>
          <w:rFonts w:ascii="Arial" w:hAnsi="Arial" w:cs="Arial"/>
          <w:b/>
        </w:rPr>
        <w:t xml:space="preserve"> works significant on the part of the applicant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p w:rsidR="00D93666" w:rsidRDefault="00D9366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Default="00E21F46" w:rsidP="00D93666">
      <w:pPr>
        <w:rPr>
          <w:rFonts w:ascii="Arial" w:hAnsi="Arial" w:cs="Arial"/>
          <w:b/>
        </w:rPr>
      </w:pPr>
    </w:p>
    <w:p w:rsidR="00E21F46" w:rsidRPr="00E21F46" w:rsidRDefault="00E21F46" w:rsidP="00D93666">
      <w:pPr>
        <w:rPr>
          <w:rFonts w:ascii="Arial" w:hAnsi="Arial" w:cs="Arial"/>
          <w:b/>
        </w:rPr>
      </w:pP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lastRenderedPageBreak/>
        <w:t>p) T</w:t>
      </w:r>
      <w:r w:rsidR="001078B3" w:rsidRPr="00E21F46">
        <w:rPr>
          <w:rFonts w:ascii="Arial" w:hAnsi="Arial" w:cs="Arial"/>
          <w:b/>
        </w:rPr>
        <w:t xml:space="preserve">hree key works for the applicant </w:t>
      </w:r>
      <w:r w:rsidRPr="00E21F46">
        <w:rPr>
          <w:rFonts w:ascii="Arial" w:hAnsi="Arial" w:cs="Arial"/>
          <w:b/>
        </w:rPr>
        <w:t>(</w:t>
      </w:r>
      <w:r w:rsidR="001078B3" w:rsidRPr="00E21F46">
        <w:rPr>
          <w:rFonts w:ascii="Arial" w:hAnsi="Arial" w:cs="Arial"/>
          <w:b/>
        </w:rPr>
        <w:t>works attached</w:t>
      </w:r>
      <w:r w:rsidRPr="00E21F46">
        <w:rPr>
          <w:rFonts w:ascii="Arial" w:hAnsi="Arial" w:cs="Arial"/>
          <w:b/>
        </w:rPr>
        <w:t>)</w:t>
      </w:r>
    </w:p>
    <w:tbl>
      <w:tblPr>
        <w:tblW w:w="0" w:type="auto"/>
        <w:tblLook w:val="01E0"/>
      </w:tblPr>
      <w:tblGrid>
        <w:gridCol w:w="777"/>
        <w:gridCol w:w="6901"/>
        <w:gridCol w:w="416"/>
        <w:gridCol w:w="1194"/>
      </w:tblGrid>
      <w:tr w:rsidR="00D93666" w:rsidRPr="00E21F46" w:rsidTr="00AB2A6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FE788D" w:rsidP="00D93666">
            <w:pPr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  <w:b/>
              </w:rPr>
              <w:t>c[7</w:t>
            </w:r>
            <w:r w:rsidR="00D93666" w:rsidRPr="00E21F46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FE788D" w:rsidP="00A0146B">
            <w:pPr>
              <w:jc w:val="both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Hagner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Hagner-Derengowska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Zubrzycki</w:t>
            </w:r>
            <w:proofErr w:type="spellEnd"/>
            <w:r w:rsidRPr="00E21F46">
              <w:rPr>
                <w:rFonts w:ascii="Arial" w:hAnsi="Arial" w:cs="Arial"/>
              </w:rPr>
              <w:t xml:space="preserve"> IZ. 2009. Changes in level of (V) over </w:t>
            </w:r>
            <w:proofErr w:type="spellStart"/>
            <w:proofErr w:type="gramStart"/>
            <w:r w:rsidRPr="00E21F46">
              <w:rPr>
                <w:rFonts w:ascii="Arial" w:hAnsi="Arial" w:cs="Arial"/>
              </w:rPr>
              <w:t>dotO</w:t>
            </w:r>
            <w:proofErr w:type="spellEnd"/>
            <w:r w:rsidRPr="00E21F46">
              <w:rPr>
                <w:rFonts w:ascii="Arial" w:hAnsi="Arial" w:cs="Arial"/>
              </w:rPr>
              <w:t>(</w:t>
            </w:r>
            <w:proofErr w:type="gramEnd"/>
            <w:r w:rsidRPr="00E21F46">
              <w:rPr>
                <w:rFonts w:ascii="Arial" w:hAnsi="Arial" w:cs="Arial"/>
              </w:rPr>
              <w:t xml:space="preserve">2max), blood lipids, and waist circumference in the response to moderate endurance training as a function of ovarian aging. Menopause-the Journal of the North American Menopause Society 16(5):1009-1013. </w:t>
            </w:r>
          </w:p>
          <w:p w:rsidR="00FE788D" w:rsidRPr="00E21F46" w:rsidRDefault="00FE788D" w:rsidP="00A0146B">
            <w:pPr>
              <w:jc w:val="both"/>
              <w:rPr>
                <w:rFonts w:ascii="Arial" w:hAnsi="Arial" w:cs="Arial"/>
              </w:rPr>
            </w:pPr>
          </w:p>
          <w:p w:rsidR="00D93666" w:rsidRPr="00E21F46" w:rsidRDefault="00FE788D" w:rsidP="00A0146B">
            <w:pPr>
              <w:jc w:val="both"/>
              <w:rPr>
                <w:rFonts w:ascii="Arial" w:hAnsi="Arial" w:cs="Arial"/>
                <w:i/>
              </w:rPr>
            </w:pPr>
            <w:r w:rsidRPr="00E21F46">
              <w:rPr>
                <w:rFonts w:ascii="Arial" w:hAnsi="Arial" w:cs="Arial"/>
                <w:i/>
              </w:rPr>
              <w:t>It is the first ever report indicating the applicability of Nordic Walking for “treatment” of menopause.</w:t>
            </w:r>
          </w:p>
          <w:p w:rsidR="00FE788D" w:rsidRPr="00E21F46" w:rsidRDefault="00FE788D" w:rsidP="00A0146B">
            <w:pPr>
              <w:jc w:val="both"/>
              <w:rPr>
                <w:rFonts w:ascii="Arial" w:hAnsi="Arial" w:cs="Arial"/>
                <w:i/>
              </w:rPr>
            </w:pPr>
          </w:p>
          <w:p w:rsidR="00FE788D" w:rsidRPr="00E21F46" w:rsidRDefault="00FE788D" w:rsidP="00A0146B">
            <w:pPr>
              <w:jc w:val="both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  <w:i/>
              </w:rPr>
              <w:t xml:space="preserve">„The </w:t>
            </w:r>
            <w:r w:rsidRPr="00E21F46">
              <w:rPr>
                <w:rFonts w:ascii="Arial" w:hAnsi="Arial" w:cs="Arial"/>
                <w:i/>
                <w:iCs/>
              </w:rPr>
              <w:t>North American Menopause Society</w:t>
            </w:r>
            <w:r w:rsidRPr="00E21F46">
              <w:rPr>
                <w:rFonts w:ascii="Arial" w:hAnsi="Arial" w:cs="Arial"/>
                <w:i/>
              </w:rPr>
              <w:t xml:space="preserve"> is proud that </w:t>
            </w:r>
            <w:r w:rsidRPr="00E21F46">
              <w:rPr>
                <w:rFonts w:ascii="Arial" w:hAnsi="Arial" w:cs="Arial"/>
                <w:i/>
                <w:iCs/>
              </w:rPr>
              <w:t>Menopause</w:t>
            </w:r>
            <w:r w:rsidRPr="00E21F46">
              <w:rPr>
                <w:rFonts w:ascii="Arial" w:hAnsi="Arial" w:cs="Arial"/>
                <w:i/>
              </w:rPr>
              <w:t xml:space="preserve"> continues to achieve high ranking among scientific publications. For example, in the most recent Journal Citation Report for the year 2005, </w:t>
            </w:r>
            <w:r w:rsidRPr="00E21F46">
              <w:rPr>
                <w:rFonts w:ascii="Arial" w:hAnsi="Arial" w:cs="Arial"/>
                <w:b/>
                <w:i/>
                <w:iCs/>
              </w:rPr>
              <w:t>Menopause</w:t>
            </w:r>
            <w:r w:rsidRPr="00E21F46">
              <w:rPr>
                <w:rFonts w:ascii="Arial" w:hAnsi="Arial" w:cs="Arial"/>
                <w:b/>
                <w:i/>
              </w:rPr>
              <w:t xml:space="preserve"> ranked #3 out of the 57 journals listed in the Ob/</w:t>
            </w:r>
            <w:proofErr w:type="spellStart"/>
            <w:r w:rsidRPr="00E21F46">
              <w:rPr>
                <w:rFonts w:ascii="Arial" w:hAnsi="Arial" w:cs="Arial"/>
                <w:b/>
                <w:i/>
              </w:rPr>
              <w:t>Gyn</w:t>
            </w:r>
            <w:proofErr w:type="spellEnd"/>
            <w:r w:rsidRPr="00E21F46">
              <w:rPr>
                <w:rFonts w:ascii="Arial" w:hAnsi="Arial" w:cs="Arial"/>
                <w:b/>
                <w:i/>
              </w:rPr>
              <w:t xml:space="preserve"> category</w:t>
            </w:r>
            <w:r w:rsidRPr="00E21F46">
              <w:rPr>
                <w:rFonts w:ascii="Arial" w:hAnsi="Arial" w:cs="Arial"/>
                <w:i/>
              </w:rPr>
              <w:t xml:space="preserve"> – with its highest impact factor (3.913) in history. </w:t>
            </w:r>
            <w:r w:rsidRPr="00E21F46">
              <w:rPr>
                <w:rFonts w:ascii="Arial" w:hAnsi="Arial" w:cs="Arial"/>
                <w:i/>
                <w:iCs/>
              </w:rPr>
              <w:t xml:space="preserve">Menopause </w:t>
            </w:r>
            <w:r w:rsidRPr="00E21F46">
              <w:rPr>
                <w:rFonts w:ascii="Arial" w:hAnsi="Arial" w:cs="Arial"/>
                <w:i/>
              </w:rPr>
              <w:t>is a steady performer that attracts the leading papers</w:t>
            </w:r>
            <w:proofErr w:type="gramStart"/>
            <w:r w:rsidRPr="00E21F46">
              <w:rPr>
                <w:rFonts w:ascii="Arial" w:hAnsi="Arial" w:cs="Arial"/>
                <w:i/>
              </w:rPr>
              <w:t>.“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D93666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E788D" w:rsidRPr="00E21F46" w:rsidRDefault="00D93666" w:rsidP="00BA7D21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  <w:r w:rsidR="00FE788D" w:rsidRPr="00E21F46">
              <w:rPr>
                <w:rFonts w:ascii="Arial" w:hAnsi="Arial" w:cs="Arial"/>
              </w:rPr>
              <w:t xml:space="preserve">, </w:t>
            </w:r>
          </w:p>
          <w:p w:rsidR="00D93666" w:rsidRPr="00E21F46" w:rsidRDefault="00FE788D" w:rsidP="00BA7D21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 = 3.446</w:t>
            </w:r>
          </w:p>
          <w:p w:rsidR="00FE788D" w:rsidRPr="00E21F46" w:rsidRDefault="00FE788D" w:rsidP="00BA7D21">
            <w:pPr>
              <w:rPr>
                <w:rFonts w:ascii="Arial" w:hAnsi="Arial" w:cs="Arial"/>
              </w:rPr>
            </w:pPr>
          </w:p>
        </w:tc>
      </w:tr>
      <w:tr w:rsidR="00D93666" w:rsidRPr="00E21F46" w:rsidTr="00AB2A6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FE788D" w:rsidP="00D93666">
            <w:pPr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  <w:b/>
              </w:rPr>
              <w:t>c[16</w:t>
            </w:r>
            <w:r w:rsidR="00D93666" w:rsidRPr="00E21F46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FE788D" w:rsidP="00A0146B">
            <w:pPr>
              <w:jc w:val="both"/>
              <w:rPr>
                <w:rFonts w:ascii="Arial" w:hAnsi="Arial" w:cs="Arial"/>
                <w:bCs/>
              </w:rPr>
            </w:pPr>
            <w:r w:rsidRPr="00E21F46">
              <w:rPr>
                <w:rFonts w:ascii="Arial" w:hAnsi="Arial" w:cs="Arial"/>
                <w:bCs/>
              </w:rPr>
              <w:t>Measures of menopause driven differences in levels of blood lipids, follicle stimulating hormone and luteinizing hormone women age 35-60: NHANES III and NHANES 1999-2002 study.</w:t>
            </w:r>
          </w:p>
          <w:p w:rsidR="006904A7" w:rsidRPr="00E21F46" w:rsidRDefault="006904A7" w:rsidP="00A0146B">
            <w:pPr>
              <w:jc w:val="both"/>
              <w:rPr>
                <w:rFonts w:ascii="Arial" w:hAnsi="Arial" w:cs="Arial"/>
                <w:bCs/>
              </w:rPr>
            </w:pPr>
          </w:p>
          <w:p w:rsidR="00FE788D" w:rsidRPr="00E21F46" w:rsidRDefault="00FE788D" w:rsidP="00A0146B">
            <w:pPr>
              <w:jc w:val="both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  <w:bCs/>
                <w:i/>
              </w:rPr>
              <w:t>This is the most recent study on blood lipids differentiation in response to menopausal transition. It disproves some of the earlier statements with regard to menopausal lipid profiles</w:t>
            </w:r>
            <w:r w:rsidRPr="00E21F4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D93666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666" w:rsidRPr="00E21F46" w:rsidRDefault="00D93666" w:rsidP="00BA7D21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  <w:p w:rsidR="00FE788D" w:rsidRPr="00E21F46" w:rsidRDefault="00FE788D" w:rsidP="00BA7D21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 = 3.446</w:t>
            </w:r>
          </w:p>
          <w:p w:rsidR="00D93666" w:rsidRPr="00E21F46" w:rsidRDefault="00D93666" w:rsidP="00BA7D21">
            <w:pPr>
              <w:rPr>
                <w:rFonts w:ascii="Arial" w:hAnsi="Arial" w:cs="Arial"/>
              </w:rPr>
            </w:pPr>
          </w:p>
        </w:tc>
      </w:tr>
      <w:tr w:rsidR="00A0146B" w:rsidRPr="00E21F46" w:rsidTr="00AB2A6F">
        <w:tc>
          <w:tcPr>
            <w:tcW w:w="0" w:type="auto"/>
            <w:tcBorders>
              <w:top w:val="single" w:sz="4" w:space="0" w:color="auto"/>
            </w:tcBorders>
          </w:tcPr>
          <w:p w:rsidR="00A0146B" w:rsidRPr="00E21F46" w:rsidRDefault="00A0146B" w:rsidP="00D93666">
            <w:pPr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  <w:b/>
              </w:rPr>
              <w:t>c[12]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146B" w:rsidRPr="00E21F46" w:rsidRDefault="00A0146B" w:rsidP="00A0146B">
            <w:pPr>
              <w:jc w:val="both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Andrzejewski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Chmura</w:t>
            </w:r>
            <w:proofErr w:type="spellEnd"/>
            <w:r w:rsidRPr="00E21F46">
              <w:rPr>
                <w:rFonts w:ascii="Arial" w:hAnsi="Arial" w:cs="Arial"/>
              </w:rPr>
              <w:t xml:space="preserve"> J, I.Z. Z. in press. The changes of the specific physiological parameters in response to 12-week individualized training of young soccer players. Journal of Strength and Conditioning Research</w:t>
            </w:r>
          </w:p>
          <w:p w:rsidR="006904A7" w:rsidRPr="00E21F46" w:rsidRDefault="006904A7" w:rsidP="00A0146B">
            <w:pPr>
              <w:jc w:val="both"/>
              <w:rPr>
                <w:rFonts w:ascii="Arial" w:hAnsi="Arial" w:cs="Arial"/>
              </w:rPr>
            </w:pPr>
          </w:p>
          <w:p w:rsidR="00A0146B" w:rsidRPr="00E21F46" w:rsidRDefault="00A0146B" w:rsidP="00A0146B">
            <w:pPr>
              <w:jc w:val="both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  <w:i/>
              </w:rPr>
              <w:t>It is one of the few study reporting correlations between physiological responses of young soccer player to individualized training. The usability of specific physiological parameters for sports monitoring was evaluated and proposed</w:t>
            </w:r>
            <w:r w:rsidRPr="00E21F46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0146B" w:rsidRPr="00E21F46" w:rsidRDefault="00A0146B" w:rsidP="001F35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7D21" w:rsidRPr="00E21F46" w:rsidRDefault="00BA7D21" w:rsidP="00BA7D21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  <w:p w:rsidR="00A0146B" w:rsidRPr="00E21F46" w:rsidRDefault="00A0146B" w:rsidP="00BA7D21">
            <w:pPr>
              <w:spacing w:before="120" w:after="120"/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</w:t>
            </w:r>
            <w:r w:rsidRPr="00E21F46">
              <w:rPr>
                <w:rFonts w:ascii="Arial" w:hAnsi="Arial" w:cs="Arial"/>
                <w:bCs/>
              </w:rPr>
              <w:t>1.282</w:t>
            </w:r>
          </w:p>
        </w:tc>
      </w:tr>
    </w:tbl>
    <w:p w:rsidR="00D93666" w:rsidRPr="00E21F46" w:rsidRDefault="00D93666" w:rsidP="00D93666">
      <w:pPr>
        <w:rPr>
          <w:rFonts w:ascii="Arial" w:hAnsi="Arial" w:cs="Arial"/>
          <w:b/>
        </w:rPr>
      </w:pPr>
    </w:p>
    <w:p w:rsidR="00C03D0A" w:rsidRPr="00E21F46" w:rsidRDefault="00C03D0A" w:rsidP="00D93666">
      <w:pPr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br w:type="page"/>
      </w:r>
    </w:p>
    <w:p w:rsidR="00D93666" w:rsidRPr="00E21F46" w:rsidRDefault="00D93666" w:rsidP="003D5E76">
      <w:pPr>
        <w:outlineLvl w:val="0"/>
        <w:rPr>
          <w:rFonts w:ascii="Arial" w:hAnsi="Arial" w:cs="Arial"/>
          <w:b/>
        </w:rPr>
      </w:pPr>
      <w:r w:rsidRPr="00E21F46">
        <w:rPr>
          <w:rFonts w:ascii="Arial" w:hAnsi="Arial" w:cs="Arial"/>
          <w:b/>
        </w:rPr>
        <w:t>q) T</w:t>
      </w:r>
      <w:r w:rsidR="00340BE0" w:rsidRPr="00E21F46">
        <w:rPr>
          <w:rFonts w:ascii="Arial" w:hAnsi="Arial" w:cs="Arial"/>
          <w:b/>
        </w:rPr>
        <w:t>hree most critical quotations</w:t>
      </w:r>
      <w:r w:rsidR="00340BE0" w:rsidRPr="00E21F46">
        <w:rPr>
          <w:rFonts w:ascii="Arial" w:hAnsi="Arial" w:cs="Arial"/>
        </w:rPr>
        <w:t xml:space="preserve"> </w:t>
      </w:r>
      <w:r w:rsidR="00340BE0" w:rsidRPr="00E21F46">
        <w:rPr>
          <w:rFonts w:ascii="Arial" w:hAnsi="Arial" w:cs="Arial"/>
          <w:b/>
        </w:rPr>
        <w:t xml:space="preserve">for the applicant </w:t>
      </w:r>
    </w:p>
    <w:p w:rsidR="00D93666" w:rsidRPr="00E21F46" w:rsidRDefault="00D93666" w:rsidP="00D93666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843"/>
        <w:gridCol w:w="6858"/>
        <w:gridCol w:w="416"/>
        <w:gridCol w:w="1171"/>
      </w:tblGrid>
      <w:tr w:rsidR="006B52FC" w:rsidRPr="00E21F46" w:rsidTr="00AB2A6F">
        <w:trPr>
          <w:trHeight w:val="1826"/>
        </w:trPr>
        <w:tc>
          <w:tcPr>
            <w:tcW w:w="0" w:type="auto"/>
            <w:tcBorders>
              <w:top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  <w:b/>
              </w:rPr>
              <w:t>c[10]</w:t>
            </w:r>
          </w:p>
          <w:p w:rsidR="006B52FC" w:rsidRPr="00E21F46" w:rsidRDefault="006B52FC" w:rsidP="00AB2A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52FC" w:rsidRPr="00E21F46" w:rsidRDefault="006B52FC" w:rsidP="00C03D0A">
            <w:pPr>
              <w:jc w:val="both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Hagner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Hagner-Derengowska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Bluj</w:t>
            </w:r>
            <w:proofErr w:type="spellEnd"/>
            <w:r w:rsidRPr="00E21F46">
              <w:rPr>
                <w:rFonts w:ascii="Arial" w:hAnsi="Arial" w:cs="Arial"/>
              </w:rPr>
              <w:t xml:space="preserve"> B, </w:t>
            </w:r>
            <w:proofErr w:type="spellStart"/>
            <w:r w:rsidRPr="00E21F46">
              <w:rPr>
                <w:rFonts w:ascii="Arial" w:hAnsi="Arial" w:cs="Arial"/>
              </w:rPr>
              <w:t>Czereba</w:t>
            </w:r>
            <w:proofErr w:type="spellEnd"/>
            <w:r w:rsidRPr="00E21F46">
              <w:rPr>
                <w:rFonts w:ascii="Arial" w:hAnsi="Arial" w:cs="Arial"/>
              </w:rPr>
              <w:t xml:space="preserve"> J, </w:t>
            </w:r>
            <w:proofErr w:type="spellStart"/>
            <w:r w:rsidRPr="00E21F46">
              <w:rPr>
                <w:rFonts w:ascii="Arial" w:hAnsi="Arial" w:cs="Arial"/>
              </w:rPr>
              <w:t>Drozd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Zubrzycki</w:t>
            </w:r>
            <w:proofErr w:type="spellEnd"/>
            <w:r w:rsidRPr="00E21F46">
              <w:rPr>
                <w:rFonts w:ascii="Arial" w:hAnsi="Arial" w:cs="Arial"/>
              </w:rPr>
              <w:t xml:space="preserve"> IZ. 2009. Correlations between postural stability and strength of lower body extremities of women population living in long-term care facilities Archives of Gerontology and Geriatrics 48(3):346-349. </w:t>
            </w:r>
          </w:p>
          <w:p w:rsidR="006B52FC" w:rsidRPr="00E21F46" w:rsidRDefault="006B52FC" w:rsidP="00C03D0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  <w:p w:rsidR="006B52FC" w:rsidRPr="00E21F46" w:rsidRDefault="006B52FC" w:rsidP="006904A7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IF=1.311</w:t>
            </w:r>
          </w:p>
        </w:tc>
      </w:tr>
      <w:tr w:rsidR="006B52FC" w:rsidRPr="00E21F46" w:rsidTr="00AB2A6F">
        <w:trPr>
          <w:trHeight w:val="1281"/>
        </w:trPr>
        <w:tc>
          <w:tcPr>
            <w:tcW w:w="0" w:type="auto"/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  <w:p w:rsidR="006B52FC" w:rsidRPr="00E21F46" w:rsidRDefault="006B52FC" w:rsidP="006B52FC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Cit.[1]</w:t>
            </w:r>
          </w:p>
          <w:p w:rsidR="006B52FC" w:rsidRPr="00E21F46" w:rsidRDefault="006B52FC" w:rsidP="00AB2A6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6B52FC" w:rsidRPr="00E21F46" w:rsidRDefault="006B52FC" w:rsidP="00C03D0A">
            <w:pPr>
              <w:jc w:val="both"/>
              <w:rPr>
                <w:rFonts w:ascii="Arial" w:hAnsi="Arial" w:cs="Arial"/>
              </w:rPr>
            </w:pPr>
            <w:r w:rsidRPr="006B52FC">
              <w:rPr>
                <w:rFonts w:ascii="Arial" w:hAnsi="Arial" w:cs="Arial"/>
              </w:rPr>
              <w:t xml:space="preserve">Daniel, F.D.N.R., Vale, R., </w:t>
            </w:r>
            <w:proofErr w:type="spellStart"/>
            <w:r w:rsidRPr="006B52FC">
              <w:rPr>
                <w:rFonts w:ascii="Arial" w:hAnsi="Arial" w:cs="Arial"/>
              </w:rPr>
              <w:t>Giani</w:t>
            </w:r>
            <w:proofErr w:type="spellEnd"/>
            <w:r w:rsidRPr="006B52FC">
              <w:rPr>
                <w:rFonts w:ascii="Arial" w:hAnsi="Arial" w:cs="Arial"/>
              </w:rPr>
              <w:t xml:space="preserve">, T., </w:t>
            </w:r>
            <w:proofErr w:type="spellStart"/>
            <w:r w:rsidRPr="006B52FC">
              <w:rPr>
                <w:rFonts w:ascii="Arial" w:hAnsi="Arial" w:cs="Arial"/>
              </w:rPr>
              <w:t>Bacellar</w:t>
            </w:r>
            <w:proofErr w:type="spellEnd"/>
            <w:r w:rsidRPr="006B52FC">
              <w:rPr>
                <w:rFonts w:ascii="Arial" w:hAnsi="Arial" w:cs="Arial"/>
              </w:rPr>
              <w:t xml:space="preserve">, S., </w:t>
            </w:r>
            <w:proofErr w:type="spellStart"/>
            <w:r w:rsidRPr="006B52FC">
              <w:rPr>
                <w:rFonts w:ascii="Arial" w:hAnsi="Arial" w:cs="Arial"/>
              </w:rPr>
              <w:t>Dantas</w:t>
            </w:r>
            <w:proofErr w:type="spellEnd"/>
            <w:r w:rsidRPr="006B52FC">
              <w:rPr>
                <w:rFonts w:ascii="Arial" w:hAnsi="Arial" w:cs="Arial"/>
              </w:rPr>
              <w:t xml:space="preserve">, E. Effects of a physical activity program on static balance and functional autonomy in elderly women. </w:t>
            </w:r>
            <w:proofErr w:type="gramStart"/>
            <w:r w:rsidRPr="006B52FC">
              <w:rPr>
                <w:rFonts w:ascii="Arial" w:hAnsi="Arial" w:cs="Arial"/>
              </w:rPr>
              <w:t>2010  Macedonian</w:t>
            </w:r>
            <w:proofErr w:type="gramEnd"/>
            <w:r w:rsidRPr="006B52FC">
              <w:rPr>
                <w:rFonts w:ascii="Arial" w:hAnsi="Arial" w:cs="Arial"/>
              </w:rPr>
              <w:t xml:space="preserve"> Journal of Medical Sciences 3 (1), pp. 21-26</w:t>
            </w:r>
            <w:r w:rsidRPr="00E21F46">
              <w:rPr>
                <w:rFonts w:ascii="Arial" w:hAnsi="Arial" w:cs="Arial"/>
              </w:rPr>
              <w:t xml:space="preserve">. </w:t>
            </w:r>
          </w:p>
          <w:p w:rsidR="006B52FC" w:rsidRPr="00E21F46" w:rsidRDefault="006B52FC" w:rsidP="00C03D0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</w:tc>
      </w:tr>
      <w:tr w:rsidR="006B52FC" w:rsidRPr="00E21F46" w:rsidTr="00AB2A6F">
        <w:trPr>
          <w:trHeight w:val="1573"/>
        </w:trPr>
        <w:tc>
          <w:tcPr>
            <w:tcW w:w="0" w:type="auto"/>
            <w:tcBorders>
              <w:bottom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Cit.[2]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52FC" w:rsidRPr="00E21F46" w:rsidRDefault="006B52FC" w:rsidP="00C03D0A">
            <w:pPr>
              <w:jc w:val="both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Hagner</w:t>
            </w:r>
            <w:proofErr w:type="spellEnd"/>
            <w:r w:rsidRPr="00E21F46">
              <w:rPr>
                <w:rFonts w:ascii="Arial" w:hAnsi="Arial" w:cs="Arial"/>
              </w:rPr>
              <w:t xml:space="preserve"> W</w:t>
            </w:r>
            <w:proofErr w:type="gramStart"/>
            <w:r w:rsidRPr="00E21F46">
              <w:rPr>
                <w:rFonts w:ascii="Arial" w:hAnsi="Arial" w:cs="Arial"/>
              </w:rPr>
              <w:t xml:space="preserve">,  </w:t>
            </w:r>
            <w:proofErr w:type="spellStart"/>
            <w:r w:rsidRPr="00E21F46">
              <w:rPr>
                <w:rFonts w:ascii="Arial" w:hAnsi="Arial" w:cs="Arial"/>
              </w:rPr>
              <w:t>Zubrzycki</w:t>
            </w:r>
            <w:proofErr w:type="spellEnd"/>
            <w:proofErr w:type="gramEnd"/>
            <w:r w:rsidRPr="00E21F46">
              <w:rPr>
                <w:rFonts w:ascii="Arial" w:hAnsi="Arial" w:cs="Arial"/>
              </w:rPr>
              <w:t xml:space="preserve"> IZ. Measures of menopause driven differences in levels of blood lipids, follicle stimulating hormone and luteinizing hormone women age 35-60: NHANES III and NHANES 1999-2002 study. in press</w:t>
            </w:r>
          </w:p>
          <w:p w:rsidR="006B52FC" w:rsidRPr="006B52FC" w:rsidRDefault="006B52FC" w:rsidP="00C03D0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</w:tc>
      </w:tr>
      <w:tr w:rsidR="006B52FC" w:rsidRPr="00E21F46" w:rsidTr="00AB2A6F">
        <w:trPr>
          <w:trHeight w:val="1200"/>
        </w:trPr>
        <w:tc>
          <w:tcPr>
            <w:tcW w:w="0" w:type="auto"/>
            <w:tcBorders>
              <w:top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  <w:b/>
              </w:rPr>
              <w:t>c[9]</w:t>
            </w:r>
          </w:p>
          <w:p w:rsidR="006B52FC" w:rsidRPr="00E21F46" w:rsidRDefault="006B52FC" w:rsidP="00AB2A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52FC" w:rsidRPr="00E21F46" w:rsidRDefault="006B52FC" w:rsidP="00C03D0A">
            <w:pPr>
              <w:jc w:val="both"/>
              <w:rPr>
                <w:rFonts w:ascii="Arial" w:hAnsi="Arial" w:cs="Arial"/>
              </w:rPr>
            </w:pPr>
            <w:proofErr w:type="spellStart"/>
            <w:r w:rsidRPr="00E21F46">
              <w:rPr>
                <w:rFonts w:ascii="Arial" w:hAnsi="Arial" w:cs="Arial"/>
              </w:rPr>
              <w:t>Wiacek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Hagner</w:t>
            </w:r>
            <w:proofErr w:type="spellEnd"/>
            <w:r w:rsidRPr="00E21F46">
              <w:rPr>
                <w:rFonts w:ascii="Arial" w:hAnsi="Arial" w:cs="Arial"/>
              </w:rPr>
              <w:t xml:space="preserve"> W, </w:t>
            </w:r>
            <w:proofErr w:type="spellStart"/>
            <w:r w:rsidRPr="00E21F46">
              <w:rPr>
                <w:rFonts w:ascii="Arial" w:hAnsi="Arial" w:cs="Arial"/>
              </w:rPr>
              <w:t>Hagner-Derengowska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Bluj</w:t>
            </w:r>
            <w:proofErr w:type="spellEnd"/>
            <w:r w:rsidRPr="00E21F46">
              <w:rPr>
                <w:rFonts w:ascii="Arial" w:hAnsi="Arial" w:cs="Arial"/>
              </w:rPr>
              <w:t xml:space="preserve"> B, </w:t>
            </w:r>
            <w:proofErr w:type="spellStart"/>
            <w:r w:rsidRPr="00E21F46">
              <w:rPr>
                <w:rFonts w:ascii="Arial" w:hAnsi="Arial" w:cs="Arial"/>
              </w:rPr>
              <w:t>Czereba</w:t>
            </w:r>
            <w:proofErr w:type="spellEnd"/>
            <w:r w:rsidRPr="00E21F46">
              <w:rPr>
                <w:rFonts w:ascii="Arial" w:hAnsi="Arial" w:cs="Arial"/>
              </w:rPr>
              <w:t xml:space="preserve"> J, </w:t>
            </w:r>
            <w:proofErr w:type="spellStart"/>
            <w:r w:rsidRPr="00E21F46">
              <w:rPr>
                <w:rFonts w:ascii="Arial" w:hAnsi="Arial" w:cs="Arial"/>
              </w:rPr>
              <w:t>Drozd</w:t>
            </w:r>
            <w:proofErr w:type="spellEnd"/>
            <w:r w:rsidRPr="00E21F46">
              <w:rPr>
                <w:rFonts w:ascii="Arial" w:hAnsi="Arial" w:cs="Arial"/>
              </w:rPr>
              <w:t xml:space="preserve"> M, </w:t>
            </w:r>
            <w:proofErr w:type="spellStart"/>
            <w:r w:rsidRPr="00E21F46">
              <w:rPr>
                <w:rFonts w:ascii="Arial" w:hAnsi="Arial" w:cs="Arial"/>
              </w:rPr>
              <w:t>Zubrzycki</w:t>
            </w:r>
            <w:proofErr w:type="spellEnd"/>
            <w:r w:rsidRPr="00E21F46">
              <w:rPr>
                <w:rFonts w:ascii="Arial" w:hAnsi="Arial" w:cs="Arial"/>
              </w:rPr>
              <w:t xml:space="preserve"> IZ. 2009. Deterioration of basic coordinative parameters defines life quality of elderly. Archives of Gerontology and Geriatrics 49(2):212-214</w:t>
            </w:r>
          </w:p>
          <w:p w:rsidR="006B52FC" w:rsidRPr="00E21F46" w:rsidRDefault="006B52FC" w:rsidP="00C03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R</w:t>
            </w:r>
          </w:p>
          <w:p w:rsidR="006B52FC" w:rsidRPr="00E21F46" w:rsidRDefault="006B52FC" w:rsidP="00C03D0A">
            <w:pPr>
              <w:rPr>
                <w:rFonts w:ascii="Arial" w:hAnsi="Arial" w:cs="Arial"/>
              </w:rPr>
            </w:pPr>
            <w:r w:rsidRPr="00E21F46">
              <w:rPr>
                <w:rFonts w:ascii="Arial" w:hAnsi="Arial" w:cs="Arial"/>
              </w:rPr>
              <w:t>IF=1.311</w:t>
            </w:r>
          </w:p>
        </w:tc>
      </w:tr>
      <w:tr w:rsidR="006B52FC" w:rsidRPr="00E21F46" w:rsidTr="00AB2A6F">
        <w:trPr>
          <w:trHeight w:val="1293"/>
        </w:trPr>
        <w:tc>
          <w:tcPr>
            <w:tcW w:w="0" w:type="auto"/>
            <w:tcBorders>
              <w:bottom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  <w:b/>
              </w:rPr>
            </w:pPr>
            <w:r w:rsidRPr="00E21F46">
              <w:rPr>
                <w:rFonts w:ascii="Arial" w:hAnsi="Arial" w:cs="Arial"/>
              </w:rPr>
              <w:t xml:space="preserve">Cit.[3]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52FC" w:rsidRPr="00E21F46" w:rsidRDefault="006B52FC" w:rsidP="00C03D0A">
            <w:pPr>
              <w:jc w:val="both"/>
              <w:rPr>
                <w:rFonts w:ascii="Arial" w:hAnsi="Arial" w:cs="Arial"/>
              </w:rPr>
            </w:pPr>
            <w:r w:rsidRPr="006B52FC">
              <w:rPr>
                <w:rFonts w:ascii="Arial" w:hAnsi="Arial" w:cs="Arial"/>
                <w:lang w:val="cs-CZ"/>
              </w:rPr>
              <w:t>Guo, N.Y., Jeon, H., Lee, S., Ho, W.L., Cho, J.-Y., Suk, K.</w:t>
            </w:r>
            <w:r w:rsidRPr="006B52FC">
              <w:rPr>
                <w:rFonts w:ascii="Arial" w:hAnsi="Arial" w:cs="Arial"/>
              </w:rPr>
              <w:t xml:space="preserve"> 2009 </w:t>
            </w:r>
            <w:r w:rsidRPr="006B52FC">
              <w:rPr>
                <w:rFonts w:ascii="Arial" w:hAnsi="Arial" w:cs="Arial"/>
                <w:bCs/>
                <w:lang w:val="cs-CZ"/>
              </w:rPr>
              <w:t xml:space="preserve">Role of soluble CD14 in cerebrospinal fluid as a regulator of glial functions. Journal fo Neuroscience Research 87 (11) </w:t>
            </w:r>
            <w:r w:rsidRPr="006B52FC">
              <w:rPr>
                <w:rFonts w:ascii="Arial" w:hAnsi="Arial" w:cs="Arial"/>
                <w:lang w:val="cs-CZ"/>
              </w:rPr>
              <w:t>pp. 2578-2590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B52FC" w:rsidRPr="00E21F46" w:rsidRDefault="006B52FC" w:rsidP="00D93666">
            <w:pPr>
              <w:rPr>
                <w:rFonts w:ascii="Arial" w:hAnsi="Arial" w:cs="Arial"/>
              </w:rPr>
            </w:pPr>
          </w:p>
        </w:tc>
      </w:tr>
    </w:tbl>
    <w:p w:rsidR="00D93666" w:rsidRPr="00E21F46" w:rsidRDefault="00D93666" w:rsidP="00D93666">
      <w:pPr>
        <w:rPr>
          <w:rFonts w:ascii="Arial" w:hAnsi="Arial" w:cs="Arial"/>
          <w:b/>
        </w:rPr>
      </w:pPr>
    </w:p>
    <w:sectPr w:rsidR="00D93666" w:rsidRPr="00E21F46" w:rsidSect="001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34E9"/>
    <w:multiLevelType w:val="hybridMultilevel"/>
    <w:tmpl w:val="27FA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666"/>
    <w:rsid w:val="00065594"/>
    <w:rsid w:val="000C2C89"/>
    <w:rsid w:val="000D612C"/>
    <w:rsid w:val="001078B3"/>
    <w:rsid w:val="0016066A"/>
    <w:rsid w:val="001942B0"/>
    <w:rsid w:val="001A34CC"/>
    <w:rsid w:val="001B0C16"/>
    <w:rsid w:val="001E5070"/>
    <w:rsid w:val="00263038"/>
    <w:rsid w:val="002724CF"/>
    <w:rsid w:val="00273DDD"/>
    <w:rsid w:val="00274D7E"/>
    <w:rsid w:val="0031447B"/>
    <w:rsid w:val="0032600B"/>
    <w:rsid w:val="00340BE0"/>
    <w:rsid w:val="00387FC0"/>
    <w:rsid w:val="003D5E76"/>
    <w:rsid w:val="005C3812"/>
    <w:rsid w:val="006057FF"/>
    <w:rsid w:val="006544B1"/>
    <w:rsid w:val="00667ADE"/>
    <w:rsid w:val="006904A7"/>
    <w:rsid w:val="006B52FC"/>
    <w:rsid w:val="00795D63"/>
    <w:rsid w:val="00796C74"/>
    <w:rsid w:val="0082077F"/>
    <w:rsid w:val="00926C5D"/>
    <w:rsid w:val="00A0146B"/>
    <w:rsid w:val="00A01ACA"/>
    <w:rsid w:val="00A838E6"/>
    <w:rsid w:val="00AB2A6F"/>
    <w:rsid w:val="00B520A8"/>
    <w:rsid w:val="00BA7D21"/>
    <w:rsid w:val="00BE262F"/>
    <w:rsid w:val="00C027C9"/>
    <w:rsid w:val="00C03D0A"/>
    <w:rsid w:val="00D93666"/>
    <w:rsid w:val="00D942FA"/>
    <w:rsid w:val="00DA3829"/>
    <w:rsid w:val="00DF191F"/>
    <w:rsid w:val="00E21F46"/>
    <w:rsid w:val="00EB45A7"/>
    <w:rsid w:val="00F104FC"/>
    <w:rsid w:val="00F725D0"/>
    <w:rsid w:val="00F9284A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66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31447B"/>
    <w:pPr>
      <w:widowControl w:val="0"/>
      <w:autoSpaceDE w:val="0"/>
      <w:autoSpaceDN w:val="0"/>
      <w:adjustRightInd w:val="0"/>
      <w:spacing w:line="257" w:lineRule="exact"/>
      <w:ind w:hanging="730"/>
      <w:jc w:val="both"/>
    </w:pPr>
    <w:rPr>
      <w:rFonts w:ascii="Bookman Old Style" w:hAnsi="Bookman Old Style"/>
      <w:lang w:eastAsia="en-US"/>
    </w:rPr>
  </w:style>
  <w:style w:type="character" w:customStyle="1" w:styleId="FontStyle12">
    <w:name w:val="Font Style12"/>
    <w:basedOn w:val="DefaultParagraphFont"/>
    <w:uiPriority w:val="99"/>
    <w:rsid w:val="0031447B"/>
    <w:rPr>
      <w:rFonts w:ascii="Bookman Old Style" w:hAnsi="Bookman Old Style" w:cs="Bookman Old Style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5E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5E76"/>
    <w:rPr>
      <w:rFonts w:ascii="Tahoma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6904A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74D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4D7E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431">
          <w:marLeft w:val="87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1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2E0C0"/>
                        <w:left w:val="single" w:sz="4" w:space="0" w:color="D2E0C0"/>
                        <w:bottom w:val="single" w:sz="4" w:space="0" w:color="D2E0C0"/>
                        <w:right w:val="single" w:sz="4" w:space="0" w:color="D2E0C0"/>
                      </w:divBdr>
                      <w:divsChild>
                        <w:div w:id="452015945">
                          <w:marLeft w:val="0"/>
                          <w:marRight w:val="399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8790">
                                                  <w:marLeft w:val="33"/>
                                                  <w:marRight w:val="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552703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ciencedirect.com/scidirimg/clea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2: Seznam odborných, vědeckých a uměleckých prací </vt:lpstr>
      <vt:lpstr>Příloha 2: Seznam odborných, vědeckých a uměleckých prací </vt:lpstr>
    </vt:vector>
  </TitlesOfParts>
  <Company>utfa</Company>
  <LinksUpToDate>false</LinksUpToDate>
  <CharactersWithSpaces>10070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http://kag.upol.cz/krupkova/download/OrdinaryEquations.html</vt:lpwstr>
      </vt:variant>
      <vt:variant>
        <vt:lpwstr/>
      </vt:variant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http://kag.upol.cz/krupkova/download/OrdinaryEquations.html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2: Seznam odborných, vědeckých a uměleckých prací </dc:title>
  <dc:subject/>
  <dc:creator>Andrle</dc:creator>
  <cp:keywords/>
  <dc:description/>
  <cp:lastModifiedBy>HANYANG</cp:lastModifiedBy>
  <cp:revision>22</cp:revision>
  <cp:lastPrinted>2010-05-25T01:13:00Z</cp:lastPrinted>
  <dcterms:created xsi:type="dcterms:W3CDTF">2010-05-10T02:02:00Z</dcterms:created>
  <dcterms:modified xsi:type="dcterms:W3CDTF">2010-05-26T01:41:00Z</dcterms:modified>
</cp:coreProperties>
</file>