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7F" w:rsidRPr="00AD0CB7" w:rsidRDefault="00AD0CB7" w:rsidP="005E3A7F">
      <w:pPr>
        <w:rPr>
          <w:rFonts w:ascii="Arial" w:hAnsi="Arial" w:cs="Arial"/>
          <w:b/>
          <w:lang w:val="en-GB"/>
        </w:rPr>
      </w:pPr>
      <w:r w:rsidRPr="00AD0CB7">
        <w:rPr>
          <w:rFonts w:ascii="Arial" w:hAnsi="Arial" w:cs="Arial"/>
          <w:b/>
          <w:lang w:val="en-GB"/>
        </w:rPr>
        <w:t>Annex</w:t>
      </w:r>
      <w:r w:rsidR="005E3A7F" w:rsidRPr="00AD0CB7">
        <w:rPr>
          <w:rFonts w:ascii="Arial" w:hAnsi="Arial" w:cs="Arial"/>
          <w:b/>
          <w:lang w:val="en-GB"/>
        </w:rPr>
        <w:t xml:space="preserve"> 4: </w:t>
      </w:r>
      <w:r w:rsidRPr="00AD0CB7">
        <w:rPr>
          <w:rFonts w:ascii="Arial" w:hAnsi="Arial" w:cs="Arial"/>
          <w:b/>
          <w:lang w:val="en-GB"/>
        </w:rPr>
        <w:t>Response</w:t>
      </w:r>
      <w:r>
        <w:rPr>
          <w:rFonts w:ascii="Arial" w:hAnsi="Arial" w:cs="Arial"/>
          <w:b/>
          <w:lang w:val="en-GB"/>
        </w:rPr>
        <w:t>s</w:t>
      </w:r>
      <w:r w:rsidRPr="00AD0CB7">
        <w:rPr>
          <w:rFonts w:ascii="Arial" w:hAnsi="Arial" w:cs="Arial"/>
          <w:b/>
          <w:lang w:val="en-GB"/>
        </w:rPr>
        <w:t xml:space="preserve"> to </w:t>
      </w:r>
      <w:r>
        <w:rPr>
          <w:rFonts w:ascii="Arial" w:hAnsi="Arial" w:cs="Arial"/>
          <w:b/>
          <w:lang w:val="en-GB"/>
        </w:rPr>
        <w:t>p</w:t>
      </w:r>
      <w:r w:rsidRPr="00AD0CB7">
        <w:rPr>
          <w:rFonts w:ascii="Arial" w:hAnsi="Arial" w:cs="Arial"/>
          <w:b/>
          <w:lang w:val="en-GB"/>
        </w:rPr>
        <w:t xml:space="preserve">ublished </w:t>
      </w:r>
      <w:r>
        <w:rPr>
          <w:rFonts w:ascii="Arial" w:hAnsi="Arial" w:cs="Arial"/>
          <w:b/>
          <w:lang w:val="en-GB"/>
        </w:rPr>
        <w:t xml:space="preserve">works </w:t>
      </w:r>
      <w:r w:rsidR="005E3A7F" w:rsidRPr="00AD0CB7">
        <w:rPr>
          <w:rFonts w:ascii="Arial" w:hAnsi="Arial" w:cs="Arial"/>
          <w:b/>
          <w:lang w:val="en-GB"/>
        </w:rPr>
        <w:t>(</w:t>
      </w:r>
      <w:r>
        <w:rPr>
          <w:rFonts w:ascii="Arial" w:hAnsi="Arial" w:cs="Arial"/>
          <w:b/>
          <w:lang w:val="en-GB"/>
        </w:rPr>
        <w:t xml:space="preserve">or database statement </w:t>
      </w:r>
      <w:r w:rsidR="005E3A7F" w:rsidRPr="00AD0CB7">
        <w:rPr>
          <w:rFonts w:ascii="Arial" w:hAnsi="Arial" w:cs="Arial"/>
          <w:b/>
          <w:lang w:val="en-GB"/>
        </w:rPr>
        <w:t>– WOS, SCOPUS, …)</w:t>
      </w:r>
    </w:p>
    <w:p w:rsidR="005E3A7F" w:rsidRPr="00AD0CB7" w:rsidRDefault="005E3A7F" w:rsidP="005E3A7F">
      <w:pPr>
        <w:rPr>
          <w:b/>
          <w:sz w:val="22"/>
          <w:szCs w:val="22"/>
          <w:lang w:val="en-GB"/>
        </w:rPr>
      </w:pPr>
    </w:p>
    <w:tbl>
      <w:tblPr>
        <w:tblW w:w="0" w:type="auto"/>
        <w:tblLook w:val="01E0"/>
      </w:tblPr>
      <w:tblGrid>
        <w:gridCol w:w="815"/>
        <w:gridCol w:w="7356"/>
        <w:gridCol w:w="412"/>
        <w:gridCol w:w="705"/>
      </w:tblGrid>
      <w:tr w:rsidR="00FD4DE4" w:rsidRPr="006B17BA" w:rsidTr="005A3030">
        <w:trPr>
          <w:trHeight w:val="876"/>
        </w:trPr>
        <w:tc>
          <w:tcPr>
            <w:tcW w:w="817" w:type="dxa"/>
          </w:tcPr>
          <w:p w:rsidR="00FD4DE4" w:rsidRPr="006B17BA" w:rsidRDefault="00FD4DE4" w:rsidP="00CE09D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  <w:p w:rsidR="00FD4DE4" w:rsidRPr="006B17BA" w:rsidRDefault="00FD4DE4" w:rsidP="00CE09D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c[10</w:t>
            </w:r>
            <w:r w:rsidRPr="006B17BA">
              <w:rPr>
                <w:b/>
                <w:sz w:val="22"/>
                <w:szCs w:val="22"/>
                <w:lang w:val="en-GB"/>
              </w:rPr>
              <w:t>]</w:t>
            </w:r>
          </w:p>
          <w:p w:rsidR="00FD4DE4" w:rsidRPr="006B17BA" w:rsidRDefault="00FD4DE4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  <w:p w:rsidR="00FD4DE4" w:rsidRPr="006B17BA" w:rsidRDefault="00FD4DE4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</w:p>
        </w:tc>
        <w:tc>
          <w:tcPr>
            <w:tcW w:w="7414" w:type="dxa"/>
          </w:tcPr>
          <w:p w:rsidR="00FD4DE4" w:rsidRPr="006B17BA" w:rsidRDefault="00FD4DE4" w:rsidP="00CE09D7">
            <w:pPr>
              <w:spacing w:before="120" w:after="120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FD4DE4">
              <w:rPr>
                <w:sz w:val="22"/>
                <w:szCs w:val="22"/>
                <w:lang w:val="en-US"/>
              </w:rPr>
              <w:t>Wiacek</w:t>
            </w:r>
            <w:proofErr w:type="spellEnd"/>
            <w:r w:rsidRPr="00FD4DE4">
              <w:rPr>
                <w:sz w:val="22"/>
                <w:szCs w:val="22"/>
                <w:lang w:val="en-US"/>
              </w:rPr>
              <w:t xml:space="preserve">, M., </w:t>
            </w:r>
            <w:proofErr w:type="spellStart"/>
            <w:r w:rsidRPr="00FD4DE4">
              <w:rPr>
                <w:sz w:val="22"/>
                <w:szCs w:val="22"/>
                <w:lang w:val="en-US"/>
              </w:rPr>
              <w:t>Hagner</w:t>
            </w:r>
            <w:proofErr w:type="spellEnd"/>
            <w:r w:rsidRPr="00FD4DE4">
              <w:rPr>
                <w:sz w:val="22"/>
                <w:szCs w:val="22"/>
                <w:lang w:val="en-US"/>
              </w:rPr>
              <w:t xml:space="preserve">, W., </w:t>
            </w:r>
            <w:proofErr w:type="spellStart"/>
            <w:r w:rsidRPr="00FD4DE4">
              <w:rPr>
                <w:sz w:val="22"/>
                <w:szCs w:val="22"/>
                <w:lang w:val="en-US"/>
              </w:rPr>
              <w:t>Hagner-Derengowska</w:t>
            </w:r>
            <w:proofErr w:type="spellEnd"/>
            <w:r w:rsidRPr="00FD4DE4">
              <w:rPr>
                <w:sz w:val="22"/>
                <w:szCs w:val="22"/>
                <w:lang w:val="en-US"/>
              </w:rPr>
              <w:t xml:space="preserve">, M., </w:t>
            </w:r>
            <w:proofErr w:type="spellStart"/>
            <w:r w:rsidRPr="00FD4DE4">
              <w:rPr>
                <w:sz w:val="22"/>
                <w:szCs w:val="22"/>
                <w:lang w:val="en-US"/>
              </w:rPr>
              <w:t>Bluj</w:t>
            </w:r>
            <w:proofErr w:type="spellEnd"/>
            <w:r w:rsidRPr="00FD4DE4">
              <w:rPr>
                <w:sz w:val="22"/>
                <w:szCs w:val="22"/>
                <w:lang w:val="en-US"/>
              </w:rPr>
              <w:t xml:space="preserve">, B., </w:t>
            </w:r>
            <w:proofErr w:type="spellStart"/>
            <w:r w:rsidRPr="00FD4DE4">
              <w:rPr>
                <w:sz w:val="22"/>
                <w:szCs w:val="22"/>
                <w:lang w:val="en-US"/>
              </w:rPr>
              <w:t>Drozd</w:t>
            </w:r>
            <w:proofErr w:type="spellEnd"/>
            <w:r w:rsidRPr="00FD4DE4">
              <w:rPr>
                <w:sz w:val="22"/>
                <w:szCs w:val="22"/>
                <w:lang w:val="en-US"/>
              </w:rPr>
              <w:t xml:space="preserve">, M., </w:t>
            </w:r>
            <w:proofErr w:type="spellStart"/>
            <w:r w:rsidRPr="00FD4DE4">
              <w:rPr>
                <w:sz w:val="22"/>
                <w:szCs w:val="22"/>
                <w:lang w:val="en-US"/>
              </w:rPr>
              <w:t>Czereba</w:t>
            </w:r>
            <w:proofErr w:type="spellEnd"/>
            <w:r w:rsidRPr="00FD4DE4">
              <w:rPr>
                <w:sz w:val="22"/>
                <w:szCs w:val="22"/>
                <w:lang w:val="en-US"/>
              </w:rPr>
              <w:t>, J.,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4DE4">
              <w:rPr>
                <w:sz w:val="22"/>
                <w:szCs w:val="22"/>
                <w:lang w:val="en-US"/>
              </w:rPr>
              <w:t>Zubrzycki</w:t>
            </w:r>
            <w:proofErr w:type="spellEnd"/>
            <w:r w:rsidRPr="00FD4DE4">
              <w:rPr>
                <w:sz w:val="22"/>
                <w:szCs w:val="22"/>
                <w:lang w:val="en-US"/>
              </w:rPr>
              <w:t>, I.Z., 2009. Correlations between postural stability and strength of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D4DE4">
              <w:rPr>
                <w:sz w:val="22"/>
                <w:szCs w:val="22"/>
                <w:lang w:val="en-US"/>
              </w:rPr>
              <w:t>lower body extremities of women population living in long-term care facilities.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D4DE4">
              <w:rPr>
                <w:sz w:val="22"/>
                <w:szCs w:val="22"/>
                <w:lang w:val="en-US"/>
              </w:rPr>
              <w:t xml:space="preserve">Arch. </w:t>
            </w:r>
            <w:proofErr w:type="spellStart"/>
            <w:r w:rsidRPr="00FD4DE4">
              <w:rPr>
                <w:sz w:val="22"/>
                <w:szCs w:val="22"/>
                <w:lang w:val="en-US"/>
              </w:rPr>
              <w:t>Gerontol</w:t>
            </w:r>
            <w:proofErr w:type="spellEnd"/>
            <w:r w:rsidRPr="00FD4DE4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FD4DE4">
              <w:rPr>
                <w:sz w:val="22"/>
                <w:szCs w:val="22"/>
                <w:lang w:val="en-US"/>
              </w:rPr>
              <w:t>Geriatr</w:t>
            </w:r>
            <w:proofErr w:type="spellEnd"/>
            <w:r w:rsidRPr="00FD4DE4">
              <w:rPr>
                <w:sz w:val="22"/>
                <w:szCs w:val="22"/>
                <w:lang w:val="en-US"/>
              </w:rPr>
              <w:t>. 48, 346</w:t>
            </w:r>
            <w:r w:rsidRPr="00FD4DE4">
              <w:rPr>
                <w:sz w:val="18"/>
                <w:szCs w:val="18"/>
                <w:lang w:val="en-US"/>
              </w:rPr>
              <w:t>–349.</w:t>
            </w:r>
          </w:p>
        </w:tc>
        <w:tc>
          <w:tcPr>
            <w:tcW w:w="0" w:type="auto"/>
          </w:tcPr>
          <w:p w:rsidR="00FD4DE4" w:rsidRPr="006B17BA" w:rsidRDefault="00FD4DE4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</w:p>
        </w:tc>
        <w:tc>
          <w:tcPr>
            <w:tcW w:w="537" w:type="dxa"/>
          </w:tcPr>
          <w:p w:rsidR="00FD4DE4" w:rsidRPr="006B17BA" w:rsidRDefault="00FD4DE4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</w:p>
        </w:tc>
      </w:tr>
      <w:tr w:rsidR="00235156" w:rsidRPr="006B17BA" w:rsidTr="005A3030">
        <w:trPr>
          <w:trHeight w:val="876"/>
        </w:trPr>
        <w:tc>
          <w:tcPr>
            <w:tcW w:w="817" w:type="dxa"/>
          </w:tcPr>
          <w:p w:rsidR="00235156" w:rsidRPr="00235156" w:rsidRDefault="00235156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 w:rsidRPr="00235156">
              <w:rPr>
                <w:sz w:val="18"/>
                <w:szCs w:val="18"/>
                <w:lang w:val="en-GB"/>
              </w:rPr>
              <w:t>Cit.[1]</w:t>
            </w:r>
          </w:p>
        </w:tc>
        <w:tc>
          <w:tcPr>
            <w:tcW w:w="7414" w:type="dxa"/>
          </w:tcPr>
          <w:p w:rsidR="00235156" w:rsidRPr="00235156" w:rsidRDefault="00235156" w:rsidP="00CE09D7">
            <w:pPr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r w:rsidRPr="00235156">
              <w:rPr>
                <w:sz w:val="18"/>
                <w:szCs w:val="18"/>
                <w:lang w:val="en-US"/>
              </w:rPr>
              <w:t xml:space="preserve">Daniel, F.D.N.R., Vale, R., </w:t>
            </w:r>
            <w:proofErr w:type="spellStart"/>
            <w:r w:rsidRPr="00235156">
              <w:rPr>
                <w:sz w:val="18"/>
                <w:szCs w:val="18"/>
                <w:lang w:val="en-US"/>
              </w:rPr>
              <w:t>Giani</w:t>
            </w:r>
            <w:proofErr w:type="spellEnd"/>
            <w:r w:rsidRPr="00235156">
              <w:rPr>
                <w:sz w:val="18"/>
                <w:szCs w:val="18"/>
                <w:lang w:val="en-US"/>
              </w:rPr>
              <w:t xml:space="preserve">, T., </w:t>
            </w:r>
            <w:proofErr w:type="spellStart"/>
            <w:r w:rsidRPr="00235156">
              <w:rPr>
                <w:sz w:val="18"/>
                <w:szCs w:val="18"/>
                <w:lang w:val="en-US"/>
              </w:rPr>
              <w:t>Bacellar</w:t>
            </w:r>
            <w:proofErr w:type="spellEnd"/>
            <w:r w:rsidRPr="00235156">
              <w:rPr>
                <w:sz w:val="18"/>
                <w:szCs w:val="18"/>
                <w:lang w:val="en-US"/>
              </w:rPr>
              <w:t xml:space="preserve">, S., </w:t>
            </w:r>
            <w:proofErr w:type="spellStart"/>
            <w:r w:rsidRPr="00235156">
              <w:rPr>
                <w:sz w:val="18"/>
                <w:szCs w:val="18"/>
                <w:lang w:val="en-US"/>
              </w:rPr>
              <w:t>Dantas</w:t>
            </w:r>
            <w:proofErr w:type="spellEnd"/>
            <w:r w:rsidRPr="00235156">
              <w:rPr>
                <w:sz w:val="18"/>
                <w:szCs w:val="18"/>
                <w:lang w:val="en-US"/>
              </w:rPr>
              <w:t>, E. Effects of a physical activity program on static balance and functional autonomy in elderly women. 2010  Macedonian Journal of Medical Sciences 3 (1), pp. 21-26</w:t>
            </w:r>
          </w:p>
        </w:tc>
        <w:tc>
          <w:tcPr>
            <w:tcW w:w="0" w:type="auto"/>
          </w:tcPr>
          <w:p w:rsidR="00235156" w:rsidRPr="006B17BA" w:rsidRDefault="00235156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</w:t>
            </w:r>
          </w:p>
        </w:tc>
        <w:tc>
          <w:tcPr>
            <w:tcW w:w="537" w:type="dxa"/>
          </w:tcPr>
          <w:p w:rsidR="00235156" w:rsidRPr="006B17BA" w:rsidRDefault="00235156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WOS</w:t>
            </w:r>
          </w:p>
        </w:tc>
      </w:tr>
      <w:tr w:rsidR="00FD4DE4" w:rsidRPr="006B17BA" w:rsidTr="005A3030">
        <w:trPr>
          <w:trHeight w:val="667"/>
        </w:trPr>
        <w:tc>
          <w:tcPr>
            <w:tcW w:w="817" w:type="dxa"/>
          </w:tcPr>
          <w:p w:rsidR="00FD4DE4" w:rsidRPr="00FD4DE4" w:rsidRDefault="00235156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Cit.[2</w:t>
            </w:r>
            <w:r w:rsidR="00FD4DE4" w:rsidRPr="00FD4DE4">
              <w:rPr>
                <w:sz w:val="18"/>
                <w:szCs w:val="18"/>
                <w:lang w:val="en-GB"/>
              </w:rPr>
              <w:t>]</w:t>
            </w:r>
          </w:p>
          <w:p w:rsidR="00FD4DE4" w:rsidRPr="00FD4DE4" w:rsidRDefault="00FD4DE4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</w:p>
          <w:p w:rsidR="00FD4DE4" w:rsidRPr="00FD4DE4" w:rsidRDefault="00FD4DE4" w:rsidP="00CE09D7">
            <w:pPr>
              <w:spacing w:before="120" w:after="12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7414" w:type="dxa"/>
          </w:tcPr>
          <w:p w:rsidR="00FD4DE4" w:rsidRPr="00FD4DE4" w:rsidRDefault="00FD4DE4" w:rsidP="00CE09D7">
            <w:pPr>
              <w:spacing w:before="120" w:after="120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FD4DE4">
              <w:rPr>
                <w:sz w:val="18"/>
                <w:szCs w:val="18"/>
                <w:lang w:val="en-US"/>
              </w:rPr>
              <w:t>Wiacek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Hagner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W,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Hagner-Derengowska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Bluj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B,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Czereba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J,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Drozd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Zubrzycki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IZ. 2009. Deterioration of basic coordinative parameters defines life quality of elderly. Archives of Gerontology and Geriatrics 49(2):212-214</w:t>
            </w:r>
          </w:p>
        </w:tc>
        <w:tc>
          <w:tcPr>
            <w:tcW w:w="0" w:type="auto"/>
          </w:tcPr>
          <w:p w:rsidR="00FD4DE4" w:rsidRPr="006B17BA" w:rsidRDefault="00CE09D7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537" w:type="dxa"/>
          </w:tcPr>
          <w:p w:rsidR="00FD4DE4" w:rsidRPr="006B17BA" w:rsidRDefault="00C008D2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WOS</w:t>
            </w:r>
          </w:p>
        </w:tc>
      </w:tr>
      <w:tr w:rsidR="00FD4DE4" w:rsidRPr="006B17BA" w:rsidTr="005A3030">
        <w:trPr>
          <w:trHeight w:val="444"/>
        </w:trPr>
        <w:tc>
          <w:tcPr>
            <w:tcW w:w="817" w:type="dxa"/>
          </w:tcPr>
          <w:p w:rsidR="00FD4DE4" w:rsidRPr="00FD4DE4" w:rsidRDefault="00235156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Cit.[3</w:t>
            </w:r>
            <w:r w:rsidR="00FD4DE4" w:rsidRPr="00FD4DE4">
              <w:rPr>
                <w:sz w:val="18"/>
                <w:szCs w:val="18"/>
                <w:lang w:val="en-GB"/>
              </w:rPr>
              <w:t>]</w:t>
            </w:r>
          </w:p>
          <w:p w:rsidR="00FD4DE4" w:rsidRPr="00FD4DE4" w:rsidRDefault="00FD4DE4" w:rsidP="00CE09D7">
            <w:pPr>
              <w:spacing w:before="120" w:after="12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7414" w:type="dxa"/>
          </w:tcPr>
          <w:p w:rsidR="00FD4DE4" w:rsidRPr="00FD4DE4" w:rsidRDefault="00FD4DE4" w:rsidP="00CE09D7">
            <w:pPr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FD4DE4">
              <w:rPr>
                <w:sz w:val="18"/>
                <w:szCs w:val="18"/>
                <w:lang w:val="en-US"/>
              </w:rPr>
              <w:t>Wiacek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Skrzek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Ignasiak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Z,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Zubrzycki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IZ. </w:t>
            </w:r>
            <w:proofErr w:type="gramStart"/>
            <w:r w:rsidRPr="00FD4DE4">
              <w:rPr>
                <w:sz w:val="18"/>
                <w:szCs w:val="18"/>
                <w:lang w:val="en-US"/>
              </w:rPr>
              <w:t>in</w:t>
            </w:r>
            <w:proofErr w:type="gramEnd"/>
            <w:r w:rsidRPr="00FD4DE4">
              <w:rPr>
                <w:sz w:val="18"/>
                <w:szCs w:val="18"/>
                <w:lang w:val="en-US"/>
              </w:rPr>
              <w:t xml:space="preserve"> press. The changes of bone mineral density in relation to body mass index and aging among polish and different ethnic women in the United States: a cross sectional studies. Journal of Clinical Densitometry.</w:t>
            </w:r>
          </w:p>
        </w:tc>
        <w:tc>
          <w:tcPr>
            <w:tcW w:w="0" w:type="auto"/>
          </w:tcPr>
          <w:p w:rsidR="00FD4DE4" w:rsidRPr="006B17BA" w:rsidRDefault="00CE09D7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537" w:type="dxa"/>
          </w:tcPr>
          <w:p w:rsidR="00FD4DE4" w:rsidRPr="006B17BA" w:rsidRDefault="00CE09D7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*</w:t>
            </w:r>
          </w:p>
        </w:tc>
      </w:tr>
      <w:tr w:rsidR="00303C8E" w:rsidRPr="006B17BA" w:rsidTr="005A3030">
        <w:trPr>
          <w:trHeight w:val="444"/>
        </w:trPr>
        <w:tc>
          <w:tcPr>
            <w:tcW w:w="817" w:type="dxa"/>
          </w:tcPr>
          <w:p w:rsidR="00303C8E" w:rsidRPr="00FD4DE4" w:rsidRDefault="00303C8E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Cit</w:t>
            </w:r>
            <w:r w:rsidR="00235156">
              <w:rPr>
                <w:sz w:val="18"/>
                <w:szCs w:val="18"/>
                <w:lang w:val="en-GB"/>
              </w:rPr>
              <w:t>.[4</w:t>
            </w:r>
            <w:r>
              <w:rPr>
                <w:sz w:val="18"/>
                <w:szCs w:val="18"/>
                <w:lang w:val="en-GB"/>
              </w:rPr>
              <w:t>]</w:t>
            </w:r>
          </w:p>
        </w:tc>
        <w:tc>
          <w:tcPr>
            <w:tcW w:w="7414" w:type="dxa"/>
          </w:tcPr>
          <w:p w:rsidR="00303C8E" w:rsidRPr="00FD4DE4" w:rsidRDefault="00303C8E" w:rsidP="00CE09D7">
            <w:pPr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03C8E">
              <w:rPr>
                <w:bCs/>
                <w:sz w:val="18"/>
                <w:szCs w:val="18"/>
                <w:lang w:val="en-US"/>
              </w:rPr>
              <w:t>Wiacek</w:t>
            </w:r>
            <w:proofErr w:type="spellEnd"/>
            <w:r w:rsidRPr="00303C8E">
              <w:rPr>
                <w:bCs/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303C8E">
              <w:rPr>
                <w:bCs/>
                <w:sz w:val="18"/>
                <w:szCs w:val="18"/>
                <w:lang w:val="en-US"/>
              </w:rPr>
              <w:t>Hagner</w:t>
            </w:r>
            <w:proofErr w:type="spellEnd"/>
            <w:r w:rsidRPr="00303C8E">
              <w:rPr>
                <w:bCs/>
                <w:sz w:val="18"/>
                <w:szCs w:val="18"/>
                <w:lang w:val="en-US"/>
              </w:rPr>
              <w:t xml:space="preserve"> W, </w:t>
            </w:r>
            <w:proofErr w:type="spellStart"/>
            <w:r w:rsidRPr="00303C8E">
              <w:rPr>
                <w:bCs/>
                <w:sz w:val="18"/>
                <w:szCs w:val="18"/>
                <w:lang w:val="en-US"/>
              </w:rPr>
              <w:t>Zubrzycki</w:t>
            </w:r>
            <w:proofErr w:type="spellEnd"/>
            <w:r w:rsidRPr="00303C8E">
              <w:rPr>
                <w:bCs/>
                <w:sz w:val="18"/>
                <w:szCs w:val="18"/>
                <w:lang w:val="en-US"/>
              </w:rPr>
              <w:t xml:space="preserve"> IZ. </w:t>
            </w:r>
            <w:proofErr w:type="gramStart"/>
            <w:r w:rsidRPr="00303C8E">
              <w:rPr>
                <w:bCs/>
                <w:sz w:val="18"/>
                <w:szCs w:val="18"/>
                <w:lang w:val="en-US"/>
              </w:rPr>
              <w:t>in</w:t>
            </w:r>
            <w:proofErr w:type="gramEnd"/>
            <w:r w:rsidRPr="00303C8E">
              <w:rPr>
                <w:bCs/>
                <w:sz w:val="18"/>
                <w:szCs w:val="18"/>
                <w:lang w:val="en-US"/>
              </w:rPr>
              <w:t xml:space="preserve"> press Measures of menopause driven differences in levels of blood lipids, follicle stimulating hormone and luteinizing hormone women age 35-60: NHANES III and NHANES 1999-2002 study.</w:t>
            </w:r>
          </w:p>
        </w:tc>
        <w:tc>
          <w:tcPr>
            <w:tcW w:w="0" w:type="auto"/>
          </w:tcPr>
          <w:p w:rsidR="00303C8E" w:rsidRPr="006B17BA" w:rsidRDefault="00CE09D7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537" w:type="dxa"/>
          </w:tcPr>
          <w:p w:rsidR="00303C8E" w:rsidRPr="006B17BA" w:rsidRDefault="00CE09D7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*</w:t>
            </w:r>
          </w:p>
        </w:tc>
      </w:tr>
      <w:tr w:rsidR="00FD4DE4" w:rsidRPr="006B17BA" w:rsidTr="005A3030">
        <w:trPr>
          <w:trHeight w:val="792"/>
        </w:trPr>
        <w:tc>
          <w:tcPr>
            <w:tcW w:w="817" w:type="dxa"/>
          </w:tcPr>
          <w:p w:rsidR="00FD4DE4" w:rsidRPr="00303C8E" w:rsidRDefault="00303C8E" w:rsidP="00CE09D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303C8E">
              <w:rPr>
                <w:b/>
                <w:sz w:val="22"/>
                <w:szCs w:val="22"/>
                <w:lang w:val="en-GB"/>
              </w:rPr>
              <w:t>c[9]</w:t>
            </w:r>
          </w:p>
          <w:p w:rsidR="00FD4DE4" w:rsidRPr="00303C8E" w:rsidRDefault="00FD4DE4" w:rsidP="00CE09D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414" w:type="dxa"/>
          </w:tcPr>
          <w:p w:rsidR="00FD4DE4" w:rsidRPr="00303C8E" w:rsidRDefault="00303C8E" w:rsidP="00CE09D7">
            <w:pPr>
              <w:spacing w:before="120" w:after="12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303C8E">
              <w:rPr>
                <w:sz w:val="22"/>
                <w:szCs w:val="22"/>
                <w:lang w:val="en-US"/>
              </w:rPr>
              <w:t>Wiacek</w:t>
            </w:r>
            <w:proofErr w:type="spellEnd"/>
            <w:r w:rsidRPr="00303C8E">
              <w:rPr>
                <w:sz w:val="22"/>
                <w:szCs w:val="22"/>
                <w:lang w:val="en-US"/>
              </w:rPr>
              <w:t xml:space="preserve"> M, </w:t>
            </w:r>
            <w:proofErr w:type="spellStart"/>
            <w:r w:rsidRPr="00303C8E">
              <w:rPr>
                <w:sz w:val="22"/>
                <w:szCs w:val="22"/>
                <w:lang w:val="en-US"/>
              </w:rPr>
              <w:t>Hagner</w:t>
            </w:r>
            <w:proofErr w:type="spellEnd"/>
            <w:r w:rsidRPr="00303C8E">
              <w:rPr>
                <w:sz w:val="22"/>
                <w:szCs w:val="22"/>
                <w:lang w:val="en-US"/>
              </w:rPr>
              <w:t xml:space="preserve"> W, </w:t>
            </w:r>
            <w:proofErr w:type="spellStart"/>
            <w:r w:rsidRPr="00303C8E">
              <w:rPr>
                <w:sz w:val="22"/>
                <w:szCs w:val="22"/>
                <w:lang w:val="en-US"/>
              </w:rPr>
              <w:t>Hagner-Derengowska</w:t>
            </w:r>
            <w:proofErr w:type="spellEnd"/>
            <w:r w:rsidRPr="00303C8E">
              <w:rPr>
                <w:sz w:val="22"/>
                <w:szCs w:val="22"/>
                <w:lang w:val="en-US"/>
              </w:rPr>
              <w:t xml:space="preserve"> M, </w:t>
            </w:r>
            <w:proofErr w:type="spellStart"/>
            <w:r w:rsidRPr="00303C8E">
              <w:rPr>
                <w:sz w:val="22"/>
                <w:szCs w:val="22"/>
                <w:lang w:val="en-US"/>
              </w:rPr>
              <w:t>Bluj</w:t>
            </w:r>
            <w:proofErr w:type="spellEnd"/>
            <w:r w:rsidRPr="00303C8E">
              <w:rPr>
                <w:sz w:val="22"/>
                <w:szCs w:val="22"/>
                <w:lang w:val="en-US"/>
              </w:rPr>
              <w:t xml:space="preserve"> B, </w:t>
            </w:r>
            <w:proofErr w:type="spellStart"/>
            <w:r w:rsidRPr="00303C8E">
              <w:rPr>
                <w:sz w:val="22"/>
                <w:szCs w:val="22"/>
                <w:lang w:val="en-US"/>
              </w:rPr>
              <w:t>Czereba</w:t>
            </w:r>
            <w:proofErr w:type="spellEnd"/>
            <w:r w:rsidRPr="00303C8E">
              <w:rPr>
                <w:sz w:val="22"/>
                <w:szCs w:val="22"/>
                <w:lang w:val="en-US"/>
              </w:rPr>
              <w:t xml:space="preserve"> J, </w:t>
            </w:r>
            <w:proofErr w:type="spellStart"/>
            <w:r w:rsidRPr="00303C8E">
              <w:rPr>
                <w:sz w:val="22"/>
                <w:szCs w:val="22"/>
                <w:lang w:val="en-US"/>
              </w:rPr>
              <w:t>Drozd</w:t>
            </w:r>
            <w:proofErr w:type="spellEnd"/>
            <w:r w:rsidRPr="00303C8E">
              <w:rPr>
                <w:sz w:val="22"/>
                <w:szCs w:val="22"/>
                <w:lang w:val="en-US"/>
              </w:rPr>
              <w:t xml:space="preserve"> M, </w:t>
            </w:r>
            <w:proofErr w:type="spellStart"/>
            <w:r w:rsidRPr="00303C8E">
              <w:rPr>
                <w:sz w:val="22"/>
                <w:szCs w:val="22"/>
                <w:lang w:val="en-US"/>
              </w:rPr>
              <w:t>Zubrzycki</w:t>
            </w:r>
            <w:proofErr w:type="spellEnd"/>
            <w:r w:rsidRPr="00303C8E">
              <w:rPr>
                <w:sz w:val="22"/>
                <w:szCs w:val="22"/>
                <w:lang w:val="en-US"/>
              </w:rPr>
              <w:t xml:space="preserve"> IZ. 2009. Deterioration of basic coordinative parameters defines life quality of elderly. Archives of Gerontology and Geriatrics 49(2):212-214</w:t>
            </w:r>
          </w:p>
        </w:tc>
        <w:tc>
          <w:tcPr>
            <w:tcW w:w="0" w:type="auto"/>
          </w:tcPr>
          <w:p w:rsidR="00FD4DE4" w:rsidRPr="006B17BA" w:rsidRDefault="00FD4DE4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  <w:tc>
          <w:tcPr>
            <w:tcW w:w="537" w:type="dxa"/>
          </w:tcPr>
          <w:p w:rsidR="00FD4DE4" w:rsidRPr="006B17BA" w:rsidRDefault="00FD4DE4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</w:p>
        </w:tc>
      </w:tr>
      <w:tr w:rsidR="00235156" w:rsidRPr="006B17BA" w:rsidTr="005A3030">
        <w:trPr>
          <w:trHeight w:val="792"/>
        </w:trPr>
        <w:tc>
          <w:tcPr>
            <w:tcW w:w="817" w:type="dxa"/>
          </w:tcPr>
          <w:p w:rsidR="00235156" w:rsidRPr="00235156" w:rsidRDefault="00235156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 w:rsidRPr="00235156">
              <w:rPr>
                <w:sz w:val="18"/>
                <w:szCs w:val="18"/>
                <w:lang w:val="en-GB"/>
              </w:rPr>
              <w:t>Cit.[1]</w:t>
            </w:r>
          </w:p>
        </w:tc>
        <w:tc>
          <w:tcPr>
            <w:tcW w:w="7414" w:type="dxa"/>
          </w:tcPr>
          <w:p w:rsidR="00235156" w:rsidRPr="00A143FD" w:rsidRDefault="00235156" w:rsidP="00235156">
            <w:pPr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r w:rsidRPr="00A143FD">
              <w:rPr>
                <w:sz w:val="18"/>
                <w:szCs w:val="18"/>
              </w:rPr>
              <w:t>Guo, N.Y., Jeon, H., Lee, S., Ho, W.L., Cho, J.-Y., Suk, K.</w:t>
            </w:r>
            <w:r w:rsidRPr="00A143FD">
              <w:rPr>
                <w:sz w:val="18"/>
                <w:szCs w:val="18"/>
                <w:lang w:val="en-US"/>
              </w:rPr>
              <w:t xml:space="preserve"> 2009 </w:t>
            </w:r>
            <w:r w:rsidRPr="00A143FD">
              <w:rPr>
                <w:bCs/>
                <w:sz w:val="18"/>
                <w:szCs w:val="18"/>
              </w:rPr>
              <w:t xml:space="preserve">Role of soluble CD14 in cerebrospinal fluid as a regulator of glial functions. Journal fo Neuroscience Research 87 (11) </w:t>
            </w:r>
            <w:r w:rsidRPr="00A143FD">
              <w:rPr>
                <w:sz w:val="18"/>
                <w:szCs w:val="18"/>
              </w:rPr>
              <w:t>pp. 2578-2590</w:t>
            </w:r>
          </w:p>
        </w:tc>
        <w:tc>
          <w:tcPr>
            <w:tcW w:w="0" w:type="auto"/>
          </w:tcPr>
          <w:p w:rsidR="00235156" w:rsidRPr="006B17BA" w:rsidRDefault="00235156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537" w:type="dxa"/>
          </w:tcPr>
          <w:p w:rsidR="00235156" w:rsidRPr="006B17BA" w:rsidRDefault="00235156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WOS</w:t>
            </w:r>
          </w:p>
        </w:tc>
      </w:tr>
      <w:tr w:rsidR="00FD4DE4" w:rsidRPr="006B17BA" w:rsidTr="005A3030">
        <w:trPr>
          <w:trHeight w:val="735"/>
        </w:trPr>
        <w:tc>
          <w:tcPr>
            <w:tcW w:w="817" w:type="dxa"/>
          </w:tcPr>
          <w:p w:rsidR="00FD4DE4" w:rsidRPr="006B17BA" w:rsidRDefault="00235156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Cit.[2</w:t>
            </w:r>
            <w:r w:rsidR="00FD4DE4" w:rsidRPr="006B17BA">
              <w:rPr>
                <w:sz w:val="18"/>
                <w:szCs w:val="18"/>
                <w:lang w:val="en-GB"/>
              </w:rPr>
              <w:t xml:space="preserve">] </w:t>
            </w:r>
          </w:p>
        </w:tc>
        <w:tc>
          <w:tcPr>
            <w:tcW w:w="7414" w:type="dxa"/>
          </w:tcPr>
          <w:p w:rsidR="00FD4DE4" w:rsidRPr="00FD4DE4" w:rsidRDefault="00303C8E" w:rsidP="00CE09D7">
            <w:pPr>
              <w:spacing w:before="120" w:after="12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D4DE4">
              <w:rPr>
                <w:sz w:val="18"/>
                <w:szCs w:val="18"/>
                <w:lang w:val="en-US"/>
              </w:rPr>
              <w:t>Wiacek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Skrzek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Ignasiak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Z,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Zubrzycki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IZ. </w:t>
            </w:r>
            <w:proofErr w:type="gramStart"/>
            <w:r w:rsidRPr="00FD4DE4">
              <w:rPr>
                <w:sz w:val="18"/>
                <w:szCs w:val="18"/>
                <w:lang w:val="en-US"/>
              </w:rPr>
              <w:t>in</w:t>
            </w:r>
            <w:proofErr w:type="gramEnd"/>
            <w:r w:rsidRPr="00FD4DE4">
              <w:rPr>
                <w:sz w:val="18"/>
                <w:szCs w:val="18"/>
                <w:lang w:val="en-US"/>
              </w:rPr>
              <w:t xml:space="preserve"> press. The changes of bone mineral density in relation to body mass index and aging among polish and different ethnic women in the United States: a cross sectional studies. Journal of Clinical Densitometry.</w:t>
            </w:r>
          </w:p>
        </w:tc>
        <w:tc>
          <w:tcPr>
            <w:tcW w:w="0" w:type="auto"/>
          </w:tcPr>
          <w:p w:rsidR="00FD4DE4" w:rsidRPr="006B17BA" w:rsidRDefault="00CE09D7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537" w:type="dxa"/>
          </w:tcPr>
          <w:p w:rsidR="00FD4DE4" w:rsidRPr="006B17BA" w:rsidRDefault="00CE09D7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*</w:t>
            </w:r>
          </w:p>
        </w:tc>
      </w:tr>
      <w:tr w:rsidR="00303C8E" w:rsidRPr="006B17BA" w:rsidTr="005A3030">
        <w:trPr>
          <w:trHeight w:val="735"/>
        </w:trPr>
        <w:tc>
          <w:tcPr>
            <w:tcW w:w="817" w:type="dxa"/>
          </w:tcPr>
          <w:p w:rsidR="00303C8E" w:rsidRDefault="00303C8E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Cit</w:t>
            </w:r>
            <w:r w:rsidR="00235156">
              <w:rPr>
                <w:sz w:val="18"/>
                <w:szCs w:val="18"/>
                <w:lang w:val="en-GB"/>
              </w:rPr>
              <w:t>.[3</w:t>
            </w:r>
            <w:r>
              <w:rPr>
                <w:sz w:val="18"/>
                <w:szCs w:val="18"/>
                <w:lang w:val="en-GB"/>
              </w:rPr>
              <w:t>]</w:t>
            </w:r>
          </w:p>
        </w:tc>
        <w:tc>
          <w:tcPr>
            <w:tcW w:w="7414" w:type="dxa"/>
          </w:tcPr>
          <w:p w:rsidR="00303C8E" w:rsidRPr="00FD4DE4" w:rsidRDefault="00303C8E" w:rsidP="00CE09D7">
            <w:pPr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03C8E">
              <w:rPr>
                <w:bCs/>
                <w:sz w:val="18"/>
                <w:szCs w:val="18"/>
                <w:lang w:val="en-US"/>
              </w:rPr>
              <w:t>Wiacek</w:t>
            </w:r>
            <w:proofErr w:type="spellEnd"/>
            <w:r w:rsidRPr="00303C8E">
              <w:rPr>
                <w:bCs/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303C8E">
              <w:rPr>
                <w:bCs/>
                <w:sz w:val="18"/>
                <w:szCs w:val="18"/>
                <w:lang w:val="en-US"/>
              </w:rPr>
              <w:t>Hagner</w:t>
            </w:r>
            <w:proofErr w:type="spellEnd"/>
            <w:r w:rsidRPr="00303C8E">
              <w:rPr>
                <w:bCs/>
                <w:sz w:val="18"/>
                <w:szCs w:val="18"/>
                <w:lang w:val="en-US"/>
              </w:rPr>
              <w:t xml:space="preserve"> W, </w:t>
            </w:r>
            <w:proofErr w:type="spellStart"/>
            <w:r w:rsidRPr="00303C8E">
              <w:rPr>
                <w:bCs/>
                <w:sz w:val="18"/>
                <w:szCs w:val="18"/>
                <w:lang w:val="en-US"/>
              </w:rPr>
              <w:t>Zubrzycki</w:t>
            </w:r>
            <w:proofErr w:type="spellEnd"/>
            <w:r w:rsidRPr="00303C8E">
              <w:rPr>
                <w:bCs/>
                <w:sz w:val="18"/>
                <w:szCs w:val="18"/>
                <w:lang w:val="en-US"/>
              </w:rPr>
              <w:t xml:space="preserve"> IZ. </w:t>
            </w:r>
            <w:proofErr w:type="gramStart"/>
            <w:r w:rsidRPr="00303C8E">
              <w:rPr>
                <w:bCs/>
                <w:sz w:val="18"/>
                <w:szCs w:val="18"/>
                <w:lang w:val="en-US"/>
              </w:rPr>
              <w:t>in</w:t>
            </w:r>
            <w:proofErr w:type="gramEnd"/>
            <w:r w:rsidRPr="00303C8E">
              <w:rPr>
                <w:bCs/>
                <w:sz w:val="18"/>
                <w:szCs w:val="18"/>
                <w:lang w:val="en-US"/>
              </w:rPr>
              <w:t xml:space="preserve"> press Measures of menopause driven differences in levels of blood lipids, follicle stimulating hormone and luteinizing hormone women age 35-60: NHANES III and NHANES 1999-2002 study.</w:t>
            </w:r>
          </w:p>
        </w:tc>
        <w:tc>
          <w:tcPr>
            <w:tcW w:w="0" w:type="auto"/>
          </w:tcPr>
          <w:p w:rsidR="00303C8E" w:rsidRPr="006B17BA" w:rsidRDefault="00CE09D7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</w:t>
            </w:r>
          </w:p>
        </w:tc>
        <w:tc>
          <w:tcPr>
            <w:tcW w:w="537" w:type="dxa"/>
          </w:tcPr>
          <w:p w:rsidR="00303C8E" w:rsidRPr="006B17BA" w:rsidRDefault="00CE09D7" w:rsidP="00CE09D7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*</w:t>
            </w:r>
          </w:p>
        </w:tc>
      </w:tr>
      <w:tr w:rsidR="00FD4DE4" w:rsidRPr="006B17BA" w:rsidTr="005A3030">
        <w:trPr>
          <w:trHeight w:val="861"/>
        </w:trPr>
        <w:tc>
          <w:tcPr>
            <w:tcW w:w="817" w:type="dxa"/>
          </w:tcPr>
          <w:p w:rsidR="00FD4DE4" w:rsidRPr="00EB70EB" w:rsidRDefault="00FD4DE4" w:rsidP="00CE09D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303C8E">
              <w:rPr>
                <w:b/>
                <w:sz w:val="22"/>
                <w:szCs w:val="22"/>
                <w:lang w:val="en-GB"/>
              </w:rPr>
              <w:t>c[2]</w:t>
            </w:r>
          </w:p>
        </w:tc>
        <w:tc>
          <w:tcPr>
            <w:tcW w:w="7414" w:type="dxa"/>
          </w:tcPr>
          <w:p w:rsidR="00FD4DE4" w:rsidRPr="00303C8E" w:rsidRDefault="00FD4DE4" w:rsidP="00CE09D7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03C8E">
              <w:rPr>
                <w:rFonts w:ascii="Times New Roman" w:hAnsi="Times New Roman" w:cs="Times New Roman"/>
                <w:sz w:val="22"/>
                <w:szCs w:val="22"/>
              </w:rPr>
              <w:t>Wiacek</w:t>
            </w:r>
            <w:proofErr w:type="spellEnd"/>
            <w:r w:rsidRPr="00303C8E">
              <w:rPr>
                <w:rFonts w:ascii="Times New Roman" w:hAnsi="Times New Roman" w:cs="Times New Roman"/>
                <w:sz w:val="22"/>
                <w:szCs w:val="22"/>
              </w:rPr>
              <w:t xml:space="preserve"> M, </w:t>
            </w:r>
            <w:proofErr w:type="spellStart"/>
            <w:r w:rsidRPr="00303C8E">
              <w:rPr>
                <w:rFonts w:ascii="Times New Roman" w:hAnsi="Times New Roman" w:cs="Times New Roman"/>
                <w:sz w:val="22"/>
                <w:szCs w:val="22"/>
              </w:rPr>
              <w:t>Zubrzycki</w:t>
            </w:r>
            <w:proofErr w:type="spellEnd"/>
            <w:r w:rsidRPr="00303C8E">
              <w:rPr>
                <w:rFonts w:ascii="Times New Roman" w:hAnsi="Times New Roman" w:cs="Times New Roman"/>
                <w:sz w:val="22"/>
                <w:szCs w:val="22"/>
              </w:rPr>
              <w:t xml:space="preserve"> IZ. 2006. The Level of Functional Fitness of Elderly in Southeastern Region of Poland. Journal of Human Kinetics 16:91-96. </w:t>
            </w:r>
          </w:p>
        </w:tc>
        <w:tc>
          <w:tcPr>
            <w:tcW w:w="0" w:type="auto"/>
          </w:tcPr>
          <w:p w:rsidR="00FD4DE4" w:rsidRPr="006B17BA" w:rsidRDefault="00FD4DE4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</w:p>
        </w:tc>
        <w:tc>
          <w:tcPr>
            <w:tcW w:w="537" w:type="dxa"/>
          </w:tcPr>
          <w:p w:rsidR="00FD4DE4" w:rsidRPr="006B17BA" w:rsidRDefault="00FD4DE4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</w:p>
        </w:tc>
      </w:tr>
      <w:tr w:rsidR="00FD4DE4" w:rsidRPr="006B17BA" w:rsidTr="005A3030">
        <w:tc>
          <w:tcPr>
            <w:tcW w:w="817" w:type="dxa"/>
          </w:tcPr>
          <w:p w:rsidR="00FD4DE4" w:rsidRPr="006B17BA" w:rsidRDefault="00FD4DE4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Cit. [1]</w:t>
            </w:r>
          </w:p>
        </w:tc>
        <w:tc>
          <w:tcPr>
            <w:tcW w:w="7414" w:type="dxa"/>
          </w:tcPr>
          <w:p w:rsidR="00FD4DE4" w:rsidRPr="006B17BA" w:rsidRDefault="00FD4DE4" w:rsidP="00CE09D7">
            <w:pPr>
              <w:spacing w:before="120" w:after="120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FD4DE4">
              <w:rPr>
                <w:sz w:val="18"/>
                <w:szCs w:val="18"/>
                <w:lang w:val="en-US"/>
              </w:rPr>
              <w:t>Wiacek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Hagner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W,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Hagner-Derengowska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Bluj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B,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Czereba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J,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Drozd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Zubrzycki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IZ. 2009. Correlations between postural stability and strength of lower body extremities of women population living in long-term care facilities Archives of Gerontology and Geriatrics 48(3):346-349.</w:t>
            </w:r>
          </w:p>
        </w:tc>
        <w:tc>
          <w:tcPr>
            <w:tcW w:w="0" w:type="auto"/>
          </w:tcPr>
          <w:p w:rsidR="00FD4DE4" w:rsidRPr="006B17BA" w:rsidRDefault="00CE09D7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</w:t>
            </w:r>
          </w:p>
        </w:tc>
        <w:tc>
          <w:tcPr>
            <w:tcW w:w="537" w:type="dxa"/>
          </w:tcPr>
          <w:p w:rsidR="00FD4DE4" w:rsidRPr="006B17BA" w:rsidRDefault="00CE09D7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*</w:t>
            </w:r>
          </w:p>
        </w:tc>
      </w:tr>
      <w:tr w:rsidR="00FD4DE4" w:rsidRPr="006B17BA" w:rsidTr="005A3030">
        <w:tc>
          <w:tcPr>
            <w:tcW w:w="817" w:type="dxa"/>
          </w:tcPr>
          <w:p w:rsidR="00FD4DE4" w:rsidRPr="00FD4DE4" w:rsidRDefault="00303C8E" w:rsidP="00CE09D7">
            <w:pPr>
              <w:spacing w:before="120" w:after="120"/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</w:t>
            </w:r>
            <w:r w:rsidR="00FD4DE4" w:rsidRPr="00FD4DE4">
              <w:rPr>
                <w:b/>
                <w:sz w:val="22"/>
                <w:szCs w:val="22"/>
                <w:lang w:val="en-GB"/>
              </w:rPr>
              <w:t>[6]</w:t>
            </w:r>
          </w:p>
        </w:tc>
        <w:tc>
          <w:tcPr>
            <w:tcW w:w="7414" w:type="dxa"/>
          </w:tcPr>
          <w:p w:rsidR="00FD4DE4" w:rsidRPr="00FD4DE4" w:rsidRDefault="00FD4DE4" w:rsidP="00CE09D7">
            <w:pPr>
              <w:spacing w:before="120" w:after="12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D4DE4">
              <w:rPr>
                <w:sz w:val="22"/>
                <w:szCs w:val="22"/>
                <w:lang w:val="en-US"/>
              </w:rPr>
              <w:t>Wiacek</w:t>
            </w:r>
            <w:proofErr w:type="spellEnd"/>
            <w:r w:rsidRPr="00FD4DE4">
              <w:rPr>
                <w:sz w:val="22"/>
                <w:szCs w:val="22"/>
                <w:lang w:val="en-US"/>
              </w:rPr>
              <w:t xml:space="preserve"> M, </w:t>
            </w:r>
            <w:proofErr w:type="spellStart"/>
            <w:r w:rsidRPr="00FD4DE4">
              <w:rPr>
                <w:sz w:val="22"/>
                <w:szCs w:val="22"/>
                <w:lang w:val="en-US"/>
              </w:rPr>
              <w:t>Hagner</w:t>
            </w:r>
            <w:proofErr w:type="spellEnd"/>
            <w:r w:rsidRPr="00FD4DE4">
              <w:rPr>
                <w:sz w:val="22"/>
                <w:szCs w:val="22"/>
                <w:lang w:val="en-US"/>
              </w:rPr>
              <w:t xml:space="preserve"> W. 2008. The history and economic impact on the functional fitness of elderly in the South-Eastern region of Poland: A comparison with US citizens. Archives of Gerontology and Geriatrics 46(2):221-226</w:t>
            </w:r>
          </w:p>
        </w:tc>
        <w:tc>
          <w:tcPr>
            <w:tcW w:w="0" w:type="auto"/>
          </w:tcPr>
          <w:p w:rsidR="00FD4DE4" w:rsidRPr="006B17BA" w:rsidRDefault="00FD4DE4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</w:p>
        </w:tc>
        <w:tc>
          <w:tcPr>
            <w:tcW w:w="537" w:type="dxa"/>
          </w:tcPr>
          <w:p w:rsidR="00FD4DE4" w:rsidRPr="006B17BA" w:rsidRDefault="00FD4DE4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</w:p>
        </w:tc>
      </w:tr>
      <w:tr w:rsidR="00FD4DE4" w:rsidRPr="006B17BA" w:rsidTr="005A3030">
        <w:tc>
          <w:tcPr>
            <w:tcW w:w="817" w:type="dxa"/>
          </w:tcPr>
          <w:p w:rsidR="00FD4DE4" w:rsidRPr="006B17BA" w:rsidRDefault="00FD4DE4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Cit.[1]</w:t>
            </w:r>
          </w:p>
        </w:tc>
        <w:tc>
          <w:tcPr>
            <w:tcW w:w="7414" w:type="dxa"/>
          </w:tcPr>
          <w:p w:rsidR="00FD4DE4" w:rsidRPr="006B17BA" w:rsidRDefault="00FD4DE4" w:rsidP="00CE09D7">
            <w:pPr>
              <w:spacing w:before="120" w:after="120"/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FD4DE4">
              <w:rPr>
                <w:sz w:val="18"/>
                <w:szCs w:val="18"/>
                <w:lang w:val="en-US"/>
              </w:rPr>
              <w:t>Wiacek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Hagner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W,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Hagner-Derengowska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Bluj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B,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Czereba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J,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Drozd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Zubrzycki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IZ. 2009. Correlations between postural stability and strength of lower body extremities of women population living in long-term care facilities Archives of Gerontology and Geriatrics 48(3):346-349.</w:t>
            </w:r>
          </w:p>
        </w:tc>
        <w:tc>
          <w:tcPr>
            <w:tcW w:w="0" w:type="auto"/>
          </w:tcPr>
          <w:p w:rsidR="00FD4DE4" w:rsidRPr="006B17BA" w:rsidRDefault="00CE09D7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</w:t>
            </w:r>
          </w:p>
        </w:tc>
        <w:tc>
          <w:tcPr>
            <w:tcW w:w="537" w:type="dxa"/>
          </w:tcPr>
          <w:p w:rsidR="00FD4DE4" w:rsidRPr="006B17BA" w:rsidRDefault="00985BB6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WOS</w:t>
            </w:r>
          </w:p>
        </w:tc>
      </w:tr>
      <w:tr w:rsidR="00FD4DE4" w:rsidRPr="006B17BA" w:rsidTr="005A3030">
        <w:tc>
          <w:tcPr>
            <w:tcW w:w="817" w:type="dxa"/>
          </w:tcPr>
          <w:p w:rsidR="00FD4DE4" w:rsidRDefault="00FD4DE4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lastRenderedPageBreak/>
              <w:t>Cit.[2]</w:t>
            </w:r>
          </w:p>
        </w:tc>
        <w:tc>
          <w:tcPr>
            <w:tcW w:w="7414" w:type="dxa"/>
          </w:tcPr>
          <w:p w:rsidR="00FD4DE4" w:rsidRPr="00FD4DE4" w:rsidRDefault="00FD4DE4" w:rsidP="00CE09D7">
            <w:pPr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FD4DE4">
              <w:rPr>
                <w:sz w:val="18"/>
                <w:szCs w:val="18"/>
                <w:lang w:val="en-US"/>
              </w:rPr>
              <w:t>Wiacek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Skrzek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Ignasiak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Z, </w:t>
            </w:r>
            <w:proofErr w:type="spellStart"/>
            <w:r w:rsidRPr="00FD4DE4">
              <w:rPr>
                <w:sz w:val="18"/>
                <w:szCs w:val="18"/>
                <w:lang w:val="en-US"/>
              </w:rPr>
              <w:t>Zubrzycki</w:t>
            </w:r>
            <w:proofErr w:type="spellEnd"/>
            <w:r w:rsidRPr="00FD4DE4">
              <w:rPr>
                <w:sz w:val="18"/>
                <w:szCs w:val="18"/>
                <w:lang w:val="en-US"/>
              </w:rPr>
              <w:t xml:space="preserve"> IZ. </w:t>
            </w:r>
            <w:proofErr w:type="gramStart"/>
            <w:r w:rsidRPr="00FD4DE4">
              <w:rPr>
                <w:sz w:val="18"/>
                <w:szCs w:val="18"/>
                <w:lang w:val="en-US"/>
              </w:rPr>
              <w:t>in</w:t>
            </w:r>
            <w:proofErr w:type="gramEnd"/>
            <w:r w:rsidRPr="00FD4DE4">
              <w:rPr>
                <w:sz w:val="18"/>
                <w:szCs w:val="18"/>
                <w:lang w:val="en-US"/>
              </w:rPr>
              <w:t xml:space="preserve"> press. The changes of bone mineral density in relation to body mass index and aging among polish and different ethnic women in the United States: a cross sectional s</w:t>
            </w:r>
            <w:r>
              <w:rPr>
                <w:sz w:val="18"/>
                <w:szCs w:val="18"/>
                <w:lang w:val="en-US"/>
              </w:rPr>
              <w:t>tudies. Journal of Clinical Den</w:t>
            </w:r>
            <w:r w:rsidRPr="00FD4DE4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>i</w:t>
            </w:r>
            <w:r w:rsidRPr="00FD4DE4">
              <w:rPr>
                <w:sz w:val="18"/>
                <w:szCs w:val="18"/>
                <w:lang w:val="en-US"/>
              </w:rPr>
              <w:t>tometry</w:t>
            </w:r>
          </w:p>
        </w:tc>
        <w:tc>
          <w:tcPr>
            <w:tcW w:w="0" w:type="auto"/>
          </w:tcPr>
          <w:p w:rsidR="00FD4DE4" w:rsidRPr="006B17BA" w:rsidRDefault="00CE09D7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</w:t>
            </w:r>
          </w:p>
        </w:tc>
        <w:tc>
          <w:tcPr>
            <w:tcW w:w="537" w:type="dxa"/>
          </w:tcPr>
          <w:p w:rsidR="00FD4DE4" w:rsidRPr="006B17BA" w:rsidRDefault="00CE09D7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*</w:t>
            </w:r>
          </w:p>
        </w:tc>
      </w:tr>
      <w:tr w:rsidR="00303C8E" w:rsidRPr="006B17BA" w:rsidTr="005A3030">
        <w:tc>
          <w:tcPr>
            <w:tcW w:w="817" w:type="dxa"/>
          </w:tcPr>
          <w:p w:rsidR="00303C8E" w:rsidRDefault="00303C8E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Cit.[3]</w:t>
            </w:r>
          </w:p>
        </w:tc>
        <w:tc>
          <w:tcPr>
            <w:tcW w:w="7414" w:type="dxa"/>
          </w:tcPr>
          <w:p w:rsidR="00303C8E" w:rsidRPr="00FD4DE4" w:rsidRDefault="00303C8E" w:rsidP="00CE09D7">
            <w:pPr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03C8E">
              <w:rPr>
                <w:bCs/>
                <w:sz w:val="18"/>
                <w:szCs w:val="18"/>
                <w:lang w:val="en-US"/>
              </w:rPr>
              <w:t>Wiacek</w:t>
            </w:r>
            <w:proofErr w:type="spellEnd"/>
            <w:r w:rsidRPr="00303C8E">
              <w:rPr>
                <w:bCs/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303C8E">
              <w:rPr>
                <w:bCs/>
                <w:sz w:val="18"/>
                <w:szCs w:val="18"/>
                <w:lang w:val="en-US"/>
              </w:rPr>
              <w:t>Hagner</w:t>
            </w:r>
            <w:proofErr w:type="spellEnd"/>
            <w:r w:rsidRPr="00303C8E">
              <w:rPr>
                <w:bCs/>
                <w:sz w:val="18"/>
                <w:szCs w:val="18"/>
                <w:lang w:val="en-US"/>
              </w:rPr>
              <w:t xml:space="preserve"> W, </w:t>
            </w:r>
            <w:proofErr w:type="spellStart"/>
            <w:r w:rsidRPr="00303C8E">
              <w:rPr>
                <w:bCs/>
                <w:sz w:val="18"/>
                <w:szCs w:val="18"/>
                <w:lang w:val="en-US"/>
              </w:rPr>
              <w:t>Zubrzycki</w:t>
            </w:r>
            <w:proofErr w:type="spellEnd"/>
            <w:r w:rsidRPr="00303C8E">
              <w:rPr>
                <w:bCs/>
                <w:sz w:val="18"/>
                <w:szCs w:val="18"/>
                <w:lang w:val="en-US"/>
              </w:rPr>
              <w:t xml:space="preserve"> IZ. </w:t>
            </w:r>
            <w:proofErr w:type="gramStart"/>
            <w:r w:rsidRPr="00303C8E">
              <w:rPr>
                <w:bCs/>
                <w:sz w:val="18"/>
                <w:szCs w:val="18"/>
                <w:lang w:val="en-US"/>
              </w:rPr>
              <w:t>in</w:t>
            </w:r>
            <w:proofErr w:type="gramEnd"/>
            <w:r w:rsidRPr="00303C8E">
              <w:rPr>
                <w:bCs/>
                <w:sz w:val="18"/>
                <w:szCs w:val="18"/>
                <w:lang w:val="en-US"/>
              </w:rPr>
              <w:t xml:space="preserve"> press Measures of menopause driven differences in levels of blood lipids, follicle stimulating hormone and luteinizing hormone women age 35-60: NHANES III and NHANES 1999-2002 study.</w:t>
            </w:r>
          </w:p>
        </w:tc>
        <w:tc>
          <w:tcPr>
            <w:tcW w:w="0" w:type="auto"/>
          </w:tcPr>
          <w:p w:rsidR="00303C8E" w:rsidRPr="006B17BA" w:rsidRDefault="00CE09D7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</w:t>
            </w:r>
          </w:p>
        </w:tc>
        <w:tc>
          <w:tcPr>
            <w:tcW w:w="537" w:type="dxa"/>
          </w:tcPr>
          <w:p w:rsidR="00303C8E" w:rsidRPr="006B17BA" w:rsidRDefault="00CE09D7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*</w:t>
            </w:r>
          </w:p>
        </w:tc>
      </w:tr>
      <w:tr w:rsidR="00303C8E" w:rsidRPr="006B17BA" w:rsidTr="005A3030">
        <w:tc>
          <w:tcPr>
            <w:tcW w:w="817" w:type="dxa"/>
          </w:tcPr>
          <w:p w:rsidR="00303C8E" w:rsidRPr="00303C8E" w:rsidRDefault="00303C8E" w:rsidP="00CE09D7">
            <w:pPr>
              <w:spacing w:before="120" w:after="120"/>
              <w:rPr>
                <w:b/>
                <w:sz w:val="22"/>
                <w:szCs w:val="22"/>
                <w:lang w:val="en-GB"/>
              </w:rPr>
            </w:pPr>
            <w:r w:rsidRPr="00303C8E">
              <w:rPr>
                <w:b/>
                <w:sz w:val="22"/>
                <w:szCs w:val="22"/>
                <w:lang w:val="en-GB"/>
              </w:rPr>
              <w:t>c[13]</w:t>
            </w:r>
          </w:p>
        </w:tc>
        <w:tc>
          <w:tcPr>
            <w:tcW w:w="7414" w:type="dxa"/>
          </w:tcPr>
          <w:p w:rsidR="00303C8E" w:rsidRPr="00303C8E" w:rsidRDefault="00303C8E" w:rsidP="00CE09D7">
            <w:pPr>
              <w:spacing w:before="120" w:after="120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303C8E">
              <w:rPr>
                <w:bCs/>
                <w:sz w:val="22"/>
                <w:szCs w:val="22"/>
                <w:lang w:val="en-US"/>
              </w:rPr>
              <w:t>Wiacek</w:t>
            </w:r>
            <w:proofErr w:type="spellEnd"/>
            <w:r w:rsidRPr="00303C8E">
              <w:rPr>
                <w:bCs/>
                <w:sz w:val="22"/>
                <w:szCs w:val="22"/>
                <w:lang w:val="en-US"/>
              </w:rPr>
              <w:t xml:space="preserve"> M, </w:t>
            </w:r>
            <w:proofErr w:type="spellStart"/>
            <w:r w:rsidRPr="00303C8E">
              <w:rPr>
                <w:bCs/>
                <w:sz w:val="22"/>
                <w:szCs w:val="22"/>
                <w:lang w:val="en-US"/>
              </w:rPr>
              <w:t>Zubrzycki</w:t>
            </w:r>
            <w:proofErr w:type="spellEnd"/>
            <w:r w:rsidRPr="00303C8E">
              <w:rPr>
                <w:bCs/>
                <w:sz w:val="22"/>
                <w:szCs w:val="22"/>
                <w:lang w:val="en-US"/>
              </w:rPr>
              <w:t xml:space="preserve"> IZ. 2010 The age dependent divergence of strength and coordinating parameters among men and women: the cross-sectional studies. Archives of Gerontology and Geriatrics.  </w:t>
            </w:r>
            <w:r w:rsidR="005A3030" w:rsidRPr="00044871">
              <w:rPr>
                <w:bCs/>
                <w:sz w:val="22"/>
                <w:szCs w:val="2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6pt;height:7.8pt">
                  <v:imagedata r:id="rId5" r:href="rId6"/>
                </v:shape>
              </w:pict>
            </w:r>
            <w:r w:rsidRPr="00303C8E">
              <w:rPr>
                <w:bCs/>
                <w:sz w:val="22"/>
                <w:szCs w:val="22"/>
                <w:lang w:val="en-US"/>
              </w:rPr>
              <w:t>doi:10.1016/j.archger.2009.12.008</w:t>
            </w:r>
          </w:p>
        </w:tc>
        <w:tc>
          <w:tcPr>
            <w:tcW w:w="0" w:type="auto"/>
          </w:tcPr>
          <w:p w:rsidR="00303C8E" w:rsidRPr="006B17BA" w:rsidRDefault="00303C8E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</w:p>
        </w:tc>
        <w:tc>
          <w:tcPr>
            <w:tcW w:w="537" w:type="dxa"/>
          </w:tcPr>
          <w:p w:rsidR="00303C8E" w:rsidRPr="006B17BA" w:rsidRDefault="00303C8E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</w:p>
        </w:tc>
      </w:tr>
      <w:tr w:rsidR="00303C8E" w:rsidRPr="006B17BA" w:rsidTr="005A3030">
        <w:tc>
          <w:tcPr>
            <w:tcW w:w="817" w:type="dxa"/>
          </w:tcPr>
          <w:p w:rsidR="00303C8E" w:rsidRDefault="00303C8E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Cit.[1]</w:t>
            </w:r>
          </w:p>
        </w:tc>
        <w:tc>
          <w:tcPr>
            <w:tcW w:w="7414" w:type="dxa"/>
          </w:tcPr>
          <w:p w:rsidR="00303C8E" w:rsidRPr="00FD4DE4" w:rsidRDefault="00303C8E" w:rsidP="00CE09D7">
            <w:pPr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03C8E">
              <w:rPr>
                <w:bCs/>
                <w:sz w:val="18"/>
                <w:szCs w:val="18"/>
                <w:lang w:val="en-US"/>
              </w:rPr>
              <w:t>Wiacek</w:t>
            </w:r>
            <w:proofErr w:type="spellEnd"/>
            <w:r w:rsidRPr="00303C8E">
              <w:rPr>
                <w:bCs/>
                <w:sz w:val="18"/>
                <w:szCs w:val="18"/>
                <w:lang w:val="en-US"/>
              </w:rPr>
              <w:t xml:space="preserve"> M, </w:t>
            </w:r>
            <w:proofErr w:type="spellStart"/>
            <w:r w:rsidRPr="00303C8E">
              <w:rPr>
                <w:bCs/>
                <w:sz w:val="18"/>
                <w:szCs w:val="18"/>
                <w:lang w:val="en-US"/>
              </w:rPr>
              <w:t>Hagner</w:t>
            </w:r>
            <w:proofErr w:type="spellEnd"/>
            <w:r w:rsidRPr="00303C8E">
              <w:rPr>
                <w:bCs/>
                <w:sz w:val="18"/>
                <w:szCs w:val="18"/>
                <w:lang w:val="en-US"/>
              </w:rPr>
              <w:t xml:space="preserve"> W, </w:t>
            </w:r>
            <w:proofErr w:type="spellStart"/>
            <w:r w:rsidRPr="00303C8E">
              <w:rPr>
                <w:bCs/>
                <w:sz w:val="18"/>
                <w:szCs w:val="18"/>
                <w:lang w:val="en-US"/>
              </w:rPr>
              <w:t>Zubrzycki</w:t>
            </w:r>
            <w:proofErr w:type="spellEnd"/>
            <w:r w:rsidRPr="00303C8E">
              <w:rPr>
                <w:bCs/>
                <w:sz w:val="18"/>
                <w:szCs w:val="18"/>
                <w:lang w:val="en-US"/>
              </w:rPr>
              <w:t xml:space="preserve"> IZ. </w:t>
            </w:r>
            <w:proofErr w:type="gramStart"/>
            <w:r w:rsidRPr="00303C8E">
              <w:rPr>
                <w:bCs/>
                <w:sz w:val="18"/>
                <w:szCs w:val="18"/>
                <w:lang w:val="en-US"/>
              </w:rPr>
              <w:t>in</w:t>
            </w:r>
            <w:proofErr w:type="gramEnd"/>
            <w:r w:rsidRPr="00303C8E">
              <w:rPr>
                <w:bCs/>
                <w:sz w:val="18"/>
                <w:szCs w:val="18"/>
                <w:lang w:val="en-US"/>
              </w:rPr>
              <w:t xml:space="preserve"> press Measures of menopause driven differences in levels of blood lipids, follicle stimulating hormone and luteinizing hormone women age 35-60: NHANES III and NHANES 1999-2002 study.</w:t>
            </w:r>
          </w:p>
        </w:tc>
        <w:tc>
          <w:tcPr>
            <w:tcW w:w="0" w:type="auto"/>
          </w:tcPr>
          <w:p w:rsidR="00303C8E" w:rsidRPr="006B17BA" w:rsidRDefault="00CE09D7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</w:t>
            </w:r>
          </w:p>
        </w:tc>
        <w:tc>
          <w:tcPr>
            <w:tcW w:w="537" w:type="dxa"/>
          </w:tcPr>
          <w:p w:rsidR="00303C8E" w:rsidRPr="006B17BA" w:rsidRDefault="00CE09D7" w:rsidP="00CE09D7">
            <w:pPr>
              <w:spacing w:before="120" w:after="120"/>
              <w:rPr>
                <w:sz w:val="18"/>
                <w:szCs w:val="18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*</w:t>
            </w:r>
          </w:p>
        </w:tc>
      </w:tr>
    </w:tbl>
    <w:p w:rsidR="005E3A7F" w:rsidRPr="00AD0CB7" w:rsidRDefault="005E3A7F" w:rsidP="005E3A7F">
      <w:pPr>
        <w:rPr>
          <w:b/>
          <w:sz w:val="18"/>
          <w:szCs w:val="18"/>
          <w:lang w:val="en-GB"/>
        </w:rPr>
      </w:pPr>
    </w:p>
    <w:p w:rsidR="005E3A7F" w:rsidRPr="00D00BF2" w:rsidRDefault="00CE09D7" w:rsidP="005E3A7F">
      <w:pPr>
        <w:rPr>
          <w:b/>
          <w:sz w:val="22"/>
          <w:szCs w:val="22"/>
          <w:lang w:val="en-GB"/>
        </w:rPr>
      </w:pPr>
      <w:proofErr w:type="gramStart"/>
      <w:r w:rsidRPr="00D00BF2">
        <w:rPr>
          <w:b/>
          <w:sz w:val="22"/>
          <w:szCs w:val="22"/>
          <w:lang w:val="en-GB"/>
        </w:rPr>
        <w:t>*  -</w:t>
      </w:r>
      <w:proofErr w:type="gramEnd"/>
      <w:r w:rsidRPr="00D00BF2">
        <w:rPr>
          <w:b/>
          <w:sz w:val="22"/>
          <w:szCs w:val="22"/>
          <w:lang w:val="en-GB"/>
        </w:rPr>
        <w:t xml:space="preserve"> the citations await WOS and SCOPUS i</w:t>
      </w:r>
      <w:r w:rsidR="00D00BF2" w:rsidRPr="00D00BF2">
        <w:rPr>
          <w:b/>
          <w:sz w:val="22"/>
          <w:szCs w:val="22"/>
          <w:lang w:val="en-GB"/>
        </w:rPr>
        <w:t>nclusion</w:t>
      </w:r>
    </w:p>
    <w:p w:rsidR="005E3A7F" w:rsidRPr="00AD0CB7" w:rsidRDefault="005E3A7F" w:rsidP="005E3A7F">
      <w:pPr>
        <w:rPr>
          <w:rFonts w:ascii="Arial" w:hAnsi="Arial" w:cs="Arial"/>
          <w:b/>
          <w:lang w:val="en-GB"/>
        </w:rPr>
      </w:pPr>
    </w:p>
    <w:sectPr w:rsidR="005E3A7F" w:rsidRPr="00AD0CB7" w:rsidSect="00A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295B"/>
    <w:multiLevelType w:val="hybridMultilevel"/>
    <w:tmpl w:val="0FF68E40"/>
    <w:lvl w:ilvl="0" w:tplc="C840F3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A7F"/>
    <w:rsid w:val="00044871"/>
    <w:rsid w:val="00235156"/>
    <w:rsid w:val="002666B6"/>
    <w:rsid w:val="00303C8E"/>
    <w:rsid w:val="005A3030"/>
    <w:rsid w:val="005D6059"/>
    <w:rsid w:val="005E3A7F"/>
    <w:rsid w:val="00677B79"/>
    <w:rsid w:val="006B17BA"/>
    <w:rsid w:val="007E1B39"/>
    <w:rsid w:val="00985BB6"/>
    <w:rsid w:val="009F3029"/>
    <w:rsid w:val="00A143FD"/>
    <w:rsid w:val="00AA2C66"/>
    <w:rsid w:val="00AD0CB7"/>
    <w:rsid w:val="00C008D2"/>
    <w:rsid w:val="00CE09D7"/>
    <w:rsid w:val="00D00BF2"/>
    <w:rsid w:val="00DD7069"/>
    <w:rsid w:val="00EB70EB"/>
    <w:rsid w:val="00FD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7F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3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D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5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9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98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ciencedirect.com/scidirimg/clear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4: Ohlasy na publikované práce (nebo výpis z příslušné databáze –   </vt:lpstr>
      <vt:lpstr>Příloha 4: Ohlasy na publikované práce (nebo výpis z příslušné databáze –   </vt:lpstr>
    </vt:vector>
  </TitlesOfParts>
  <Company>utfa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4: Ohlasy na publikované práce (nebo výpis z příslušné databáze –   </dc:title>
  <dc:subject/>
  <dc:creator>Andrle</dc:creator>
  <cp:keywords/>
  <dc:description/>
  <cp:lastModifiedBy>HANYANG</cp:lastModifiedBy>
  <cp:revision>12</cp:revision>
  <cp:lastPrinted>2010-05-27T02:19:00Z</cp:lastPrinted>
  <dcterms:created xsi:type="dcterms:W3CDTF">2010-05-10T02:03:00Z</dcterms:created>
  <dcterms:modified xsi:type="dcterms:W3CDTF">2010-05-27T02:19:00Z</dcterms:modified>
</cp:coreProperties>
</file>