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2410D7" w:rsidRPr="00887582">
        <w:trPr>
          <w:trHeight w:val="1440"/>
        </w:trPr>
        <w:tc>
          <w:tcPr>
            <w:tcW w:w="2381" w:type="dxa"/>
            <w:tcBorders>
              <w:top w:val="nil"/>
              <w:left w:val="nil"/>
              <w:bottom w:val="nil"/>
              <w:right w:val="nil"/>
            </w:tcBorders>
          </w:tcPr>
          <w:p w:rsidR="002410D7" w:rsidRPr="00887582" w:rsidRDefault="00493F6F">
            <w:pPr>
              <w:pStyle w:val="ZCom"/>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53.2pt" fillcolor="window">
                  <v:imagedata r:id="rId8" o:title=""/>
                </v:shape>
              </w:pict>
            </w:r>
          </w:p>
        </w:tc>
        <w:tc>
          <w:tcPr>
            <w:tcW w:w="7087" w:type="dxa"/>
            <w:tcBorders>
              <w:top w:val="nil"/>
              <w:left w:val="nil"/>
              <w:bottom w:val="nil"/>
              <w:right w:val="nil"/>
            </w:tcBorders>
          </w:tcPr>
          <w:p w:rsidR="002410D7" w:rsidRPr="00887582" w:rsidRDefault="002410D7">
            <w:pPr>
              <w:pStyle w:val="ZCom"/>
              <w:spacing w:before="90"/>
            </w:pPr>
            <w:r w:rsidRPr="00887582">
              <w:t>EUROPEAN COMMISSION</w:t>
            </w:r>
          </w:p>
          <w:p w:rsidR="002410D7" w:rsidRPr="00887582" w:rsidRDefault="002410D7">
            <w:pPr>
              <w:pStyle w:val="ZDGName"/>
            </w:pPr>
            <w:r w:rsidRPr="00887582">
              <w:t>Directorate-General for International Cooperation and Development</w:t>
            </w:r>
          </w:p>
          <w:p w:rsidR="002410D7" w:rsidRPr="00887582" w:rsidRDefault="002410D7">
            <w:pPr>
              <w:pStyle w:val="ZDGName"/>
            </w:pPr>
          </w:p>
          <w:p w:rsidR="002410D7" w:rsidRPr="00887582" w:rsidRDefault="002410D7">
            <w:pPr>
              <w:pStyle w:val="ZDGName"/>
            </w:pPr>
            <w:r w:rsidRPr="00887582">
              <w:t>Development Coordination East and Southern Africa</w:t>
            </w:r>
          </w:p>
          <w:p w:rsidR="002410D7" w:rsidRPr="00887582" w:rsidRDefault="002410D7" w:rsidP="009D29EF">
            <w:pPr>
              <w:pStyle w:val="ZDGName"/>
            </w:pPr>
          </w:p>
        </w:tc>
      </w:tr>
    </w:tbl>
    <w:p w:rsidR="002410D7" w:rsidRPr="00887582" w:rsidRDefault="002410D7">
      <w:pPr>
        <w:pStyle w:val="References"/>
      </w:pPr>
    </w:p>
    <w:p w:rsidR="002410D7" w:rsidRPr="00493F6F" w:rsidRDefault="00922F01" w:rsidP="00922F01">
      <w:pPr>
        <w:jc w:val="center"/>
        <w:rPr>
          <w:szCs w:val="24"/>
          <w:u w:val="single"/>
        </w:rPr>
      </w:pPr>
      <w:r w:rsidRPr="00493F6F">
        <w:rPr>
          <w:szCs w:val="24"/>
          <w:u w:val="single"/>
        </w:rPr>
        <w:t>Programme for EU Training</w:t>
      </w:r>
      <w:r w:rsidR="00E34079" w:rsidRPr="00493F6F">
        <w:rPr>
          <w:szCs w:val="24"/>
          <w:u w:val="single"/>
        </w:rPr>
        <w:t xml:space="preserve"> 6-7 April 2017</w:t>
      </w:r>
      <w:r w:rsidR="009D29EF" w:rsidRPr="00493F6F">
        <w:rPr>
          <w:szCs w:val="24"/>
          <w:u w:val="single"/>
        </w:rPr>
        <w:t xml:space="preserve">: </w:t>
      </w:r>
      <w:r w:rsidR="00E34079" w:rsidRPr="00493F6F">
        <w:rPr>
          <w:szCs w:val="24"/>
          <w:u w:val="single"/>
        </w:rPr>
        <w:t>T</w:t>
      </w:r>
      <w:r w:rsidRPr="00493F6F">
        <w:rPr>
          <w:szCs w:val="24"/>
          <w:u w:val="single"/>
        </w:rPr>
        <w:t>he EU Trust Fund for Africa and understanding EU funding opportunities</w:t>
      </w:r>
    </w:p>
    <w:p w:rsidR="009D29EF" w:rsidRPr="00493F6F" w:rsidRDefault="009D29EF" w:rsidP="00E34079">
      <w:pPr>
        <w:jc w:val="left"/>
        <w:rPr>
          <w:szCs w:val="24"/>
          <w:u w:val="single"/>
        </w:rPr>
      </w:pPr>
    </w:p>
    <w:p w:rsidR="00922F01" w:rsidRPr="00493F6F" w:rsidRDefault="00E34079" w:rsidP="009D29EF">
      <w:pPr>
        <w:jc w:val="left"/>
        <w:rPr>
          <w:szCs w:val="24"/>
          <w:u w:val="single"/>
        </w:rPr>
      </w:pPr>
      <w:r w:rsidRPr="00493F6F">
        <w:rPr>
          <w:szCs w:val="24"/>
          <w:u w:val="single"/>
        </w:rPr>
        <w:t>6 April 2017</w:t>
      </w:r>
    </w:p>
    <w:p w:rsidR="00E34079" w:rsidRPr="00493F6F" w:rsidRDefault="00E34079" w:rsidP="00E34079">
      <w:pPr>
        <w:ind w:left="1440" w:hanging="1440"/>
        <w:jc w:val="left"/>
        <w:rPr>
          <w:szCs w:val="24"/>
        </w:rPr>
      </w:pPr>
      <w:r w:rsidRPr="00493F6F">
        <w:rPr>
          <w:szCs w:val="24"/>
        </w:rPr>
        <w:t>09:30-12:30</w:t>
      </w:r>
      <w:r w:rsidRPr="00493F6F">
        <w:rPr>
          <w:szCs w:val="24"/>
        </w:rPr>
        <w:tab/>
      </w:r>
      <w:r w:rsidRPr="00493F6F">
        <w:rPr>
          <w:b/>
          <w:szCs w:val="24"/>
          <w:u w:val="single"/>
        </w:rPr>
        <w:t>Presentation on the EU Trust Fund for Africa</w:t>
      </w:r>
    </w:p>
    <w:p w:rsidR="001D491B" w:rsidRPr="00493F6F" w:rsidRDefault="00E34079" w:rsidP="00E34079">
      <w:pPr>
        <w:rPr>
          <w:bCs/>
          <w:iCs/>
          <w:szCs w:val="24"/>
        </w:rPr>
      </w:pPr>
      <w:r w:rsidRPr="00493F6F">
        <w:rPr>
          <w:bCs/>
          <w:szCs w:val="24"/>
        </w:rPr>
        <w:t xml:space="preserve">The European Union Emergency Trust Fund for stability and addressing root causes of irregular migration and displaced persons in Africa was set up in November 2015 at the Valletta Summit </w:t>
      </w:r>
      <w:r w:rsidRPr="00493F6F">
        <w:rPr>
          <w:bCs/>
          <w:iCs/>
          <w:szCs w:val="24"/>
        </w:rPr>
        <w:t>t</w:t>
      </w:r>
      <w:r w:rsidR="009D29EF" w:rsidRPr="00493F6F">
        <w:rPr>
          <w:bCs/>
          <w:iCs/>
          <w:szCs w:val="24"/>
        </w:rPr>
        <w:t xml:space="preserve">o address the crises in the regions of the Sahel and Lake Chad, the Horn of Africa, and North Africa. </w:t>
      </w:r>
    </w:p>
    <w:p w:rsidR="00E34079" w:rsidRPr="00493F6F" w:rsidRDefault="00D54C1A" w:rsidP="00D54C1A">
      <w:pPr>
        <w:rPr>
          <w:szCs w:val="24"/>
        </w:rPr>
      </w:pPr>
      <w:r w:rsidRPr="00493F6F">
        <w:rPr>
          <w:bCs/>
          <w:iCs/>
          <w:szCs w:val="24"/>
        </w:rPr>
        <w:t>This presentation will give an o</w:t>
      </w:r>
      <w:r w:rsidR="00E34079" w:rsidRPr="00493F6F">
        <w:rPr>
          <w:szCs w:val="24"/>
        </w:rPr>
        <w:t xml:space="preserve">verview of </w:t>
      </w:r>
      <w:r w:rsidRPr="00493F6F">
        <w:rPr>
          <w:szCs w:val="24"/>
        </w:rPr>
        <w:t xml:space="preserve">the </w:t>
      </w:r>
      <w:r w:rsidR="00E34079" w:rsidRPr="00493F6F">
        <w:rPr>
          <w:szCs w:val="24"/>
        </w:rPr>
        <w:t>approach</w:t>
      </w:r>
      <w:r w:rsidRPr="00493F6F">
        <w:rPr>
          <w:szCs w:val="24"/>
        </w:rPr>
        <w:t xml:space="preserve"> of the EU Trust Fund for Africa</w:t>
      </w:r>
      <w:r w:rsidR="00E34079" w:rsidRPr="00493F6F">
        <w:rPr>
          <w:szCs w:val="24"/>
        </w:rPr>
        <w:t xml:space="preserve">, </w:t>
      </w:r>
      <w:r w:rsidRPr="00493F6F">
        <w:rPr>
          <w:szCs w:val="24"/>
        </w:rPr>
        <w:t xml:space="preserve">its priority areas of intervention, governance structure and procedures, and </w:t>
      </w:r>
      <w:r w:rsidR="00E34079" w:rsidRPr="00493F6F">
        <w:rPr>
          <w:szCs w:val="24"/>
        </w:rPr>
        <w:t>progress</w:t>
      </w:r>
      <w:r w:rsidRPr="00493F6F">
        <w:rPr>
          <w:szCs w:val="24"/>
        </w:rPr>
        <w:t xml:space="preserve"> on implementation to date. It will focus particularly on the Horn of Africa Window's</w:t>
      </w:r>
      <w:r w:rsidR="00E34079" w:rsidRPr="00493F6F">
        <w:rPr>
          <w:szCs w:val="24"/>
        </w:rPr>
        <w:t xml:space="preserve"> </w:t>
      </w:r>
      <w:r w:rsidRPr="00493F6F">
        <w:rPr>
          <w:szCs w:val="24"/>
        </w:rPr>
        <w:t>specific actions and priorities.</w:t>
      </w:r>
    </w:p>
    <w:p w:rsidR="00493F6F" w:rsidRPr="00493F6F" w:rsidRDefault="00493F6F" w:rsidP="00493F6F">
      <w:pPr>
        <w:rPr>
          <w:rFonts w:eastAsiaTheme="minorEastAsia"/>
          <w:noProof/>
          <w:szCs w:val="24"/>
          <w:lang w:eastAsia="en-GB"/>
        </w:rPr>
      </w:pPr>
      <w:r w:rsidRPr="00493F6F">
        <w:rPr>
          <w:szCs w:val="24"/>
        </w:rPr>
        <w:t xml:space="preserve">Speaker: Olivia Berthon, </w:t>
      </w:r>
      <w:r w:rsidRPr="00493F6F">
        <w:rPr>
          <w:rFonts w:eastAsiaTheme="minorEastAsia"/>
          <w:noProof/>
          <w:szCs w:val="24"/>
          <w:lang w:eastAsia="en-GB"/>
        </w:rPr>
        <w:t>International Aid/Cooperation Officer</w:t>
      </w:r>
      <w:r w:rsidRPr="00493F6F">
        <w:rPr>
          <w:rFonts w:eastAsiaTheme="minorEastAsia"/>
          <w:noProof/>
          <w:szCs w:val="24"/>
          <w:lang w:eastAsia="en-GB"/>
        </w:rPr>
        <w:t xml:space="preserve"> from DG DEVCO </w:t>
      </w:r>
      <w:r w:rsidRPr="00493F6F">
        <w:rPr>
          <w:rFonts w:eastAsiaTheme="minorEastAsia"/>
          <w:noProof/>
          <w:szCs w:val="24"/>
          <w:lang w:eastAsia="en-GB"/>
        </w:rPr>
        <w:t>EU Emergency Trust Fund for Africa – Horn of Africa Window</w:t>
      </w:r>
    </w:p>
    <w:p w:rsidR="00E34079" w:rsidRPr="00493F6F" w:rsidRDefault="00D54C1A" w:rsidP="00E34079">
      <w:pPr>
        <w:jc w:val="left"/>
        <w:rPr>
          <w:b/>
          <w:szCs w:val="24"/>
          <w:lang w:val="en-US"/>
        </w:rPr>
      </w:pPr>
      <w:r w:rsidRPr="00493F6F">
        <w:rPr>
          <w:szCs w:val="24"/>
        </w:rPr>
        <w:t>14:00-17:00</w:t>
      </w:r>
      <w:r w:rsidRPr="00493F6F">
        <w:rPr>
          <w:szCs w:val="24"/>
        </w:rPr>
        <w:tab/>
      </w:r>
      <w:r w:rsidR="009D29EF" w:rsidRPr="00493F6F">
        <w:rPr>
          <w:b/>
          <w:szCs w:val="24"/>
          <w:u w:val="single"/>
        </w:rPr>
        <w:t xml:space="preserve">EU funding opportunities: </w:t>
      </w:r>
      <w:r w:rsidR="009D29EF" w:rsidRPr="00493F6F">
        <w:rPr>
          <w:b/>
          <w:szCs w:val="24"/>
          <w:u w:val="single"/>
          <w:lang w:val="en-US"/>
        </w:rPr>
        <w:t>grants applications</w:t>
      </w:r>
    </w:p>
    <w:p w:rsidR="00D54C1A" w:rsidRPr="00493F6F" w:rsidRDefault="00D54C1A" w:rsidP="00E34079">
      <w:pPr>
        <w:jc w:val="left"/>
        <w:rPr>
          <w:szCs w:val="24"/>
          <w:lang w:val="en-US"/>
        </w:rPr>
      </w:pPr>
      <w:r w:rsidRPr="00493F6F">
        <w:rPr>
          <w:szCs w:val="24"/>
          <w:lang w:val="en-US"/>
        </w:rPr>
        <w:t xml:space="preserve">This session will offer an insight into the tips and tricks of accessing EU funding opportunities, including practical suggestions on how to apply for calls for proposals, and tips on writing concept notes and full </w:t>
      </w:r>
      <w:r w:rsidR="009D29EF" w:rsidRPr="00493F6F">
        <w:rPr>
          <w:szCs w:val="24"/>
          <w:lang w:val="en-US"/>
        </w:rPr>
        <w:t>grants</w:t>
      </w:r>
      <w:r w:rsidRPr="00493F6F">
        <w:rPr>
          <w:szCs w:val="24"/>
          <w:lang w:val="en-US"/>
        </w:rPr>
        <w:t xml:space="preserve"> applications.</w:t>
      </w:r>
    </w:p>
    <w:p w:rsidR="00493F6F" w:rsidRPr="00493F6F" w:rsidRDefault="00493F6F" w:rsidP="00E34079">
      <w:pPr>
        <w:jc w:val="left"/>
        <w:rPr>
          <w:szCs w:val="24"/>
        </w:rPr>
      </w:pPr>
      <w:r w:rsidRPr="00493F6F">
        <w:rPr>
          <w:szCs w:val="24"/>
          <w:lang w:val="en-US"/>
        </w:rPr>
        <w:t xml:space="preserve">Speaker: </w:t>
      </w:r>
      <w:r w:rsidRPr="00493F6F">
        <w:rPr>
          <w:szCs w:val="24"/>
        </w:rPr>
        <w:t xml:space="preserve">Stijn de </w:t>
      </w:r>
      <w:proofErr w:type="spellStart"/>
      <w:r w:rsidRPr="00493F6F">
        <w:rPr>
          <w:szCs w:val="24"/>
        </w:rPr>
        <w:t>Lameillieure</w:t>
      </w:r>
      <w:proofErr w:type="spellEnd"/>
      <w:r w:rsidRPr="00493F6F">
        <w:rPr>
          <w:szCs w:val="24"/>
        </w:rPr>
        <w:t xml:space="preserve">, </w:t>
      </w:r>
      <w:r w:rsidRPr="00493F6F">
        <w:rPr>
          <w:szCs w:val="24"/>
        </w:rPr>
        <w:t xml:space="preserve">International Aid / Cooperation Officer from </w:t>
      </w:r>
      <w:r w:rsidRPr="00493F6F">
        <w:rPr>
          <w:rFonts w:eastAsiaTheme="minorEastAsia"/>
          <w:noProof/>
          <w:szCs w:val="24"/>
          <w:lang w:eastAsia="en-GB"/>
        </w:rPr>
        <w:t xml:space="preserve">DG DEVCO </w:t>
      </w:r>
      <w:r w:rsidRPr="00493F6F">
        <w:rPr>
          <w:szCs w:val="24"/>
        </w:rPr>
        <w:t>Education, Health, Research and Culture Unit</w:t>
      </w:r>
    </w:p>
    <w:p w:rsidR="00E34079" w:rsidRPr="00493F6F" w:rsidRDefault="00D54C1A" w:rsidP="009D29EF">
      <w:pPr>
        <w:jc w:val="left"/>
        <w:rPr>
          <w:szCs w:val="24"/>
          <w:u w:val="single"/>
        </w:rPr>
      </w:pPr>
      <w:r w:rsidRPr="00493F6F">
        <w:rPr>
          <w:szCs w:val="24"/>
          <w:u w:val="single"/>
        </w:rPr>
        <w:t>7 April 2017</w:t>
      </w:r>
    </w:p>
    <w:p w:rsidR="00D54C1A" w:rsidRPr="00493F6F" w:rsidRDefault="00D54C1A" w:rsidP="00E34079">
      <w:pPr>
        <w:jc w:val="left"/>
        <w:rPr>
          <w:szCs w:val="24"/>
        </w:rPr>
      </w:pPr>
      <w:r w:rsidRPr="00493F6F">
        <w:rPr>
          <w:szCs w:val="24"/>
        </w:rPr>
        <w:t>09:30-12:30</w:t>
      </w:r>
      <w:r w:rsidRPr="00493F6F">
        <w:rPr>
          <w:szCs w:val="24"/>
        </w:rPr>
        <w:tab/>
      </w:r>
      <w:r w:rsidR="009D29EF" w:rsidRPr="00493F6F">
        <w:rPr>
          <w:b/>
          <w:szCs w:val="24"/>
          <w:u w:val="single"/>
        </w:rPr>
        <w:t>EU</w:t>
      </w:r>
      <w:r w:rsidR="009D29EF" w:rsidRPr="00493F6F">
        <w:rPr>
          <w:szCs w:val="24"/>
          <w:u w:val="single"/>
        </w:rPr>
        <w:t xml:space="preserve"> </w:t>
      </w:r>
      <w:r w:rsidR="009D29EF" w:rsidRPr="00493F6F">
        <w:rPr>
          <w:b/>
          <w:szCs w:val="24"/>
          <w:u w:val="single"/>
        </w:rPr>
        <w:t>funding opportunities: finance and contracts workshop</w:t>
      </w:r>
    </w:p>
    <w:p w:rsidR="00493F6F" w:rsidRPr="00493F6F" w:rsidRDefault="00D54C1A" w:rsidP="00493F6F">
      <w:pPr>
        <w:jc w:val="left"/>
        <w:rPr>
          <w:rStyle w:val="Strong"/>
          <w:szCs w:val="24"/>
        </w:rPr>
      </w:pPr>
      <w:r w:rsidRPr="00493F6F">
        <w:rPr>
          <w:szCs w:val="24"/>
        </w:rPr>
        <w:t>This workshop will provide concrete guidance on financial and contractual matters relating to EU funding opportunities</w:t>
      </w:r>
      <w:r w:rsidR="00887582" w:rsidRPr="00493F6F">
        <w:rPr>
          <w:szCs w:val="24"/>
        </w:rPr>
        <w:t>, including c</w:t>
      </w:r>
      <w:r w:rsidRPr="00493F6F">
        <w:rPr>
          <w:rStyle w:val="Strong"/>
          <w:b w:val="0"/>
          <w:szCs w:val="24"/>
        </w:rPr>
        <w:t>ontract rules and procedures</w:t>
      </w:r>
      <w:r w:rsidR="00887582" w:rsidRPr="00493F6F">
        <w:rPr>
          <w:rStyle w:val="Strong"/>
          <w:b w:val="0"/>
          <w:szCs w:val="24"/>
        </w:rPr>
        <w:t>, questions on eligibility, co-financing, supporting documents and contract preparation.</w:t>
      </w:r>
      <w:r w:rsidR="00887582" w:rsidRPr="00493F6F">
        <w:rPr>
          <w:rStyle w:val="Strong"/>
          <w:szCs w:val="24"/>
        </w:rPr>
        <w:t xml:space="preserve"> </w:t>
      </w:r>
    </w:p>
    <w:p w:rsidR="00493F6F" w:rsidRPr="00493F6F" w:rsidRDefault="00493F6F" w:rsidP="00493F6F">
      <w:pPr>
        <w:jc w:val="left"/>
        <w:rPr>
          <w:szCs w:val="24"/>
        </w:rPr>
      </w:pPr>
      <w:r w:rsidRPr="00493F6F">
        <w:rPr>
          <w:rStyle w:val="Strong"/>
          <w:b w:val="0"/>
          <w:szCs w:val="24"/>
        </w:rPr>
        <w:t>Speaker:</w:t>
      </w:r>
      <w:r w:rsidRPr="00493F6F">
        <w:rPr>
          <w:rStyle w:val="Strong"/>
          <w:szCs w:val="24"/>
        </w:rPr>
        <w:t xml:space="preserve"> </w:t>
      </w:r>
      <w:r w:rsidRPr="00493F6F">
        <w:rPr>
          <w:szCs w:val="24"/>
        </w:rPr>
        <w:t xml:space="preserve">Frederique </w:t>
      </w:r>
      <w:proofErr w:type="spellStart"/>
      <w:r w:rsidRPr="00493F6F">
        <w:rPr>
          <w:szCs w:val="24"/>
        </w:rPr>
        <w:t>Thibout</w:t>
      </w:r>
      <w:proofErr w:type="spellEnd"/>
      <w:r w:rsidRPr="00493F6F">
        <w:rPr>
          <w:szCs w:val="24"/>
        </w:rPr>
        <w:t xml:space="preserve">, </w:t>
      </w:r>
      <w:r w:rsidRPr="00493F6F">
        <w:rPr>
          <w:szCs w:val="24"/>
        </w:rPr>
        <w:t xml:space="preserve">EU Trust Fund Finance and Contracts Officer from </w:t>
      </w:r>
      <w:r w:rsidRPr="00493F6F">
        <w:rPr>
          <w:rFonts w:eastAsiaTheme="minorEastAsia"/>
          <w:noProof/>
          <w:szCs w:val="24"/>
          <w:lang w:eastAsia="en-GB"/>
        </w:rPr>
        <w:t xml:space="preserve">DG DEVCO </w:t>
      </w:r>
      <w:r w:rsidRPr="00493F6F">
        <w:rPr>
          <w:szCs w:val="24"/>
        </w:rPr>
        <w:t>Finance, Contracts and Audit Unit</w:t>
      </w:r>
      <w:bookmarkStart w:id="0" w:name="_GoBack"/>
      <w:bookmarkEnd w:id="0"/>
    </w:p>
    <w:sectPr w:rsidR="00493F6F" w:rsidRPr="00493F6F" w:rsidSect="00D7200C">
      <w:footerReference w:type="default" r:id="rId9"/>
      <w:headerReference w:type="first" r:id="rId10"/>
      <w:footerReference w:type="first" r:id="rId1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EF" w:rsidRDefault="009D29EF" w:rsidP="009D29EF">
      <w:pPr>
        <w:spacing w:after="0"/>
      </w:pPr>
      <w:r>
        <w:separator/>
      </w:r>
    </w:p>
  </w:endnote>
  <w:endnote w:type="continuationSeparator" w:id="0">
    <w:p w:rsidR="009D29EF" w:rsidRDefault="009D29EF" w:rsidP="009D29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C9" w:rsidRDefault="009D29EF">
    <w:pPr>
      <w:pStyle w:val="Foote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C9" w:rsidRDefault="00493F6F">
    <w:pPr>
      <w:pStyle w:val="Footer"/>
      <w:rPr>
        <w:sz w:val="24"/>
        <w:szCs w:val="24"/>
        <w:lang w:val="en-US"/>
      </w:rPr>
    </w:pPr>
  </w:p>
  <w:p w:rsidR="000343C9" w:rsidRDefault="00493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EF" w:rsidRDefault="009D29EF" w:rsidP="009D29EF">
      <w:pPr>
        <w:spacing w:after="0"/>
      </w:pPr>
      <w:r>
        <w:separator/>
      </w:r>
    </w:p>
  </w:footnote>
  <w:footnote w:type="continuationSeparator" w:id="0">
    <w:p w:rsidR="009D29EF" w:rsidRDefault="009D29EF" w:rsidP="009D29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C9" w:rsidRDefault="00493F6F">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758481F"/>
    <w:multiLevelType w:val="hybridMultilevel"/>
    <w:tmpl w:val="181E8532"/>
    <w:lvl w:ilvl="0" w:tplc="6DA00B06">
      <w:start w:val="1"/>
      <w:numFmt w:val="bullet"/>
      <w:lvlText w:val="•"/>
      <w:lvlJc w:val="left"/>
      <w:pPr>
        <w:tabs>
          <w:tab w:val="num" w:pos="720"/>
        </w:tabs>
        <w:ind w:left="720" w:hanging="360"/>
      </w:pPr>
      <w:rPr>
        <w:rFonts w:ascii="Times New Roman" w:hAnsi="Times New Roman" w:hint="default"/>
      </w:rPr>
    </w:lvl>
    <w:lvl w:ilvl="1" w:tplc="6144C6C6" w:tentative="1">
      <w:start w:val="1"/>
      <w:numFmt w:val="bullet"/>
      <w:lvlText w:val="•"/>
      <w:lvlJc w:val="left"/>
      <w:pPr>
        <w:tabs>
          <w:tab w:val="num" w:pos="1440"/>
        </w:tabs>
        <w:ind w:left="1440" w:hanging="360"/>
      </w:pPr>
      <w:rPr>
        <w:rFonts w:ascii="Times New Roman" w:hAnsi="Times New Roman" w:hint="default"/>
      </w:rPr>
    </w:lvl>
    <w:lvl w:ilvl="2" w:tplc="5524A766" w:tentative="1">
      <w:start w:val="1"/>
      <w:numFmt w:val="bullet"/>
      <w:lvlText w:val="•"/>
      <w:lvlJc w:val="left"/>
      <w:pPr>
        <w:tabs>
          <w:tab w:val="num" w:pos="2160"/>
        </w:tabs>
        <w:ind w:left="2160" w:hanging="360"/>
      </w:pPr>
      <w:rPr>
        <w:rFonts w:ascii="Times New Roman" w:hAnsi="Times New Roman" w:hint="default"/>
      </w:rPr>
    </w:lvl>
    <w:lvl w:ilvl="3" w:tplc="8A9C2AD8" w:tentative="1">
      <w:start w:val="1"/>
      <w:numFmt w:val="bullet"/>
      <w:lvlText w:val="•"/>
      <w:lvlJc w:val="left"/>
      <w:pPr>
        <w:tabs>
          <w:tab w:val="num" w:pos="2880"/>
        </w:tabs>
        <w:ind w:left="2880" w:hanging="360"/>
      </w:pPr>
      <w:rPr>
        <w:rFonts w:ascii="Times New Roman" w:hAnsi="Times New Roman" w:hint="default"/>
      </w:rPr>
    </w:lvl>
    <w:lvl w:ilvl="4" w:tplc="12AE2042" w:tentative="1">
      <w:start w:val="1"/>
      <w:numFmt w:val="bullet"/>
      <w:lvlText w:val="•"/>
      <w:lvlJc w:val="left"/>
      <w:pPr>
        <w:tabs>
          <w:tab w:val="num" w:pos="3600"/>
        </w:tabs>
        <w:ind w:left="3600" w:hanging="360"/>
      </w:pPr>
      <w:rPr>
        <w:rFonts w:ascii="Times New Roman" w:hAnsi="Times New Roman" w:hint="default"/>
      </w:rPr>
    </w:lvl>
    <w:lvl w:ilvl="5" w:tplc="EFB0F558" w:tentative="1">
      <w:start w:val="1"/>
      <w:numFmt w:val="bullet"/>
      <w:lvlText w:val="•"/>
      <w:lvlJc w:val="left"/>
      <w:pPr>
        <w:tabs>
          <w:tab w:val="num" w:pos="4320"/>
        </w:tabs>
        <w:ind w:left="4320" w:hanging="360"/>
      </w:pPr>
      <w:rPr>
        <w:rFonts w:ascii="Times New Roman" w:hAnsi="Times New Roman" w:hint="default"/>
      </w:rPr>
    </w:lvl>
    <w:lvl w:ilvl="6" w:tplc="B7C0CEF0" w:tentative="1">
      <w:start w:val="1"/>
      <w:numFmt w:val="bullet"/>
      <w:lvlText w:val="•"/>
      <w:lvlJc w:val="left"/>
      <w:pPr>
        <w:tabs>
          <w:tab w:val="num" w:pos="5040"/>
        </w:tabs>
        <w:ind w:left="5040" w:hanging="360"/>
      </w:pPr>
      <w:rPr>
        <w:rFonts w:ascii="Times New Roman" w:hAnsi="Times New Roman" w:hint="default"/>
      </w:rPr>
    </w:lvl>
    <w:lvl w:ilvl="7" w:tplc="6552956A" w:tentative="1">
      <w:start w:val="1"/>
      <w:numFmt w:val="bullet"/>
      <w:lvlText w:val="•"/>
      <w:lvlJc w:val="left"/>
      <w:pPr>
        <w:tabs>
          <w:tab w:val="num" w:pos="5760"/>
        </w:tabs>
        <w:ind w:left="5760" w:hanging="360"/>
      </w:pPr>
      <w:rPr>
        <w:rFonts w:ascii="Times New Roman" w:hAnsi="Times New Roman" w:hint="default"/>
      </w:rPr>
    </w:lvl>
    <w:lvl w:ilvl="8" w:tplc="6E5425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0"/>
  </w:num>
  <w:num w:numId="6">
    <w:abstractNumId w:val="7"/>
  </w:num>
  <w:num w:numId="7">
    <w:abstractNumId w:val="4"/>
  </w:num>
  <w:num w:numId="8">
    <w:abstractNumId w:val="3"/>
  </w:num>
  <w:num w:numId="9">
    <w:abstractNumId w:val="18"/>
  </w:num>
  <w:num w:numId="10">
    <w:abstractNumId w:val="20"/>
  </w:num>
  <w:num w:numId="11">
    <w:abstractNumId w:val="19"/>
  </w:num>
  <w:num w:numId="12">
    <w:abstractNumId w:val="21"/>
  </w:num>
  <w:num w:numId="13">
    <w:abstractNumId w:val="6"/>
  </w:num>
  <w:num w:numId="14">
    <w:abstractNumId w:val="11"/>
  </w:num>
  <w:num w:numId="15">
    <w:abstractNumId w:val="13"/>
  </w:num>
  <w:num w:numId="16">
    <w:abstractNumId w:val="12"/>
  </w:num>
  <w:num w:numId="17">
    <w:abstractNumId w:val="2"/>
  </w:num>
  <w:num w:numId="18">
    <w:abstractNumId w:val="14"/>
  </w:num>
  <w:num w:numId="19">
    <w:abstractNumId w:val="8"/>
  </w:num>
  <w:num w:numId="20">
    <w:abstractNumId w:val="15"/>
  </w:num>
  <w:num w:numId="21">
    <w:abstractNumId w:val="9"/>
  </w:num>
  <w:num w:numId="22">
    <w:abstractNumId w:val="8"/>
  </w:num>
  <w:num w:numId="23">
    <w:abstractNumId w:val="8"/>
  </w:num>
  <w:num w:numId="24">
    <w:abstractNumId w:val="8"/>
  </w:num>
  <w:num w:numId="25">
    <w:abstractNumId w:val="8"/>
  </w:num>
  <w:num w:numId="26">
    <w:abstractNumId w:val="8"/>
  </w:num>
  <w:num w:numId="27">
    <w:abstractNumId w:val="8"/>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D7"/>
    <w:rsid w:val="001D491B"/>
    <w:rsid w:val="002410D7"/>
    <w:rsid w:val="00405136"/>
    <w:rsid w:val="00493F6F"/>
    <w:rsid w:val="00887582"/>
    <w:rsid w:val="00922F01"/>
    <w:rsid w:val="009D29EF"/>
    <w:rsid w:val="00D54C1A"/>
    <w:rsid w:val="00E3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2410D7"/>
    <w:rPr>
      <w:rFonts w:ascii="Arial" w:hAnsi="Arial"/>
      <w:sz w:val="16"/>
      <w:lang w:eastAsia="en-US"/>
    </w:rPr>
  </w:style>
  <w:style w:type="character" w:customStyle="1" w:styleId="DateChar">
    <w:name w:val="Date Char"/>
    <w:basedOn w:val="DefaultParagraphFont"/>
    <w:link w:val="Date"/>
    <w:uiPriority w:val="99"/>
    <w:locked/>
    <w:rsid w:val="002410D7"/>
    <w:rPr>
      <w:sz w:val="24"/>
      <w:lang w:eastAsia="en-US"/>
    </w:rPr>
  </w:style>
  <w:style w:type="character" w:customStyle="1" w:styleId="SignatureChar">
    <w:name w:val="Signature Char"/>
    <w:basedOn w:val="DefaultParagraphFont"/>
    <w:link w:val="Signature"/>
    <w:uiPriority w:val="99"/>
    <w:locked/>
    <w:rsid w:val="002410D7"/>
    <w:rPr>
      <w:sz w:val="24"/>
      <w:lang w:eastAsia="en-US"/>
    </w:rPr>
  </w:style>
  <w:style w:type="paragraph" w:customStyle="1" w:styleId="ZCom">
    <w:name w:val="Z_Com"/>
    <w:basedOn w:val="Normal"/>
    <w:next w:val="ZDGName"/>
    <w:uiPriority w:val="99"/>
    <w:rsid w:val="002410D7"/>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2410D7"/>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2410D7"/>
    <w:rPr>
      <w:sz w:val="24"/>
      <w:lang w:eastAsia="en-US"/>
    </w:rPr>
  </w:style>
  <w:style w:type="paragraph" w:styleId="ListParagraph">
    <w:name w:val="List Paragraph"/>
    <w:basedOn w:val="Normal"/>
    <w:uiPriority w:val="34"/>
    <w:qFormat/>
    <w:rsid w:val="00E34079"/>
    <w:pPr>
      <w:spacing w:after="0"/>
      <w:ind w:left="720"/>
      <w:contextualSpacing/>
      <w:jc w:val="left"/>
    </w:pPr>
    <w:rPr>
      <w:szCs w:val="24"/>
      <w:lang w:eastAsia="en-GB"/>
    </w:rPr>
  </w:style>
  <w:style w:type="character" w:styleId="Strong">
    <w:name w:val="Strong"/>
    <w:basedOn w:val="DefaultParagraphFont"/>
    <w:uiPriority w:val="22"/>
    <w:qFormat/>
    <w:rsid w:val="00D54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2410D7"/>
    <w:rPr>
      <w:rFonts w:ascii="Arial" w:hAnsi="Arial"/>
      <w:sz w:val="16"/>
      <w:lang w:eastAsia="en-US"/>
    </w:rPr>
  </w:style>
  <w:style w:type="character" w:customStyle="1" w:styleId="DateChar">
    <w:name w:val="Date Char"/>
    <w:basedOn w:val="DefaultParagraphFont"/>
    <w:link w:val="Date"/>
    <w:uiPriority w:val="99"/>
    <w:locked/>
    <w:rsid w:val="002410D7"/>
    <w:rPr>
      <w:sz w:val="24"/>
      <w:lang w:eastAsia="en-US"/>
    </w:rPr>
  </w:style>
  <w:style w:type="character" w:customStyle="1" w:styleId="SignatureChar">
    <w:name w:val="Signature Char"/>
    <w:basedOn w:val="DefaultParagraphFont"/>
    <w:link w:val="Signature"/>
    <w:uiPriority w:val="99"/>
    <w:locked/>
    <w:rsid w:val="002410D7"/>
    <w:rPr>
      <w:sz w:val="24"/>
      <w:lang w:eastAsia="en-US"/>
    </w:rPr>
  </w:style>
  <w:style w:type="paragraph" w:customStyle="1" w:styleId="ZCom">
    <w:name w:val="Z_Com"/>
    <w:basedOn w:val="Normal"/>
    <w:next w:val="ZDGName"/>
    <w:uiPriority w:val="99"/>
    <w:rsid w:val="002410D7"/>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2410D7"/>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2410D7"/>
    <w:rPr>
      <w:sz w:val="24"/>
      <w:lang w:eastAsia="en-US"/>
    </w:rPr>
  </w:style>
  <w:style w:type="paragraph" w:styleId="ListParagraph">
    <w:name w:val="List Paragraph"/>
    <w:basedOn w:val="Normal"/>
    <w:uiPriority w:val="34"/>
    <w:qFormat/>
    <w:rsid w:val="00E34079"/>
    <w:pPr>
      <w:spacing w:after="0"/>
      <w:ind w:left="720"/>
      <w:contextualSpacing/>
      <w:jc w:val="left"/>
    </w:pPr>
    <w:rPr>
      <w:szCs w:val="24"/>
      <w:lang w:eastAsia="en-GB"/>
    </w:rPr>
  </w:style>
  <w:style w:type="character" w:styleId="Strong">
    <w:name w:val="Strong"/>
    <w:basedOn w:val="DefaultParagraphFont"/>
    <w:uiPriority w:val="22"/>
    <w:qFormat/>
    <w:rsid w:val="00D54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63069">
      <w:bodyDiv w:val="1"/>
      <w:marLeft w:val="0"/>
      <w:marRight w:val="0"/>
      <w:marTop w:val="0"/>
      <w:marBottom w:val="0"/>
      <w:divBdr>
        <w:top w:val="none" w:sz="0" w:space="0" w:color="auto"/>
        <w:left w:val="none" w:sz="0" w:space="0" w:color="auto"/>
        <w:bottom w:val="none" w:sz="0" w:space="0" w:color="auto"/>
        <w:right w:val="none" w:sz="0" w:space="0" w:color="auto"/>
      </w:divBdr>
      <w:divsChild>
        <w:div w:id="611714520">
          <w:marLeft w:val="547"/>
          <w:marRight w:val="0"/>
          <w:marTop w:val="96"/>
          <w:marBottom w:val="0"/>
          <w:divBdr>
            <w:top w:val="none" w:sz="0" w:space="0" w:color="auto"/>
            <w:left w:val="none" w:sz="0" w:space="0" w:color="auto"/>
            <w:bottom w:val="none" w:sz="0" w:space="0" w:color="auto"/>
            <w:right w:val="none" w:sz="0" w:space="0" w:color="auto"/>
          </w:divBdr>
        </w:div>
      </w:divsChild>
    </w:div>
    <w:div w:id="13634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66</TotalTime>
  <Pages>1</Pages>
  <Words>278</Words>
  <Characters>1646</Characters>
  <Application>Microsoft Office Word</Application>
  <DocSecurity>0</DocSecurity>
  <PresentationFormat>Microsoft Word 14.0</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Doens</dc:creator>
  <cp:keywords>EL4</cp:keywords>
  <cp:lastModifiedBy>BERTHON Olivia (DEVCO)</cp:lastModifiedBy>
  <cp:revision>4</cp:revision>
  <dcterms:created xsi:type="dcterms:W3CDTF">2017-03-27T13:59:00Z</dcterms:created>
  <dcterms:modified xsi:type="dcterms:W3CDTF">2017-03-28T09:22:00Z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Koen Doens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