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A1171" w:rsidRDefault="00DA1171" w:rsidP="00BF2FCD">
      <w:pPr>
        <w:pStyle w:val="NoSpacing"/>
        <w:spacing w:line="360" w:lineRule="auto"/>
        <w:jc w:val="both"/>
        <w:rPr>
          <w:rFonts w:ascii="Arial" w:hAnsi="Arial" w:cs="Arial"/>
          <w:sz w:val="24"/>
          <w:szCs w:val="24"/>
          <w:lang w:val="en-GB" w:eastAsia="cs-CZ"/>
        </w:rPr>
      </w:pPr>
      <w:r>
        <w:rPr>
          <w:rFonts w:ascii="Arial" w:hAnsi="Arial" w:cs="Arial"/>
          <w:sz w:val="24"/>
          <w:szCs w:val="24"/>
          <w:lang w:val="en-GB" w:eastAsia="cs-CZ"/>
        </w:rPr>
        <w:t>ABSTRACTS</w:t>
      </w:r>
    </w:p>
    <w:p w:rsidR="00DA1171" w:rsidRDefault="00DA1171" w:rsidP="00BF2FCD">
      <w:pPr>
        <w:pStyle w:val="NoSpacing"/>
        <w:spacing w:line="360" w:lineRule="auto"/>
        <w:jc w:val="both"/>
        <w:rPr>
          <w:rFonts w:ascii="Arial" w:hAnsi="Arial" w:cs="Arial"/>
          <w:sz w:val="24"/>
          <w:szCs w:val="24"/>
          <w:lang w:val="en-GB" w:eastAsia="cs-CZ"/>
        </w:rPr>
      </w:pPr>
    </w:p>
    <w:p w:rsidR="00D36C9C" w:rsidRDefault="00D36C9C" w:rsidP="00BF2FCD">
      <w:pPr>
        <w:pStyle w:val="NoSpacing"/>
        <w:spacing w:line="360" w:lineRule="auto"/>
        <w:jc w:val="both"/>
        <w:rPr>
          <w:rFonts w:ascii="Arial" w:hAnsi="Arial" w:cs="Arial"/>
          <w:sz w:val="24"/>
          <w:szCs w:val="24"/>
          <w:lang w:val="en-GB" w:eastAsia="cs-CZ"/>
        </w:rPr>
      </w:pPr>
      <w:r>
        <w:rPr>
          <w:rFonts w:ascii="Arial" w:hAnsi="Arial" w:cs="Arial"/>
          <w:sz w:val="24"/>
          <w:szCs w:val="24"/>
          <w:lang w:val="en-GB" w:eastAsia="cs-CZ"/>
        </w:rPr>
        <w:t xml:space="preserve">1. </w:t>
      </w:r>
      <w:proofErr w:type="spellStart"/>
      <w:r w:rsidRPr="00D36C9C">
        <w:rPr>
          <w:rFonts w:ascii="Arial" w:hAnsi="Arial" w:cs="Arial"/>
          <w:sz w:val="24"/>
          <w:szCs w:val="24"/>
          <w:lang w:val="en-GB" w:eastAsia="cs-CZ"/>
        </w:rPr>
        <w:t>Kate</w:t>
      </w:r>
      <w:r>
        <w:rPr>
          <w:rFonts w:ascii="Arial" w:hAnsi="Arial" w:cs="Arial"/>
          <w:sz w:val="24"/>
          <w:szCs w:val="24"/>
          <w:lang w:val="en-GB" w:eastAsia="cs-CZ"/>
        </w:rPr>
        <w:t>r</w:t>
      </w:r>
      <w:r w:rsidRPr="00D36C9C">
        <w:rPr>
          <w:rFonts w:ascii="Arial" w:hAnsi="Arial" w:cs="Arial"/>
          <w:sz w:val="24"/>
          <w:szCs w:val="24"/>
          <w:lang w:val="en-GB" w:eastAsia="cs-CZ"/>
        </w:rPr>
        <w:t>ina</w:t>
      </w:r>
      <w:proofErr w:type="spellEnd"/>
      <w:r w:rsidRPr="00D36C9C">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Jedli</w:t>
      </w:r>
      <w:r>
        <w:rPr>
          <w:rFonts w:ascii="Arial" w:hAnsi="Arial" w:cs="Arial"/>
          <w:sz w:val="24"/>
          <w:szCs w:val="24"/>
          <w:lang w:val="en-GB" w:eastAsia="cs-CZ"/>
        </w:rPr>
        <w:t>c</w:t>
      </w:r>
      <w:r w:rsidRPr="00D36C9C">
        <w:rPr>
          <w:rFonts w:ascii="Arial" w:hAnsi="Arial" w:cs="Arial"/>
          <w:sz w:val="24"/>
          <w:szCs w:val="24"/>
          <w:lang w:val="en-GB" w:eastAsia="cs-CZ"/>
        </w:rPr>
        <w:t>kov</w:t>
      </w:r>
      <w:r>
        <w:rPr>
          <w:rFonts w:ascii="Arial" w:hAnsi="Arial" w:cs="Arial"/>
          <w:sz w:val="24"/>
          <w:szCs w:val="24"/>
          <w:lang w:val="en-GB" w:eastAsia="cs-CZ"/>
        </w:rPr>
        <w:t>a</w:t>
      </w:r>
      <w:proofErr w:type="spellEnd"/>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Empirical antibiotic (ATB) therapy is a standard treatment used in intensive</w:t>
      </w:r>
      <w:r>
        <w:rPr>
          <w:rFonts w:ascii="Arial" w:hAnsi="Arial" w:cs="Arial"/>
          <w:sz w:val="24"/>
          <w:szCs w:val="24"/>
          <w:lang w:val="en-GB" w:eastAsia="cs-CZ"/>
        </w:rPr>
        <w:t xml:space="preserve"> </w:t>
      </w:r>
      <w:r w:rsidRPr="00D36C9C">
        <w:rPr>
          <w:rFonts w:ascii="Arial" w:hAnsi="Arial" w:cs="Arial"/>
          <w:sz w:val="24"/>
          <w:szCs w:val="24"/>
          <w:lang w:val="en-GB" w:eastAsia="cs-CZ"/>
        </w:rPr>
        <w:t>care units. Rational antibiotic administration may include two strategies:</w:t>
      </w:r>
      <w:r>
        <w:rPr>
          <w:rFonts w:ascii="Arial" w:hAnsi="Arial" w:cs="Arial"/>
          <w:sz w:val="24"/>
          <w:szCs w:val="24"/>
          <w:lang w:val="en-GB" w:eastAsia="cs-CZ"/>
        </w:rPr>
        <w:t xml:space="preserve"> </w:t>
      </w:r>
      <w:r w:rsidRPr="00D36C9C">
        <w:rPr>
          <w:rFonts w:ascii="Arial" w:hAnsi="Arial" w:cs="Arial"/>
          <w:sz w:val="24"/>
          <w:szCs w:val="24"/>
          <w:lang w:val="en-GB" w:eastAsia="cs-CZ"/>
        </w:rPr>
        <w:t>either antibiotic de-escalation (e.g. initial empiric</w:t>
      </w:r>
      <w:ins w:id="0" w:author="John Morgan" w:date="2015-03-22T17:21:00Z">
        <w:r w:rsidR="00BF2FCD">
          <w:rPr>
            <w:rFonts w:ascii="Arial" w:hAnsi="Arial" w:cs="Arial"/>
            <w:sz w:val="24"/>
            <w:szCs w:val="24"/>
            <w:lang w:val="en-GB" w:eastAsia="cs-CZ"/>
          </w:rPr>
          <w:t>al</w:t>
        </w:r>
      </w:ins>
      <w:r w:rsidRPr="00D36C9C">
        <w:rPr>
          <w:rFonts w:ascii="Arial" w:hAnsi="Arial" w:cs="Arial"/>
          <w:sz w:val="24"/>
          <w:szCs w:val="24"/>
          <w:lang w:val="en-GB" w:eastAsia="cs-CZ"/>
        </w:rPr>
        <w:t xml:space="preserve"> treatment of antibiotics</w:t>
      </w:r>
      <w:r>
        <w:rPr>
          <w:rFonts w:ascii="Arial" w:hAnsi="Arial" w:cs="Arial"/>
          <w:sz w:val="24"/>
          <w:szCs w:val="24"/>
          <w:lang w:val="en-GB" w:eastAsia="cs-CZ"/>
        </w:rPr>
        <w:t xml:space="preserve"> </w:t>
      </w:r>
      <w:r w:rsidRPr="00D36C9C">
        <w:rPr>
          <w:rFonts w:ascii="Arial" w:hAnsi="Arial" w:cs="Arial"/>
          <w:sz w:val="24"/>
          <w:szCs w:val="24"/>
          <w:lang w:val="en-GB" w:eastAsia="cs-CZ"/>
        </w:rPr>
        <w:t>with a very broad spectrum and subsequent targeted antibiotic treatment with</w:t>
      </w:r>
      <w:r>
        <w:rPr>
          <w:rFonts w:ascii="Arial" w:hAnsi="Arial" w:cs="Arial"/>
          <w:sz w:val="24"/>
          <w:szCs w:val="24"/>
          <w:lang w:val="en-GB" w:eastAsia="cs-CZ"/>
        </w:rPr>
        <w:t xml:space="preserve"> </w:t>
      </w:r>
      <w:ins w:id="1" w:author="John Morgan" w:date="2015-03-22T17:22:00Z">
        <w:r w:rsidR="00BF2FCD">
          <w:rPr>
            <w:rFonts w:ascii="Arial" w:hAnsi="Arial" w:cs="Arial"/>
            <w:sz w:val="24"/>
            <w:szCs w:val="24"/>
            <w:lang w:val="en-GB" w:eastAsia="cs-CZ"/>
          </w:rPr>
          <w:t xml:space="preserve">a </w:t>
        </w:r>
      </w:ins>
      <w:r w:rsidRPr="00D36C9C">
        <w:rPr>
          <w:rFonts w:ascii="Arial" w:hAnsi="Arial" w:cs="Arial"/>
          <w:sz w:val="24"/>
          <w:szCs w:val="24"/>
          <w:lang w:val="en-GB" w:eastAsia="cs-CZ"/>
        </w:rPr>
        <w:t>narrower spectrum)</w:t>
      </w:r>
      <w:ins w:id="2" w:author="John Morgan" w:date="2015-03-22T17:22:00Z">
        <w:r w:rsidR="00BF2FCD">
          <w:rPr>
            <w:rFonts w:ascii="Arial" w:hAnsi="Arial" w:cs="Arial"/>
            <w:sz w:val="24"/>
            <w:szCs w:val="24"/>
            <w:lang w:val="en-GB" w:eastAsia="cs-CZ"/>
          </w:rPr>
          <w:t>,</w:t>
        </w:r>
      </w:ins>
      <w:r w:rsidRPr="00D36C9C">
        <w:rPr>
          <w:rFonts w:ascii="Arial" w:hAnsi="Arial" w:cs="Arial"/>
          <w:sz w:val="24"/>
          <w:szCs w:val="24"/>
          <w:lang w:val="en-GB" w:eastAsia="cs-CZ"/>
        </w:rPr>
        <w:t xml:space="preserve"> or antibiotic escalation (an initial choice of fundamental</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broad-spectrum antibiotics, typically </w:t>
      </w:r>
      <w:proofErr w:type="spellStart"/>
      <w:r w:rsidRPr="00D36C9C">
        <w:rPr>
          <w:rFonts w:ascii="Arial" w:hAnsi="Arial" w:cs="Arial"/>
          <w:sz w:val="24"/>
          <w:szCs w:val="24"/>
          <w:lang w:val="en-GB" w:eastAsia="cs-CZ"/>
        </w:rPr>
        <w:t>aminopenicillins</w:t>
      </w:r>
      <w:proofErr w:type="spellEnd"/>
      <w:r w:rsidRPr="00D36C9C">
        <w:rPr>
          <w:rFonts w:ascii="Arial" w:hAnsi="Arial" w:cs="Arial"/>
          <w:sz w:val="24"/>
          <w:szCs w:val="24"/>
          <w:lang w:val="en-GB" w:eastAsia="cs-CZ"/>
        </w:rPr>
        <w:t xml:space="preserve"> with beta-</w:t>
      </w:r>
      <w:proofErr w:type="spellStart"/>
      <w:r w:rsidRPr="00D36C9C">
        <w:rPr>
          <w:rFonts w:ascii="Arial" w:hAnsi="Arial" w:cs="Arial"/>
          <w:sz w:val="24"/>
          <w:szCs w:val="24"/>
          <w:lang w:val="en-GB" w:eastAsia="cs-CZ"/>
        </w:rPr>
        <w:t>lactamase</w:t>
      </w:r>
      <w:proofErr w:type="spellEnd"/>
      <w:r>
        <w:rPr>
          <w:rFonts w:ascii="Arial" w:hAnsi="Arial" w:cs="Arial"/>
          <w:sz w:val="24"/>
          <w:szCs w:val="24"/>
          <w:lang w:val="en-GB" w:eastAsia="cs-CZ"/>
        </w:rPr>
        <w:t xml:space="preserve"> </w:t>
      </w:r>
      <w:r w:rsidRPr="00D36C9C">
        <w:rPr>
          <w:rFonts w:ascii="Arial" w:hAnsi="Arial" w:cs="Arial"/>
          <w:sz w:val="24"/>
          <w:szCs w:val="24"/>
          <w:lang w:val="en-GB" w:eastAsia="cs-CZ"/>
        </w:rPr>
        <w:t>inhibitors, which are changed to antibiotic with a broad spectrum of activity,</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when found </w:t>
      </w:r>
      <w:commentRangeStart w:id="3"/>
      <w:r w:rsidRPr="00D36C9C">
        <w:rPr>
          <w:rFonts w:ascii="Arial" w:hAnsi="Arial" w:cs="Arial"/>
          <w:sz w:val="24"/>
          <w:szCs w:val="24"/>
          <w:lang w:val="en-GB" w:eastAsia="cs-CZ"/>
        </w:rPr>
        <w:t>ineffective</w:t>
      </w:r>
      <w:commentRangeEnd w:id="3"/>
      <w:r w:rsidR="00BF2FCD">
        <w:rPr>
          <w:rStyle w:val="CommentReference"/>
          <w:vanish/>
        </w:rPr>
        <w:commentReference w:id="3"/>
      </w:r>
      <w:r w:rsidRPr="00D36C9C">
        <w:rPr>
          <w:rFonts w:ascii="Arial" w:hAnsi="Arial" w:cs="Arial"/>
          <w:sz w:val="24"/>
          <w:szCs w:val="24"/>
          <w:lang w:val="en-GB" w:eastAsia="cs-CZ"/>
        </w:rPr>
        <w:t>).</w:t>
      </w:r>
    </w:p>
    <w:p w:rsidR="00BF2FCD" w:rsidRDefault="00BF2FCD" w:rsidP="00BF2FCD">
      <w:pPr>
        <w:pStyle w:val="NoSpacing"/>
        <w:numPr>
          <w:ins w:id="4" w:author="John Morgan" w:date="2015-03-22T17:28:00Z"/>
        </w:numPr>
        <w:spacing w:line="360" w:lineRule="auto"/>
        <w:jc w:val="both"/>
        <w:rPr>
          <w:ins w:id="5" w:author="John Morgan" w:date="2015-03-22T17:28:00Z"/>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 xml:space="preserve">In this retrospective study </w:t>
      </w:r>
      <w:commentRangeStart w:id="6"/>
      <w:r w:rsidRPr="00D36C9C">
        <w:rPr>
          <w:rFonts w:ascii="Arial" w:hAnsi="Arial" w:cs="Arial"/>
          <w:sz w:val="24"/>
          <w:szCs w:val="24"/>
          <w:lang w:val="en-GB" w:eastAsia="cs-CZ"/>
        </w:rPr>
        <w:t>we</w:t>
      </w:r>
      <w:commentRangeEnd w:id="6"/>
      <w:r w:rsidR="00A7674E">
        <w:rPr>
          <w:rStyle w:val="CommentReference"/>
          <w:vanish/>
        </w:rPr>
        <w:commentReference w:id="6"/>
      </w:r>
      <w:r w:rsidRPr="00D36C9C">
        <w:rPr>
          <w:rFonts w:ascii="Arial" w:hAnsi="Arial" w:cs="Arial"/>
          <w:sz w:val="24"/>
          <w:szCs w:val="24"/>
          <w:lang w:val="en-GB" w:eastAsia="cs-CZ"/>
        </w:rPr>
        <w:t xml:space="preserve"> analyzed all patients hospitalized in the Dept.</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of </w:t>
      </w:r>
      <w:proofErr w:type="spellStart"/>
      <w:r w:rsidRPr="00D36C9C">
        <w:rPr>
          <w:rFonts w:ascii="Arial" w:hAnsi="Arial" w:cs="Arial"/>
          <w:sz w:val="24"/>
          <w:szCs w:val="24"/>
          <w:lang w:val="en-GB" w:eastAsia="cs-CZ"/>
        </w:rPr>
        <w:t>Anesthesia</w:t>
      </w:r>
      <w:proofErr w:type="spellEnd"/>
      <w:r w:rsidRPr="00D36C9C">
        <w:rPr>
          <w:rFonts w:ascii="Arial" w:hAnsi="Arial" w:cs="Arial"/>
          <w:sz w:val="24"/>
          <w:szCs w:val="24"/>
          <w:lang w:val="en-GB" w:eastAsia="cs-CZ"/>
        </w:rPr>
        <w:t xml:space="preserve"> and </w:t>
      </w:r>
      <w:proofErr w:type="spellStart"/>
      <w:r w:rsidRPr="00D36C9C">
        <w:rPr>
          <w:rFonts w:ascii="Arial" w:hAnsi="Arial" w:cs="Arial"/>
          <w:sz w:val="24"/>
          <w:szCs w:val="24"/>
          <w:lang w:val="en-GB" w:eastAsia="cs-CZ"/>
        </w:rPr>
        <w:t>Intensíve</w:t>
      </w:r>
      <w:proofErr w:type="spellEnd"/>
      <w:r w:rsidRPr="00D36C9C">
        <w:rPr>
          <w:rFonts w:ascii="Arial" w:hAnsi="Arial" w:cs="Arial"/>
          <w:sz w:val="24"/>
          <w:szCs w:val="24"/>
          <w:lang w:val="en-GB" w:eastAsia="cs-CZ"/>
        </w:rPr>
        <w:t xml:space="preserve"> Care of St. Anna University Hospital Brno (AIC) in</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the first quarter of 2013. Patients who </w:t>
      </w:r>
      <w:del w:id="7" w:author="John Morgan" w:date="2015-03-22T17:32:00Z">
        <w:r w:rsidRPr="00D36C9C" w:rsidDel="00A7674E">
          <w:rPr>
            <w:rFonts w:ascii="Arial" w:hAnsi="Arial" w:cs="Arial"/>
            <w:sz w:val="24"/>
            <w:szCs w:val="24"/>
            <w:lang w:val="en-GB" w:eastAsia="cs-CZ"/>
          </w:rPr>
          <w:delText>had an</w:delText>
        </w:r>
      </w:del>
      <w:ins w:id="8" w:author="John Morgan" w:date="2015-03-22T17:32:00Z">
        <w:r w:rsidR="00A7674E">
          <w:rPr>
            <w:rFonts w:ascii="Arial" w:hAnsi="Arial" w:cs="Arial"/>
            <w:sz w:val="24"/>
            <w:szCs w:val="24"/>
            <w:lang w:val="en-GB" w:eastAsia="cs-CZ"/>
          </w:rPr>
          <w:t>underwent</w:t>
        </w:r>
      </w:ins>
      <w:r w:rsidRPr="00D36C9C">
        <w:rPr>
          <w:rFonts w:ascii="Arial" w:hAnsi="Arial" w:cs="Arial"/>
          <w:sz w:val="24"/>
          <w:szCs w:val="24"/>
          <w:lang w:val="en-GB" w:eastAsia="cs-CZ"/>
        </w:rPr>
        <w:t xml:space="preserve"> antibiotic treatment </w:t>
      </w:r>
      <w:ins w:id="9" w:author="John Morgan" w:date="2015-03-22T17:33:00Z">
        <w:r w:rsidR="00A7674E">
          <w:rPr>
            <w:rFonts w:ascii="Arial" w:hAnsi="Arial" w:cs="Arial"/>
            <w:sz w:val="24"/>
            <w:szCs w:val="24"/>
            <w:lang w:val="en-GB" w:eastAsia="cs-CZ"/>
          </w:rPr>
          <w:t xml:space="preserve">of </w:t>
        </w:r>
      </w:ins>
      <w:r w:rsidRPr="00D36C9C">
        <w:rPr>
          <w:rFonts w:ascii="Arial" w:hAnsi="Arial" w:cs="Arial"/>
          <w:sz w:val="24"/>
          <w:szCs w:val="24"/>
          <w:lang w:val="en-GB" w:eastAsia="cs-CZ"/>
        </w:rPr>
        <w:t>longer than</w:t>
      </w:r>
      <w:r>
        <w:rPr>
          <w:rFonts w:ascii="Arial" w:hAnsi="Arial" w:cs="Arial"/>
          <w:sz w:val="24"/>
          <w:szCs w:val="24"/>
          <w:lang w:val="en-GB" w:eastAsia="cs-CZ"/>
        </w:rPr>
        <w:t xml:space="preserve"> </w:t>
      </w:r>
      <w:r w:rsidRPr="00D36C9C">
        <w:rPr>
          <w:rFonts w:ascii="Arial" w:hAnsi="Arial" w:cs="Arial"/>
          <w:sz w:val="24"/>
          <w:szCs w:val="24"/>
          <w:lang w:val="en-GB" w:eastAsia="cs-CZ"/>
        </w:rPr>
        <w:t>24 hours and who were hospitalized for more than 48 hours were included in the</w:t>
      </w:r>
      <w:r>
        <w:rPr>
          <w:rFonts w:ascii="Arial" w:hAnsi="Arial" w:cs="Arial"/>
          <w:sz w:val="24"/>
          <w:szCs w:val="24"/>
          <w:lang w:val="en-GB" w:eastAsia="cs-CZ"/>
        </w:rPr>
        <w:t xml:space="preserve"> </w:t>
      </w:r>
      <w:r w:rsidRPr="00D36C9C">
        <w:rPr>
          <w:rFonts w:ascii="Arial" w:hAnsi="Arial" w:cs="Arial"/>
          <w:sz w:val="24"/>
          <w:szCs w:val="24"/>
          <w:lang w:val="en-GB" w:eastAsia="cs-CZ"/>
        </w:rPr>
        <w:t>study. These patients were divided into two groups: the first group was</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initially treated with </w:t>
      </w:r>
      <w:proofErr w:type="spellStart"/>
      <w:r w:rsidRPr="00D36C9C">
        <w:rPr>
          <w:rFonts w:ascii="Arial" w:hAnsi="Arial" w:cs="Arial"/>
          <w:sz w:val="24"/>
          <w:szCs w:val="24"/>
          <w:lang w:val="en-GB" w:eastAsia="cs-CZ"/>
        </w:rPr>
        <w:t>aminopenicillins</w:t>
      </w:r>
      <w:proofErr w:type="spellEnd"/>
      <w:r w:rsidRPr="00D36C9C">
        <w:rPr>
          <w:rFonts w:ascii="Arial" w:hAnsi="Arial" w:cs="Arial"/>
          <w:sz w:val="24"/>
          <w:szCs w:val="24"/>
          <w:lang w:val="en-GB" w:eastAsia="cs-CZ"/>
        </w:rPr>
        <w:t xml:space="preserve"> with beta-</w:t>
      </w:r>
      <w:proofErr w:type="spellStart"/>
      <w:r w:rsidRPr="00D36C9C">
        <w:rPr>
          <w:rFonts w:ascii="Arial" w:hAnsi="Arial" w:cs="Arial"/>
          <w:sz w:val="24"/>
          <w:szCs w:val="24"/>
          <w:lang w:val="en-GB" w:eastAsia="cs-CZ"/>
        </w:rPr>
        <w:t>lactamase</w:t>
      </w:r>
      <w:proofErr w:type="spellEnd"/>
      <w:r w:rsidRPr="00D36C9C">
        <w:rPr>
          <w:rFonts w:ascii="Arial" w:hAnsi="Arial" w:cs="Arial"/>
          <w:sz w:val="24"/>
          <w:szCs w:val="24"/>
          <w:lang w:val="en-GB" w:eastAsia="cs-CZ"/>
        </w:rPr>
        <w:t xml:space="preserve"> inhibitors alone</w:t>
      </w:r>
      <w:ins w:id="10" w:author="John Morgan" w:date="2015-03-22T17:33:00Z">
        <w:r w:rsidR="00A7674E">
          <w:rPr>
            <w:rFonts w:ascii="Arial" w:hAnsi="Arial" w:cs="Arial"/>
            <w:sz w:val="24"/>
            <w:szCs w:val="24"/>
            <w:lang w:val="en-GB" w:eastAsia="cs-CZ"/>
          </w:rPr>
          <w:t>,</w:t>
        </w:r>
      </w:ins>
      <w:r w:rsidRPr="00D36C9C">
        <w:rPr>
          <w:rFonts w:ascii="Arial" w:hAnsi="Arial" w:cs="Arial"/>
          <w:sz w:val="24"/>
          <w:szCs w:val="24"/>
          <w:lang w:val="en-GB" w:eastAsia="cs-CZ"/>
        </w:rPr>
        <w:t xml:space="preserve"> or</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in </w:t>
      </w:r>
      <w:del w:id="11" w:author="John Morgan" w:date="2015-03-22T17:33:00Z">
        <w:r w:rsidRPr="00D36C9C" w:rsidDel="00A7674E">
          <w:rPr>
            <w:rFonts w:ascii="Arial" w:hAnsi="Arial" w:cs="Arial"/>
            <w:sz w:val="24"/>
            <w:szCs w:val="24"/>
            <w:lang w:val="en-GB" w:eastAsia="cs-CZ"/>
          </w:rPr>
          <w:delText xml:space="preserve">a </w:delText>
        </w:r>
      </w:del>
      <w:r w:rsidRPr="00D36C9C">
        <w:rPr>
          <w:rFonts w:ascii="Arial" w:hAnsi="Arial" w:cs="Arial"/>
          <w:sz w:val="24"/>
          <w:szCs w:val="24"/>
          <w:lang w:val="en-GB" w:eastAsia="cs-CZ"/>
        </w:rPr>
        <w:t>combination with another antibiotic ("Amino" group). The second group was</w:t>
      </w:r>
      <w:r>
        <w:rPr>
          <w:rFonts w:ascii="Arial" w:hAnsi="Arial" w:cs="Arial"/>
          <w:sz w:val="24"/>
          <w:szCs w:val="24"/>
          <w:lang w:val="en-GB" w:eastAsia="cs-CZ"/>
        </w:rPr>
        <w:t xml:space="preserve"> </w:t>
      </w:r>
      <w:r w:rsidRPr="00D36C9C">
        <w:rPr>
          <w:rFonts w:ascii="Arial" w:hAnsi="Arial" w:cs="Arial"/>
          <w:sz w:val="24"/>
          <w:szCs w:val="24"/>
          <w:lang w:val="en-GB" w:eastAsia="cs-CZ"/>
        </w:rPr>
        <w:t>treated with any other antibiotic as the first choice ("Other ATB" group)</w:t>
      </w:r>
      <w:ins w:id="12" w:author="John Morgan" w:date="2015-03-22T17:33:00Z">
        <w:r w:rsidR="00A7674E">
          <w:rPr>
            <w:rFonts w:ascii="Arial" w:hAnsi="Arial" w:cs="Arial"/>
            <w:sz w:val="24"/>
            <w:szCs w:val="24"/>
            <w:lang w:val="en-GB" w:eastAsia="cs-CZ"/>
          </w:rPr>
          <w:t>.</w:t>
        </w:r>
      </w:ins>
      <w:r>
        <w:rPr>
          <w:rFonts w:ascii="Arial" w:hAnsi="Arial" w:cs="Arial"/>
          <w:sz w:val="24"/>
          <w:szCs w:val="24"/>
          <w:lang w:val="en-GB" w:eastAsia="cs-CZ"/>
        </w:rPr>
        <w:t xml:space="preserve"> </w:t>
      </w:r>
      <w:ins w:id="13" w:author="John Morgan" w:date="2015-03-22T17:33:00Z">
        <w:r w:rsidR="00A7674E">
          <w:rPr>
            <w:rFonts w:ascii="Arial" w:hAnsi="Arial" w:cs="Arial"/>
            <w:sz w:val="24"/>
            <w:szCs w:val="24"/>
            <w:lang w:val="en-GB" w:eastAsia="cs-CZ"/>
          </w:rPr>
          <w:t>The f</w:t>
        </w:r>
      </w:ins>
      <w:del w:id="14" w:author="John Morgan" w:date="2015-03-22T17:33:00Z">
        <w:r w:rsidRPr="00D36C9C" w:rsidDel="00A7674E">
          <w:rPr>
            <w:rFonts w:ascii="Arial" w:hAnsi="Arial" w:cs="Arial"/>
            <w:sz w:val="24"/>
            <w:szCs w:val="24"/>
            <w:lang w:val="en-GB" w:eastAsia="cs-CZ"/>
          </w:rPr>
          <w:delText>F</w:delText>
        </w:r>
      </w:del>
      <w:r w:rsidRPr="00D36C9C">
        <w:rPr>
          <w:rFonts w:ascii="Arial" w:hAnsi="Arial" w:cs="Arial"/>
          <w:sz w:val="24"/>
          <w:szCs w:val="24"/>
          <w:lang w:val="en-GB" w:eastAsia="cs-CZ"/>
        </w:rPr>
        <w:t>ollowing variables were compared: age, Acute Physiology and Chronic Health</w:t>
      </w:r>
      <w:r>
        <w:rPr>
          <w:rFonts w:ascii="Arial" w:hAnsi="Arial" w:cs="Arial"/>
          <w:sz w:val="24"/>
          <w:szCs w:val="24"/>
          <w:lang w:val="en-GB" w:eastAsia="cs-CZ"/>
        </w:rPr>
        <w:t xml:space="preserve"> </w:t>
      </w:r>
      <w:r w:rsidRPr="00D36C9C">
        <w:rPr>
          <w:rFonts w:ascii="Arial" w:hAnsi="Arial" w:cs="Arial"/>
          <w:sz w:val="24"/>
          <w:szCs w:val="24"/>
          <w:lang w:val="en-GB" w:eastAsia="cs-CZ"/>
        </w:rPr>
        <w:t>Evaluation score II (APACHE II), C-reactive protein (CRP) on admission to ICU,</w:t>
      </w:r>
      <w:r>
        <w:rPr>
          <w:rFonts w:ascii="Arial" w:hAnsi="Arial" w:cs="Arial"/>
          <w:sz w:val="24"/>
          <w:szCs w:val="24"/>
          <w:lang w:val="en-GB" w:eastAsia="cs-CZ"/>
        </w:rPr>
        <w:t xml:space="preserve"> </w:t>
      </w:r>
      <w:r w:rsidRPr="00D36C9C">
        <w:rPr>
          <w:rFonts w:ascii="Arial" w:hAnsi="Arial" w:cs="Arial"/>
          <w:sz w:val="24"/>
          <w:szCs w:val="24"/>
          <w:lang w:val="en-GB" w:eastAsia="cs-CZ"/>
        </w:rPr>
        <w:t>CRP at discharge, length of stay and survival.</w:t>
      </w:r>
    </w:p>
    <w:p w:rsidR="00D36C9C" w:rsidRDefault="00D36C9C"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D36C9C" w:rsidRDefault="00BF2FCD" w:rsidP="00BF2FCD">
      <w:pPr>
        <w:spacing w:line="360" w:lineRule="auto"/>
        <w:rPr>
          <w:rFonts w:ascii="Arial" w:hAnsi="Arial" w:cs="Arial"/>
          <w:sz w:val="24"/>
          <w:szCs w:val="24"/>
          <w:lang w:val="en-GB" w:eastAsia="cs-CZ"/>
        </w:rPr>
      </w:pPr>
      <w:r>
        <w:rPr>
          <w:rFonts w:ascii="Arial" w:hAnsi="Arial" w:cs="Arial"/>
          <w:sz w:val="24"/>
          <w:szCs w:val="24"/>
          <w:lang w:val="en-GB" w:eastAsia="cs-CZ"/>
        </w:rPr>
        <w:br w:type="page"/>
      </w:r>
      <w:r w:rsidR="00D36C9C">
        <w:rPr>
          <w:rFonts w:ascii="Arial" w:hAnsi="Arial" w:cs="Arial"/>
          <w:sz w:val="24"/>
          <w:szCs w:val="24"/>
          <w:lang w:val="en-GB" w:eastAsia="cs-CZ"/>
        </w:rPr>
        <w:t>2</w:t>
      </w:r>
      <w:r w:rsidR="00D36C9C">
        <w:rPr>
          <w:rFonts w:ascii="Arial" w:hAnsi="Arial" w:cs="Arial"/>
          <w:noProof/>
          <w:sz w:val="24"/>
          <w:szCs w:val="24"/>
          <w:lang w:val="en-GB" w:eastAsia="cs-CZ"/>
        </w:rPr>
        <w:t xml:space="preserve">. </w:t>
      </w:r>
      <w:r w:rsidR="00D36C9C">
        <w:rPr>
          <w:rFonts w:ascii="Arial" w:hAnsi="Arial" w:cs="Arial"/>
          <w:sz w:val="24"/>
          <w:szCs w:val="24"/>
          <w:lang w:val="en-GB" w:eastAsia="cs-CZ"/>
        </w:rPr>
        <w:t>Va</w:t>
      </w:r>
      <w:r w:rsidR="00D36C9C" w:rsidRPr="00D36C9C">
        <w:rPr>
          <w:rFonts w:ascii="Arial" w:hAnsi="Arial" w:cs="Arial"/>
          <w:sz w:val="24"/>
          <w:szCs w:val="24"/>
          <w:lang w:val="en-GB" w:eastAsia="cs-CZ"/>
        </w:rPr>
        <w:t xml:space="preserve">clav </w:t>
      </w:r>
      <w:proofErr w:type="spellStart"/>
      <w:r w:rsidR="00D36C9C">
        <w:rPr>
          <w:rFonts w:ascii="Arial" w:hAnsi="Arial" w:cs="Arial"/>
          <w:sz w:val="24"/>
          <w:szCs w:val="24"/>
          <w:lang w:val="en-GB" w:eastAsia="cs-CZ"/>
        </w:rPr>
        <w:t>S</w:t>
      </w:r>
      <w:r w:rsidR="00D36C9C" w:rsidRPr="00D36C9C">
        <w:rPr>
          <w:rFonts w:ascii="Arial" w:hAnsi="Arial" w:cs="Arial"/>
          <w:sz w:val="24"/>
          <w:szCs w:val="24"/>
          <w:lang w:val="en-GB" w:eastAsia="cs-CZ"/>
        </w:rPr>
        <w:t>eda</w:t>
      </w:r>
      <w:proofErr w:type="spellEnd"/>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commentRangeStart w:id="15"/>
      <w:r w:rsidRPr="00D36C9C">
        <w:rPr>
          <w:rFonts w:ascii="Arial" w:hAnsi="Arial" w:cs="Arial"/>
          <w:sz w:val="24"/>
          <w:szCs w:val="24"/>
          <w:lang w:val="en-GB" w:eastAsia="cs-CZ"/>
        </w:rPr>
        <w:t>ZAP-70 directly affects BCR signalling and migration of malignant B cells via</w:t>
      </w:r>
      <w:r>
        <w:rPr>
          <w:rFonts w:ascii="Arial" w:hAnsi="Arial" w:cs="Arial"/>
          <w:sz w:val="24"/>
          <w:szCs w:val="24"/>
          <w:lang w:val="en-GB" w:eastAsia="cs-CZ"/>
        </w:rPr>
        <w:t xml:space="preserve"> </w:t>
      </w:r>
      <w:r w:rsidRPr="00D36C9C">
        <w:rPr>
          <w:rFonts w:ascii="Arial" w:hAnsi="Arial" w:cs="Arial"/>
          <w:sz w:val="24"/>
          <w:szCs w:val="24"/>
          <w:lang w:val="en-GB" w:eastAsia="cs-CZ"/>
        </w:rPr>
        <w:t>GAB-1</w:t>
      </w:r>
      <w:commentRangeEnd w:id="15"/>
      <w:r w:rsidR="00D72142">
        <w:rPr>
          <w:rStyle w:val="CommentReference"/>
          <w:vanish/>
        </w:rPr>
        <w:commentReference w:id="15"/>
      </w:r>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High expression of ZAP-70 (70-kDa zeta-associated protein) in chronic</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lymphocytic </w:t>
      </w:r>
      <w:proofErr w:type="spellStart"/>
      <w:r w:rsidRPr="00D36C9C">
        <w:rPr>
          <w:rFonts w:ascii="Arial" w:hAnsi="Arial" w:cs="Arial"/>
          <w:sz w:val="24"/>
          <w:szCs w:val="24"/>
          <w:lang w:val="en-GB" w:eastAsia="cs-CZ"/>
        </w:rPr>
        <w:t>leukemia</w:t>
      </w:r>
      <w:proofErr w:type="spellEnd"/>
      <w:r w:rsidRPr="00D36C9C">
        <w:rPr>
          <w:rFonts w:ascii="Arial" w:hAnsi="Arial" w:cs="Arial"/>
          <w:sz w:val="24"/>
          <w:szCs w:val="24"/>
          <w:lang w:val="en-GB" w:eastAsia="cs-CZ"/>
        </w:rPr>
        <w:t xml:space="preserve"> (CLL) is associated with enhanced B-cell receptor</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signalling, migration of CLL cells and </w:t>
      </w:r>
      <w:del w:id="16" w:author="John Morgan" w:date="2015-03-22T18:03:00Z">
        <w:r w:rsidRPr="00D36C9C" w:rsidDel="006B26E1">
          <w:rPr>
            <w:rFonts w:ascii="Arial" w:hAnsi="Arial" w:cs="Arial"/>
            <w:sz w:val="24"/>
            <w:szCs w:val="24"/>
            <w:lang w:val="en-GB" w:eastAsia="cs-CZ"/>
          </w:rPr>
          <w:delText xml:space="preserve">worse </w:delText>
        </w:r>
      </w:del>
      <w:ins w:id="17" w:author="John Morgan" w:date="2015-03-22T18:03:00Z">
        <w:r w:rsidR="006B26E1">
          <w:rPr>
            <w:rFonts w:ascii="Arial" w:hAnsi="Arial" w:cs="Arial"/>
            <w:sz w:val="24"/>
            <w:szCs w:val="24"/>
            <w:lang w:val="en-GB" w:eastAsia="cs-CZ"/>
          </w:rPr>
          <w:t xml:space="preserve">lower levels of patient </w:t>
        </w:r>
      </w:ins>
      <w:r w:rsidRPr="00D36C9C">
        <w:rPr>
          <w:rFonts w:ascii="Arial" w:hAnsi="Arial" w:cs="Arial"/>
          <w:sz w:val="24"/>
          <w:szCs w:val="24"/>
          <w:lang w:val="en-GB" w:eastAsia="cs-CZ"/>
        </w:rPr>
        <w:t>survival</w:t>
      </w:r>
      <w:del w:id="18" w:author="John Morgan" w:date="2015-03-22T18:03:00Z">
        <w:r w:rsidRPr="00D36C9C" w:rsidDel="006B26E1">
          <w:rPr>
            <w:rFonts w:ascii="Arial" w:hAnsi="Arial" w:cs="Arial"/>
            <w:sz w:val="24"/>
            <w:szCs w:val="24"/>
            <w:lang w:val="en-GB" w:eastAsia="cs-CZ"/>
          </w:rPr>
          <w:delText xml:space="preserve"> of patients</w:delText>
        </w:r>
      </w:del>
      <w:r w:rsidRPr="00D36C9C">
        <w:rPr>
          <w:rFonts w:ascii="Arial" w:hAnsi="Arial" w:cs="Arial"/>
          <w:sz w:val="24"/>
          <w:szCs w:val="24"/>
          <w:lang w:val="en-GB" w:eastAsia="cs-CZ"/>
        </w:rPr>
        <w:t>. However, the</w:t>
      </w:r>
      <w:r>
        <w:rPr>
          <w:rFonts w:ascii="Arial" w:hAnsi="Arial" w:cs="Arial"/>
          <w:sz w:val="24"/>
          <w:szCs w:val="24"/>
          <w:lang w:val="en-GB" w:eastAsia="cs-CZ"/>
        </w:rPr>
        <w:t xml:space="preserve"> </w:t>
      </w:r>
      <w:r w:rsidRPr="00D36C9C">
        <w:rPr>
          <w:rFonts w:ascii="Arial" w:hAnsi="Arial" w:cs="Arial"/>
          <w:sz w:val="24"/>
          <w:szCs w:val="24"/>
          <w:lang w:val="en-GB" w:eastAsia="cs-CZ"/>
        </w:rPr>
        <w:t>mechanism underlying its function in CLL has not yet been well established.</w:t>
      </w:r>
      <w:r>
        <w:rPr>
          <w:rFonts w:ascii="Arial" w:hAnsi="Arial" w:cs="Arial"/>
          <w:sz w:val="24"/>
          <w:szCs w:val="24"/>
          <w:lang w:val="en-GB" w:eastAsia="cs-CZ"/>
        </w:rPr>
        <w:t xml:space="preserve"> </w:t>
      </w:r>
      <w:r w:rsidRPr="00D36C9C">
        <w:rPr>
          <w:rFonts w:ascii="Arial" w:hAnsi="Arial" w:cs="Arial"/>
          <w:sz w:val="24"/>
          <w:szCs w:val="24"/>
          <w:lang w:val="en-GB" w:eastAsia="cs-CZ"/>
        </w:rPr>
        <w:t>For this purpose, we investigated whether ZAP-70 can directly affect any</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proteins involved in BCR activation and AKT </w:t>
      </w:r>
      <w:proofErr w:type="spellStart"/>
      <w:r w:rsidRPr="00D36C9C">
        <w:rPr>
          <w:rFonts w:ascii="Arial" w:hAnsi="Arial" w:cs="Arial"/>
          <w:sz w:val="24"/>
          <w:szCs w:val="24"/>
          <w:lang w:val="en-GB" w:eastAsia="cs-CZ"/>
        </w:rPr>
        <w:t>phosphorylation</w:t>
      </w:r>
      <w:proofErr w:type="spellEnd"/>
      <w:r w:rsidRPr="00D36C9C">
        <w:rPr>
          <w:rFonts w:ascii="Arial" w:hAnsi="Arial" w:cs="Arial"/>
          <w:sz w:val="24"/>
          <w:szCs w:val="24"/>
          <w:lang w:val="en-GB" w:eastAsia="cs-CZ"/>
        </w:rPr>
        <w:t xml:space="preserve"> and if any of these</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proteins can alter migration of B </w:t>
      </w:r>
      <w:proofErr w:type="spellStart"/>
      <w:r w:rsidRPr="00D36C9C">
        <w:rPr>
          <w:rFonts w:ascii="Arial" w:hAnsi="Arial" w:cs="Arial"/>
          <w:sz w:val="24"/>
          <w:szCs w:val="24"/>
          <w:lang w:val="en-GB" w:eastAsia="cs-CZ"/>
        </w:rPr>
        <w:t>cells</w:t>
      </w:r>
      <w:proofErr w:type="spellEnd"/>
      <w:r w:rsidRPr="00D36C9C">
        <w:rPr>
          <w:rFonts w:ascii="Arial" w:hAnsi="Arial" w:cs="Arial"/>
          <w:sz w:val="24"/>
          <w:szCs w:val="24"/>
          <w:lang w:val="en-GB" w:eastAsia="cs-CZ"/>
        </w:rPr>
        <w:t>.</w:t>
      </w:r>
      <w:ins w:id="19" w:author="John Morgan" w:date="2015-03-22T18:04:00Z">
        <w:r w:rsidR="006B26E1">
          <w:rPr>
            <w:rFonts w:ascii="Arial" w:hAnsi="Arial" w:cs="Arial"/>
            <w:sz w:val="24"/>
            <w:szCs w:val="24"/>
            <w:lang w:val="en-GB" w:eastAsia="cs-CZ"/>
          </w:rPr>
          <w:t xml:space="preserve"> </w:t>
        </w:r>
      </w:ins>
      <w:r w:rsidRPr="00D36C9C">
        <w:rPr>
          <w:rFonts w:ascii="Arial" w:hAnsi="Arial" w:cs="Arial"/>
          <w:sz w:val="24"/>
          <w:szCs w:val="24"/>
          <w:lang w:val="en-GB" w:eastAsia="cs-CZ"/>
        </w:rPr>
        <w:t>A total of 37 CLL samples were analysed</w:t>
      </w:r>
      <w:r>
        <w:rPr>
          <w:rFonts w:ascii="Arial" w:hAnsi="Arial" w:cs="Arial"/>
          <w:sz w:val="24"/>
          <w:szCs w:val="24"/>
          <w:lang w:val="en-GB" w:eastAsia="cs-CZ"/>
        </w:rPr>
        <w:t xml:space="preserve"> </w:t>
      </w:r>
      <w:r w:rsidRPr="00D36C9C">
        <w:rPr>
          <w:rFonts w:ascii="Arial" w:hAnsi="Arial" w:cs="Arial"/>
          <w:sz w:val="24"/>
          <w:szCs w:val="24"/>
          <w:lang w:val="en-GB" w:eastAsia="cs-CZ"/>
        </w:rPr>
        <w:t>by Western blot for expression of ZAP-70 and other proteins involved in B cell</w:t>
      </w:r>
      <w:r>
        <w:rPr>
          <w:rFonts w:ascii="Arial" w:hAnsi="Arial" w:cs="Arial"/>
          <w:sz w:val="24"/>
          <w:szCs w:val="24"/>
          <w:lang w:val="en-GB" w:eastAsia="cs-CZ"/>
        </w:rPr>
        <w:t xml:space="preserve"> </w:t>
      </w:r>
      <w:r w:rsidRPr="00D36C9C">
        <w:rPr>
          <w:rFonts w:ascii="Arial" w:hAnsi="Arial" w:cs="Arial"/>
          <w:sz w:val="24"/>
          <w:szCs w:val="24"/>
          <w:lang w:val="en-GB" w:eastAsia="cs-CZ"/>
        </w:rPr>
        <w:t>receptor signalling pathway. Two samples with ZAP-70 higher expression were</w:t>
      </w:r>
      <w:r>
        <w:rPr>
          <w:rFonts w:ascii="Arial" w:hAnsi="Arial" w:cs="Arial"/>
          <w:sz w:val="24"/>
          <w:szCs w:val="24"/>
          <w:lang w:val="en-GB" w:eastAsia="cs-CZ"/>
        </w:rPr>
        <w:t xml:space="preserve"> </w:t>
      </w:r>
      <w:r w:rsidRPr="00D36C9C">
        <w:rPr>
          <w:rFonts w:ascii="Arial" w:hAnsi="Arial" w:cs="Arial"/>
          <w:sz w:val="24"/>
          <w:szCs w:val="24"/>
          <w:lang w:val="en-GB" w:eastAsia="cs-CZ"/>
        </w:rPr>
        <w:t>stimulated with anti-</w:t>
      </w:r>
      <w:proofErr w:type="spellStart"/>
      <w:r w:rsidRPr="00D36C9C">
        <w:rPr>
          <w:rFonts w:ascii="Arial" w:hAnsi="Arial" w:cs="Arial"/>
          <w:sz w:val="24"/>
          <w:szCs w:val="24"/>
          <w:lang w:val="en-GB" w:eastAsia="cs-CZ"/>
        </w:rPr>
        <w:t>IgM</w:t>
      </w:r>
      <w:proofErr w:type="spellEnd"/>
      <w:r w:rsidRPr="00D36C9C">
        <w:rPr>
          <w:rFonts w:ascii="Arial" w:hAnsi="Arial" w:cs="Arial"/>
          <w:sz w:val="24"/>
          <w:szCs w:val="24"/>
          <w:lang w:val="en-GB" w:eastAsia="cs-CZ"/>
        </w:rPr>
        <w:t xml:space="preserve"> antibody and </w:t>
      </w:r>
      <w:ins w:id="20" w:author="John Morgan" w:date="2015-03-22T18:04:00Z">
        <w:r w:rsidR="006B26E1">
          <w:rPr>
            <w:rFonts w:ascii="Arial" w:hAnsi="Arial" w:cs="Arial"/>
            <w:sz w:val="24"/>
            <w:szCs w:val="24"/>
            <w:lang w:val="en-GB" w:eastAsia="cs-CZ"/>
          </w:rPr>
          <w:t xml:space="preserve">they were </w:t>
        </w:r>
      </w:ins>
      <w:r w:rsidRPr="00D36C9C">
        <w:rPr>
          <w:rFonts w:ascii="Arial" w:hAnsi="Arial" w:cs="Arial"/>
          <w:sz w:val="24"/>
          <w:szCs w:val="24"/>
          <w:lang w:val="en-GB" w:eastAsia="cs-CZ"/>
        </w:rPr>
        <w:t>co-</w:t>
      </w:r>
      <w:proofErr w:type="spellStart"/>
      <w:r w:rsidRPr="00D36C9C">
        <w:rPr>
          <w:rFonts w:ascii="Arial" w:hAnsi="Arial" w:cs="Arial"/>
          <w:sz w:val="24"/>
          <w:szCs w:val="24"/>
          <w:lang w:val="en-GB" w:eastAsia="cs-CZ"/>
        </w:rPr>
        <w:t>immunoprecipitated</w:t>
      </w:r>
      <w:proofErr w:type="spellEnd"/>
      <w:r w:rsidRPr="00D36C9C">
        <w:rPr>
          <w:rFonts w:ascii="Arial" w:hAnsi="Arial" w:cs="Arial"/>
          <w:sz w:val="24"/>
          <w:szCs w:val="24"/>
          <w:lang w:val="en-GB" w:eastAsia="cs-CZ"/>
        </w:rPr>
        <w:t xml:space="preserve">. </w:t>
      </w:r>
      <w:commentRangeStart w:id="21"/>
      <w:r w:rsidRPr="00D36C9C">
        <w:rPr>
          <w:rFonts w:ascii="Arial" w:hAnsi="Arial" w:cs="Arial"/>
          <w:sz w:val="24"/>
          <w:szCs w:val="24"/>
          <w:lang w:val="en-GB" w:eastAsia="cs-CZ"/>
        </w:rPr>
        <w:t>We</w:t>
      </w:r>
      <w:commentRangeEnd w:id="21"/>
      <w:r w:rsidR="006B26E1">
        <w:rPr>
          <w:rStyle w:val="CommentReference"/>
          <w:vanish/>
        </w:rPr>
        <w:commentReference w:id="21"/>
      </w:r>
      <w:r w:rsidRPr="00D36C9C">
        <w:rPr>
          <w:rFonts w:ascii="Arial" w:hAnsi="Arial" w:cs="Arial"/>
          <w:sz w:val="24"/>
          <w:szCs w:val="24"/>
          <w:lang w:val="en-GB" w:eastAsia="cs-CZ"/>
        </w:rPr>
        <w:t xml:space="preserve"> established that</w:t>
      </w:r>
      <w:r>
        <w:rPr>
          <w:rFonts w:ascii="Arial" w:hAnsi="Arial" w:cs="Arial"/>
          <w:sz w:val="24"/>
          <w:szCs w:val="24"/>
          <w:lang w:val="en-GB" w:eastAsia="cs-CZ"/>
        </w:rPr>
        <w:t xml:space="preserve"> </w:t>
      </w:r>
      <w:r w:rsidRPr="00D36C9C">
        <w:rPr>
          <w:rFonts w:ascii="Arial" w:hAnsi="Arial" w:cs="Arial"/>
          <w:sz w:val="24"/>
          <w:szCs w:val="24"/>
          <w:lang w:val="en-GB" w:eastAsia="cs-CZ"/>
        </w:rPr>
        <w:t>ZAP-70 directly affects expression and function of GAB-1, which is the docking</w:t>
      </w:r>
      <w:r>
        <w:rPr>
          <w:rFonts w:ascii="Arial" w:hAnsi="Arial" w:cs="Arial"/>
          <w:sz w:val="24"/>
          <w:szCs w:val="24"/>
          <w:lang w:val="en-GB" w:eastAsia="cs-CZ"/>
        </w:rPr>
        <w:t xml:space="preserve"> </w:t>
      </w:r>
      <w:r w:rsidRPr="00D36C9C">
        <w:rPr>
          <w:rFonts w:ascii="Arial" w:hAnsi="Arial" w:cs="Arial"/>
          <w:sz w:val="24"/>
          <w:szCs w:val="24"/>
          <w:lang w:val="en-GB" w:eastAsia="cs-CZ"/>
        </w:rPr>
        <w:t>protein involved in B cell receptor signalling.  We have observed that ZAP-70</w:t>
      </w:r>
      <w:r>
        <w:rPr>
          <w:rFonts w:ascii="Arial" w:hAnsi="Arial" w:cs="Arial"/>
          <w:sz w:val="24"/>
          <w:szCs w:val="24"/>
          <w:lang w:val="en-GB" w:eastAsia="cs-CZ"/>
        </w:rPr>
        <w:t xml:space="preserve"> </w:t>
      </w:r>
      <w:r w:rsidRPr="00D36C9C">
        <w:rPr>
          <w:rFonts w:ascii="Arial" w:hAnsi="Arial" w:cs="Arial"/>
          <w:sz w:val="24"/>
          <w:szCs w:val="24"/>
          <w:lang w:val="en-GB" w:eastAsia="cs-CZ"/>
        </w:rPr>
        <w:t>high expression in CLL cells positively correlates with the amount of GAB-1</w:t>
      </w:r>
      <w:r>
        <w:rPr>
          <w:rFonts w:ascii="Arial" w:hAnsi="Arial" w:cs="Arial"/>
          <w:sz w:val="24"/>
          <w:szCs w:val="24"/>
          <w:lang w:val="en-GB" w:eastAsia="cs-CZ"/>
        </w:rPr>
        <w:t xml:space="preserve"> </w:t>
      </w:r>
      <w:r w:rsidRPr="00D36C9C">
        <w:rPr>
          <w:rFonts w:ascii="Arial" w:hAnsi="Arial" w:cs="Arial"/>
          <w:sz w:val="24"/>
          <w:szCs w:val="24"/>
          <w:lang w:val="en-GB" w:eastAsia="cs-CZ"/>
        </w:rPr>
        <w:t>protein (P=0,0003). This aberrant expression of GAB-1 may be caused by</w:t>
      </w:r>
      <w:r>
        <w:rPr>
          <w:rFonts w:ascii="Arial" w:hAnsi="Arial" w:cs="Arial"/>
          <w:sz w:val="24"/>
          <w:szCs w:val="24"/>
          <w:lang w:val="en-GB" w:eastAsia="cs-CZ"/>
        </w:rPr>
        <w:t xml:space="preserve"> </w:t>
      </w:r>
      <w:ins w:id="22" w:author="John Morgan" w:date="2015-03-22T18:08:00Z">
        <w:r w:rsidR="006B26E1">
          <w:rPr>
            <w:rFonts w:ascii="Arial" w:hAnsi="Arial" w:cs="Arial"/>
            <w:sz w:val="24"/>
            <w:szCs w:val="24"/>
            <w:lang w:val="en-GB" w:eastAsia="cs-CZ"/>
          </w:rPr>
          <w:t xml:space="preserve">the </w:t>
        </w:r>
      </w:ins>
      <w:r w:rsidRPr="00D36C9C">
        <w:rPr>
          <w:rFonts w:ascii="Arial" w:hAnsi="Arial" w:cs="Arial"/>
          <w:sz w:val="24"/>
          <w:szCs w:val="24"/>
          <w:lang w:val="en-GB" w:eastAsia="cs-CZ"/>
        </w:rPr>
        <w:t>protection provided by ZAP-70, which binds GAB-1 protein</w:t>
      </w:r>
      <w:ins w:id="23" w:author="John Morgan" w:date="2015-03-22T18:08:00Z">
        <w:r w:rsidR="006B26E1">
          <w:rPr>
            <w:rFonts w:ascii="Arial" w:hAnsi="Arial" w:cs="Arial"/>
            <w:sz w:val="24"/>
            <w:szCs w:val="24"/>
            <w:lang w:val="en-GB" w:eastAsia="cs-CZ"/>
          </w:rPr>
          <w:t>,</w:t>
        </w:r>
      </w:ins>
      <w:r w:rsidRPr="00D36C9C">
        <w:rPr>
          <w:rFonts w:ascii="Arial" w:hAnsi="Arial" w:cs="Arial"/>
          <w:sz w:val="24"/>
          <w:szCs w:val="24"/>
          <w:lang w:val="en-GB" w:eastAsia="cs-CZ"/>
        </w:rPr>
        <w:t xml:space="preserve"> thus preventing its</w:t>
      </w:r>
      <w:r>
        <w:rPr>
          <w:rFonts w:ascii="Arial" w:hAnsi="Arial" w:cs="Arial"/>
          <w:sz w:val="24"/>
          <w:szCs w:val="24"/>
          <w:lang w:val="en-GB" w:eastAsia="cs-CZ"/>
        </w:rPr>
        <w:t xml:space="preserve"> </w:t>
      </w:r>
      <w:r w:rsidRPr="00D36C9C">
        <w:rPr>
          <w:rFonts w:ascii="Arial" w:hAnsi="Arial" w:cs="Arial"/>
          <w:sz w:val="24"/>
          <w:szCs w:val="24"/>
          <w:lang w:val="en-GB" w:eastAsia="cs-CZ"/>
        </w:rPr>
        <w:t>down-regulation.  Furthermore, the dependence of AKT activation on the amount of</w:t>
      </w:r>
      <w:r>
        <w:rPr>
          <w:rFonts w:ascii="Arial" w:hAnsi="Arial" w:cs="Arial"/>
          <w:sz w:val="24"/>
          <w:szCs w:val="24"/>
          <w:lang w:val="en-GB" w:eastAsia="cs-CZ"/>
        </w:rPr>
        <w:t xml:space="preserve"> </w:t>
      </w:r>
      <w:r w:rsidRPr="00D36C9C">
        <w:rPr>
          <w:rFonts w:ascii="Arial" w:hAnsi="Arial" w:cs="Arial"/>
          <w:sz w:val="24"/>
          <w:szCs w:val="24"/>
          <w:lang w:val="en-GB" w:eastAsia="cs-CZ"/>
        </w:rPr>
        <w:t>GAB-1 protein is significant (P=0,0204). In addition, our results indicate that</w:t>
      </w:r>
      <w:r>
        <w:rPr>
          <w:rFonts w:ascii="Arial" w:hAnsi="Arial" w:cs="Arial"/>
          <w:sz w:val="24"/>
          <w:szCs w:val="24"/>
          <w:lang w:val="en-GB" w:eastAsia="cs-CZ"/>
        </w:rPr>
        <w:t xml:space="preserve"> </w:t>
      </w:r>
      <w:r w:rsidRPr="00D36C9C">
        <w:rPr>
          <w:rFonts w:ascii="Arial" w:hAnsi="Arial" w:cs="Arial"/>
          <w:sz w:val="24"/>
          <w:szCs w:val="24"/>
          <w:lang w:val="en-GB" w:eastAsia="cs-CZ"/>
        </w:rPr>
        <w:t>migration potential of MEC-1 cells is significantly reduced after GAB-1</w:t>
      </w:r>
      <w:r>
        <w:rPr>
          <w:rFonts w:ascii="Arial" w:hAnsi="Arial" w:cs="Arial"/>
          <w:sz w:val="24"/>
          <w:szCs w:val="24"/>
          <w:lang w:val="en-GB" w:eastAsia="cs-CZ"/>
        </w:rPr>
        <w:t xml:space="preserve"> </w:t>
      </w:r>
      <w:r w:rsidRPr="00D36C9C">
        <w:rPr>
          <w:rFonts w:ascii="Arial" w:hAnsi="Arial" w:cs="Arial"/>
          <w:sz w:val="24"/>
          <w:szCs w:val="24"/>
          <w:lang w:val="en-GB" w:eastAsia="cs-CZ"/>
        </w:rPr>
        <w:t>silencing (P=0,0168). Taken together, our data indicate that enhanced B cell</w:t>
      </w:r>
      <w:r>
        <w:rPr>
          <w:rFonts w:ascii="Arial" w:hAnsi="Arial" w:cs="Arial"/>
          <w:sz w:val="24"/>
          <w:szCs w:val="24"/>
          <w:lang w:val="en-GB" w:eastAsia="cs-CZ"/>
        </w:rPr>
        <w:t xml:space="preserve"> </w:t>
      </w:r>
      <w:r w:rsidRPr="00D36C9C">
        <w:rPr>
          <w:rFonts w:ascii="Arial" w:hAnsi="Arial" w:cs="Arial"/>
          <w:sz w:val="24"/>
          <w:szCs w:val="24"/>
          <w:lang w:val="en-GB" w:eastAsia="cs-CZ"/>
        </w:rPr>
        <w:t>receptor signalling and AKT activation is caused by aberrant expression of GAB-1</w:t>
      </w:r>
      <w:r>
        <w:rPr>
          <w:rFonts w:ascii="Arial" w:hAnsi="Arial" w:cs="Arial"/>
          <w:sz w:val="24"/>
          <w:szCs w:val="24"/>
          <w:lang w:val="en-GB" w:eastAsia="cs-CZ"/>
        </w:rPr>
        <w:t xml:space="preserve"> </w:t>
      </w:r>
      <w:r w:rsidRPr="00D36C9C">
        <w:rPr>
          <w:rFonts w:ascii="Arial" w:hAnsi="Arial" w:cs="Arial"/>
          <w:sz w:val="24"/>
          <w:szCs w:val="24"/>
          <w:lang w:val="en-GB" w:eastAsia="cs-CZ"/>
        </w:rPr>
        <w:t>protein in the case of ZAP-70 positive CLL cells. We conclude that the migration</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of malignant B cells into the supportive microenvironment of </w:t>
      </w:r>
      <w:proofErr w:type="spellStart"/>
      <w:r w:rsidRPr="00D36C9C">
        <w:rPr>
          <w:rFonts w:ascii="Arial" w:hAnsi="Arial" w:cs="Arial"/>
          <w:sz w:val="24"/>
          <w:szCs w:val="24"/>
          <w:lang w:val="en-GB" w:eastAsia="cs-CZ"/>
        </w:rPr>
        <w:t>stroma</w:t>
      </w:r>
      <w:proofErr w:type="spellEnd"/>
      <w:r w:rsidRPr="00D36C9C">
        <w:rPr>
          <w:rFonts w:ascii="Arial" w:hAnsi="Arial" w:cs="Arial"/>
          <w:sz w:val="24"/>
          <w:szCs w:val="24"/>
          <w:lang w:val="en-GB" w:eastAsia="cs-CZ"/>
        </w:rPr>
        <w:t xml:space="preserve"> cells is</w:t>
      </w:r>
      <w:r>
        <w:rPr>
          <w:rFonts w:ascii="Arial" w:hAnsi="Arial" w:cs="Arial"/>
          <w:sz w:val="24"/>
          <w:szCs w:val="24"/>
          <w:lang w:val="en-GB" w:eastAsia="cs-CZ"/>
        </w:rPr>
        <w:t xml:space="preserve"> </w:t>
      </w:r>
      <w:r w:rsidRPr="00D36C9C">
        <w:rPr>
          <w:rFonts w:ascii="Arial" w:hAnsi="Arial" w:cs="Arial"/>
          <w:sz w:val="24"/>
          <w:szCs w:val="24"/>
          <w:lang w:val="en-GB" w:eastAsia="cs-CZ"/>
        </w:rPr>
        <w:t>affected by changes in expression of GAB-1.</w:t>
      </w:r>
    </w:p>
    <w:p w:rsidR="00D36C9C" w:rsidRDefault="00BF2FCD" w:rsidP="00BF2FCD">
      <w:pPr>
        <w:spacing w:line="360" w:lineRule="auto"/>
        <w:rPr>
          <w:rFonts w:ascii="Arial" w:hAnsi="Arial" w:cs="Arial"/>
          <w:sz w:val="24"/>
          <w:szCs w:val="24"/>
          <w:lang w:val="en-GB" w:eastAsia="cs-CZ"/>
        </w:rPr>
      </w:pPr>
      <w:r>
        <w:rPr>
          <w:rFonts w:ascii="Arial" w:hAnsi="Arial" w:cs="Arial"/>
          <w:sz w:val="24"/>
          <w:szCs w:val="24"/>
          <w:lang w:val="en-GB" w:eastAsia="cs-CZ"/>
        </w:rPr>
        <w:br w:type="page"/>
      </w:r>
      <w:r w:rsidR="00D36C9C">
        <w:rPr>
          <w:rFonts w:ascii="Arial" w:hAnsi="Arial" w:cs="Arial"/>
          <w:sz w:val="24"/>
          <w:szCs w:val="24"/>
          <w:lang w:val="en-GB" w:eastAsia="cs-CZ"/>
        </w:rPr>
        <w:t>3.</w:t>
      </w:r>
      <w:r w:rsidR="0046224F">
        <w:rPr>
          <w:rFonts w:ascii="Arial" w:hAnsi="Arial" w:cs="Arial"/>
          <w:sz w:val="24"/>
          <w:szCs w:val="24"/>
          <w:lang w:val="en-GB" w:eastAsia="cs-CZ"/>
        </w:rPr>
        <w:t xml:space="preserve"> </w:t>
      </w:r>
      <w:proofErr w:type="spellStart"/>
      <w:r w:rsidR="0046224F" w:rsidRPr="00D36C9C">
        <w:rPr>
          <w:rFonts w:ascii="Arial" w:hAnsi="Arial" w:cs="Arial"/>
          <w:sz w:val="24"/>
          <w:szCs w:val="24"/>
          <w:lang w:val="en-GB" w:eastAsia="cs-CZ"/>
        </w:rPr>
        <w:t>Kate</w:t>
      </w:r>
      <w:r w:rsidR="0046224F">
        <w:rPr>
          <w:rFonts w:ascii="Arial" w:hAnsi="Arial" w:cs="Arial"/>
          <w:sz w:val="24"/>
          <w:szCs w:val="24"/>
          <w:lang w:val="en-GB" w:eastAsia="cs-CZ"/>
        </w:rPr>
        <w:t>r</w:t>
      </w:r>
      <w:r w:rsidR="0046224F" w:rsidRPr="00D36C9C">
        <w:rPr>
          <w:rFonts w:ascii="Arial" w:hAnsi="Arial" w:cs="Arial"/>
          <w:sz w:val="24"/>
          <w:szCs w:val="24"/>
          <w:lang w:val="en-GB" w:eastAsia="cs-CZ"/>
        </w:rPr>
        <w:t>ina</w:t>
      </w:r>
      <w:proofErr w:type="spellEnd"/>
      <w:r w:rsidR="0046224F" w:rsidRPr="00D36C9C">
        <w:rPr>
          <w:rFonts w:ascii="Arial" w:hAnsi="Arial" w:cs="Arial"/>
          <w:sz w:val="24"/>
          <w:szCs w:val="24"/>
          <w:lang w:val="en-GB" w:eastAsia="cs-CZ"/>
        </w:rPr>
        <w:t xml:space="preserve"> </w:t>
      </w:r>
      <w:proofErr w:type="spellStart"/>
      <w:r w:rsidR="0046224F">
        <w:rPr>
          <w:rFonts w:ascii="Arial" w:hAnsi="Arial" w:cs="Arial"/>
          <w:sz w:val="24"/>
          <w:szCs w:val="24"/>
          <w:lang w:val="en-GB" w:eastAsia="cs-CZ"/>
        </w:rPr>
        <w:t>C</w:t>
      </w:r>
      <w:r w:rsidR="0046224F" w:rsidRPr="00D36C9C">
        <w:rPr>
          <w:rFonts w:ascii="Arial" w:hAnsi="Arial" w:cs="Arial"/>
          <w:sz w:val="24"/>
          <w:szCs w:val="24"/>
          <w:lang w:val="en-GB" w:eastAsia="cs-CZ"/>
        </w:rPr>
        <w:t>ern</w:t>
      </w:r>
      <w:r w:rsidR="0046224F">
        <w:rPr>
          <w:rFonts w:ascii="Arial" w:hAnsi="Arial" w:cs="Arial"/>
          <w:sz w:val="24"/>
          <w:szCs w:val="24"/>
          <w:lang w:val="en-GB" w:eastAsia="cs-CZ"/>
        </w:rPr>
        <w:t>a</w:t>
      </w:r>
      <w:proofErr w:type="spellEnd"/>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proofErr w:type="spellStart"/>
      <w:r w:rsidRPr="00D36C9C">
        <w:rPr>
          <w:rFonts w:ascii="Arial" w:hAnsi="Arial" w:cs="Arial"/>
          <w:sz w:val="24"/>
          <w:szCs w:val="24"/>
          <w:lang w:val="en-GB" w:eastAsia="cs-CZ"/>
        </w:rPr>
        <w:t>MicroRNAs</w:t>
      </w:r>
      <w:proofErr w:type="spellEnd"/>
      <w:r w:rsidRPr="00D36C9C">
        <w:rPr>
          <w:rFonts w:ascii="Arial" w:hAnsi="Arial" w:cs="Arial"/>
          <w:sz w:val="24"/>
          <w:szCs w:val="24"/>
          <w:lang w:val="en-GB" w:eastAsia="cs-CZ"/>
        </w:rPr>
        <w:t xml:space="preserve"> in DNA damage response and BCR </w:t>
      </w:r>
      <w:proofErr w:type="spellStart"/>
      <w:r w:rsidRPr="00D36C9C">
        <w:rPr>
          <w:rFonts w:ascii="Arial" w:hAnsi="Arial" w:cs="Arial"/>
          <w:sz w:val="24"/>
          <w:szCs w:val="24"/>
          <w:lang w:val="en-GB" w:eastAsia="cs-CZ"/>
        </w:rPr>
        <w:t>signaling</w:t>
      </w:r>
      <w:proofErr w:type="spellEnd"/>
      <w:r w:rsidRPr="00D36C9C">
        <w:rPr>
          <w:rFonts w:ascii="Arial" w:hAnsi="Arial" w:cs="Arial"/>
          <w:sz w:val="24"/>
          <w:szCs w:val="24"/>
          <w:lang w:val="en-GB" w:eastAsia="cs-CZ"/>
        </w:rPr>
        <w:t xml:space="preserve"> in malignant B cells.</w:t>
      </w:r>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The biology of B cell Non-Hodgkin lymphomas (</w:t>
      </w:r>
      <w:proofErr w:type="spellStart"/>
      <w:r w:rsidRPr="00D36C9C">
        <w:rPr>
          <w:rFonts w:ascii="Arial" w:hAnsi="Arial" w:cs="Arial"/>
          <w:sz w:val="24"/>
          <w:szCs w:val="24"/>
          <w:lang w:val="en-GB" w:eastAsia="cs-CZ"/>
        </w:rPr>
        <w:t>NHLs</w:t>
      </w:r>
      <w:proofErr w:type="spellEnd"/>
      <w:r w:rsidRPr="00D36C9C">
        <w:rPr>
          <w:rFonts w:ascii="Arial" w:hAnsi="Arial" w:cs="Arial"/>
          <w:sz w:val="24"/>
          <w:szCs w:val="24"/>
          <w:lang w:val="en-GB" w:eastAsia="cs-CZ"/>
        </w:rPr>
        <w:t>) is largely influenced by</w:t>
      </w:r>
      <w:r>
        <w:rPr>
          <w:rFonts w:ascii="Arial" w:hAnsi="Arial" w:cs="Arial"/>
          <w:sz w:val="24"/>
          <w:szCs w:val="24"/>
          <w:lang w:val="en-GB" w:eastAsia="cs-CZ"/>
        </w:rPr>
        <w:t xml:space="preserve"> </w:t>
      </w:r>
      <w:r w:rsidRPr="00D36C9C">
        <w:rPr>
          <w:rFonts w:ascii="Arial" w:hAnsi="Arial" w:cs="Arial"/>
          <w:sz w:val="24"/>
          <w:szCs w:val="24"/>
          <w:lang w:val="en-GB" w:eastAsia="cs-CZ"/>
        </w:rPr>
        <w:t>(</w:t>
      </w:r>
      <w:proofErr w:type="gramStart"/>
      <w:r w:rsidRPr="00D36C9C">
        <w:rPr>
          <w:rFonts w:ascii="Arial" w:hAnsi="Arial" w:cs="Arial"/>
          <w:sz w:val="24"/>
          <w:szCs w:val="24"/>
          <w:lang w:val="en-GB" w:eastAsia="cs-CZ"/>
        </w:rPr>
        <w:t>de)regulation</w:t>
      </w:r>
      <w:proofErr w:type="gramEnd"/>
      <w:r w:rsidRPr="00D36C9C">
        <w:rPr>
          <w:rFonts w:ascii="Arial" w:hAnsi="Arial" w:cs="Arial"/>
          <w:sz w:val="24"/>
          <w:szCs w:val="24"/>
          <w:lang w:val="en-GB" w:eastAsia="cs-CZ"/>
        </w:rPr>
        <w:t xml:space="preserve"> of B cell receptor </w:t>
      </w:r>
      <w:proofErr w:type="spellStart"/>
      <w:r w:rsidRPr="00D36C9C">
        <w:rPr>
          <w:rFonts w:ascii="Arial" w:hAnsi="Arial" w:cs="Arial"/>
          <w:sz w:val="24"/>
          <w:szCs w:val="24"/>
          <w:lang w:val="en-GB" w:eastAsia="cs-CZ"/>
        </w:rPr>
        <w:t>signaling</w:t>
      </w:r>
      <w:proofErr w:type="spellEnd"/>
      <w:r w:rsidRPr="00D36C9C">
        <w:rPr>
          <w:rFonts w:ascii="Arial" w:hAnsi="Arial" w:cs="Arial"/>
          <w:sz w:val="24"/>
          <w:szCs w:val="24"/>
          <w:lang w:val="en-GB" w:eastAsia="cs-CZ"/>
        </w:rPr>
        <w:t xml:space="preserve"> and DNA damage response pathway</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(DDR). </w:t>
      </w:r>
      <w:proofErr w:type="gramStart"/>
      <w:r w:rsidRPr="00D36C9C">
        <w:rPr>
          <w:rFonts w:ascii="Arial" w:hAnsi="Arial" w:cs="Arial"/>
          <w:sz w:val="24"/>
          <w:szCs w:val="24"/>
          <w:lang w:val="en-GB" w:eastAsia="cs-CZ"/>
        </w:rPr>
        <w:t xml:space="preserve">We and </w:t>
      </w:r>
      <w:commentRangeStart w:id="24"/>
      <w:r w:rsidRPr="00D36C9C">
        <w:rPr>
          <w:rFonts w:ascii="Arial" w:hAnsi="Arial" w:cs="Arial"/>
          <w:sz w:val="24"/>
          <w:szCs w:val="24"/>
          <w:lang w:val="en-GB" w:eastAsia="cs-CZ"/>
        </w:rPr>
        <w:t>others</w:t>
      </w:r>
      <w:commentRangeEnd w:id="24"/>
      <w:proofErr w:type="gramEnd"/>
      <w:r w:rsidR="006B26E1">
        <w:rPr>
          <w:rStyle w:val="CommentReference"/>
          <w:vanish/>
        </w:rPr>
        <w:commentReference w:id="24"/>
      </w:r>
      <w:r w:rsidRPr="00D36C9C">
        <w:rPr>
          <w:rFonts w:ascii="Arial" w:hAnsi="Arial" w:cs="Arial"/>
          <w:sz w:val="24"/>
          <w:szCs w:val="24"/>
          <w:lang w:val="en-GB" w:eastAsia="cs-CZ"/>
        </w:rPr>
        <w:t xml:space="preserve"> have previously shown that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are crucial for</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regulation of these pathways. To investigate the DDR-related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primary</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chronic lymphocytic </w:t>
      </w:r>
      <w:proofErr w:type="spellStart"/>
      <w:r w:rsidRPr="00D36C9C">
        <w:rPr>
          <w:rFonts w:ascii="Arial" w:hAnsi="Arial" w:cs="Arial"/>
          <w:sz w:val="24"/>
          <w:szCs w:val="24"/>
          <w:lang w:val="en-GB" w:eastAsia="cs-CZ"/>
        </w:rPr>
        <w:t>leukemia</w:t>
      </w:r>
      <w:proofErr w:type="spellEnd"/>
      <w:r w:rsidRPr="00D36C9C">
        <w:rPr>
          <w:rFonts w:ascii="Arial" w:hAnsi="Arial" w:cs="Arial"/>
          <w:sz w:val="24"/>
          <w:szCs w:val="24"/>
          <w:lang w:val="en-GB" w:eastAsia="cs-CZ"/>
        </w:rPr>
        <w:t xml:space="preserve"> (CLL) cells were treated with </w:t>
      </w:r>
      <w:proofErr w:type="spellStart"/>
      <w:r w:rsidRPr="00D36C9C">
        <w:rPr>
          <w:rFonts w:ascii="Arial" w:hAnsi="Arial" w:cs="Arial"/>
          <w:sz w:val="24"/>
          <w:szCs w:val="24"/>
          <w:lang w:val="en-GB" w:eastAsia="cs-CZ"/>
        </w:rPr>
        <w:t>fludarabine</w:t>
      </w:r>
      <w:proofErr w:type="spellEnd"/>
      <w:r w:rsidRPr="00D36C9C">
        <w:rPr>
          <w:rFonts w:ascii="Arial" w:hAnsi="Arial" w:cs="Arial"/>
          <w:sz w:val="24"/>
          <w:szCs w:val="24"/>
          <w:lang w:val="en-GB" w:eastAsia="cs-CZ"/>
        </w:rPr>
        <w:t xml:space="preserve"> in vitro</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and paired samples (before/after treatment, n=20) were analyzed for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w:t>
      </w:r>
      <w:r>
        <w:rPr>
          <w:rFonts w:ascii="Arial" w:hAnsi="Arial" w:cs="Arial"/>
          <w:sz w:val="24"/>
          <w:szCs w:val="24"/>
          <w:lang w:val="en-GB" w:eastAsia="cs-CZ"/>
        </w:rPr>
        <w:t xml:space="preserve"> </w:t>
      </w:r>
      <w:r w:rsidRPr="00D36C9C">
        <w:rPr>
          <w:rFonts w:ascii="Arial" w:hAnsi="Arial" w:cs="Arial"/>
          <w:sz w:val="24"/>
          <w:szCs w:val="24"/>
          <w:lang w:val="en-GB" w:eastAsia="cs-CZ"/>
        </w:rPr>
        <w:t>profile by NGS technology (</w:t>
      </w:r>
      <w:proofErr w:type="spellStart"/>
      <w:r w:rsidRPr="00D36C9C">
        <w:rPr>
          <w:rFonts w:ascii="Arial" w:hAnsi="Arial" w:cs="Arial"/>
          <w:sz w:val="24"/>
          <w:szCs w:val="24"/>
          <w:lang w:val="en-GB" w:eastAsia="cs-CZ"/>
        </w:rPr>
        <w:t>HiSeq</w:t>
      </w:r>
      <w:proofErr w:type="spellEnd"/>
      <w:r w:rsidRPr="00D36C9C">
        <w:rPr>
          <w:rFonts w:ascii="Arial" w:hAnsi="Arial" w:cs="Arial"/>
          <w:sz w:val="24"/>
          <w:szCs w:val="24"/>
          <w:lang w:val="en-GB" w:eastAsia="cs-CZ"/>
        </w:rPr>
        <w:t>). This identified 6 differentially expressed</w:t>
      </w:r>
      <w:r>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(FDR&lt;0.1). To investigate these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in vivo we profiled the expression</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of 3 up-regulated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(miR-34a, miR-1246, miR-1248) in samples obtained from</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50 CLL patients before and during the therapy containing </w:t>
      </w:r>
      <w:proofErr w:type="spellStart"/>
      <w:r w:rsidRPr="00D36C9C">
        <w:rPr>
          <w:rFonts w:ascii="Arial" w:hAnsi="Arial" w:cs="Arial"/>
          <w:sz w:val="24"/>
          <w:szCs w:val="24"/>
          <w:lang w:val="en-GB" w:eastAsia="cs-CZ"/>
        </w:rPr>
        <w:t>fludarabine</w:t>
      </w:r>
      <w:proofErr w:type="spellEnd"/>
      <w:r w:rsidRPr="00D36C9C">
        <w:rPr>
          <w:rFonts w:ascii="Arial" w:hAnsi="Arial" w:cs="Arial"/>
          <w:sz w:val="24"/>
          <w:szCs w:val="24"/>
          <w:lang w:val="en-GB" w:eastAsia="cs-CZ"/>
        </w:rPr>
        <w:t xml:space="preserve"> (FCR</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regiment). This confirmed up-regulation of all identified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(fold</w:t>
      </w:r>
      <w:r>
        <w:rPr>
          <w:rFonts w:ascii="Arial" w:hAnsi="Arial" w:cs="Arial"/>
          <w:sz w:val="24"/>
          <w:szCs w:val="24"/>
          <w:lang w:val="en-GB" w:eastAsia="cs-CZ"/>
        </w:rPr>
        <w:t xml:space="preserve"> </w:t>
      </w:r>
      <w:r w:rsidRPr="00D36C9C">
        <w:rPr>
          <w:rFonts w:ascii="Arial" w:hAnsi="Arial" w:cs="Arial"/>
          <w:sz w:val="24"/>
          <w:szCs w:val="24"/>
          <w:lang w:val="en-GB" w:eastAsia="cs-CZ"/>
        </w:rPr>
        <w:t>change&gt;1.5, P&lt;0.05). Importantly, the miR-34a level was a significant predictor</w:t>
      </w:r>
      <w:r>
        <w:rPr>
          <w:rFonts w:ascii="Arial" w:hAnsi="Arial" w:cs="Arial"/>
          <w:sz w:val="24"/>
          <w:szCs w:val="24"/>
          <w:lang w:val="en-GB" w:eastAsia="cs-CZ"/>
        </w:rPr>
        <w:t xml:space="preserve"> </w:t>
      </w:r>
      <w:r w:rsidRPr="00D36C9C">
        <w:rPr>
          <w:rFonts w:ascii="Arial" w:hAnsi="Arial" w:cs="Arial"/>
          <w:sz w:val="24"/>
          <w:szCs w:val="24"/>
          <w:lang w:val="en-GB" w:eastAsia="cs-CZ"/>
        </w:rPr>
        <w:t xml:space="preserve">(P&lt;0.05) of patients’ response to </w:t>
      </w:r>
      <w:del w:id="25" w:author="John Morgan" w:date="2015-03-22T18:12:00Z">
        <w:r w:rsidRPr="00D36C9C" w:rsidDel="006B26E1">
          <w:rPr>
            <w:rFonts w:ascii="Arial" w:hAnsi="Arial" w:cs="Arial"/>
            <w:sz w:val="24"/>
            <w:szCs w:val="24"/>
            <w:lang w:val="en-GB" w:eastAsia="cs-CZ"/>
          </w:rPr>
          <w:delText xml:space="preserve">the </w:delText>
        </w:r>
      </w:del>
      <w:r w:rsidRPr="00D36C9C">
        <w:rPr>
          <w:rFonts w:ascii="Arial" w:hAnsi="Arial" w:cs="Arial"/>
          <w:sz w:val="24"/>
          <w:szCs w:val="24"/>
          <w:lang w:val="en-GB" w:eastAsia="cs-CZ"/>
        </w:rPr>
        <w:t xml:space="preserve">FCR therapy and </w:t>
      </w:r>
      <w:del w:id="26" w:author="John Morgan" w:date="2015-03-22T18:12:00Z">
        <w:r w:rsidRPr="00D36C9C" w:rsidDel="006B26E1">
          <w:rPr>
            <w:rFonts w:ascii="Arial" w:hAnsi="Arial" w:cs="Arial"/>
            <w:sz w:val="24"/>
            <w:szCs w:val="24"/>
            <w:lang w:val="en-GB" w:eastAsia="cs-CZ"/>
          </w:rPr>
          <w:delText xml:space="preserve">the </w:delText>
        </w:r>
      </w:del>
      <w:r w:rsidRPr="00D36C9C">
        <w:rPr>
          <w:rFonts w:ascii="Arial" w:hAnsi="Arial" w:cs="Arial"/>
          <w:sz w:val="24"/>
          <w:szCs w:val="24"/>
          <w:lang w:val="en-GB" w:eastAsia="cs-CZ"/>
        </w:rPr>
        <w:t>progression free</w:t>
      </w:r>
      <w:r>
        <w:rPr>
          <w:rFonts w:ascii="Arial" w:hAnsi="Arial" w:cs="Arial"/>
          <w:sz w:val="24"/>
          <w:szCs w:val="24"/>
          <w:lang w:val="en-GB" w:eastAsia="cs-CZ"/>
        </w:rPr>
        <w:t xml:space="preserve"> </w:t>
      </w:r>
      <w:r w:rsidRPr="00D36C9C">
        <w:rPr>
          <w:rFonts w:ascii="Arial" w:hAnsi="Arial" w:cs="Arial"/>
          <w:sz w:val="24"/>
          <w:szCs w:val="24"/>
          <w:lang w:val="en-GB" w:eastAsia="cs-CZ"/>
        </w:rPr>
        <w:t>survival (19.9 vs. 26.4 months; HR: 2.29). A similar trend was observed for</w:t>
      </w:r>
      <w:r>
        <w:rPr>
          <w:rFonts w:ascii="Arial" w:hAnsi="Arial" w:cs="Arial"/>
          <w:sz w:val="24"/>
          <w:szCs w:val="24"/>
          <w:lang w:val="en-GB" w:eastAsia="cs-CZ"/>
        </w:rPr>
        <w:t xml:space="preserve"> </w:t>
      </w:r>
      <w:r w:rsidRPr="00D36C9C">
        <w:rPr>
          <w:rFonts w:ascii="Arial" w:hAnsi="Arial" w:cs="Arial"/>
          <w:sz w:val="24"/>
          <w:szCs w:val="24"/>
          <w:lang w:val="en-GB" w:eastAsia="cs-CZ"/>
        </w:rPr>
        <w:t>miR-1246, however, this was not statistically significant (P=0.11).</w:t>
      </w:r>
      <w:r>
        <w:rPr>
          <w:rFonts w:ascii="Arial" w:hAnsi="Arial" w:cs="Arial"/>
          <w:sz w:val="24"/>
          <w:szCs w:val="24"/>
          <w:lang w:val="en-GB" w:eastAsia="cs-CZ"/>
        </w:rPr>
        <w:t xml:space="preserve"> </w:t>
      </w:r>
      <w:r w:rsidRPr="00D36C9C">
        <w:rPr>
          <w:rFonts w:ascii="Arial" w:hAnsi="Arial" w:cs="Arial"/>
          <w:sz w:val="24"/>
          <w:szCs w:val="24"/>
          <w:lang w:val="en-GB" w:eastAsia="cs-CZ"/>
        </w:rPr>
        <w:t>Additionally, low miR-34a was an independent predictor of a shorter overall</w:t>
      </w:r>
    </w:p>
    <w:p w:rsidR="00D36C9C" w:rsidRPr="00D36C9C" w:rsidRDefault="00D36C9C" w:rsidP="00BF2FCD">
      <w:pPr>
        <w:pStyle w:val="NoSpacing"/>
        <w:spacing w:line="360" w:lineRule="auto"/>
        <w:jc w:val="both"/>
        <w:rPr>
          <w:rFonts w:ascii="Arial" w:hAnsi="Arial" w:cs="Arial"/>
          <w:sz w:val="24"/>
          <w:szCs w:val="24"/>
          <w:lang w:val="en-GB" w:eastAsia="cs-CZ"/>
        </w:rPr>
      </w:pPr>
      <w:proofErr w:type="gramStart"/>
      <w:r w:rsidRPr="00D36C9C">
        <w:rPr>
          <w:rFonts w:ascii="Arial" w:hAnsi="Arial" w:cs="Arial"/>
          <w:sz w:val="24"/>
          <w:szCs w:val="24"/>
          <w:lang w:val="en-GB" w:eastAsia="cs-CZ"/>
        </w:rPr>
        <w:t>survival</w:t>
      </w:r>
      <w:proofErr w:type="gramEnd"/>
      <w:r w:rsidRPr="00D36C9C">
        <w:rPr>
          <w:rFonts w:ascii="Arial" w:hAnsi="Arial" w:cs="Arial"/>
          <w:sz w:val="24"/>
          <w:szCs w:val="24"/>
          <w:lang w:val="en-GB" w:eastAsia="cs-CZ"/>
        </w:rPr>
        <w:t xml:space="preserve"> in a multivariate analysis (16.7 months vs. not reached; P=0.0002; HR:</w:t>
      </w:r>
      <w:r>
        <w:rPr>
          <w:rFonts w:ascii="Arial" w:hAnsi="Arial" w:cs="Arial"/>
          <w:sz w:val="24"/>
          <w:szCs w:val="24"/>
          <w:lang w:val="en-GB" w:eastAsia="cs-CZ"/>
        </w:rPr>
        <w:t xml:space="preserve"> </w:t>
      </w:r>
      <w:r w:rsidRPr="00D36C9C">
        <w:rPr>
          <w:rFonts w:ascii="Arial" w:hAnsi="Arial" w:cs="Arial"/>
          <w:sz w:val="24"/>
          <w:szCs w:val="24"/>
          <w:lang w:val="en-GB" w:eastAsia="cs-CZ"/>
        </w:rPr>
        <w:t>3.30). This suggests that CLL cells with low levels of miR-34a fail to</w:t>
      </w:r>
      <w:r>
        <w:rPr>
          <w:rFonts w:ascii="Arial" w:hAnsi="Arial" w:cs="Arial"/>
          <w:sz w:val="24"/>
          <w:szCs w:val="24"/>
          <w:lang w:val="en-GB" w:eastAsia="cs-CZ"/>
        </w:rPr>
        <w:t xml:space="preserve"> </w:t>
      </w:r>
      <w:r w:rsidRPr="00D36C9C">
        <w:rPr>
          <w:rFonts w:ascii="Arial" w:hAnsi="Arial" w:cs="Arial"/>
          <w:sz w:val="24"/>
          <w:szCs w:val="24"/>
          <w:lang w:val="en-GB" w:eastAsia="cs-CZ"/>
        </w:rPr>
        <w:t>down-modulate genes that are crucial for DDR. Several pro-survival genes</w:t>
      </w:r>
      <w:r>
        <w:rPr>
          <w:rFonts w:ascii="Arial" w:hAnsi="Arial" w:cs="Arial"/>
          <w:sz w:val="24"/>
          <w:szCs w:val="24"/>
          <w:lang w:val="en-GB" w:eastAsia="cs-CZ"/>
        </w:rPr>
        <w:t xml:space="preserve"> </w:t>
      </w:r>
      <w:r w:rsidRPr="00D36C9C">
        <w:rPr>
          <w:rFonts w:ascii="Arial" w:hAnsi="Arial" w:cs="Arial"/>
          <w:sz w:val="24"/>
          <w:szCs w:val="24"/>
          <w:lang w:val="en-GB" w:eastAsia="cs-CZ"/>
        </w:rPr>
        <w:t>targeted by miR-34a (BIRC3, BCL2, FOXP1) were recently identified in various</w:t>
      </w:r>
      <w:r>
        <w:rPr>
          <w:rFonts w:ascii="Arial" w:hAnsi="Arial" w:cs="Arial"/>
          <w:sz w:val="24"/>
          <w:szCs w:val="24"/>
          <w:lang w:val="en-GB" w:eastAsia="cs-CZ"/>
        </w:rPr>
        <w:t xml:space="preserve"> </w:t>
      </w:r>
      <w:r w:rsidRPr="00D36C9C">
        <w:rPr>
          <w:rFonts w:ascii="Arial" w:hAnsi="Arial" w:cs="Arial"/>
          <w:sz w:val="24"/>
          <w:szCs w:val="24"/>
          <w:lang w:val="en-GB" w:eastAsia="cs-CZ"/>
        </w:rPr>
        <w:t>cell types. These proteins were down-modulated in CLL cells that up-regulate</w:t>
      </w:r>
      <w:r>
        <w:rPr>
          <w:rFonts w:ascii="Arial" w:hAnsi="Arial" w:cs="Arial"/>
          <w:sz w:val="24"/>
          <w:szCs w:val="24"/>
          <w:lang w:val="en-GB" w:eastAsia="cs-CZ"/>
        </w:rPr>
        <w:t xml:space="preserve"> </w:t>
      </w:r>
      <w:r w:rsidRPr="00D36C9C">
        <w:rPr>
          <w:rFonts w:ascii="Arial" w:hAnsi="Arial" w:cs="Arial"/>
          <w:sz w:val="24"/>
          <w:szCs w:val="24"/>
          <w:lang w:val="en-GB" w:eastAsia="cs-CZ"/>
        </w:rPr>
        <w:t>miR-34a during DDR, but not in cells that failed to induce it. Surprisingly,</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miR-34a, miR-1246 and miR-1248 share numerous validated targets with miR-150, a</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known negative regulator of BCR </w:t>
      </w:r>
      <w:proofErr w:type="spellStart"/>
      <w:r w:rsidRPr="00D36C9C">
        <w:rPr>
          <w:rFonts w:ascii="Arial" w:hAnsi="Arial" w:cs="Arial"/>
          <w:sz w:val="24"/>
          <w:szCs w:val="24"/>
          <w:lang w:val="en-GB" w:eastAsia="cs-CZ"/>
        </w:rPr>
        <w:t>signaling</w:t>
      </w:r>
      <w:proofErr w:type="spellEnd"/>
      <w:r w:rsidRPr="00D36C9C">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Mraz</w:t>
      </w:r>
      <w:proofErr w:type="spellEnd"/>
      <w:r w:rsidRPr="00D36C9C">
        <w:rPr>
          <w:rFonts w:ascii="Arial" w:hAnsi="Arial" w:cs="Arial"/>
          <w:sz w:val="24"/>
          <w:szCs w:val="24"/>
          <w:lang w:val="en-GB" w:eastAsia="cs-CZ"/>
        </w:rPr>
        <w:t xml:space="preserve"> et al., 2014). This suggests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possible convergence in the mechanism of action of DNA damaging drugs and BCR</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inhibitors recently approved for treatment of </w:t>
      </w:r>
      <w:proofErr w:type="spellStart"/>
      <w:r w:rsidRPr="00D36C9C">
        <w:rPr>
          <w:rFonts w:ascii="Arial" w:hAnsi="Arial" w:cs="Arial"/>
          <w:sz w:val="24"/>
          <w:szCs w:val="24"/>
          <w:lang w:val="en-GB" w:eastAsia="cs-CZ"/>
        </w:rPr>
        <w:t>NHLs</w:t>
      </w:r>
      <w:proofErr w:type="spellEnd"/>
      <w:r w:rsidRPr="00D36C9C">
        <w:rPr>
          <w:rFonts w:ascii="Arial" w:hAnsi="Arial" w:cs="Arial"/>
          <w:sz w:val="24"/>
          <w:szCs w:val="24"/>
          <w:lang w:val="en-GB" w:eastAsia="cs-CZ"/>
        </w:rPr>
        <w:t xml:space="preserve"> (e.g. </w:t>
      </w:r>
      <w:proofErr w:type="spellStart"/>
      <w:r w:rsidRPr="00D36C9C">
        <w:rPr>
          <w:rFonts w:ascii="Arial" w:hAnsi="Arial" w:cs="Arial"/>
          <w:sz w:val="24"/>
          <w:szCs w:val="24"/>
          <w:lang w:val="en-GB" w:eastAsia="cs-CZ"/>
        </w:rPr>
        <w:t>ibrutinib</w:t>
      </w:r>
      <w:proofErr w:type="spellEnd"/>
      <w:r w:rsidRPr="00D36C9C">
        <w:rPr>
          <w:rFonts w:ascii="Arial" w:hAnsi="Arial" w:cs="Arial"/>
          <w:sz w:val="24"/>
          <w:szCs w:val="24"/>
          <w:lang w:val="en-GB" w:eastAsia="cs-CZ"/>
        </w:rPr>
        <w:t>). To compare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the effects of the FCR with the </w:t>
      </w:r>
      <w:proofErr w:type="spellStart"/>
      <w:r w:rsidRPr="00D36C9C">
        <w:rPr>
          <w:rFonts w:ascii="Arial" w:hAnsi="Arial" w:cs="Arial"/>
          <w:sz w:val="24"/>
          <w:szCs w:val="24"/>
          <w:lang w:val="en-GB" w:eastAsia="cs-CZ"/>
        </w:rPr>
        <w:t>ibrutinib</w:t>
      </w:r>
      <w:proofErr w:type="spellEnd"/>
      <w:r w:rsidRPr="00D36C9C">
        <w:rPr>
          <w:rFonts w:ascii="Arial" w:hAnsi="Arial" w:cs="Arial"/>
          <w:sz w:val="24"/>
          <w:szCs w:val="24"/>
          <w:lang w:val="en-GB" w:eastAsia="cs-CZ"/>
        </w:rPr>
        <w:t xml:space="preserve">, we analyzed </w:t>
      </w:r>
      <w:proofErr w:type="spellStart"/>
      <w:r w:rsidRPr="00D36C9C">
        <w:rPr>
          <w:rFonts w:ascii="Arial" w:hAnsi="Arial" w:cs="Arial"/>
          <w:sz w:val="24"/>
          <w:szCs w:val="24"/>
          <w:lang w:val="en-GB" w:eastAsia="cs-CZ"/>
        </w:rPr>
        <w:t>miRNA</w:t>
      </w:r>
      <w:proofErr w:type="spellEnd"/>
      <w:r w:rsidRPr="00D36C9C">
        <w:rPr>
          <w:rFonts w:ascii="Arial" w:hAnsi="Arial" w:cs="Arial"/>
          <w:sz w:val="24"/>
          <w:szCs w:val="24"/>
          <w:lang w:val="en-GB" w:eastAsia="cs-CZ"/>
        </w:rPr>
        <w:t>/gene expression in</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samples from </w:t>
      </w:r>
      <w:proofErr w:type="spellStart"/>
      <w:r w:rsidRPr="00D36C9C">
        <w:rPr>
          <w:rFonts w:ascii="Arial" w:hAnsi="Arial" w:cs="Arial"/>
          <w:sz w:val="24"/>
          <w:szCs w:val="24"/>
          <w:lang w:val="en-GB" w:eastAsia="cs-CZ"/>
        </w:rPr>
        <w:t>ibrutinib</w:t>
      </w:r>
      <w:proofErr w:type="spellEnd"/>
      <w:r w:rsidRPr="00D36C9C">
        <w:rPr>
          <w:rFonts w:ascii="Arial" w:hAnsi="Arial" w:cs="Arial"/>
          <w:sz w:val="24"/>
          <w:szCs w:val="24"/>
          <w:lang w:val="en-GB" w:eastAsia="cs-CZ"/>
        </w:rPr>
        <w:t xml:space="preserve"> treated CLL patients (n=9) before and during the therapy.</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The convergence of pathways targeted by DDR and BCR inhibition through changes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in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expression are currently being interrogated.</w:t>
      </w:r>
    </w:p>
    <w:p w:rsidR="00D36C9C" w:rsidRDefault="0046224F" w:rsidP="00BF2FCD">
      <w:pPr>
        <w:spacing w:line="360" w:lineRule="auto"/>
        <w:rPr>
          <w:rFonts w:ascii="Arial" w:hAnsi="Arial" w:cs="Arial"/>
          <w:sz w:val="24"/>
          <w:szCs w:val="24"/>
          <w:lang w:val="en-GB" w:eastAsia="cs-CZ"/>
        </w:rPr>
      </w:pPr>
      <w:r>
        <w:rPr>
          <w:rFonts w:ascii="Arial" w:hAnsi="Arial" w:cs="Arial"/>
          <w:sz w:val="24"/>
          <w:szCs w:val="24"/>
          <w:lang w:val="en-GB" w:eastAsia="cs-CZ"/>
        </w:rPr>
        <w:t>4.</w:t>
      </w:r>
      <w:r w:rsidRPr="0046224F">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Zuzana</w:t>
      </w:r>
      <w:proofErr w:type="spellEnd"/>
      <w:r w:rsidRPr="00D36C9C">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Jašková</w:t>
      </w:r>
      <w:proofErr w:type="spellEnd"/>
    </w:p>
    <w:p w:rsidR="0046224F" w:rsidRPr="00D36C9C" w:rsidRDefault="0046224F"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Mutated p53 Protein Elimination and Induction of p53 Downstream Genes in Chronic</w:t>
      </w: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 xml:space="preserve">Lymphocytic </w:t>
      </w:r>
      <w:proofErr w:type="spellStart"/>
      <w:r w:rsidRPr="00D36C9C">
        <w:rPr>
          <w:rFonts w:ascii="Arial" w:hAnsi="Arial" w:cs="Arial"/>
          <w:sz w:val="24"/>
          <w:szCs w:val="24"/>
          <w:lang w:val="en-GB" w:eastAsia="cs-CZ"/>
        </w:rPr>
        <w:t>Leukemia</w:t>
      </w:r>
      <w:proofErr w:type="spellEnd"/>
      <w:r w:rsidRPr="00D36C9C">
        <w:rPr>
          <w:rFonts w:ascii="Arial" w:hAnsi="Arial" w:cs="Arial"/>
          <w:sz w:val="24"/>
          <w:szCs w:val="24"/>
          <w:lang w:val="en-GB" w:eastAsia="cs-CZ"/>
        </w:rPr>
        <w:t xml:space="preserve"> (CLL) Cells Using PRIMA-1MET</w:t>
      </w:r>
    </w:p>
    <w:p w:rsidR="00D36C9C" w:rsidRPr="00D36C9C" w:rsidRDefault="00D36C9C" w:rsidP="00BF2FCD">
      <w:pPr>
        <w:pStyle w:val="NoSpacing"/>
        <w:spacing w:line="360" w:lineRule="auto"/>
        <w:jc w:val="both"/>
        <w:rPr>
          <w:rFonts w:ascii="Arial" w:hAnsi="Arial" w:cs="Arial"/>
          <w:sz w:val="24"/>
          <w:szCs w:val="24"/>
          <w:lang w:val="en-GB" w:eastAsia="cs-CZ"/>
        </w:rPr>
      </w:pPr>
    </w:p>
    <w:p w:rsidR="0046224F" w:rsidRDefault="00D36C9C" w:rsidP="00BF2FCD">
      <w:pPr>
        <w:pStyle w:val="NoSpacing"/>
        <w:spacing w:line="360" w:lineRule="auto"/>
        <w:jc w:val="both"/>
        <w:rPr>
          <w:rFonts w:ascii="Arial" w:hAnsi="Arial" w:cs="Arial"/>
          <w:b/>
          <w:bCs/>
          <w:sz w:val="24"/>
          <w:szCs w:val="24"/>
          <w:lang w:val="en-GB" w:eastAsia="cs-CZ"/>
        </w:rPr>
      </w:pPr>
      <w:r w:rsidRPr="00D36C9C">
        <w:rPr>
          <w:rFonts w:ascii="Arial" w:hAnsi="Arial" w:cs="Arial"/>
          <w:sz w:val="24"/>
          <w:szCs w:val="24"/>
          <w:lang w:val="en-GB" w:eastAsia="cs-CZ"/>
        </w:rPr>
        <w:t>In CLL</w:t>
      </w:r>
      <w:del w:id="27" w:author="John Morgan" w:date="2015-03-22T18:15:00Z">
        <w:r w:rsidRPr="00D36C9C" w:rsidDel="00DB2BF8">
          <w:rPr>
            <w:rFonts w:ascii="Arial" w:hAnsi="Arial" w:cs="Arial"/>
            <w:sz w:val="24"/>
            <w:szCs w:val="24"/>
            <w:lang w:val="en-GB" w:eastAsia="cs-CZ"/>
          </w:rPr>
          <w:delText>,</w:delText>
        </w:r>
      </w:del>
      <w:r w:rsidRPr="00D36C9C">
        <w:rPr>
          <w:rFonts w:ascii="Arial" w:hAnsi="Arial" w:cs="Arial"/>
          <w:sz w:val="24"/>
          <w:szCs w:val="24"/>
          <w:lang w:val="en-GB" w:eastAsia="cs-CZ"/>
        </w:rPr>
        <w:t xml:space="preserve"> poor prognosis is associated with </w:t>
      </w:r>
      <w:proofErr w:type="spellStart"/>
      <w:r w:rsidRPr="00D36C9C">
        <w:rPr>
          <w:rFonts w:ascii="Arial" w:hAnsi="Arial" w:cs="Arial"/>
          <w:sz w:val="24"/>
          <w:szCs w:val="24"/>
          <w:lang w:val="en-GB" w:eastAsia="cs-CZ"/>
        </w:rPr>
        <w:t>missense</w:t>
      </w:r>
      <w:proofErr w:type="spellEnd"/>
      <w:r w:rsidRPr="00D36C9C">
        <w:rPr>
          <w:rFonts w:ascii="Arial" w:hAnsi="Arial" w:cs="Arial"/>
          <w:sz w:val="24"/>
          <w:szCs w:val="24"/>
          <w:lang w:val="en-GB" w:eastAsia="cs-CZ"/>
        </w:rPr>
        <w:t xml:space="preserve"> mutations located in p53</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DNA-binding motifs</w:t>
      </w:r>
      <w:ins w:id="28" w:author="John Morgan" w:date="2015-03-22T18:15:00Z">
        <w:r w:rsidR="00DB2BF8">
          <w:rPr>
            <w:rFonts w:ascii="Arial" w:hAnsi="Arial" w:cs="Arial"/>
            <w:sz w:val="24"/>
            <w:szCs w:val="24"/>
            <w:lang w:val="en-GB" w:eastAsia="cs-CZ"/>
          </w:rPr>
          <w:t>,</w:t>
        </w:r>
      </w:ins>
      <w:r w:rsidRPr="00D36C9C">
        <w:rPr>
          <w:rFonts w:ascii="Arial" w:hAnsi="Arial" w:cs="Arial"/>
          <w:sz w:val="24"/>
          <w:szCs w:val="24"/>
          <w:lang w:val="en-GB" w:eastAsia="cs-CZ"/>
        </w:rPr>
        <w:t xml:space="preserve"> leading to accumulation of mutated p53 protein with </w:t>
      </w:r>
      <w:proofErr w:type="spellStart"/>
      <w:r w:rsidRPr="00D36C9C">
        <w:rPr>
          <w:rFonts w:ascii="Arial" w:hAnsi="Arial" w:cs="Arial"/>
          <w:sz w:val="24"/>
          <w:szCs w:val="24"/>
          <w:lang w:val="en-GB" w:eastAsia="cs-CZ"/>
        </w:rPr>
        <w:t>oncogenic</w:t>
      </w:r>
      <w:proofErr w:type="spellEnd"/>
      <w:r w:rsidR="0046224F">
        <w:rPr>
          <w:rFonts w:ascii="Arial" w:hAnsi="Arial" w:cs="Arial"/>
          <w:sz w:val="24"/>
          <w:szCs w:val="24"/>
          <w:lang w:val="en-GB" w:eastAsia="cs-CZ"/>
        </w:rPr>
        <w:t xml:space="preserve"> </w:t>
      </w:r>
      <w:r w:rsidRPr="00D36C9C">
        <w:rPr>
          <w:rFonts w:ascii="Arial" w:hAnsi="Arial" w:cs="Arial"/>
          <w:sz w:val="24"/>
          <w:szCs w:val="24"/>
          <w:lang w:val="en-GB" w:eastAsia="cs-CZ"/>
        </w:rPr>
        <w:t>properties. Thus, the affected patients could benefit from therapy targeted to</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p53-mut protein. We tested </w:t>
      </w:r>
      <w:ins w:id="29" w:author="John Morgan" w:date="2015-03-22T18:16:00Z">
        <w:r w:rsidR="00DB2BF8">
          <w:rPr>
            <w:rFonts w:ascii="Arial" w:hAnsi="Arial" w:cs="Arial"/>
            <w:sz w:val="24"/>
            <w:szCs w:val="24"/>
            <w:lang w:val="en-GB" w:eastAsia="cs-CZ"/>
          </w:rPr>
          <w:t>the</w:t>
        </w:r>
      </w:ins>
      <w:del w:id="30" w:author="John Morgan" w:date="2015-03-22T18:16:00Z">
        <w:r w:rsidRPr="00D36C9C" w:rsidDel="00DB2BF8">
          <w:rPr>
            <w:rFonts w:ascii="Arial" w:hAnsi="Arial" w:cs="Arial"/>
            <w:sz w:val="24"/>
            <w:szCs w:val="24"/>
            <w:lang w:val="en-GB" w:eastAsia="cs-CZ"/>
          </w:rPr>
          <w:delText>a</w:delText>
        </w:r>
      </w:del>
      <w:r w:rsidRPr="00D36C9C">
        <w:rPr>
          <w:rFonts w:ascii="Arial" w:hAnsi="Arial" w:cs="Arial"/>
          <w:sz w:val="24"/>
          <w:szCs w:val="24"/>
          <w:lang w:val="en-GB" w:eastAsia="cs-CZ"/>
        </w:rPr>
        <w:t xml:space="preserve"> possibility of subtle molecular manipulation with</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accumulated mutated p53 in CLL cells using PRIMA-1MET </w:t>
      </w:r>
      <w:commentRangeStart w:id="31"/>
      <w:r w:rsidRPr="00D36C9C">
        <w:rPr>
          <w:rFonts w:ascii="Arial" w:hAnsi="Arial" w:cs="Arial"/>
          <w:sz w:val="24"/>
          <w:szCs w:val="24"/>
          <w:lang w:val="en-GB" w:eastAsia="cs-CZ"/>
        </w:rPr>
        <w:t>declared to change p53-mut</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to p53-wt conformation with rescue of its activity</w:t>
      </w:r>
      <w:commentRangeEnd w:id="31"/>
      <w:r w:rsidR="00DB2BF8">
        <w:rPr>
          <w:rStyle w:val="CommentReference"/>
          <w:vanish/>
        </w:rPr>
        <w:commentReference w:id="31"/>
      </w:r>
      <w:r w:rsidRPr="00D36C9C">
        <w:rPr>
          <w:rFonts w:ascii="Arial" w:hAnsi="Arial" w:cs="Arial"/>
          <w:sz w:val="24"/>
          <w:szCs w:val="24"/>
          <w:lang w:val="en-GB" w:eastAsia="cs-CZ"/>
        </w:rPr>
        <w:t>. CLL patients’ B-cells were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chosen from the cohort characterized for TP53 status. Viability was determined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by WST-1 assay. Impact of PRIMA-1MET on p53 protein level was analyzed by WB.</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The p53 downstream genes’ induction was assessed by </w:t>
      </w:r>
      <w:proofErr w:type="spellStart"/>
      <w:r w:rsidRPr="00D36C9C">
        <w:rPr>
          <w:rFonts w:ascii="Arial" w:hAnsi="Arial" w:cs="Arial"/>
          <w:sz w:val="24"/>
          <w:szCs w:val="24"/>
          <w:lang w:val="en-GB" w:eastAsia="cs-CZ"/>
        </w:rPr>
        <w:t>qRT</w:t>
      </w:r>
      <w:proofErr w:type="spellEnd"/>
      <w:r w:rsidRPr="00D36C9C">
        <w:rPr>
          <w:rFonts w:ascii="Arial" w:hAnsi="Arial" w:cs="Arial"/>
          <w:sz w:val="24"/>
          <w:szCs w:val="24"/>
          <w:lang w:val="en-GB" w:eastAsia="cs-CZ"/>
        </w:rPr>
        <w:t>-PCR. The impact of</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PRIMA-1MET on CLL cells’ viability was assessed to determine concentration range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for reactivation. We observed concentration-dependent viability curves in all</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samples (n=5) between 0.5-4µM. Therefore, 2µM and 4µM were applied for</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reactivation testing at molecular level. Five out of eleven mutated samples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showed diminished or absent p53 protein after 4µM treatment and four samples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manifested partially reduced level. The complete p53 protein elimination at 2µM</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was observed for mutations p.Y205H, p.R248W, and p.C275R. The p53 downstream</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genes’ induction was </w:t>
      </w:r>
      <w:commentRangeStart w:id="32"/>
      <w:r w:rsidRPr="00D36C9C">
        <w:rPr>
          <w:rFonts w:ascii="Arial" w:hAnsi="Arial" w:cs="Arial"/>
          <w:sz w:val="24"/>
          <w:szCs w:val="24"/>
          <w:lang w:val="en-GB" w:eastAsia="cs-CZ"/>
        </w:rPr>
        <w:t>pronounced</w:t>
      </w:r>
      <w:commentRangeEnd w:id="32"/>
      <w:r w:rsidR="00DB2BF8">
        <w:rPr>
          <w:rStyle w:val="CommentReference"/>
          <w:vanish/>
        </w:rPr>
        <w:commentReference w:id="32"/>
      </w:r>
      <w:r w:rsidRPr="00D36C9C">
        <w:rPr>
          <w:rFonts w:ascii="Arial" w:hAnsi="Arial" w:cs="Arial"/>
          <w:sz w:val="24"/>
          <w:szCs w:val="24"/>
          <w:lang w:val="en-GB" w:eastAsia="cs-CZ"/>
        </w:rPr>
        <w:t xml:space="preserve"> </w:t>
      </w:r>
      <w:commentRangeStart w:id="33"/>
      <w:r w:rsidRPr="00D36C9C">
        <w:rPr>
          <w:rFonts w:ascii="Arial" w:hAnsi="Arial" w:cs="Arial"/>
          <w:sz w:val="24"/>
          <w:szCs w:val="24"/>
          <w:lang w:val="en-GB" w:eastAsia="cs-CZ"/>
        </w:rPr>
        <w:t>for</w:t>
      </w:r>
      <w:commentRangeEnd w:id="33"/>
      <w:r w:rsidR="00DB2BF8">
        <w:rPr>
          <w:rStyle w:val="CommentReference"/>
          <w:vanish/>
        </w:rPr>
        <w:commentReference w:id="33"/>
      </w:r>
      <w:r w:rsidRPr="00D36C9C">
        <w:rPr>
          <w:rFonts w:ascii="Arial" w:hAnsi="Arial" w:cs="Arial"/>
          <w:sz w:val="24"/>
          <w:szCs w:val="24"/>
          <w:lang w:val="en-GB" w:eastAsia="cs-CZ"/>
        </w:rPr>
        <w:t xml:space="preserve"> p21 and GADD45, which were induced 118 and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45-fold, respectively, compared to control. Concerning the specificity of</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observed effects, we noted the following: (</w:t>
      </w:r>
      <w:proofErr w:type="spellStart"/>
      <w:r w:rsidRPr="00D36C9C">
        <w:rPr>
          <w:rFonts w:ascii="Arial" w:hAnsi="Arial" w:cs="Arial"/>
          <w:sz w:val="24"/>
          <w:szCs w:val="24"/>
          <w:lang w:val="en-GB" w:eastAsia="cs-CZ"/>
        </w:rPr>
        <w:t>i</w:t>
      </w:r>
      <w:proofErr w:type="spellEnd"/>
      <w:r w:rsidRPr="00D36C9C">
        <w:rPr>
          <w:rFonts w:ascii="Arial" w:hAnsi="Arial" w:cs="Arial"/>
          <w:sz w:val="24"/>
          <w:szCs w:val="24"/>
          <w:lang w:val="en-GB" w:eastAsia="cs-CZ"/>
        </w:rPr>
        <w:t>) in line with other studies, the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impact of PRIMA-1MET on p53-wt and p53-mut samples’ viability was similar, and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(ii) p53 target genes’ induction was also evident in p53-wt samples.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Additionally, we analyzed 10 TP53-mut samples without p53 protein stabilization</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for downstream genes’ induction. Again, the effects of PRIMA-1MET were apparent,</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especially for p21 and GADD45.</w:t>
      </w:r>
      <w:r w:rsidRPr="00D36C9C">
        <w:rPr>
          <w:rFonts w:ascii="Arial" w:hAnsi="Arial" w:cs="Arial"/>
          <w:sz w:val="24"/>
          <w:szCs w:val="24"/>
          <w:lang w:val="en-GB" w:eastAsia="cs-CZ"/>
        </w:rPr>
        <w:tab/>
        <w:t xml:space="preserve">We demonstrated that PRIMA-1MET </w:t>
      </w:r>
      <w:proofErr w:type="gramStart"/>
      <w:r w:rsidRPr="00D36C9C">
        <w:rPr>
          <w:rFonts w:ascii="Arial" w:hAnsi="Arial" w:cs="Arial"/>
          <w:sz w:val="24"/>
          <w:szCs w:val="24"/>
          <w:lang w:val="en-GB" w:eastAsia="cs-CZ"/>
        </w:rPr>
        <w:t>can</w:t>
      </w:r>
      <w:proofErr w:type="gramEnd"/>
      <w:r w:rsidRPr="00D36C9C">
        <w:rPr>
          <w:rFonts w:ascii="Arial" w:hAnsi="Arial" w:cs="Arial"/>
          <w:sz w:val="24"/>
          <w:szCs w:val="24"/>
          <w:lang w:val="en-GB" w:eastAsia="cs-CZ"/>
        </w:rPr>
        <w:t xml:space="preserve"> effectively</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manipulate p53 protein accumulated due to the high-risk TP53 mutations. </w:t>
      </w:r>
      <w:ins w:id="34" w:author="John Morgan" w:date="2015-03-22T18:25:00Z">
        <w:r w:rsidR="00FF0679">
          <w:rPr>
            <w:rFonts w:ascii="Arial" w:hAnsi="Arial" w:cs="Arial"/>
            <w:sz w:val="24"/>
            <w:szCs w:val="24"/>
            <w:lang w:val="en-GB" w:eastAsia="cs-CZ"/>
          </w:rPr>
          <w:t>What</w:t>
        </w:r>
      </w:ins>
      <w:del w:id="35" w:author="John Morgan" w:date="2015-03-22T18:25:00Z">
        <w:r w:rsidRPr="00D36C9C" w:rsidDel="00FF0679">
          <w:rPr>
            <w:rFonts w:ascii="Arial" w:hAnsi="Arial" w:cs="Arial"/>
            <w:sz w:val="24"/>
            <w:szCs w:val="24"/>
            <w:lang w:val="en-GB" w:eastAsia="cs-CZ"/>
          </w:rPr>
          <w:delText>It</w:delText>
        </w:r>
      </w:del>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remains to </w:t>
      </w:r>
      <w:ins w:id="36" w:author="John Morgan" w:date="2015-03-22T18:25:00Z">
        <w:r w:rsidR="00FF0679">
          <w:rPr>
            <w:rFonts w:ascii="Arial" w:hAnsi="Arial" w:cs="Arial"/>
            <w:sz w:val="24"/>
            <w:szCs w:val="24"/>
            <w:lang w:val="en-GB" w:eastAsia="cs-CZ"/>
          </w:rPr>
          <w:t xml:space="preserve">be </w:t>
        </w:r>
      </w:ins>
      <w:r w:rsidRPr="00D36C9C">
        <w:rPr>
          <w:rFonts w:ascii="Arial" w:hAnsi="Arial" w:cs="Arial"/>
          <w:sz w:val="24"/>
          <w:szCs w:val="24"/>
          <w:lang w:val="en-GB" w:eastAsia="cs-CZ"/>
        </w:rPr>
        <w:t>elucidate</w:t>
      </w:r>
      <w:ins w:id="37" w:author="John Morgan" w:date="2015-03-22T18:25:00Z">
        <w:r w:rsidR="00FF0679">
          <w:rPr>
            <w:rFonts w:ascii="Arial" w:hAnsi="Arial" w:cs="Arial"/>
            <w:sz w:val="24"/>
            <w:szCs w:val="24"/>
            <w:lang w:val="en-GB" w:eastAsia="cs-CZ"/>
          </w:rPr>
          <w:t>d</w:t>
        </w:r>
      </w:ins>
      <w:del w:id="38" w:author="John Morgan" w:date="2015-03-22T18:25:00Z">
        <w:r w:rsidRPr="00D36C9C" w:rsidDel="00FF0679">
          <w:rPr>
            <w:rFonts w:ascii="Arial" w:hAnsi="Arial" w:cs="Arial"/>
            <w:sz w:val="24"/>
            <w:szCs w:val="24"/>
            <w:lang w:val="en-GB" w:eastAsia="cs-CZ"/>
          </w:rPr>
          <w:delText>,</w:delText>
        </w:r>
      </w:del>
      <w:del w:id="39" w:author="John Morgan" w:date="2015-03-22T18:26:00Z">
        <w:r w:rsidRPr="00D36C9C" w:rsidDel="00FF0679">
          <w:rPr>
            <w:rFonts w:ascii="Arial" w:hAnsi="Arial" w:cs="Arial"/>
            <w:sz w:val="24"/>
            <w:szCs w:val="24"/>
            <w:lang w:val="en-GB" w:eastAsia="cs-CZ"/>
          </w:rPr>
          <w:delText xml:space="preserve"> </w:delText>
        </w:r>
      </w:del>
      <w:del w:id="40" w:author="John Morgan" w:date="2015-03-22T18:25:00Z">
        <w:r w:rsidRPr="00D36C9C" w:rsidDel="00FF0679">
          <w:rPr>
            <w:rFonts w:ascii="Arial" w:hAnsi="Arial" w:cs="Arial"/>
            <w:sz w:val="24"/>
            <w:szCs w:val="24"/>
            <w:lang w:val="en-GB" w:eastAsia="cs-CZ"/>
          </w:rPr>
          <w:delText>what</w:delText>
        </w:r>
      </w:del>
      <w:r w:rsidRPr="00D36C9C">
        <w:rPr>
          <w:rFonts w:ascii="Arial" w:hAnsi="Arial" w:cs="Arial"/>
          <w:sz w:val="24"/>
          <w:szCs w:val="24"/>
          <w:lang w:val="en-GB" w:eastAsia="cs-CZ"/>
        </w:rPr>
        <w:t xml:space="preserve"> is the specificity of the p53 pathway activation with</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respect to TP53 status.</w:t>
      </w:r>
    </w:p>
    <w:p w:rsidR="0046224F" w:rsidRDefault="0046224F" w:rsidP="00BF2FCD">
      <w:pPr>
        <w:pStyle w:val="NoSpacing"/>
        <w:spacing w:line="360" w:lineRule="auto"/>
        <w:jc w:val="both"/>
        <w:rPr>
          <w:rFonts w:ascii="Arial" w:hAnsi="Arial" w:cs="Arial"/>
          <w:b/>
          <w:bCs/>
          <w:sz w:val="24"/>
          <w:szCs w:val="24"/>
          <w:lang w:val="en-GB" w:eastAsia="cs-CZ"/>
        </w:rPr>
      </w:pPr>
    </w:p>
    <w:p w:rsidR="0046224F" w:rsidRDefault="0046224F" w:rsidP="00BF2FCD">
      <w:pPr>
        <w:pStyle w:val="NoSpacing"/>
        <w:spacing w:line="360" w:lineRule="auto"/>
        <w:jc w:val="both"/>
        <w:rPr>
          <w:rFonts w:ascii="Arial" w:hAnsi="Arial" w:cs="Arial"/>
          <w:b/>
          <w:bCs/>
          <w:sz w:val="24"/>
          <w:szCs w:val="24"/>
          <w:lang w:val="en-GB" w:eastAsia="cs-CZ"/>
        </w:rPr>
      </w:pPr>
    </w:p>
    <w:p w:rsidR="0046224F" w:rsidRDefault="00BF2FCD" w:rsidP="00BF2FCD">
      <w:pPr>
        <w:spacing w:line="360" w:lineRule="auto"/>
        <w:rPr>
          <w:rFonts w:ascii="Arial" w:hAnsi="Arial" w:cs="Arial"/>
          <w:b/>
          <w:bCs/>
          <w:sz w:val="24"/>
          <w:szCs w:val="24"/>
          <w:lang w:val="en-GB" w:eastAsia="cs-CZ"/>
        </w:rPr>
      </w:pPr>
      <w:r>
        <w:rPr>
          <w:rFonts w:ascii="Arial" w:hAnsi="Arial" w:cs="Arial"/>
          <w:b/>
          <w:bCs/>
          <w:sz w:val="24"/>
          <w:szCs w:val="24"/>
          <w:lang w:val="en-GB" w:eastAsia="cs-CZ"/>
        </w:rPr>
        <w:br w:type="page"/>
      </w:r>
      <w:r w:rsidR="0046224F">
        <w:rPr>
          <w:rFonts w:ascii="Arial" w:hAnsi="Arial" w:cs="Arial"/>
          <w:b/>
          <w:bCs/>
          <w:sz w:val="24"/>
          <w:szCs w:val="24"/>
          <w:lang w:val="en-GB" w:eastAsia="cs-CZ"/>
        </w:rPr>
        <w:t>5.</w:t>
      </w:r>
      <w:r w:rsidR="0046224F" w:rsidRPr="0046224F">
        <w:rPr>
          <w:rFonts w:ascii="Arial" w:hAnsi="Arial" w:cs="Arial"/>
          <w:sz w:val="24"/>
          <w:szCs w:val="24"/>
          <w:lang w:val="en-GB" w:eastAsia="cs-CZ"/>
        </w:rPr>
        <w:t xml:space="preserve"> </w:t>
      </w:r>
      <w:proofErr w:type="spellStart"/>
      <w:r w:rsidR="0046224F" w:rsidRPr="00D36C9C">
        <w:rPr>
          <w:rFonts w:ascii="Arial" w:hAnsi="Arial" w:cs="Arial"/>
          <w:sz w:val="24"/>
          <w:szCs w:val="24"/>
          <w:lang w:val="en-GB" w:eastAsia="cs-CZ"/>
        </w:rPr>
        <w:t>Veronika</w:t>
      </w:r>
      <w:proofErr w:type="spellEnd"/>
      <w:r w:rsidR="0046224F" w:rsidRPr="00D36C9C">
        <w:rPr>
          <w:rFonts w:ascii="Arial" w:hAnsi="Arial" w:cs="Arial"/>
          <w:sz w:val="24"/>
          <w:szCs w:val="24"/>
          <w:lang w:val="en-GB" w:eastAsia="cs-CZ"/>
        </w:rPr>
        <w:t xml:space="preserve"> </w:t>
      </w:r>
      <w:proofErr w:type="spellStart"/>
      <w:r w:rsidR="0046224F" w:rsidRPr="00D36C9C">
        <w:rPr>
          <w:rFonts w:ascii="Arial" w:hAnsi="Arial" w:cs="Arial"/>
          <w:sz w:val="24"/>
          <w:szCs w:val="24"/>
          <w:lang w:val="en-GB" w:eastAsia="cs-CZ"/>
        </w:rPr>
        <w:t>Olejn</w:t>
      </w:r>
      <w:r w:rsidR="0046224F">
        <w:rPr>
          <w:rFonts w:ascii="Arial" w:hAnsi="Arial" w:cs="Arial"/>
          <w:sz w:val="24"/>
          <w:szCs w:val="24"/>
          <w:lang w:val="en-GB" w:eastAsia="cs-CZ"/>
        </w:rPr>
        <w:t>ickova</w:t>
      </w:r>
      <w:proofErr w:type="spellEnd"/>
    </w:p>
    <w:p w:rsidR="0046224F" w:rsidRDefault="0046224F" w:rsidP="00BF2FCD">
      <w:pPr>
        <w:pStyle w:val="NoSpacing"/>
        <w:spacing w:line="360" w:lineRule="auto"/>
        <w:jc w:val="both"/>
        <w:rPr>
          <w:rFonts w:ascii="Arial" w:hAnsi="Arial" w:cs="Arial"/>
          <w:b/>
          <w:bCs/>
          <w:sz w:val="24"/>
          <w:szCs w:val="24"/>
          <w:lang w:val="en-GB" w:eastAsia="cs-CZ"/>
        </w:rPr>
      </w:pPr>
    </w:p>
    <w:p w:rsidR="0046224F" w:rsidRDefault="00D36C9C" w:rsidP="00BF2FCD">
      <w:pPr>
        <w:pStyle w:val="NoSpacing"/>
        <w:tabs>
          <w:tab w:val="left" w:pos="8352"/>
        </w:tabs>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Voltage sensitive dye (VSD) represent</w:t>
      </w:r>
      <w:ins w:id="41" w:author="John Morgan" w:date="2015-03-22T19:02:00Z">
        <w:r w:rsidR="00CA30F0">
          <w:rPr>
            <w:rFonts w:ascii="Arial" w:hAnsi="Arial" w:cs="Arial"/>
            <w:sz w:val="24"/>
            <w:szCs w:val="24"/>
            <w:lang w:val="en-GB" w:eastAsia="cs-CZ"/>
          </w:rPr>
          <w:t>s an</w:t>
        </w:r>
      </w:ins>
      <w:r w:rsidRPr="00D36C9C">
        <w:rPr>
          <w:rFonts w:ascii="Arial" w:hAnsi="Arial" w:cs="Arial"/>
          <w:sz w:val="24"/>
          <w:szCs w:val="24"/>
          <w:lang w:val="en-GB" w:eastAsia="cs-CZ"/>
        </w:rPr>
        <w:t xml:space="preserve"> important tool for </w:t>
      </w:r>
      <w:ins w:id="42" w:author="John Morgan" w:date="2015-03-22T19:02:00Z">
        <w:r w:rsidR="00CA30F0">
          <w:rPr>
            <w:rFonts w:ascii="Arial" w:hAnsi="Arial" w:cs="Arial"/>
            <w:sz w:val="24"/>
            <w:szCs w:val="24"/>
            <w:lang w:val="en-GB" w:eastAsia="cs-CZ"/>
          </w:rPr>
          <w:t xml:space="preserve">the </w:t>
        </w:r>
      </w:ins>
      <w:r w:rsidRPr="00D36C9C">
        <w:rPr>
          <w:rFonts w:ascii="Arial" w:hAnsi="Arial" w:cs="Arial"/>
          <w:sz w:val="24"/>
          <w:szCs w:val="24"/>
          <w:lang w:val="en-GB" w:eastAsia="cs-CZ"/>
        </w:rPr>
        <w:t>study of cardiac</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electrophysiology. This </w:t>
      </w:r>
      <w:proofErr w:type="spellStart"/>
      <w:r w:rsidRPr="00D36C9C">
        <w:rPr>
          <w:rFonts w:ascii="Arial" w:hAnsi="Arial" w:cs="Arial"/>
          <w:sz w:val="24"/>
          <w:szCs w:val="24"/>
          <w:lang w:val="en-GB" w:eastAsia="cs-CZ"/>
        </w:rPr>
        <w:t>touchless</w:t>
      </w:r>
      <w:proofErr w:type="spellEnd"/>
      <w:r w:rsidRPr="00D36C9C">
        <w:rPr>
          <w:rFonts w:ascii="Arial" w:hAnsi="Arial" w:cs="Arial"/>
          <w:sz w:val="24"/>
          <w:szCs w:val="24"/>
          <w:lang w:val="en-GB" w:eastAsia="cs-CZ"/>
        </w:rPr>
        <w:t xml:space="preserve"> method allow</w:t>
      </w:r>
      <w:ins w:id="43" w:author="John Morgan" w:date="2015-03-22T19:02:00Z">
        <w:r w:rsidR="00CA30F0">
          <w:rPr>
            <w:rFonts w:ascii="Arial" w:hAnsi="Arial" w:cs="Arial"/>
            <w:sz w:val="24"/>
            <w:szCs w:val="24"/>
            <w:lang w:val="en-GB" w:eastAsia="cs-CZ"/>
          </w:rPr>
          <w:t>s</w:t>
        </w:r>
      </w:ins>
      <w:r w:rsidRPr="00D36C9C">
        <w:rPr>
          <w:rFonts w:ascii="Arial" w:hAnsi="Arial" w:cs="Arial"/>
          <w:sz w:val="24"/>
          <w:szCs w:val="24"/>
          <w:lang w:val="en-GB" w:eastAsia="cs-CZ"/>
        </w:rPr>
        <w:t xml:space="preserve"> simultaneous monitoring action</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potential of the cardiac tissue with </w:t>
      </w:r>
      <w:commentRangeStart w:id="44"/>
      <w:r w:rsidRPr="00D36C9C">
        <w:rPr>
          <w:rFonts w:ascii="Arial" w:hAnsi="Arial" w:cs="Arial"/>
          <w:sz w:val="24"/>
          <w:szCs w:val="24"/>
          <w:lang w:val="en-GB" w:eastAsia="cs-CZ"/>
        </w:rPr>
        <w:t>high</w:t>
      </w:r>
      <w:commentRangeEnd w:id="44"/>
      <w:r w:rsidR="00CA30F0">
        <w:rPr>
          <w:rStyle w:val="CommentReference"/>
          <w:vanish/>
        </w:rPr>
        <w:commentReference w:id="44"/>
      </w:r>
      <w:r w:rsidRPr="00D36C9C">
        <w:rPr>
          <w:rFonts w:ascii="Arial" w:hAnsi="Arial" w:cs="Arial"/>
          <w:sz w:val="24"/>
          <w:szCs w:val="24"/>
          <w:lang w:val="en-GB" w:eastAsia="cs-CZ"/>
        </w:rPr>
        <w:t xml:space="preserve"> space and temporal resolution. The VSD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mapping is based on excitation of the dye molecules bound to the cell membrane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under fluorescen</w:t>
      </w:r>
      <w:ins w:id="45" w:author="John Morgan" w:date="2015-03-22T19:03:00Z">
        <w:r w:rsidR="00CA30F0">
          <w:rPr>
            <w:rFonts w:ascii="Arial" w:hAnsi="Arial" w:cs="Arial"/>
            <w:sz w:val="24"/>
            <w:szCs w:val="24"/>
            <w:lang w:val="en-GB" w:eastAsia="cs-CZ"/>
          </w:rPr>
          <w:t>t</w:t>
        </w:r>
      </w:ins>
      <w:del w:id="46" w:author="John Morgan" w:date="2015-03-22T19:03:00Z">
        <w:r w:rsidRPr="00D36C9C" w:rsidDel="00CA30F0">
          <w:rPr>
            <w:rFonts w:ascii="Arial" w:hAnsi="Arial" w:cs="Arial"/>
            <w:sz w:val="24"/>
            <w:szCs w:val="24"/>
            <w:lang w:val="en-GB" w:eastAsia="cs-CZ"/>
          </w:rPr>
          <w:delText>ce</w:delText>
        </w:r>
      </w:del>
      <w:r w:rsidRPr="00D36C9C">
        <w:rPr>
          <w:rFonts w:ascii="Arial" w:hAnsi="Arial" w:cs="Arial"/>
          <w:sz w:val="24"/>
          <w:szCs w:val="24"/>
          <w:lang w:val="en-GB" w:eastAsia="cs-CZ"/>
        </w:rPr>
        <w:t xml:space="preserve"> light. Consequently, the excitation of the molecules results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in emission of</w:t>
      </w:r>
      <w:del w:id="47" w:author="John Morgan" w:date="2015-03-22T19:03:00Z">
        <w:r w:rsidRPr="00D36C9C" w:rsidDel="00CA30F0">
          <w:rPr>
            <w:rFonts w:ascii="Arial" w:hAnsi="Arial" w:cs="Arial"/>
            <w:sz w:val="24"/>
            <w:szCs w:val="24"/>
            <w:lang w:val="en-GB" w:eastAsia="cs-CZ"/>
          </w:rPr>
          <w:delText xml:space="preserve"> the</w:delText>
        </w:r>
      </w:del>
      <w:r w:rsidRPr="00D36C9C">
        <w:rPr>
          <w:rFonts w:ascii="Arial" w:hAnsi="Arial" w:cs="Arial"/>
          <w:sz w:val="24"/>
          <w:szCs w:val="24"/>
          <w:lang w:val="en-GB" w:eastAsia="cs-CZ"/>
        </w:rPr>
        <w:t xml:space="preserve"> light and shifting of the emitted light spectrum. The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spectrum is proportional to the </w:t>
      </w:r>
      <w:proofErr w:type="spellStart"/>
      <w:r w:rsidRPr="00D36C9C">
        <w:rPr>
          <w:rFonts w:ascii="Arial" w:hAnsi="Arial" w:cs="Arial"/>
          <w:sz w:val="24"/>
          <w:szCs w:val="24"/>
          <w:lang w:val="en-GB" w:eastAsia="cs-CZ"/>
        </w:rPr>
        <w:t>transmembrane</w:t>
      </w:r>
      <w:proofErr w:type="spellEnd"/>
      <w:r w:rsidRPr="00D36C9C">
        <w:rPr>
          <w:rFonts w:ascii="Arial" w:hAnsi="Arial" w:cs="Arial"/>
          <w:sz w:val="24"/>
          <w:szCs w:val="24"/>
          <w:lang w:val="en-GB" w:eastAsia="cs-CZ"/>
        </w:rPr>
        <w:t xml:space="preserve"> potential of the cells.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Nevertheless, there is a concern about interference with measured parameters due</w:t>
      </w:r>
      <w:r w:rsidR="0046224F">
        <w:rPr>
          <w:rFonts w:ascii="Arial" w:hAnsi="Arial" w:cs="Arial"/>
          <w:sz w:val="24"/>
          <w:szCs w:val="24"/>
          <w:lang w:val="en-GB" w:eastAsia="cs-CZ"/>
        </w:rPr>
        <w:t xml:space="preserve"> </w:t>
      </w:r>
      <w:ins w:id="48" w:author="John Morgan" w:date="2015-03-22T19:04:00Z">
        <w:r w:rsidR="00CA30F0">
          <w:rPr>
            <w:rFonts w:ascii="Arial" w:hAnsi="Arial" w:cs="Arial"/>
            <w:sz w:val="24"/>
            <w:szCs w:val="24"/>
            <w:lang w:val="en-GB" w:eastAsia="cs-CZ"/>
          </w:rPr>
          <w:t xml:space="preserve">to </w:t>
        </w:r>
      </w:ins>
      <w:r w:rsidRPr="00D36C9C">
        <w:rPr>
          <w:rFonts w:ascii="Arial" w:hAnsi="Arial" w:cs="Arial"/>
          <w:sz w:val="24"/>
          <w:szCs w:val="24"/>
          <w:lang w:val="en-GB" w:eastAsia="cs-CZ"/>
        </w:rPr>
        <w:t>bounding of the dye to the cell membranes.  The slowing of cardiac impulse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propagation in the presence of the VSD was shown. There is no evidence about</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impact of V</w:t>
      </w:r>
      <w:ins w:id="49" w:author="John Morgan" w:date="2015-03-22T19:04:00Z">
        <w:r w:rsidR="00CA30F0">
          <w:rPr>
            <w:rFonts w:ascii="Arial" w:hAnsi="Arial" w:cs="Arial"/>
            <w:sz w:val="24"/>
            <w:szCs w:val="24"/>
            <w:lang w:val="en-GB" w:eastAsia="cs-CZ"/>
          </w:rPr>
          <w:t>SD</w:t>
        </w:r>
      </w:ins>
      <w:del w:id="50" w:author="John Morgan" w:date="2015-03-22T19:04:00Z">
        <w:r w:rsidRPr="00D36C9C" w:rsidDel="00CA30F0">
          <w:rPr>
            <w:rFonts w:ascii="Arial" w:hAnsi="Arial" w:cs="Arial"/>
            <w:sz w:val="24"/>
            <w:szCs w:val="24"/>
            <w:lang w:val="en-GB" w:eastAsia="cs-CZ"/>
          </w:rPr>
          <w:delText>DS</w:delText>
        </w:r>
      </w:del>
      <w:r w:rsidRPr="00D36C9C">
        <w:rPr>
          <w:rFonts w:ascii="Arial" w:hAnsi="Arial" w:cs="Arial"/>
          <w:sz w:val="24"/>
          <w:szCs w:val="24"/>
          <w:lang w:val="en-GB" w:eastAsia="cs-CZ"/>
        </w:rPr>
        <w:t xml:space="preserve"> to the conduction system of the heart, however</w:t>
      </w:r>
      <w:ins w:id="51" w:author="John Morgan" w:date="2015-03-22T19:04:00Z">
        <w:r w:rsidR="00CA30F0">
          <w:rPr>
            <w:rFonts w:ascii="Arial" w:hAnsi="Arial" w:cs="Arial"/>
            <w:sz w:val="24"/>
            <w:szCs w:val="24"/>
            <w:lang w:val="en-GB" w:eastAsia="cs-CZ"/>
          </w:rPr>
          <w:t>,</w:t>
        </w:r>
      </w:ins>
      <w:r w:rsidRPr="00D36C9C">
        <w:rPr>
          <w:rFonts w:ascii="Arial" w:hAnsi="Arial" w:cs="Arial"/>
          <w:sz w:val="24"/>
          <w:szCs w:val="24"/>
          <w:lang w:val="en-GB" w:eastAsia="cs-CZ"/>
        </w:rPr>
        <w:t xml:space="preserve"> slowing of the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impulse propagation may subsequently resulted </w:t>
      </w:r>
      <w:ins w:id="52" w:author="John Morgan" w:date="2015-03-22T19:04:00Z">
        <w:r w:rsidR="00CA30F0">
          <w:rPr>
            <w:rFonts w:ascii="Arial" w:hAnsi="Arial" w:cs="Arial"/>
            <w:sz w:val="24"/>
            <w:szCs w:val="24"/>
            <w:lang w:val="en-GB" w:eastAsia="cs-CZ"/>
          </w:rPr>
          <w:t>in</w:t>
        </w:r>
      </w:ins>
      <w:del w:id="53" w:author="John Morgan" w:date="2015-03-22T19:04:00Z">
        <w:r w:rsidRPr="00D36C9C" w:rsidDel="00CA30F0">
          <w:rPr>
            <w:rFonts w:ascii="Arial" w:hAnsi="Arial" w:cs="Arial"/>
            <w:sz w:val="24"/>
            <w:szCs w:val="24"/>
            <w:lang w:val="en-GB" w:eastAsia="cs-CZ"/>
          </w:rPr>
          <w:delText>to</w:delText>
        </w:r>
      </w:del>
      <w:r w:rsidRPr="00D36C9C">
        <w:rPr>
          <w:rFonts w:ascii="Arial" w:hAnsi="Arial" w:cs="Arial"/>
          <w:sz w:val="24"/>
          <w:szCs w:val="24"/>
          <w:lang w:val="en-GB" w:eastAsia="cs-CZ"/>
        </w:rPr>
        <w:t xml:space="preserve"> disturbances in generation of</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heart rhythm or to its block, which, in turn may trigger arrhythmias. The aim of</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this study was therefore </w:t>
      </w:r>
      <w:ins w:id="54" w:author="John Morgan" w:date="2015-03-22T19:05:00Z">
        <w:r w:rsidR="00CA30F0">
          <w:rPr>
            <w:rFonts w:ascii="Arial" w:hAnsi="Arial" w:cs="Arial"/>
            <w:sz w:val="24"/>
            <w:szCs w:val="24"/>
            <w:lang w:val="en-GB" w:eastAsia="cs-CZ"/>
          </w:rPr>
          <w:t xml:space="preserve">to </w:t>
        </w:r>
      </w:ins>
      <w:r w:rsidRPr="00D36C9C">
        <w:rPr>
          <w:rFonts w:ascii="Arial" w:hAnsi="Arial" w:cs="Arial"/>
          <w:sz w:val="24"/>
          <w:szCs w:val="24"/>
          <w:lang w:val="en-GB" w:eastAsia="cs-CZ"/>
        </w:rPr>
        <w:t>evaluate</w:t>
      </w:r>
      <w:ins w:id="55" w:author="John Morgan" w:date="2015-03-22T19:05:00Z">
        <w:r w:rsidR="00CA30F0">
          <w:rPr>
            <w:rFonts w:ascii="Arial" w:hAnsi="Arial" w:cs="Arial"/>
            <w:sz w:val="24"/>
            <w:szCs w:val="24"/>
            <w:lang w:val="en-GB" w:eastAsia="cs-CZ"/>
          </w:rPr>
          <w:t xml:space="preserve"> the</w:t>
        </w:r>
      </w:ins>
      <w:del w:id="56" w:author="John Morgan" w:date="2015-03-22T19:05:00Z">
        <w:r w:rsidRPr="00D36C9C" w:rsidDel="00CA30F0">
          <w:rPr>
            <w:rFonts w:ascii="Arial" w:hAnsi="Arial" w:cs="Arial"/>
            <w:sz w:val="24"/>
            <w:szCs w:val="24"/>
            <w:lang w:val="en-GB" w:eastAsia="cs-CZ"/>
          </w:rPr>
          <w:delText>d</w:delText>
        </w:r>
      </w:del>
      <w:r w:rsidRPr="00D36C9C">
        <w:rPr>
          <w:rFonts w:ascii="Arial" w:hAnsi="Arial" w:cs="Arial"/>
          <w:sz w:val="24"/>
          <w:szCs w:val="24"/>
          <w:lang w:val="en-GB" w:eastAsia="cs-CZ"/>
        </w:rPr>
        <w:t xml:space="preserve"> influence of the most employed VSD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di-4-ANNEPS to the cardiac conduction system in isolated rabbit heart</w:t>
      </w:r>
      <w:ins w:id="57" w:author="John Morgan" w:date="2015-03-22T19:05:00Z">
        <w:r w:rsidR="00CA30F0">
          <w:rPr>
            <w:rFonts w:ascii="Arial" w:hAnsi="Arial" w:cs="Arial"/>
            <w:sz w:val="24"/>
            <w:szCs w:val="24"/>
            <w:lang w:val="en-GB" w:eastAsia="cs-CZ"/>
          </w:rPr>
          <w:t>s</w:t>
        </w:r>
      </w:ins>
      <w:r w:rsidRPr="00D36C9C">
        <w:rPr>
          <w:rFonts w:ascii="Arial" w:hAnsi="Arial" w:cs="Arial"/>
          <w:sz w:val="24"/>
          <w:szCs w:val="24"/>
          <w:lang w:val="en-GB" w:eastAsia="cs-CZ"/>
        </w:rPr>
        <w:t>. The study</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was perform</w:t>
      </w:r>
      <w:ins w:id="58" w:author="John Morgan" w:date="2015-03-22T19:05:00Z">
        <w:r w:rsidR="00CA30F0">
          <w:rPr>
            <w:rFonts w:ascii="Arial" w:hAnsi="Arial" w:cs="Arial"/>
            <w:sz w:val="24"/>
            <w:szCs w:val="24"/>
            <w:lang w:val="en-GB" w:eastAsia="cs-CZ"/>
          </w:rPr>
          <w:t>ed</w:t>
        </w:r>
      </w:ins>
      <w:r w:rsidRPr="00D36C9C">
        <w:rPr>
          <w:rFonts w:ascii="Arial" w:hAnsi="Arial" w:cs="Arial"/>
          <w:sz w:val="24"/>
          <w:szCs w:val="24"/>
          <w:lang w:val="en-GB" w:eastAsia="cs-CZ"/>
        </w:rPr>
        <w:t xml:space="preserve"> in </w:t>
      </w:r>
      <w:proofErr w:type="spellStart"/>
      <w:r w:rsidRPr="00D36C9C">
        <w:rPr>
          <w:rFonts w:ascii="Arial" w:hAnsi="Arial" w:cs="Arial"/>
          <w:sz w:val="24"/>
          <w:szCs w:val="24"/>
          <w:lang w:val="en-GB" w:eastAsia="cs-CZ"/>
        </w:rPr>
        <w:t>Langendorff</w:t>
      </w:r>
      <w:proofErr w:type="spellEnd"/>
      <w:r w:rsidRPr="00D36C9C">
        <w:rPr>
          <w:rFonts w:ascii="Arial" w:hAnsi="Arial" w:cs="Arial"/>
          <w:sz w:val="24"/>
          <w:szCs w:val="24"/>
          <w:lang w:val="en-GB" w:eastAsia="cs-CZ"/>
        </w:rPr>
        <w:t xml:space="preserve"> isolated rabbit hearts. The </w:t>
      </w:r>
      <w:proofErr w:type="spellStart"/>
      <w:r w:rsidRPr="00D36C9C">
        <w:rPr>
          <w:rFonts w:ascii="Arial" w:hAnsi="Arial" w:cs="Arial"/>
          <w:sz w:val="24"/>
          <w:szCs w:val="24"/>
          <w:lang w:val="en-GB" w:eastAsia="cs-CZ"/>
        </w:rPr>
        <w:t>electrograms</w:t>
      </w:r>
      <w:proofErr w:type="spellEnd"/>
      <w:r w:rsidRPr="00D36C9C">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EGs</w:t>
      </w:r>
      <w:proofErr w:type="spellEnd"/>
      <w:r w:rsidRPr="00D36C9C">
        <w:rPr>
          <w:rFonts w:ascii="Arial" w:hAnsi="Arial" w:cs="Arial"/>
          <w:sz w:val="24"/>
          <w:szCs w:val="24"/>
          <w:lang w:val="en-GB" w:eastAsia="cs-CZ"/>
        </w:rPr>
        <w:t>) w</w:t>
      </w:r>
      <w:ins w:id="59" w:author="John Morgan" w:date="2015-03-22T19:05:00Z">
        <w:r w:rsidR="00CA30F0">
          <w:rPr>
            <w:rFonts w:ascii="Arial" w:hAnsi="Arial" w:cs="Arial"/>
            <w:sz w:val="24"/>
            <w:szCs w:val="24"/>
            <w:lang w:val="en-GB" w:eastAsia="cs-CZ"/>
          </w:rPr>
          <w:t>ere</w:t>
        </w:r>
      </w:ins>
      <w:del w:id="60" w:author="John Morgan" w:date="2015-03-22T19:05:00Z">
        <w:r w:rsidRPr="00D36C9C" w:rsidDel="00CA30F0">
          <w:rPr>
            <w:rFonts w:ascii="Arial" w:hAnsi="Arial" w:cs="Arial"/>
            <w:sz w:val="24"/>
            <w:szCs w:val="24"/>
            <w:lang w:val="en-GB" w:eastAsia="cs-CZ"/>
          </w:rPr>
          <w:delText>as</w:delText>
        </w:r>
      </w:del>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recorded by </w:t>
      </w:r>
      <w:commentRangeStart w:id="61"/>
      <w:r w:rsidRPr="00D36C9C">
        <w:rPr>
          <w:rFonts w:ascii="Arial" w:hAnsi="Arial" w:cs="Arial"/>
          <w:sz w:val="24"/>
          <w:szCs w:val="24"/>
          <w:lang w:val="en-GB" w:eastAsia="cs-CZ"/>
        </w:rPr>
        <w:t xml:space="preserve">three orthogonal touch-less </w:t>
      </w:r>
      <w:proofErr w:type="gramStart"/>
      <w:r w:rsidRPr="00D36C9C">
        <w:rPr>
          <w:rFonts w:ascii="Arial" w:hAnsi="Arial" w:cs="Arial"/>
          <w:sz w:val="24"/>
          <w:szCs w:val="24"/>
          <w:lang w:val="en-GB" w:eastAsia="cs-CZ"/>
        </w:rPr>
        <w:t>system</w:t>
      </w:r>
      <w:commentRangeEnd w:id="61"/>
      <w:proofErr w:type="gramEnd"/>
      <w:r w:rsidR="008974D5">
        <w:rPr>
          <w:rStyle w:val="CommentReference"/>
          <w:vanish/>
        </w:rPr>
        <w:commentReference w:id="61"/>
      </w:r>
      <w:r w:rsidRPr="00D36C9C">
        <w:rPr>
          <w:rFonts w:ascii="Arial" w:hAnsi="Arial" w:cs="Arial"/>
          <w:sz w:val="24"/>
          <w:szCs w:val="24"/>
          <w:lang w:val="en-GB" w:eastAsia="cs-CZ"/>
        </w:rPr>
        <w:t xml:space="preserve">.  The effect </w:t>
      </w:r>
      <w:ins w:id="62" w:author="John Morgan" w:date="2015-03-22T19:08:00Z">
        <w:r w:rsidR="008974D5">
          <w:rPr>
            <w:rFonts w:ascii="Arial" w:hAnsi="Arial" w:cs="Arial"/>
            <w:sz w:val="24"/>
            <w:szCs w:val="24"/>
            <w:lang w:val="en-GB" w:eastAsia="cs-CZ"/>
          </w:rPr>
          <w:t>on</w:t>
        </w:r>
      </w:ins>
      <w:del w:id="63" w:author="John Morgan" w:date="2015-03-22T19:08:00Z">
        <w:r w:rsidRPr="00D36C9C" w:rsidDel="008974D5">
          <w:rPr>
            <w:rFonts w:ascii="Arial" w:hAnsi="Arial" w:cs="Arial"/>
            <w:sz w:val="24"/>
            <w:szCs w:val="24"/>
            <w:lang w:val="en-GB" w:eastAsia="cs-CZ"/>
          </w:rPr>
          <w:delText>to</w:delText>
        </w:r>
      </w:del>
      <w:r w:rsidRPr="00D36C9C">
        <w:rPr>
          <w:rFonts w:ascii="Arial" w:hAnsi="Arial" w:cs="Arial"/>
          <w:sz w:val="24"/>
          <w:szCs w:val="24"/>
          <w:lang w:val="en-GB" w:eastAsia="cs-CZ"/>
        </w:rPr>
        <w:t xml:space="preserve"> the cardiac</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conduction system was asses</w:t>
      </w:r>
      <w:ins w:id="64" w:author="John Morgan" w:date="2015-03-22T19:08:00Z">
        <w:r w:rsidR="008974D5">
          <w:rPr>
            <w:rFonts w:ascii="Arial" w:hAnsi="Arial" w:cs="Arial"/>
            <w:sz w:val="24"/>
            <w:szCs w:val="24"/>
            <w:lang w:val="en-GB" w:eastAsia="cs-CZ"/>
          </w:rPr>
          <w:t>sed</w:t>
        </w:r>
      </w:ins>
      <w:r w:rsidRPr="00D36C9C">
        <w:rPr>
          <w:rFonts w:ascii="Arial" w:hAnsi="Arial" w:cs="Arial"/>
          <w:sz w:val="24"/>
          <w:szCs w:val="24"/>
          <w:lang w:val="en-GB" w:eastAsia="cs-CZ"/>
        </w:rPr>
        <w:t xml:space="preserve"> by change in the heart rate (HR), EG morphology and</w:t>
      </w:r>
      <w:r w:rsidR="0046224F">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arrhythmogenicity</w:t>
      </w:r>
      <w:proofErr w:type="spellEnd"/>
      <w:r w:rsidRPr="00D36C9C">
        <w:rPr>
          <w:rFonts w:ascii="Arial" w:hAnsi="Arial" w:cs="Arial"/>
          <w:sz w:val="24"/>
          <w:szCs w:val="24"/>
          <w:lang w:val="en-GB" w:eastAsia="cs-CZ"/>
        </w:rPr>
        <w:t xml:space="preserve"> scoring. Perfusion of the di-4-ANNEPS (1µM) leads to the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slowing of the HR to 70%. QT and </w:t>
      </w:r>
      <w:proofErr w:type="spellStart"/>
      <w:r w:rsidRPr="00D36C9C">
        <w:rPr>
          <w:rFonts w:ascii="Arial" w:hAnsi="Arial" w:cs="Arial"/>
          <w:sz w:val="24"/>
          <w:szCs w:val="24"/>
          <w:lang w:val="en-GB" w:eastAsia="cs-CZ"/>
        </w:rPr>
        <w:t>QTc</w:t>
      </w:r>
      <w:proofErr w:type="spellEnd"/>
      <w:r w:rsidRPr="00D36C9C">
        <w:rPr>
          <w:rFonts w:ascii="Arial" w:hAnsi="Arial" w:cs="Arial"/>
          <w:sz w:val="24"/>
          <w:szCs w:val="24"/>
          <w:lang w:val="en-GB" w:eastAsia="cs-CZ"/>
        </w:rPr>
        <w:t xml:space="preserve"> interval</w:t>
      </w:r>
      <w:ins w:id="65" w:author="John Morgan" w:date="2015-03-22T19:08:00Z">
        <w:r w:rsidR="008974D5">
          <w:rPr>
            <w:rFonts w:ascii="Arial" w:hAnsi="Arial" w:cs="Arial"/>
            <w:sz w:val="24"/>
            <w:szCs w:val="24"/>
            <w:lang w:val="en-GB" w:eastAsia="cs-CZ"/>
          </w:rPr>
          <w:t xml:space="preserve"> and</w:t>
        </w:r>
      </w:ins>
      <w:del w:id="66" w:author="John Morgan" w:date="2015-03-22T19:08:00Z">
        <w:r w:rsidRPr="00D36C9C" w:rsidDel="008974D5">
          <w:rPr>
            <w:rFonts w:ascii="Arial" w:hAnsi="Arial" w:cs="Arial"/>
            <w:sz w:val="24"/>
            <w:szCs w:val="24"/>
            <w:lang w:val="en-GB" w:eastAsia="cs-CZ"/>
          </w:rPr>
          <w:delText>,</w:delText>
        </w:r>
      </w:del>
      <w:r w:rsidRPr="00D36C9C">
        <w:rPr>
          <w:rFonts w:ascii="Arial" w:hAnsi="Arial" w:cs="Arial"/>
          <w:sz w:val="24"/>
          <w:szCs w:val="24"/>
          <w:lang w:val="en-GB" w:eastAsia="cs-CZ"/>
        </w:rPr>
        <w:t xml:space="preserve"> EG morphology w</w:t>
      </w:r>
      <w:ins w:id="67" w:author="John Morgan" w:date="2015-03-22T19:08:00Z">
        <w:r w:rsidR="008974D5">
          <w:rPr>
            <w:rFonts w:ascii="Arial" w:hAnsi="Arial" w:cs="Arial"/>
            <w:sz w:val="24"/>
            <w:szCs w:val="24"/>
            <w:lang w:val="en-GB" w:eastAsia="cs-CZ"/>
          </w:rPr>
          <w:t>ere</w:t>
        </w:r>
      </w:ins>
      <w:del w:id="68" w:author="John Morgan" w:date="2015-03-22T19:08:00Z">
        <w:r w:rsidRPr="00D36C9C" w:rsidDel="008974D5">
          <w:rPr>
            <w:rFonts w:ascii="Arial" w:hAnsi="Arial" w:cs="Arial"/>
            <w:sz w:val="24"/>
            <w:szCs w:val="24"/>
            <w:lang w:val="en-GB" w:eastAsia="cs-CZ"/>
          </w:rPr>
          <w:delText>as</w:delText>
        </w:r>
      </w:del>
      <w:r w:rsidRPr="00D36C9C">
        <w:rPr>
          <w:rFonts w:ascii="Arial" w:hAnsi="Arial" w:cs="Arial"/>
          <w:sz w:val="24"/>
          <w:szCs w:val="24"/>
          <w:lang w:val="en-GB" w:eastAsia="cs-CZ"/>
        </w:rPr>
        <w:t xml:space="preserve"> not changed. </w:t>
      </w:r>
      <w:ins w:id="69" w:author="John Morgan" w:date="2015-03-22T19:09:00Z">
        <w:r w:rsidR="008974D5">
          <w:rPr>
            <w:rFonts w:ascii="Arial" w:hAnsi="Arial" w:cs="Arial"/>
            <w:sz w:val="24"/>
            <w:szCs w:val="24"/>
            <w:lang w:val="en-GB" w:eastAsia="cs-CZ"/>
          </w:rPr>
          <w:t>M</w:t>
        </w:r>
      </w:ins>
      <w:del w:id="70" w:author="John Morgan" w:date="2015-03-22T19:09:00Z">
        <w:r w:rsidRPr="00D36C9C" w:rsidDel="008974D5">
          <w:rPr>
            <w:rFonts w:ascii="Arial" w:hAnsi="Arial" w:cs="Arial"/>
            <w:sz w:val="24"/>
            <w:szCs w:val="24"/>
            <w:lang w:val="en-GB" w:eastAsia="cs-CZ"/>
          </w:rPr>
          <w:delText>It</w:delText>
        </w:r>
        <w:r w:rsidR="0046224F" w:rsidDel="008974D5">
          <w:rPr>
            <w:rFonts w:ascii="Arial" w:hAnsi="Arial" w:cs="Arial"/>
            <w:sz w:val="24"/>
            <w:szCs w:val="24"/>
            <w:lang w:val="en-GB" w:eastAsia="cs-CZ"/>
          </w:rPr>
          <w:delText xml:space="preserve"> </w:delText>
        </w:r>
        <w:r w:rsidRPr="00D36C9C" w:rsidDel="008974D5">
          <w:rPr>
            <w:rFonts w:ascii="Arial" w:hAnsi="Arial" w:cs="Arial"/>
            <w:sz w:val="24"/>
            <w:szCs w:val="24"/>
            <w:lang w:val="en-GB" w:eastAsia="cs-CZ"/>
          </w:rPr>
          <w:delText>was observed m</w:delText>
        </w:r>
      </w:del>
      <w:r w:rsidRPr="00D36C9C">
        <w:rPr>
          <w:rFonts w:ascii="Arial" w:hAnsi="Arial" w:cs="Arial"/>
          <w:sz w:val="24"/>
          <w:szCs w:val="24"/>
          <w:lang w:val="en-GB" w:eastAsia="cs-CZ"/>
        </w:rPr>
        <w:t>oderate arrhythmias</w:t>
      </w:r>
      <w:ins w:id="71" w:author="John Morgan" w:date="2015-03-22T19:09:00Z">
        <w:r w:rsidR="008974D5">
          <w:rPr>
            <w:rFonts w:ascii="Arial" w:hAnsi="Arial" w:cs="Arial"/>
            <w:sz w:val="24"/>
            <w:szCs w:val="24"/>
            <w:lang w:val="en-GB" w:eastAsia="cs-CZ"/>
          </w:rPr>
          <w:t xml:space="preserve"> were observed</w:t>
        </w:r>
      </w:ins>
      <w:r w:rsidRPr="00D36C9C">
        <w:rPr>
          <w:rFonts w:ascii="Arial" w:hAnsi="Arial" w:cs="Arial"/>
          <w:sz w:val="24"/>
          <w:szCs w:val="24"/>
          <w:lang w:val="en-GB" w:eastAsia="cs-CZ"/>
        </w:rPr>
        <w:t>, mainly AV blocks and single ventricular</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complexes. </w:t>
      </w:r>
      <w:ins w:id="72" w:author="John Morgan" w:date="2015-03-22T19:09:00Z">
        <w:r w:rsidR="008974D5">
          <w:rPr>
            <w:rFonts w:ascii="Arial" w:hAnsi="Arial" w:cs="Arial"/>
            <w:sz w:val="24"/>
            <w:szCs w:val="24"/>
            <w:lang w:val="en-GB" w:eastAsia="cs-CZ"/>
          </w:rPr>
          <w:t xml:space="preserve">The </w:t>
        </w:r>
      </w:ins>
      <w:del w:id="73" w:author="John Morgan" w:date="2015-03-22T19:09:00Z">
        <w:r w:rsidRPr="00D36C9C" w:rsidDel="008974D5">
          <w:rPr>
            <w:rFonts w:ascii="Arial" w:hAnsi="Arial" w:cs="Arial"/>
            <w:sz w:val="24"/>
            <w:szCs w:val="24"/>
            <w:lang w:val="en-GB" w:eastAsia="cs-CZ"/>
          </w:rPr>
          <w:delText xml:space="preserve">Score of </w:delText>
        </w:r>
      </w:del>
      <w:proofErr w:type="spellStart"/>
      <w:r w:rsidRPr="00D36C9C">
        <w:rPr>
          <w:rFonts w:ascii="Arial" w:hAnsi="Arial" w:cs="Arial"/>
          <w:sz w:val="24"/>
          <w:szCs w:val="24"/>
          <w:lang w:val="en-GB" w:eastAsia="cs-CZ"/>
        </w:rPr>
        <w:t>arrhythmogenicity</w:t>
      </w:r>
      <w:proofErr w:type="spellEnd"/>
      <w:ins w:id="74" w:author="John Morgan" w:date="2015-03-22T19:09:00Z">
        <w:r w:rsidR="008974D5">
          <w:rPr>
            <w:rFonts w:ascii="Arial" w:hAnsi="Arial" w:cs="Arial"/>
            <w:sz w:val="24"/>
            <w:szCs w:val="24"/>
            <w:lang w:val="en-GB" w:eastAsia="cs-CZ"/>
          </w:rPr>
          <w:t xml:space="preserve"> score</w:t>
        </w:r>
      </w:ins>
      <w:r w:rsidRPr="00D36C9C">
        <w:rPr>
          <w:rFonts w:ascii="Arial" w:hAnsi="Arial" w:cs="Arial"/>
          <w:sz w:val="24"/>
          <w:szCs w:val="24"/>
          <w:lang w:val="en-GB" w:eastAsia="cs-CZ"/>
        </w:rPr>
        <w:t xml:space="preserve"> according</w:t>
      </w:r>
      <w:ins w:id="75" w:author="John Morgan" w:date="2015-03-22T19:09:00Z">
        <w:r w:rsidR="008974D5">
          <w:rPr>
            <w:rFonts w:ascii="Arial" w:hAnsi="Arial" w:cs="Arial"/>
            <w:sz w:val="24"/>
            <w:szCs w:val="24"/>
            <w:lang w:val="en-GB" w:eastAsia="cs-CZ"/>
          </w:rPr>
          <w:t xml:space="preserve"> to</w:t>
        </w:r>
      </w:ins>
      <w:r w:rsidRPr="00D36C9C">
        <w:rPr>
          <w:rFonts w:ascii="Arial" w:hAnsi="Arial" w:cs="Arial"/>
          <w:sz w:val="24"/>
          <w:szCs w:val="24"/>
          <w:lang w:val="en-GB" w:eastAsia="cs-CZ"/>
        </w:rPr>
        <w:t xml:space="preserve"> </w:t>
      </w:r>
      <w:commentRangeStart w:id="76"/>
      <w:r w:rsidRPr="00D36C9C">
        <w:rPr>
          <w:rFonts w:ascii="Arial" w:hAnsi="Arial" w:cs="Arial"/>
          <w:sz w:val="24"/>
          <w:szCs w:val="24"/>
          <w:lang w:val="en-GB" w:eastAsia="cs-CZ"/>
        </w:rPr>
        <w:t>Lambeth</w:t>
      </w:r>
      <w:commentRangeEnd w:id="76"/>
      <w:r w:rsidR="008974D5">
        <w:rPr>
          <w:rStyle w:val="CommentReference"/>
          <w:vanish/>
        </w:rPr>
        <w:commentReference w:id="76"/>
      </w:r>
      <w:r w:rsidRPr="00D36C9C">
        <w:rPr>
          <w:rFonts w:ascii="Arial" w:hAnsi="Arial" w:cs="Arial"/>
          <w:sz w:val="24"/>
          <w:szCs w:val="24"/>
          <w:lang w:val="en-GB" w:eastAsia="cs-CZ"/>
        </w:rPr>
        <w:t xml:space="preserve"> was </w:t>
      </w:r>
      <w:commentRangeStart w:id="77"/>
      <w:r w:rsidRPr="00D36C9C">
        <w:rPr>
          <w:rFonts w:ascii="Arial" w:hAnsi="Arial" w:cs="Arial"/>
          <w:sz w:val="24"/>
          <w:szCs w:val="24"/>
          <w:lang w:val="en-GB" w:eastAsia="cs-CZ"/>
        </w:rPr>
        <w:t>0,4</w:t>
      </w:r>
      <w:commentRangeEnd w:id="77"/>
      <w:r w:rsidR="008974D5">
        <w:rPr>
          <w:rStyle w:val="CommentReference"/>
          <w:vanish/>
        </w:rPr>
        <w:commentReference w:id="77"/>
      </w:r>
      <w:r w:rsidRPr="00D36C9C">
        <w:rPr>
          <w:rFonts w:ascii="Arial" w:hAnsi="Arial" w:cs="Arial"/>
          <w:sz w:val="24"/>
          <w:szCs w:val="24"/>
          <w:lang w:val="en-GB" w:eastAsia="cs-CZ"/>
        </w:rPr>
        <w:t>. We can conclude</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that 1µM di-4-ANNEPS slow</w:t>
      </w:r>
      <w:ins w:id="78" w:author="John Morgan" w:date="2015-03-22T19:11:00Z">
        <w:r w:rsidR="008974D5">
          <w:rPr>
            <w:rFonts w:ascii="Arial" w:hAnsi="Arial" w:cs="Arial"/>
            <w:sz w:val="24"/>
            <w:szCs w:val="24"/>
            <w:lang w:val="en-GB" w:eastAsia="cs-CZ"/>
          </w:rPr>
          <w:t>s</w:t>
        </w:r>
      </w:ins>
      <w:r w:rsidRPr="00D36C9C">
        <w:rPr>
          <w:rFonts w:ascii="Arial" w:hAnsi="Arial" w:cs="Arial"/>
          <w:sz w:val="24"/>
          <w:szCs w:val="24"/>
          <w:lang w:val="en-GB" w:eastAsia="cs-CZ"/>
        </w:rPr>
        <w:t xml:space="preserve"> heart rate and leads to the disturbance of heart</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rhythm in isolated rabbit heart</w:t>
      </w:r>
      <w:ins w:id="79" w:author="John Morgan" w:date="2015-03-22T19:11:00Z">
        <w:r w:rsidR="008974D5">
          <w:rPr>
            <w:rFonts w:ascii="Arial" w:hAnsi="Arial" w:cs="Arial"/>
            <w:sz w:val="24"/>
            <w:szCs w:val="24"/>
            <w:lang w:val="en-GB" w:eastAsia="cs-CZ"/>
          </w:rPr>
          <w:t>s</w:t>
        </w:r>
      </w:ins>
      <w:r w:rsidRPr="00D36C9C">
        <w:rPr>
          <w:rFonts w:ascii="Arial" w:hAnsi="Arial" w:cs="Arial"/>
          <w:sz w:val="24"/>
          <w:szCs w:val="24"/>
          <w:lang w:val="en-GB" w:eastAsia="cs-CZ"/>
        </w:rPr>
        <w:t>. The findings strongly suggest direct impact of</w:t>
      </w:r>
      <w:r w:rsidR="0046224F">
        <w:rPr>
          <w:rFonts w:ascii="Arial" w:hAnsi="Arial" w:cs="Arial"/>
          <w:sz w:val="24"/>
          <w:szCs w:val="24"/>
          <w:lang w:val="en-GB" w:eastAsia="cs-CZ"/>
        </w:rPr>
        <w:t xml:space="preserve"> t</w:t>
      </w:r>
      <w:r w:rsidRPr="00D36C9C">
        <w:rPr>
          <w:rFonts w:ascii="Arial" w:hAnsi="Arial" w:cs="Arial"/>
          <w:sz w:val="24"/>
          <w:szCs w:val="24"/>
          <w:lang w:val="en-GB" w:eastAsia="cs-CZ"/>
        </w:rPr>
        <w:t>he di-4-ANNEPS to the conduction system of the heart.</w:t>
      </w:r>
    </w:p>
    <w:p w:rsidR="0046224F" w:rsidRDefault="0046224F" w:rsidP="00BF2FCD">
      <w:pPr>
        <w:pStyle w:val="NoSpacing"/>
        <w:tabs>
          <w:tab w:val="left" w:pos="8352"/>
        </w:tabs>
        <w:spacing w:line="360" w:lineRule="auto"/>
        <w:jc w:val="both"/>
        <w:rPr>
          <w:rFonts w:ascii="Arial" w:hAnsi="Arial" w:cs="Arial"/>
          <w:sz w:val="24"/>
          <w:szCs w:val="24"/>
          <w:lang w:val="en-GB" w:eastAsia="cs-CZ"/>
        </w:rPr>
      </w:pPr>
    </w:p>
    <w:p w:rsidR="0046224F" w:rsidRDefault="0046224F" w:rsidP="00BF2FCD">
      <w:pPr>
        <w:pStyle w:val="NoSpacing"/>
        <w:tabs>
          <w:tab w:val="left" w:pos="8352"/>
        </w:tabs>
        <w:spacing w:line="360" w:lineRule="auto"/>
        <w:jc w:val="both"/>
        <w:rPr>
          <w:rFonts w:ascii="Arial" w:hAnsi="Arial" w:cs="Arial"/>
          <w:sz w:val="24"/>
          <w:szCs w:val="24"/>
          <w:lang w:val="en-GB" w:eastAsia="cs-CZ"/>
        </w:rPr>
      </w:pPr>
    </w:p>
    <w:p w:rsidR="0046224F" w:rsidRDefault="0046224F" w:rsidP="00BF2FCD">
      <w:pPr>
        <w:pStyle w:val="NoSpacing"/>
        <w:tabs>
          <w:tab w:val="left" w:pos="8352"/>
        </w:tabs>
        <w:spacing w:line="360" w:lineRule="auto"/>
        <w:jc w:val="both"/>
        <w:rPr>
          <w:rFonts w:ascii="Arial" w:hAnsi="Arial" w:cs="Arial"/>
          <w:sz w:val="24"/>
          <w:szCs w:val="24"/>
          <w:lang w:val="en-GB" w:eastAsia="cs-CZ"/>
        </w:rPr>
      </w:pPr>
    </w:p>
    <w:p w:rsidR="0046224F" w:rsidRDefault="0046224F" w:rsidP="00BF2FCD">
      <w:pPr>
        <w:pStyle w:val="NoSpacing"/>
        <w:tabs>
          <w:tab w:val="left" w:pos="8352"/>
        </w:tabs>
        <w:spacing w:line="360" w:lineRule="auto"/>
        <w:jc w:val="both"/>
        <w:rPr>
          <w:rFonts w:ascii="Arial" w:hAnsi="Arial" w:cs="Arial"/>
          <w:sz w:val="24"/>
          <w:szCs w:val="24"/>
          <w:lang w:val="en-GB" w:eastAsia="cs-CZ"/>
        </w:rPr>
      </w:pPr>
    </w:p>
    <w:p w:rsidR="0046224F" w:rsidRDefault="00BF2FCD" w:rsidP="00BF2FCD">
      <w:pPr>
        <w:spacing w:line="360" w:lineRule="auto"/>
        <w:rPr>
          <w:rFonts w:ascii="Arial" w:hAnsi="Arial" w:cs="Arial"/>
          <w:sz w:val="24"/>
          <w:szCs w:val="24"/>
          <w:lang w:val="en-GB" w:eastAsia="cs-CZ"/>
        </w:rPr>
      </w:pPr>
      <w:r>
        <w:rPr>
          <w:rFonts w:ascii="Arial" w:hAnsi="Arial" w:cs="Arial"/>
          <w:sz w:val="24"/>
          <w:szCs w:val="24"/>
          <w:lang w:val="en-GB" w:eastAsia="cs-CZ"/>
        </w:rPr>
        <w:br w:type="page"/>
      </w:r>
      <w:r w:rsidR="0046224F">
        <w:rPr>
          <w:rFonts w:ascii="Arial" w:hAnsi="Arial" w:cs="Arial"/>
          <w:sz w:val="24"/>
          <w:szCs w:val="24"/>
          <w:lang w:val="en-GB" w:eastAsia="cs-CZ"/>
        </w:rPr>
        <w:t xml:space="preserve">6. </w:t>
      </w:r>
      <w:r w:rsidR="0046224F" w:rsidRPr="00D36C9C">
        <w:rPr>
          <w:rFonts w:ascii="Arial" w:hAnsi="Arial" w:cs="Arial"/>
          <w:sz w:val="24"/>
          <w:szCs w:val="24"/>
          <w:lang w:val="en-GB" w:eastAsia="cs-CZ"/>
        </w:rPr>
        <w:t xml:space="preserve">Gabriela </w:t>
      </w:r>
      <w:proofErr w:type="spellStart"/>
      <w:r w:rsidR="0046224F" w:rsidRPr="00D36C9C">
        <w:rPr>
          <w:rFonts w:ascii="Arial" w:hAnsi="Arial" w:cs="Arial"/>
          <w:sz w:val="24"/>
          <w:szCs w:val="24"/>
          <w:lang w:val="en-GB" w:eastAsia="cs-CZ"/>
        </w:rPr>
        <w:t>Pavlasov</w:t>
      </w:r>
      <w:r w:rsidR="0046224F">
        <w:rPr>
          <w:rFonts w:ascii="Arial" w:hAnsi="Arial" w:cs="Arial"/>
          <w:sz w:val="24"/>
          <w:szCs w:val="24"/>
          <w:lang w:val="en-GB" w:eastAsia="cs-CZ"/>
        </w:rPr>
        <w:t>a</w:t>
      </w:r>
      <w:proofErr w:type="spellEnd"/>
    </w:p>
    <w:p w:rsidR="0046224F" w:rsidRDefault="0046224F" w:rsidP="00BF2FCD">
      <w:pPr>
        <w:pStyle w:val="NoSpacing"/>
        <w:tabs>
          <w:tab w:val="left" w:pos="8352"/>
        </w:tabs>
        <w:spacing w:line="360" w:lineRule="auto"/>
        <w:jc w:val="both"/>
        <w:rPr>
          <w:rFonts w:ascii="Arial" w:hAnsi="Arial" w:cs="Arial"/>
          <w:sz w:val="24"/>
          <w:szCs w:val="24"/>
          <w:lang w:val="en-GB" w:eastAsia="cs-CZ"/>
        </w:rPr>
      </w:pPr>
    </w:p>
    <w:p w:rsidR="00D36C9C" w:rsidRPr="00D36C9C" w:rsidRDefault="00D36C9C" w:rsidP="00BF2FCD">
      <w:pPr>
        <w:pStyle w:val="NoSpacing"/>
        <w:tabs>
          <w:tab w:val="left" w:pos="8352"/>
        </w:tabs>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 xml:space="preserve">Bone marrow </w:t>
      </w:r>
      <w:proofErr w:type="spellStart"/>
      <w:r w:rsidRPr="00D36C9C">
        <w:rPr>
          <w:rFonts w:ascii="Arial" w:hAnsi="Arial" w:cs="Arial"/>
          <w:sz w:val="24"/>
          <w:szCs w:val="24"/>
          <w:lang w:val="en-GB" w:eastAsia="cs-CZ"/>
        </w:rPr>
        <w:t>stromal</w:t>
      </w:r>
      <w:proofErr w:type="spellEnd"/>
      <w:r w:rsidRPr="00D36C9C">
        <w:rPr>
          <w:rFonts w:ascii="Arial" w:hAnsi="Arial" w:cs="Arial"/>
          <w:sz w:val="24"/>
          <w:szCs w:val="24"/>
          <w:lang w:val="en-GB" w:eastAsia="cs-CZ"/>
        </w:rPr>
        <w:t xml:space="preserve"> cells protect CLL cells from </w:t>
      </w:r>
      <w:proofErr w:type="spellStart"/>
      <w:r w:rsidRPr="00D36C9C">
        <w:rPr>
          <w:rFonts w:ascii="Arial" w:hAnsi="Arial" w:cs="Arial"/>
          <w:sz w:val="24"/>
          <w:szCs w:val="24"/>
          <w:lang w:val="en-GB" w:eastAsia="cs-CZ"/>
        </w:rPr>
        <w:t>rituximab</w:t>
      </w:r>
      <w:proofErr w:type="spellEnd"/>
      <w:r w:rsidRPr="00D36C9C">
        <w:rPr>
          <w:rFonts w:ascii="Arial" w:hAnsi="Arial" w:cs="Arial"/>
          <w:sz w:val="24"/>
          <w:szCs w:val="24"/>
          <w:lang w:val="en-GB" w:eastAsia="cs-CZ"/>
        </w:rPr>
        <w:t xml:space="preserve"> effects, but do not</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induce down-modulation of CD20 expression</w:t>
      </w:r>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proofErr w:type="spellStart"/>
      <w:r w:rsidRPr="00D36C9C">
        <w:rPr>
          <w:rFonts w:ascii="Arial" w:hAnsi="Arial" w:cs="Arial"/>
          <w:sz w:val="24"/>
          <w:szCs w:val="24"/>
          <w:lang w:val="en-GB" w:eastAsia="cs-CZ"/>
        </w:rPr>
        <w:t>Rituximab</w:t>
      </w:r>
      <w:proofErr w:type="spellEnd"/>
      <w:r w:rsidRPr="00D36C9C">
        <w:rPr>
          <w:rFonts w:ascii="Arial" w:hAnsi="Arial" w:cs="Arial"/>
          <w:sz w:val="24"/>
          <w:szCs w:val="24"/>
          <w:lang w:val="en-GB" w:eastAsia="cs-CZ"/>
        </w:rPr>
        <w:t>, a monoclonal antibody against CD20, is widely used in treatment of</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B-cell non-Hodgkin lymphomas and chronic lymphocytic leukaemia (CLL). However,</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it has been shown that </w:t>
      </w:r>
      <w:proofErr w:type="spellStart"/>
      <w:r w:rsidRPr="00D36C9C">
        <w:rPr>
          <w:rFonts w:ascii="Arial" w:hAnsi="Arial" w:cs="Arial"/>
          <w:sz w:val="24"/>
          <w:szCs w:val="24"/>
          <w:lang w:val="en-GB" w:eastAsia="cs-CZ"/>
        </w:rPr>
        <w:t>microenvironmental</w:t>
      </w:r>
      <w:proofErr w:type="spellEnd"/>
      <w:r w:rsidRPr="00D36C9C">
        <w:rPr>
          <w:rFonts w:ascii="Arial" w:hAnsi="Arial" w:cs="Arial"/>
          <w:sz w:val="24"/>
          <w:szCs w:val="24"/>
          <w:lang w:val="en-GB" w:eastAsia="cs-CZ"/>
        </w:rPr>
        <w:t xml:space="preserve"> interactions protect mature B cell</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malignancies from </w:t>
      </w:r>
      <w:proofErr w:type="spellStart"/>
      <w:r w:rsidRPr="00D36C9C">
        <w:rPr>
          <w:rFonts w:ascii="Arial" w:hAnsi="Arial" w:cs="Arial"/>
          <w:sz w:val="24"/>
          <w:szCs w:val="24"/>
          <w:lang w:val="en-GB" w:eastAsia="cs-CZ"/>
        </w:rPr>
        <w:t>rituximab</w:t>
      </w:r>
      <w:proofErr w:type="spellEnd"/>
      <w:r w:rsidRPr="00D36C9C">
        <w:rPr>
          <w:rFonts w:ascii="Arial" w:hAnsi="Arial" w:cs="Arial"/>
          <w:sz w:val="24"/>
          <w:szCs w:val="24"/>
          <w:lang w:val="en-GB" w:eastAsia="cs-CZ"/>
        </w:rPr>
        <w:t xml:space="preserve"> induced apoptosis and complement-dependent</w:t>
      </w:r>
      <w:r w:rsidR="0046224F">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cytotoxicity</w:t>
      </w:r>
      <w:proofErr w:type="spellEnd"/>
      <w:r w:rsidRPr="00D36C9C">
        <w:rPr>
          <w:rFonts w:ascii="Arial" w:hAnsi="Arial" w:cs="Arial"/>
          <w:sz w:val="24"/>
          <w:szCs w:val="24"/>
          <w:lang w:val="en-GB" w:eastAsia="cs-CZ"/>
        </w:rPr>
        <w:t xml:space="preserve">. Therefore, we tested whether bone marrow (BM) </w:t>
      </w:r>
      <w:proofErr w:type="spellStart"/>
      <w:r w:rsidRPr="00D36C9C">
        <w:rPr>
          <w:rFonts w:ascii="Arial" w:hAnsi="Arial" w:cs="Arial"/>
          <w:sz w:val="24"/>
          <w:szCs w:val="24"/>
          <w:lang w:val="en-GB" w:eastAsia="cs-CZ"/>
        </w:rPr>
        <w:t>stromal</w:t>
      </w:r>
      <w:proofErr w:type="spellEnd"/>
      <w:r w:rsidRPr="00D36C9C">
        <w:rPr>
          <w:rFonts w:ascii="Arial" w:hAnsi="Arial" w:cs="Arial"/>
          <w:sz w:val="24"/>
          <w:szCs w:val="24"/>
          <w:lang w:val="en-GB" w:eastAsia="cs-CZ"/>
        </w:rPr>
        <w:t xml:space="preserve"> cells (HS-5)</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cause down-modulation of CD20 on CLL surface.</w:t>
      </w:r>
      <w:r w:rsidR="0046224F">
        <w:rPr>
          <w:rFonts w:ascii="Arial" w:hAnsi="Arial" w:cs="Arial"/>
          <w:sz w:val="24"/>
          <w:szCs w:val="24"/>
          <w:lang w:val="en-GB" w:eastAsia="cs-CZ"/>
        </w:rPr>
        <w:t xml:space="preserve"> </w:t>
      </w: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We isolated CLL cells from peripheral blood (PB) and cultured them with HS-5</w:t>
      </w:r>
      <w:ins w:id="80" w:author="John Morgan" w:date="2015-03-22T19:12:00Z">
        <w:r w:rsidR="008974D5">
          <w:rPr>
            <w:rFonts w:ascii="Arial" w:hAnsi="Arial" w:cs="Arial"/>
            <w:sz w:val="24"/>
            <w:szCs w:val="24"/>
            <w:lang w:val="en-GB" w:eastAsia="cs-CZ"/>
          </w:rPr>
          <w:t>,</w:t>
        </w:r>
      </w:ins>
      <w:r w:rsidRPr="00D36C9C">
        <w:rPr>
          <w:rFonts w:ascii="Arial" w:hAnsi="Arial" w:cs="Arial"/>
          <w:sz w:val="24"/>
          <w:szCs w:val="24"/>
          <w:lang w:val="en-GB" w:eastAsia="cs-CZ"/>
        </w:rPr>
        <w:t xml:space="preserve"> or</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on plastic alone as a control</w:t>
      </w:r>
      <w:ins w:id="81" w:author="John Morgan" w:date="2015-03-22T19:12:00Z">
        <w:r w:rsidR="008974D5">
          <w:rPr>
            <w:rFonts w:ascii="Arial" w:hAnsi="Arial" w:cs="Arial"/>
            <w:sz w:val="24"/>
            <w:szCs w:val="24"/>
            <w:lang w:val="en-GB" w:eastAsia="cs-CZ"/>
          </w:rPr>
          <w:t>,</w:t>
        </w:r>
      </w:ins>
      <w:r w:rsidRPr="00D36C9C">
        <w:rPr>
          <w:rFonts w:ascii="Arial" w:hAnsi="Arial" w:cs="Arial"/>
          <w:sz w:val="24"/>
          <w:szCs w:val="24"/>
          <w:lang w:val="en-GB" w:eastAsia="cs-CZ"/>
        </w:rPr>
        <w:t xml:space="preserve"> for 24, 48, 72 hrs and 1 week. </w:t>
      </w:r>
      <w:proofErr w:type="spellStart"/>
      <w:r w:rsidRPr="00D36C9C">
        <w:rPr>
          <w:rFonts w:ascii="Arial" w:hAnsi="Arial" w:cs="Arial"/>
          <w:sz w:val="24"/>
          <w:szCs w:val="24"/>
          <w:lang w:val="en-GB" w:eastAsia="cs-CZ"/>
        </w:rPr>
        <w:t>Flowcytometric</w:t>
      </w:r>
      <w:proofErr w:type="spellEnd"/>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analysis of CD20 expression was performed only on </w:t>
      </w:r>
      <w:proofErr w:type="spellStart"/>
      <w:r w:rsidRPr="00D36C9C">
        <w:rPr>
          <w:rFonts w:ascii="Arial" w:hAnsi="Arial" w:cs="Arial"/>
          <w:sz w:val="24"/>
          <w:szCs w:val="24"/>
          <w:lang w:val="en-GB" w:eastAsia="cs-CZ"/>
        </w:rPr>
        <w:t>Annexin</w:t>
      </w:r>
      <w:proofErr w:type="spellEnd"/>
      <w:r w:rsidRPr="00D36C9C">
        <w:rPr>
          <w:rFonts w:ascii="Arial" w:hAnsi="Arial" w:cs="Arial"/>
          <w:sz w:val="24"/>
          <w:szCs w:val="24"/>
          <w:lang w:val="en-GB" w:eastAsia="cs-CZ"/>
        </w:rPr>
        <w:t xml:space="preserve">-V neg/CD105 </w:t>
      </w:r>
      <w:proofErr w:type="spellStart"/>
      <w:r w:rsidRPr="00D36C9C">
        <w:rPr>
          <w:rFonts w:ascii="Arial" w:hAnsi="Arial" w:cs="Arial"/>
          <w:sz w:val="24"/>
          <w:szCs w:val="24"/>
          <w:lang w:val="en-GB" w:eastAsia="cs-CZ"/>
        </w:rPr>
        <w:t>neg</w:t>
      </w:r>
      <w:proofErr w:type="spellEnd"/>
      <w:r w:rsidRPr="00D36C9C">
        <w:rPr>
          <w:rFonts w:ascii="Arial" w:hAnsi="Arial" w:cs="Arial"/>
          <w:sz w:val="24"/>
          <w:szCs w:val="24"/>
          <w:lang w:val="en-GB" w:eastAsia="cs-CZ"/>
        </w:rPr>
        <w:t xml:space="preserve"> cells.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We </w:t>
      </w:r>
      <w:commentRangeStart w:id="82"/>
      <w:r w:rsidRPr="00D36C9C">
        <w:rPr>
          <w:rFonts w:ascii="Arial" w:hAnsi="Arial" w:cs="Arial"/>
          <w:sz w:val="24"/>
          <w:szCs w:val="24"/>
          <w:lang w:val="en-GB" w:eastAsia="cs-CZ"/>
        </w:rPr>
        <w:t>found</w:t>
      </w:r>
      <w:commentRangeEnd w:id="82"/>
      <w:r w:rsidR="008974D5">
        <w:rPr>
          <w:rStyle w:val="CommentReference"/>
          <w:vanish/>
        </w:rPr>
        <w:commentReference w:id="82"/>
      </w:r>
      <w:r w:rsidRPr="00D36C9C">
        <w:rPr>
          <w:rFonts w:ascii="Arial" w:hAnsi="Arial" w:cs="Arial"/>
          <w:sz w:val="24"/>
          <w:szCs w:val="24"/>
          <w:lang w:val="en-GB" w:eastAsia="cs-CZ"/>
        </w:rPr>
        <w:t xml:space="preserve"> </w:t>
      </w:r>
      <w:del w:id="83" w:author="John Morgan" w:date="2015-03-22T19:12:00Z">
        <w:r w:rsidRPr="00D36C9C" w:rsidDel="008974D5">
          <w:rPr>
            <w:rFonts w:ascii="Arial" w:hAnsi="Arial" w:cs="Arial"/>
            <w:sz w:val="24"/>
            <w:szCs w:val="24"/>
            <w:lang w:val="en-GB" w:eastAsia="cs-CZ"/>
          </w:rPr>
          <w:delText xml:space="preserve">out </w:delText>
        </w:r>
      </w:del>
      <w:r w:rsidRPr="00D36C9C">
        <w:rPr>
          <w:rFonts w:ascii="Arial" w:hAnsi="Arial" w:cs="Arial"/>
          <w:sz w:val="24"/>
          <w:szCs w:val="24"/>
          <w:lang w:val="en-GB" w:eastAsia="cs-CZ"/>
        </w:rPr>
        <w:t>that CLL cells spontaneously down-modulate CD20 expression when</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cultured on plastic in vitro, and the co-culture with HS-5 up-regulates CD20</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(P=0.03). Additionally, isolated CXCR4dim/CD5bright cells, representing CLL</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cells that had been recently released from the lymph node (LN) microenvironment,</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expressed higher surface levels of CD20 when compared to CXCR4bright/CD5dim from</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the same patient. This finding suggests that </w:t>
      </w:r>
      <w:del w:id="84" w:author="John Morgan" w:date="2015-03-22T19:14:00Z">
        <w:r w:rsidRPr="00D36C9C" w:rsidDel="008974D5">
          <w:rPr>
            <w:rFonts w:ascii="Arial" w:hAnsi="Arial" w:cs="Arial"/>
            <w:sz w:val="24"/>
            <w:szCs w:val="24"/>
            <w:lang w:val="en-GB" w:eastAsia="cs-CZ"/>
          </w:rPr>
          <w:delText xml:space="preserve">also </w:delText>
        </w:r>
      </w:del>
      <w:r w:rsidRPr="00D36C9C">
        <w:rPr>
          <w:rFonts w:ascii="Arial" w:hAnsi="Arial" w:cs="Arial"/>
          <w:sz w:val="24"/>
          <w:szCs w:val="24"/>
          <w:lang w:val="en-GB" w:eastAsia="cs-CZ"/>
        </w:rPr>
        <w:t>the in vivo contact with</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immune niches </w:t>
      </w:r>
      <w:ins w:id="85" w:author="John Morgan" w:date="2015-03-22T19:14:00Z">
        <w:r w:rsidR="008974D5">
          <w:rPr>
            <w:rFonts w:ascii="Arial" w:hAnsi="Arial" w:cs="Arial"/>
            <w:sz w:val="24"/>
            <w:szCs w:val="24"/>
            <w:lang w:val="en-GB" w:eastAsia="cs-CZ"/>
          </w:rPr>
          <w:t xml:space="preserve">also </w:t>
        </w:r>
      </w:ins>
      <w:r w:rsidRPr="00D36C9C">
        <w:rPr>
          <w:rFonts w:ascii="Arial" w:hAnsi="Arial" w:cs="Arial"/>
          <w:sz w:val="24"/>
          <w:szCs w:val="24"/>
          <w:lang w:val="en-GB" w:eastAsia="cs-CZ"/>
        </w:rPr>
        <w:t>up-regulates CD20. Finally, to further investigate the effect of</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microenvironment on CLL cells in vivo, gene expression profiling of CLL cells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purified from PB, BM and LN was performed. </w:t>
      </w:r>
      <w:proofErr w:type="gramStart"/>
      <w:ins w:id="86" w:author="John Morgan" w:date="2015-03-22T19:15:00Z">
        <w:r w:rsidR="008974D5">
          <w:rPr>
            <w:rFonts w:ascii="Arial" w:hAnsi="Arial" w:cs="Arial"/>
            <w:sz w:val="24"/>
            <w:szCs w:val="24"/>
            <w:lang w:val="en-GB" w:eastAsia="cs-CZ"/>
          </w:rPr>
          <w:t>A</w:t>
        </w:r>
        <w:proofErr w:type="gramEnd"/>
        <w:r w:rsidR="008974D5">
          <w:rPr>
            <w:rFonts w:ascii="Arial" w:hAnsi="Arial" w:cs="Arial"/>
            <w:sz w:val="24"/>
            <w:szCs w:val="24"/>
            <w:lang w:val="en-GB" w:eastAsia="cs-CZ"/>
          </w:rPr>
          <w:t xml:space="preserve"> s</w:t>
        </w:r>
      </w:ins>
      <w:del w:id="87" w:author="John Morgan" w:date="2015-03-22T19:15:00Z">
        <w:r w:rsidRPr="00D36C9C" w:rsidDel="008974D5">
          <w:rPr>
            <w:rFonts w:ascii="Arial" w:hAnsi="Arial" w:cs="Arial"/>
            <w:sz w:val="24"/>
            <w:szCs w:val="24"/>
            <w:lang w:val="en-GB" w:eastAsia="cs-CZ"/>
          </w:rPr>
          <w:delText>S</w:delText>
        </w:r>
      </w:del>
      <w:r w:rsidRPr="00D36C9C">
        <w:rPr>
          <w:rFonts w:ascii="Arial" w:hAnsi="Arial" w:cs="Arial"/>
          <w:sz w:val="24"/>
          <w:szCs w:val="24"/>
          <w:lang w:val="en-GB" w:eastAsia="cs-CZ"/>
        </w:rPr>
        <w:t>tatistically significant change in</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CD20 expression was observed </w:t>
      </w:r>
      <w:ins w:id="88" w:author="John Morgan" w:date="2015-03-22T19:15:00Z">
        <w:r w:rsidR="008974D5">
          <w:rPr>
            <w:rFonts w:ascii="Arial" w:hAnsi="Arial" w:cs="Arial"/>
            <w:sz w:val="24"/>
            <w:szCs w:val="24"/>
            <w:lang w:val="en-GB" w:eastAsia="cs-CZ"/>
          </w:rPr>
          <w:t xml:space="preserve">in </w:t>
        </w:r>
      </w:ins>
      <w:r w:rsidRPr="00D36C9C">
        <w:rPr>
          <w:rFonts w:ascii="Arial" w:hAnsi="Arial" w:cs="Arial"/>
          <w:sz w:val="24"/>
          <w:szCs w:val="24"/>
          <w:lang w:val="en-GB" w:eastAsia="cs-CZ"/>
        </w:rPr>
        <w:t>only</w:t>
      </w:r>
      <w:del w:id="89" w:author="John Morgan" w:date="2015-03-22T19:15:00Z">
        <w:r w:rsidRPr="00D36C9C" w:rsidDel="008974D5">
          <w:rPr>
            <w:rFonts w:ascii="Arial" w:hAnsi="Arial" w:cs="Arial"/>
            <w:sz w:val="24"/>
            <w:szCs w:val="24"/>
            <w:lang w:val="en-GB" w:eastAsia="cs-CZ"/>
          </w:rPr>
          <w:delText xml:space="preserve"> in</w:delText>
        </w:r>
      </w:del>
      <w:r w:rsidRPr="00D36C9C">
        <w:rPr>
          <w:rFonts w:ascii="Arial" w:hAnsi="Arial" w:cs="Arial"/>
          <w:sz w:val="24"/>
          <w:szCs w:val="24"/>
          <w:lang w:val="en-GB" w:eastAsia="cs-CZ"/>
        </w:rPr>
        <w:t xml:space="preserve"> 1 of 4 analyses (using different probes),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when comparing PB and BM or LN. In this case, the expression of CD20 was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slightly higher in BM/LN than PB (P=0.0482; P=0.0495).</w:t>
      </w:r>
    </w:p>
    <w:p w:rsidR="0046224F" w:rsidRDefault="00D36C9C" w:rsidP="00BF2FCD">
      <w:pPr>
        <w:pStyle w:val="NoSpacing"/>
        <w:spacing w:line="360" w:lineRule="auto"/>
        <w:jc w:val="both"/>
        <w:rPr>
          <w:rFonts w:ascii="Arial" w:hAnsi="Arial" w:cs="Arial"/>
          <w:sz w:val="24"/>
          <w:szCs w:val="24"/>
          <w:lang w:val="en-GB" w:eastAsia="cs-CZ"/>
        </w:rPr>
      </w:pPr>
      <w:del w:id="90" w:author="John Morgan" w:date="2015-03-22T19:15:00Z">
        <w:r w:rsidRPr="00D36C9C" w:rsidDel="008974D5">
          <w:rPr>
            <w:rFonts w:ascii="Arial" w:hAnsi="Arial" w:cs="Arial"/>
            <w:sz w:val="24"/>
            <w:szCs w:val="24"/>
            <w:lang w:val="en-GB" w:eastAsia="cs-CZ"/>
          </w:rPr>
          <w:delText>To sum up</w:delText>
        </w:r>
      </w:del>
      <w:ins w:id="91" w:author="John Morgan" w:date="2015-03-22T19:15:00Z">
        <w:r w:rsidR="008974D5">
          <w:rPr>
            <w:rFonts w:ascii="Arial" w:hAnsi="Arial" w:cs="Arial"/>
            <w:sz w:val="24"/>
            <w:szCs w:val="24"/>
            <w:lang w:val="en-GB" w:eastAsia="cs-CZ"/>
          </w:rPr>
          <w:t xml:space="preserve">In </w:t>
        </w:r>
        <w:commentRangeStart w:id="92"/>
        <w:r w:rsidR="008974D5">
          <w:rPr>
            <w:rFonts w:ascii="Arial" w:hAnsi="Arial" w:cs="Arial"/>
            <w:sz w:val="24"/>
            <w:szCs w:val="24"/>
            <w:lang w:val="en-GB" w:eastAsia="cs-CZ"/>
          </w:rPr>
          <w:t>summary</w:t>
        </w:r>
      </w:ins>
      <w:commentRangeEnd w:id="92"/>
      <w:r w:rsidR="008974D5">
        <w:rPr>
          <w:rStyle w:val="CommentReference"/>
          <w:vanish/>
        </w:rPr>
        <w:commentReference w:id="92"/>
      </w:r>
      <w:r w:rsidRPr="00D36C9C">
        <w:rPr>
          <w:rFonts w:ascii="Arial" w:hAnsi="Arial" w:cs="Arial"/>
          <w:sz w:val="24"/>
          <w:szCs w:val="24"/>
          <w:lang w:val="en-GB" w:eastAsia="cs-CZ"/>
        </w:rPr>
        <w:t>, these data indicate that down-modulation of CD20 by bone marrow</w:t>
      </w:r>
      <w:r w:rsidR="0046224F">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stromal</w:t>
      </w:r>
      <w:proofErr w:type="spellEnd"/>
      <w:r w:rsidRPr="00D36C9C">
        <w:rPr>
          <w:rFonts w:ascii="Arial" w:hAnsi="Arial" w:cs="Arial"/>
          <w:sz w:val="24"/>
          <w:szCs w:val="24"/>
          <w:lang w:val="en-GB" w:eastAsia="cs-CZ"/>
        </w:rPr>
        <w:t xml:space="preserve"> cells is </w:t>
      </w:r>
      <w:ins w:id="93" w:author="John Morgan" w:date="2015-03-22T19:16:00Z">
        <w:r w:rsidR="008974D5">
          <w:rPr>
            <w:rFonts w:ascii="Arial" w:hAnsi="Arial" w:cs="Arial"/>
            <w:sz w:val="24"/>
            <w:szCs w:val="24"/>
            <w:lang w:val="en-GB" w:eastAsia="cs-CZ"/>
          </w:rPr>
          <w:t xml:space="preserve">not </w:t>
        </w:r>
      </w:ins>
      <w:r w:rsidRPr="00D36C9C">
        <w:rPr>
          <w:rFonts w:ascii="Arial" w:hAnsi="Arial" w:cs="Arial"/>
          <w:sz w:val="24"/>
          <w:szCs w:val="24"/>
          <w:lang w:val="en-GB" w:eastAsia="cs-CZ"/>
        </w:rPr>
        <w:t xml:space="preserve">likely </w:t>
      </w:r>
      <w:ins w:id="94" w:author="John Morgan" w:date="2015-03-22T19:16:00Z">
        <w:r w:rsidR="008974D5">
          <w:rPr>
            <w:rFonts w:ascii="Arial" w:hAnsi="Arial" w:cs="Arial"/>
            <w:sz w:val="24"/>
            <w:szCs w:val="24"/>
            <w:lang w:val="en-GB" w:eastAsia="cs-CZ"/>
          </w:rPr>
          <w:t>to be</w:t>
        </w:r>
      </w:ins>
      <w:del w:id="95" w:author="John Morgan" w:date="2015-03-22T19:16:00Z">
        <w:r w:rsidRPr="00D36C9C" w:rsidDel="008974D5">
          <w:rPr>
            <w:rFonts w:ascii="Arial" w:hAnsi="Arial" w:cs="Arial"/>
            <w:sz w:val="24"/>
            <w:szCs w:val="24"/>
            <w:lang w:val="en-GB" w:eastAsia="cs-CZ"/>
          </w:rPr>
          <w:delText>not</w:delText>
        </w:r>
      </w:del>
      <w:r w:rsidRPr="00D36C9C">
        <w:rPr>
          <w:rFonts w:ascii="Arial" w:hAnsi="Arial" w:cs="Arial"/>
          <w:sz w:val="24"/>
          <w:szCs w:val="24"/>
          <w:lang w:val="en-GB" w:eastAsia="cs-CZ"/>
        </w:rPr>
        <w:t xml:space="preserve"> the major mechanism of </w:t>
      </w:r>
      <w:proofErr w:type="spellStart"/>
      <w:r w:rsidRPr="00D36C9C">
        <w:rPr>
          <w:rFonts w:ascii="Arial" w:hAnsi="Arial" w:cs="Arial"/>
          <w:sz w:val="24"/>
          <w:szCs w:val="24"/>
          <w:lang w:val="en-GB" w:eastAsia="cs-CZ"/>
        </w:rPr>
        <w:t>stroma</w:t>
      </w:r>
      <w:proofErr w:type="spellEnd"/>
      <w:r w:rsidRPr="00D36C9C">
        <w:rPr>
          <w:rFonts w:ascii="Arial" w:hAnsi="Arial" w:cs="Arial"/>
          <w:sz w:val="24"/>
          <w:szCs w:val="24"/>
          <w:lang w:val="en-GB" w:eastAsia="cs-CZ"/>
        </w:rPr>
        <w:t xml:space="preserve"> mediated </w:t>
      </w:r>
      <w:proofErr w:type="spellStart"/>
      <w:r w:rsidRPr="00D36C9C">
        <w:rPr>
          <w:rFonts w:ascii="Arial" w:hAnsi="Arial" w:cs="Arial"/>
          <w:sz w:val="24"/>
          <w:szCs w:val="24"/>
          <w:lang w:val="en-GB" w:eastAsia="cs-CZ"/>
        </w:rPr>
        <w:t>rituximab</w:t>
      </w:r>
      <w:proofErr w:type="spellEnd"/>
      <w:r w:rsidR="0046224F">
        <w:rPr>
          <w:rFonts w:ascii="Arial" w:hAnsi="Arial" w:cs="Arial"/>
          <w:sz w:val="24"/>
          <w:szCs w:val="24"/>
          <w:lang w:val="en-GB" w:eastAsia="cs-CZ"/>
        </w:rPr>
        <w:t xml:space="preserve"> </w:t>
      </w:r>
      <w:r w:rsidRPr="00D36C9C">
        <w:rPr>
          <w:rFonts w:ascii="Arial" w:hAnsi="Arial" w:cs="Arial"/>
          <w:sz w:val="24"/>
          <w:szCs w:val="24"/>
          <w:lang w:val="en-GB" w:eastAsia="cs-CZ"/>
        </w:rPr>
        <w:t>resistance of CLL cells.</w:t>
      </w:r>
    </w:p>
    <w:p w:rsidR="0046224F" w:rsidRDefault="0046224F" w:rsidP="00BF2FCD">
      <w:pPr>
        <w:pStyle w:val="NoSpacing"/>
        <w:spacing w:line="360" w:lineRule="auto"/>
        <w:jc w:val="both"/>
        <w:rPr>
          <w:rFonts w:ascii="Arial" w:hAnsi="Arial" w:cs="Arial"/>
          <w:sz w:val="24"/>
          <w:szCs w:val="24"/>
          <w:lang w:val="en-GB" w:eastAsia="cs-CZ"/>
        </w:rPr>
      </w:pPr>
    </w:p>
    <w:p w:rsidR="0046224F" w:rsidRDefault="0046224F"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46224F" w:rsidRDefault="00BF2FCD" w:rsidP="00BF2FCD">
      <w:pPr>
        <w:spacing w:line="360" w:lineRule="auto"/>
        <w:rPr>
          <w:rFonts w:ascii="Arial" w:hAnsi="Arial" w:cs="Arial"/>
          <w:sz w:val="24"/>
          <w:szCs w:val="24"/>
          <w:lang w:val="en-GB" w:eastAsia="cs-CZ"/>
        </w:rPr>
      </w:pPr>
      <w:r>
        <w:rPr>
          <w:rFonts w:ascii="Arial" w:hAnsi="Arial" w:cs="Arial"/>
          <w:sz w:val="24"/>
          <w:szCs w:val="24"/>
          <w:lang w:val="en-GB" w:eastAsia="cs-CZ"/>
        </w:rPr>
        <w:br w:type="page"/>
      </w:r>
      <w:r w:rsidR="0046224F">
        <w:rPr>
          <w:rFonts w:ascii="Arial" w:hAnsi="Arial" w:cs="Arial"/>
          <w:sz w:val="24"/>
          <w:szCs w:val="24"/>
          <w:lang w:val="en-GB" w:eastAsia="cs-CZ"/>
        </w:rPr>
        <w:t>7.</w:t>
      </w:r>
      <w:r w:rsidR="0046224F" w:rsidRPr="0046224F">
        <w:rPr>
          <w:rFonts w:ascii="Arial" w:hAnsi="Arial" w:cs="Arial"/>
          <w:sz w:val="24"/>
          <w:szCs w:val="24"/>
          <w:lang w:val="en-GB" w:eastAsia="cs-CZ"/>
        </w:rPr>
        <w:t xml:space="preserve"> </w:t>
      </w:r>
      <w:proofErr w:type="spellStart"/>
      <w:r w:rsidR="0046224F" w:rsidRPr="00D36C9C">
        <w:rPr>
          <w:rFonts w:ascii="Arial" w:hAnsi="Arial" w:cs="Arial"/>
          <w:sz w:val="24"/>
          <w:szCs w:val="24"/>
          <w:lang w:val="en-GB" w:eastAsia="cs-CZ"/>
        </w:rPr>
        <w:t>Kate</w:t>
      </w:r>
      <w:r w:rsidR="0046224F">
        <w:rPr>
          <w:rFonts w:ascii="Arial" w:hAnsi="Arial" w:cs="Arial"/>
          <w:sz w:val="24"/>
          <w:szCs w:val="24"/>
          <w:lang w:val="en-GB" w:eastAsia="cs-CZ"/>
        </w:rPr>
        <w:t>r</w:t>
      </w:r>
      <w:r w:rsidR="0046224F" w:rsidRPr="00D36C9C">
        <w:rPr>
          <w:rFonts w:ascii="Arial" w:hAnsi="Arial" w:cs="Arial"/>
          <w:sz w:val="24"/>
          <w:szCs w:val="24"/>
          <w:lang w:val="en-GB" w:eastAsia="cs-CZ"/>
        </w:rPr>
        <w:t>ina</w:t>
      </w:r>
      <w:proofErr w:type="spellEnd"/>
      <w:r w:rsidR="0046224F" w:rsidRPr="00D36C9C">
        <w:rPr>
          <w:rFonts w:ascii="Arial" w:hAnsi="Arial" w:cs="Arial"/>
          <w:sz w:val="24"/>
          <w:szCs w:val="24"/>
          <w:lang w:val="en-GB" w:eastAsia="cs-CZ"/>
        </w:rPr>
        <w:t xml:space="preserve"> </w:t>
      </w:r>
      <w:proofErr w:type="spellStart"/>
      <w:r w:rsidR="0046224F" w:rsidRPr="00D36C9C">
        <w:rPr>
          <w:rFonts w:ascii="Arial" w:hAnsi="Arial" w:cs="Arial"/>
          <w:sz w:val="24"/>
          <w:szCs w:val="24"/>
          <w:lang w:val="en-GB" w:eastAsia="cs-CZ"/>
        </w:rPr>
        <w:t>Musilov</w:t>
      </w:r>
      <w:r w:rsidR="0046224F">
        <w:rPr>
          <w:rFonts w:ascii="Arial" w:hAnsi="Arial" w:cs="Arial"/>
          <w:sz w:val="24"/>
          <w:szCs w:val="24"/>
          <w:lang w:val="en-GB" w:eastAsia="cs-CZ"/>
        </w:rPr>
        <w:t>a</w:t>
      </w:r>
      <w:proofErr w:type="spellEnd"/>
    </w:p>
    <w:p w:rsidR="0046224F" w:rsidRDefault="0046224F"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Low-level expression of miR-150 in follicular lymphoma is related to higher B</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cell proliferation rate and unfavourable disease prognosis</w:t>
      </w:r>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proofErr w:type="gramStart"/>
      <w:r w:rsidRPr="00D36C9C">
        <w:rPr>
          <w:rFonts w:ascii="Arial" w:hAnsi="Arial" w:cs="Arial"/>
          <w:sz w:val="24"/>
          <w:szCs w:val="24"/>
          <w:lang w:val="en-GB" w:eastAsia="cs-CZ"/>
        </w:rPr>
        <w:t xml:space="preserve">We and </w:t>
      </w:r>
      <w:commentRangeStart w:id="96"/>
      <w:r w:rsidRPr="00D36C9C">
        <w:rPr>
          <w:rFonts w:ascii="Arial" w:hAnsi="Arial" w:cs="Arial"/>
          <w:sz w:val="24"/>
          <w:szCs w:val="24"/>
          <w:lang w:val="en-GB" w:eastAsia="cs-CZ"/>
        </w:rPr>
        <w:t>others</w:t>
      </w:r>
      <w:commentRangeEnd w:id="96"/>
      <w:proofErr w:type="gramEnd"/>
      <w:r w:rsidR="000D7FC9">
        <w:rPr>
          <w:rStyle w:val="CommentReference"/>
          <w:vanish/>
        </w:rPr>
        <w:commentReference w:id="96"/>
      </w:r>
      <w:r w:rsidRPr="00D36C9C">
        <w:rPr>
          <w:rFonts w:ascii="Arial" w:hAnsi="Arial" w:cs="Arial"/>
          <w:sz w:val="24"/>
          <w:szCs w:val="24"/>
          <w:lang w:val="en-GB" w:eastAsia="cs-CZ"/>
        </w:rPr>
        <w:t xml:space="preserve"> have shown that deregulation of </w:t>
      </w:r>
      <w:proofErr w:type="spellStart"/>
      <w:r w:rsidRPr="00D36C9C">
        <w:rPr>
          <w:rFonts w:ascii="Arial" w:hAnsi="Arial" w:cs="Arial"/>
          <w:sz w:val="24"/>
          <w:szCs w:val="24"/>
          <w:lang w:val="en-GB" w:eastAsia="cs-CZ"/>
        </w:rPr>
        <w:t>microRNAs</w:t>
      </w:r>
      <w:proofErr w:type="spellEnd"/>
      <w:r w:rsidRPr="00D36C9C">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is associated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with the pathogenesis and the progression of B-cell malignancies. Moreover,</w:t>
      </w:r>
      <w:r w:rsidR="0046224F">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can be used as strong predictors of prognosis in chronic lymphocytic</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leukaemia (CLL), diffuse large B-cell lymphoma (DLBCL), and mantle cell lymphoma</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(MCL). However, their role as prognostic markers in follicular lymphoma (FL) has</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not been investigated yet.</w:t>
      </w: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 xml:space="preserve">To address this issue we selected three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(miR-155, miR-181b, miR-150)</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which play critical roles in B-cell development and their aberrant expression</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was shown to affect the prognosis of CLL, DLBCL, and MCL patients. We analysed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the expression of these </w:t>
      </w:r>
      <w:proofErr w:type="spellStart"/>
      <w:r w:rsidRPr="00D36C9C">
        <w:rPr>
          <w:rFonts w:ascii="Arial" w:hAnsi="Arial" w:cs="Arial"/>
          <w:sz w:val="24"/>
          <w:szCs w:val="24"/>
          <w:lang w:val="en-GB" w:eastAsia="cs-CZ"/>
        </w:rPr>
        <w:t>miRNAs</w:t>
      </w:r>
      <w:proofErr w:type="spellEnd"/>
      <w:r w:rsidRPr="00D36C9C">
        <w:rPr>
          <w:rFonts w:ascii="Arial" w:hAnsi="Arial" w:cs="Arial"/>
          <w:sz w:val="24"/>
          <w:szCs w:val="24"/>
          <w:lang w:val="en-GB" w:eastAsia="cs-CZ"/>
        </w:rPr>
        <w:t xml:space="preserve"> in 89 FL samples (</w:t>
      </w:r>
      <w:commentRangeStart w:id="97"/>
      <w:r w:rsidRPr="00D36C9C">
        <w:rPr>
          <w:rFonts w:ascii="Arial" w:hAnsi="Arial" w:cs="Arial"/>
          <w:sz w:val="24"/>
          <w:szCs w:val="24"/>
          <w:lang w:val="en-GB" w:eastAsia="cs-CZ"/>
        </w:rPr>
        <w:t xml:space="preserve">fresh frozen </w:t>
      </w:r>
      <w:commentRangeEnd w:id="97"/>
      <w:r w:rsidR="000D7FC9">
        <w:rPr>
          <w:rStyle w:val="CommentReference"/>
          <w:vanish/>
        </w:rPr>
        <w:commentReference w:id="97"/>
      </w:r>
      <w:r w:rsidRPr="00D36C9C">
        <w:rPr>
          <w:rFonts w:ascii="Arial" w:hAnsi="Arial" w:cs="Arial"/>
          <w:sz w:val="24"/>
          <w:szCs w:val="24"/>
          <w:lang w:val="en-GB" w:eastAsia="cs-CZ"/>
        </w:rPr>
        <w:t>and formalin-fixed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 xml:space="preserve">paraffin-embedded [FFPE] tissues). </w:t>
      </w:r>
      <w:proofErr w:type="gramStart"/>
      <w:r w:rsidRPr="00D36C9C">
        <w:rPr>
          <w:rFonts w:ascii="Arial" w:hAnsi="Arial" w:cs="Arial"/>
          <w:sz w:val="24"/>
          <w:szCs w:val="24"/>
          <w:lang w:val="en-GB" w:eastAsia="cs-CZ"/>
        </w:rPr>
        <w:t>miR</w:t>
      </w:r>
      <w:proofErr w:type="gramEnd"/>
      <w:r w:rsidRPr="00D36C9C">
        <w:rPr>
          <w:rFonts w:ascii="Arial" w:hAnsi="Arial" w:cs="Arial"/>
          <w:sz w:val="24"/>
          <w:szCs w:val="24"/>
          <w:lang w:val="en-GB" w:eastAsia="cs-CZ"/>
        </w:rPr>
        <w:t>-150 expression levels were significantly</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lower in the patients with high Ki67 positivity (&gt;20%; P=0.003) and high FLIPI</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score (3-5; P=0.03). We also observed significantly reduced miR-150 levels in</w:t>
      </w:r>
      <w:r w:rsidR="0046224F">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FLs</w:t>
      </w:r>
      <w:proofErr w:type="spellEnd"/>
      <w:r w:rsidRPr="00D36C9C">
        <w:rPr>
          <w:rFonts w:ascii="Arial" w:hAnsi="Arial" w:cs="Arial"/>
          <w:sz w:val="24"/>
          <w:szCs w:val="24"/>
          <w:lang w:val="en-GB" w:eastAsia="cs-CZ"/>
        </w:rPr>
        <w:t xml:space="preserve"> that transformed to DLBCL compared to the samples before transformation</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(P=0.01), and miR-150 was significantly less expressed in DLBCL than FL (4-fold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change, P&lt;0.001). Furthermore, FL patients with low miR-150 levels (&lt;median) had</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significantly shorter survival</w:t>
      </w:r>
      <w:ins w:id="98" w:author="John Morgan" w:date="2015-03-22T19:20:00Z">
        <w:r w:rsidR="000D7FC9">
          <w:rPr>
            <w:rFonts w:ascii="Arial" w:hAnsi="Arial" w:cs="Arial"/>
            <w:sz w:val="24"/>
            <w:szCs w:val="24"/>
            <w:lang w:val="en-GB" w:eastAsia="cs-CZ"/>
          </w:rPr>
          <w:t xml:space="preserve"> levels</w:t>
        </w:r>
      </w:ins>
      <w:r w:rsidRPr="00D36C9C">
        <w:rPr>
          <w:rFonts w:ascii="Arial" w:hAnsi="Arial" w:cs="Arial"/>
          <w:sz w:val="24"/>
          <w:szCs w:val="24"/>
          <w:lang w:val="en-GB" w:eastAsia="cs-CZ"/>
        </w:rPr>
        <w:t xml:space="preserve"> (6.2 years vs. not reached; P=0.007; HR 3.0 [CI:</w:t>
      </w:r>
      <w:r w:rsidR="0046224F">
        <w:rPr>
          <w:rFonts w:ascii="Arial" w:hAnsi="Arial" w:cs="Arial"/>
          <w:sz w:val="24"/>
          <w:szCs w:val="24"/>
          <w:lang w:val="en-GB" w:eastAsia="cs-CZ"/>
        </w:rPr>
        <w:t xml:space="preserve"> </w:t>
      </w:r>
      <w:r w:rsidRPr="00D36C9C">
        <w:rPr>
          <w:rFonts w:ascii="Arial" w:hAnsi="Arial" w:cs="Arial"/>
          <w:sz w:val="24"/>
          <w:szCs w:val="24"/>
          <w:lang w:val="en-GB" w:eastAsia="cs-CZ"/>
        </w:rPr>
        <w:t>1.3-6.8]). In contrast, miR-181b and miR-155 did not associate with the clinical</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course or the survival of FL patients.</w:t>
      </w:r>
    </w:p>
    <w:p w:rsidR="00476E45"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In conclusion, our results suggest that miR-150 plays an important role in the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clinical course of FL and </w:t>
      </w:r>
      <w:ins w:id="99" w:author="John Morgan" w:date="2015-03-22T19:20:00Z">
        <w:r w:rsidR="000D7FC9">
          <w:rPr>
            <w:rFonts w:ascii="Arial" w:hAnsi="Arial" w:cs="Arial"/>
            <w:sz w:val="24"/>
            <w:szCs w:val="24"/>
            <w:lang w:val="en-GB" w:eastAsia="cs-CZ"/>
          </w:rPr>
          <w:t xml:space="preserve">that it </w:t>
        </w:r>
      </w:ins>
      <w:r w:rsidRPr="00D36C9C">
        <w:rPr>
          <w:rFonts w:ascii="Arial" w:hAnsi="Arial" w:cs="Arial"/>
          <w:sz w:val="24"/>
          <w:szCs w:val="24"/>
          <w:lang w:val="en-GB" w:eastAsia="cs-CZ"/>
        </w:rPr>
        <w:t>could be used as a prognostic marker. This is,</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according to our knowledge, the first </w:t>
      </w:r>
      <w:proofErr w:type="spellStart"/>
      <w:r w:rsidRPr="00D36C9C">
        <w:rPr>
          <w:rFonts w:ascii="Arial" w:hAnsi="Arial" w:cs="Arial"/>
          <w:sz w:val="24"/>
          <w:szCs w:val="24"/>
          <w:lang w:val="en-GB" w:eastAsia="cs-CZ"/>
        </w:rPr>
        <w:t>miRNA</w:t>
      </w:r>
      <w:proofErr w:type="spellEnd"/>
      <w:r w:rsidRPr="00D36C9C">
        <w:rPr>
          <w:rFonts w:ascii="Arial" w:hAnsi="Arial" w:cs="Arial"/>
          <w:sz w:val="24"/>
          <w:szCs w:val="24"/>
          <w:lang w:val="en-GB" w:eastAsia="cs-CZ"/>
        </w:rPr>
        <w:t>-based prognostic marker in FL, and</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one of the few available RNA markers that can be used both for FFPE and fresh</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tissue.</w:t>
      </w:r>
    </w:p>
    <w:p w:rsidR="00476E45" w:rsidRDefault="00476E45" w:rsidP="00BF2FCD">
      <w:pPr>
        <w:pStyle w:val="NoSpacing"/>
        <w:spacing w:line="360" w:lineRule="auto"/>
        <w:jc w:val="both"/>
        <w:rPr>
          <w:rFonts w:ascii="Arial" w:hAnsi="Arial" w:cs="Arial"/>
          <w:sz w:val="24"/>
          <w:szCs w:val="24"/>
          <w:lang w:val="en-GB" w:eastAsia="cs-CZ"/>
        </w:rPr>
      </w:pPr>
    </w:p>
    <w:p w:rsidR="00476E45" w:rsidRDefault="00476E45" w:rsidP="00BF2FCD">
      <w:pPr>
        <w:pStyle w:val="NoSpacing"/>
        <w:spacing w:line="360" w:lineRule="auto"/>
        <w:jc w:val="both"/>
        <w:rPr>
          <w:rFonts w:ascii="Arial" w:hAnsi="Arial" w:cs="Arial"/>
          <w:sz w:val="24"/>
          <w:szCs w:val="24"/>
          <w:lang w:val="en-GB" w:eastAsia="cs-CZ"/>
        </w:rPr>
      </w:pPr>
    </w:p>
    <w:p w:rsidR="00476E45" w:rsidRDefault="00476E45" w:rsidP="00BF2FCD">
      <w:pPr>
        <w:pStyle w:val="NoSpacing"/>
        <w:spacing w:line="360" w:lineRule="auto"/>
        <w:jc w:val="both"/>
        <w:rPr>
          <w:rFonts w:ascii="Arial" w:hAnsi="Arial" w:cs="Arial"/>
          <w:sz w:val="24"/>
          <w:szCs w:val="24"/>
          <w:lang w:val="en-GB" w:eastAsia="cs-CZ"/>
        </w:rPr>
      </w:pPr>
    </w:p>
    <w:p w:rsidR="00476E45" w:rsidRDefault="00BF2FCD" w:rsidP="00BF2FCD">
      <w:pPr>
        <w:spacing w:line="360" w:lineRule="auto"/>
        <w:rPr>
          <w:rFonts w:ascii="Arial" w:hAnsi="Arial" w:cs="Arial"/>
          <w:sz w:val="24"/>
          <w:szCs w:val="24"/>
          <w:lang w:val="en-GB" w:eastAsia="cs-CZ"/>
        </w:rPr>
      </w:pPr>
      <w:r>
        <w:rPr>
          <w:rFonts w:ascii="Arial" w:hAnsi="Arial" w:cs="Arial"/>
          <w:sz w:val="24"/>
          <w:szCs w:val="24"/>
          <w:lang w:val="en-GB" w:eastAsia="cs-CZ"/>
        </w:rPr>
        <w:br w:type="page"/>
      </w:r>
      <w:r w:rsidR="00476E45">
        <w:rPr>
          <w:rFonts w:ascii="Arial" w:hAnsi="Arial" w:cs="Arial"/>
          <w:sz w:val="24"/>
          <w:szCs w:val="24"/>
          <w:lang w:val="en-GB" w:eastAsia="cs-CZ"/>
        </w:rPr>
        <w:t>8.</w:t>
      </w:r>
      <w:r w:rsidR="00476E45" w:rsidRPr="00476E45">
        <w:rPr>
          <w:rFonts w:ascii="Arial" w:hAnsi="Arial" w:cs="Arial"/>
          <w:sz w:val="24"/>
          <w:szCs w:val="24"/>
          <w:lang w:val="en-GB" w:eastAsia="cs-CZ"/>
        </w:rPr>
        <w:t xml:space="preserve"> </w:t>
      </w:r>
      <w:proofErr w:type="spellStart"/>
      <w:r w:rsidR="00476E45" w:rsidRPr="00D36C9C">
        <w:rPr>
          <w:rFonts w:ascii="Arial" w:hAnsi="Arial" w:cs="Arial"/>
          <w:sz w:val="24"/>
          <w:szCs w:val="24"/>
          <w:lang w:val="en-GB" w:eastAsia="cs-CZ"/>
        </w:rPr>
        <w:t>Lucie</w:t>
      </w:r>
      <w:proofErr w:type="spellEnd"/>
      <w:r w:rsidR="00476E45" w:rsidRPr="00D36C9C">
        <w:rPr>
          <w:rFonts w:ascii="Arial" w:hAnsi="Arial" w:cs="Arial"/>
          <w:sz w:val="24"/>
          <w:szCs w:val="24"/>
          <w:lang w:val="en-GB" w:eastAsia="cs-CZ"/>
        </w:rPr>
        <w:t xml:space="preserve"> </w:t>
      </w:r>
      <w:proofErr w:type="spellStart"/>
      <w:r w:rsidR="00476E45" w:rsidRPr="00D36C9C">
        <w:rPr>
          <w:rFonts w:ascii="Arial" w:hAnsi="Arial" w:cs="Arial"/>
          <w:sz w:val="24"/>
          <w:szCs w:val="24"/>
          <w:lang w:val="en-GB" w:eastAsia="cs-CZ"/>
        </w:rPr>
        <w:t>Poppov</w:t>
      </w:r>
      <w:r w:rsidR="00476E45">
        <w:rPr>
          <w:rFonts w:ascii="Arial" w:hAnsi="Arial" w:cs="Arial"/>
          <w:sz w:val="24"/>
          <w:szCs w:val="24"/>
          <w:lang w:val="en-GB" w:eastAsia="cs-CZ"/>
        </w:rPr>
        <w:t>a</w:t>
      </w:r>
      <w:proofErr w:type="spellEnd"/>
    </w:p>
    <w:p w:rsidR="00476E45" w:rsidRDefault="00476E45"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 xml:space="preserve">Chronic lymphocytic leukaemia (CLL) is </w:t>
      </w:r>
      <w:ins w:id="100" w:author="John Morgan" w:date="2015-03-22T19:21:00Z">
        <w:r w:rsidR="000D7FC9">
          <w:rPr>
            <w:rFonts w:ascii="Arial" w:hAnsi="Arial" w:cs="Arial"/>
            <w:sz w:val="24"/>
            <w:szCs w:val="24"/>
            <w:lang w:val="en-GB" w:eastAsia="cs-CZ"/>
          </w:rPr>
          <w:t xml:space="preserve">an </w:t>
        </w:r>
      </w:ins>
      <w:r w:rsidRPr="00D36C9C">
        <w:rPr>
          <w:rFonts w:ascii="Arial" w:hAnsi="Arial" w:cs="Arial"/>
          <w:sz w:val="24"/>
          <w:szCs w:val="24"/>
          <w:lang w:val="en-GB" w:eastAsia="cs-CZ"/>
        </w:rPr>
        <w:t>incurable</w:t>
      </w:r>
      <w:ins w:id="101" w:author="John Morgan" w:date="2015-03-22T19:21:00Z">
        <w:r w:rsidR="000D7FC9">
          <w:rPr>
            <w:rFonts w:ascii="Arial" w:hAnsi="Arial" w:cs="Arial"/>
            <w:sz w:val="24"/>
            <w:szCs w:val="24"/>
            <w:lang w:val="en-GB" w:eastAsia="cs-CZ"/>
          </w:rPr>
          <w:t>,</w:t>
        </w:r>
      </w:ins>
      <w:r w:rsidRPr="00D36C9C">
        <w:rPr>
          <w:rFonts w:ascii="Arial" w:hAnsi="Arial" w:cs="Arial"/>
          <w:sz w:val="24"/>
          <w:szCs w:val="24"/>
          <w:lang w:val="en-GB" w:eastAsia="cs-CZ"/>
        </w:rPr>
        <w:t xml:space="preserve"> slowly growing malignancy</w:t>
      </w:r>
      <w:ins w:id="102" w:author="John Morgan" w:date="2015-03-22T19:21:00Z">
        <w:r w:rsidR="000D7FC9">
          <w:rPr>
            <w:rFonts w:ascii="Arial" w:hAnsi="Arial" w:cs="Arial"/>
            <w:sz w:val="24"/>
            <w:szCs w:val="24"/>
            <w:lang w:val="en-GB" w:eastAsia="cs-CZ"/>
          </w:rPr>
          <w:t>,</w:t>
        </w:r>
      </w:ins>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affecting mostly </w:t>
      </w:r>
      <w:ins w:id="103" w:author="John Morgan" w:date="2015-03-22T19:21:00Z">
        <w:r w:rsidR="000D7FC9">
          <w:rPr>
            <w:rFonts w:ascii="Arial" w:hAnsi="Arial" w:cs="Arial"/>
            <w:sz w:val="24"/>
            <w:szCs w:val="24"/>
            <w:lang w:val="en-GB" w:eastAsia="cs-CZ"/>
          </w:rPr>
          <w:t xml:space="preserve">the </w:t>
        </w:r>
      </w:ins>
      <w:r w:rsidRPr="00D36C9C">
        <w:rPr>
          <w:rFonts w:ascii="Arial" w:hAnsi="Arial" w:cs="Arial"/>
          <w:sz w:val="24"/>
          <w:szCs w:val="24"/>
          <w:lang w:val="en-GB" w:eastAsia="cs-CZ"/>
        </w:rPr>
        <w:t xml:space="preserve">elderly population. Although slowly growing, </w:t>
      </w:r>
      <w:ins w:id="104" w:author="John Morgan" w:date="2015-03-22T19:21:00Z">
        <w:r w:rsidR="000D7FC9">
          <w:rPr>
            <w:rFonts w:ascii="Arial" w:hAnsi="Arial" w:cs="Arial"/>
            <w:sz w:val="24"/>
            <w:szCs w:val="24"/>
            <w:lang w:val="en-GB" w:eastAsia="cs-CZ"/>
          </w:rPr>
          <w:t xml:space="preserve">the </w:t>
        </w:r>
      </w:ins>
      <w:r w:rsidRPr="00D36C9C">
        <w:rPr>
          <w:rFonts w:ascii="Arial" w:hAnsi="Arial" w:cs="Arial"/>
          <w:sz w:val="24"/>
          <w:szCs w:val="24"/>
          <w:lang w:val="en-GB" w:eastAsia="cs-CZ"/>
        </w:rPr>
        <w:t>clinical outcome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of CLL differs considerably among individual patients, from indolent disease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with no requirement for treatment</w:t>
      </w:r>
      <w:ins w:id="105" w:author="John Morgan" w:date="2015-03-22T19:21:00Z">
        <w:r w:rsidR="000D7FC9">
          <w:rPr>
            <w:rFonts w:ascii="Arial" w:hAnsi="Arial" w:cs="Arial"/>
            <w:sz w:val="24"/>
            <w:szCs w:val="24"/>
            <w:lang w:val="en-GB" w:eastAsia="cs-CZ"/>
          </w:rPr>
          <w:t>,</w:t>
        </w:r>
      </w:ins>
      <w:r w:rsidRPr="00D36C9C">
        <w:rPr>
          <w:rFonts w:ascii="Arial" w:hAnsi="Arial" w:cs="Arial"/>
          <w:sz w:val="24"/>
          <w:szCs w:val="24"/>
          <w:lang w:val="en-GB" w:eastAsia="cs-CZ"/>
        </w:rPr>
        <w:t xml:space="preserve"> to aggressive disease with </w:t>
      </w:r>
      <w:ins w:id="106" w:author="John Morgan" w:date="2015-03-22T19:22:00Z">
        <w:r w:rsidR="000D7FC9">
          <w:rPr>
            <w:rFonts w:ascii="Arial" w:hAnsi="Arial" w:cs="Arial"/>
            <w:sz w:val="24"/>
            <w:szCs w:val="24"/>
            <w:lang w:val="en-GB" w:eastAsia="cs-CZ"/>
          </w:rPr>
          <w:t xml:space="preserve">urgent requirement for </w:t>
        </w:r>
      </w:ins>
      <w:commentRangeStart w:id="107"/>
      <w:r w:rsidRPr="00D36C9C">
        <w:rPr>
          <w:rFonts w:ascii="Arial" w:hAnsi="Arial" w:cs="Arial"/>
          <w:sz w:val="24"/>
          <w:szCs w:val="24"/>
          <w:lang w:val="en-GB" w:eastAsia="cs-CZ"/>
        </w:rPr>
        <w:t>treatment</w:t>
      </w:r>
      <w:commentRangeEnd w:id="107"/>
      <w:r w:rsidR="000D7FC9">
        <w:rPr>
          <w:rStyle w:val="CommentReference"/>
          <w:vanish/>
        </w:rPr>
        <w:commentReference w:id="107"/>
      </w:r>
      <w:del w:id="108" w:author="John Morgan" w:date="2015-03-22T19:22:00Z">
        <w:r w:rsidRPr="00D36C9C" w:rsidDel="000D7FC9">
          <w:rPr>
            <w:rFonts w:ascii="Arial" w:hAnsi="Arial" w:cs="Arial"/>
            <w:sz w:val="24"/>
            <w:szCs w:val="24"/>
            <w:lang w:val="en-GB" w:eastAsia="cs-CZ"/>
          </w:rPr>
          <w:delText xml:space="preserve"> urgency</w:delText>
        </w:r>
      </w:del>
      <w:r w:rsidRPr="00D36C9C">
        <w:rPr>
          <w:rFonts w:ascii="Arial" w:hAnsi="Arial" w:cs="Arial"/>
          <w:sz w:val="24"/>
          <w:szCs w:val="24"/>
          <w:lang w:val="en-GB" w:eastAsia="cs-CZ"/>
        </w:rPr>
        <w:t>.</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Recently, it was </w:t>
      </w:r>
      <w:commentRangeStart w:id="109"/>
      <w:del w:id="110" w:author="John Morgan" w:date="2015-03-22T19:23:00Z">
        <w:r w:rsidRPr="00D36C9C" w:rsidDel="000D7FC9">
          <w:rPr>
            <w:rFonts w:ascii="Arial" w:hAnsi="Arial" w:cs="Arial"/>
            <w:sz w:val="24"/>
            <w:szCs w:val="24"/>
            <w:lang w:val="en-GB" w:eastAsia="cs-CZ"/>
          </w:rPr>
          <w:delText xml:space="preserve">published </w:delText>
        </w:r>
      </w:del>
      <w:ins w:id="111" w:author="John Morgan" w:date="2015-03-22T19:23:00Z">
        <w:r w:rsidR="000D7FC9">
          <w:rPr>
            <w:rFonts w:ascii="Arial" w:hAnsi="Arial" w:cs="Arial"/>
            <w:sz w:val="24"/>
            <w:szCs w:val="24"/>
            <w:lang w:val="en-GB" w:eastAsia="cs-CZ"/>
          </w:rPr>
          <w:t>reported</w:t>
        </w:r>
        <w:commentRangeEnd w:id="109"/>
        <w:r w:rsidR="000D7FC9">
          <w:rPr>
            <w:rStyle w:val="CommentReference"/>
            <w:vanish/>
          </w:rPr>
          <w:commentReference w:id="109"/>
        </w:r>
      </w:ins>
      <w:ins w:id="112" w:author="John Morgan" w:date="2015-03-22T19:22:00Z">
        <w:r w:rsidR="000D7FC9" w:rsidRPr="00D36C9C">
          <w:rPr>
            <w:rFonts w:ascii="Arial" w:hAnsi="Arial" w:cs="Arial"/>
            <w:sz w:val="24"/>
            <w:szCs w:val="24"/>
            <w:lang w:val="en-GB" w:eastAsia="cs-CZ"/>
          </w:rPr>
          <w:t xml:space="preserve"> </w:t>
        </w:r>
      </w:ins>
      <w:r w:rsidRPr="00D36C9C">
        <w:rPr>
          <w:rFonts w:ascii="Arial" w:hAnsi="Arial" w:cs="Arial"/>
          <w:sz w:val="24"/>
          <w:szCs w:val="24"/>
          <w:lang w:val="en-GB" w:eastAsia="cs-CZ"/>
        </w:rPr>
        <w:t xml:space="preserve">that compartments of the </w:t>
      </w:r>
      <w:proofErr w:type="spellStart"/>
      <w:r w:rsidRPr="00D36C9C">
        <w:rPr>
          <w:rFonts w:ascii="Arial" w:hAnsi="Arial" w:cs="Arial"/>
          <w:sz w:val="24"/>
          <w:szCs w:val="24"/>
          <w:lang w:val="en-GB" w:eastAsia="cs-CZ"/>
        </w:rPr>
        <w:t>noncanonical</w:t>
      </w:r>
      <w:proofErr w:type="spellEnd"/>
      <w:r w:rsidRPr="00D36C9C">
        <w:rPr>
          <w:rFonts w:ascii="Arial" w:hAnsi="Arial" w:cs="Arial"/>
          <w:sz w:val="24"/>
          <w:szCs w:val="24"/>
          <w:lang w:val="en-GB" w:eastAsia="cs-CZ"/>
        </w:rPr>
        <w:t xml:space="preserve"> WNT/PCP </w:t>
      </w:r>
      <w:commentRangeStart w:id="113"/>
      <w:r w:rsidRPr="00D36C9C">
        <w:rPr>
          <w:rFonts w:ascii="Arial" w:hAnsi="Arial" w:cs="Arial"/>
          <w:sz w:val="24"/>
          <w:szCs w:val="24"/>
          <w:lang w:val="en-GB" w:eastAsia="cs-CZ"/>
        </w:rPr>
        <w:t>pathway</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are </w:t>
      </w:r>
      <w:proofErr w:type="spellStart"/>
      <w:r w:rsidRPr="00D36C9C">
        <w:rPr>
          <w:rFonts w:ascii="Arial" w:hAnsi="Arial" w:cs="Arial"/>
          <w:sz w:val="24"/>
          <w:szCs w:val="24"/>
          <w:lang w:val="en-GB" w:eastAsia="cs-CZ"/>
        </w:rPr>
        <w:t>overexpressed</w:t>
      </w:r>
      <w:proofErr w:type="spellEnd"/>
      <w:r w:rsidRPr="00D36C9C">
        <w:rPr>
          <w:rFonts w:ascii="Arial" w:hAnsi="Arial" w:cs="Arial"/>
          <w:sz w:val="24"/>
          <w:szCs w:val="24"/>
          <w:lang w:val="en-GB" w:eastAsia="cs-CZ"/>
        </w:rPr>
        <w:t xml:space="preserve"> in CLL and WNT pathway is implicated </w:t>
      </w:r>
      <w:commentRangeEnd w:id="113"/>
      <w:r w:rsidR="000D7FC9">
        <w:rPr>
          <w:rStyle w:val="CommentReference"/>
          <w:vanish/>
        </w:rPr>
        <w:commentReference w:id="113"/>
      </w:r>
      <w:r w:rsidRPr="00D36C9C">
        <w:rPr>
          <w:rFonts w:ascii="Arial" w:hAnsi="Arial" w:cs="Arial"/>
          <w:sz w:val="24"/>
          <w:szCs w:val="24"/>
          <w:lang w:val="en-GB" w:eastAsia="cs-CZ"/>
        </w:rPr>
        <w:t>in disease pathogenesis</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via changes in cell migration.</w:t>
      </w: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 xml:space="preserve">In this study, </w:t>
      </w:r>
      <w:commentRangeStart w:id="114"/>
      <w:r w:rsidRPr="00D36C9C">
        <w:rPr>
          <w:rFonts w:ascii="Arial" w:hAnsi="Arial" w:cs="Arial"/>
          <w:sz w:val="24"/>
          <w:szCs w:val="24"/>
          <w:lang w:val="en-GB" w:eastAsia="cs-CZ"/>
        </w:rPr>
        <w:t>we</w:t>
      </w:r>
      <w:commentRangeEnd w:id="114"/>
      <w:r w:rsidR="000D7FC9">
        <w:rPr>
          <w:rStyle w:val="CommentReference"/>
          <w:vanish/>
        </w:rPr>
        <w:commentReference w:id="114"/>
      </w:r>
      <w:r w:rsidRPr="00D36C9C">
        <w:rPr>
          <w:rFonts w:ascii="Arial" w:hAnsi="Arial" w:cs="Arial"/>
          <w:sz w:val="24"/>
          <w:szCs w:val="24"/>
          <w:lang w:val="en-GB" w:eastAsia="cs-CZ"/>
        </w:rPr>
        <w:t xml:space="preserve"> </w:t>
      </w:r>
      <w:del w:id="115" w:author="John Morgan" w:date="2015-03-22T19:24:00Z">
        <w:r w:rsidRPr="00D36C9C" w:rsidDel="000D7FC9">
          <w:rPr>
            <w:rFonts w:ascii="Arial" w:hAnsi="Arial" w:cs="Arial"/>
            <w:sz w:val="24"/>
            <w:szCs w:val="24"/>
            <w:lang w:val="en-GB" w:eastAsia="cs-CZ"/>
          </w:rPr>
          <w:delText xml:space="preserve">decided to </w:delText>
        </w:r>
      </w:del>
      <w:r w:rsidRPr="00D36C9C">
        <w:rPr>
          <w:rFonts w:ascii="Arial" w:hAnsi="Arial" w:cs="Arial"/>
          <w:sz w:val="24"/>
          <w:szCs w:val="24"/>
          <w:lang w:val="en-GB" w:eastAsia="cs-CZ"/>
        </w:rPr>
        <w:t>contribute to clarifying the role of the WNT3</w:t>
      </w:r>
      <w:r w:rsidR="00476E45">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ligand</w:t>
      </w:r>
      <w:proofErr w:type="spellEnd"/>
      <w:r w:rsidRPr="00D36C9C">
        <w:rPr>
          <w:rFonts w:ascii="Arial" w:hAnsi="Arial" w:cs="Arial"/>
          <w:sz w:val="24"/>
          <w:szCs w:val="24"/>
          <w:lang w:val="en-GB" w:eastAsia="cs-CZ"/>
        </w:rPr>
        <w:t xml:space="preserve"> in CLL. Using quantitative real-time PCR, we assessed WNT3 expression in</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peripheral blood (PB) B cells from 137 previously untreated CLL patients and</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compared the results with the clinical data of the patients and with WNT3</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expression in PB and </w:t>
      </w:r>
      <w:proofErr w:type="spellStart"/>
      <w:r w:rsidRPr="00D36C9C">
        <w:rPr>
          <w:rFonts w:ascii="Arial" w:hAnsi="Arial" w:cs="Arial"/>
          <w:sz w:val="24"/>
          <w:szCs w:val="24"/>
          <w:lang w:val="en-GB" w:eastAsia="cs-CZ"/>
        </w:rPr>
        <w:t>tonsillar</w:t>
      </w:r>
      <w:proofErr w:type="spellEnd"/>
      <w:r w:rsidRPr="00D36C9C">
        <w:rPr>
          <w:rFonts w:ascii="Arial" w:hAnsi="Arial" w:cs="Arial"/>
          <w:sz w:val="24"/>
          <w:szCs w:val="24"/>
          <w:lang w:val="en-GB" w:eastAsia="cs-CZ"/>
        </w:rPr>
        <w:t xml:space="preserve"> non-malignant B-cells. WNT3 was significantly</w:t>
      </w:r>
      <w:r w:rsidR="00476E45">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upregulated</w:t>
      </w:r>
      <w:proofErr w:type="spellEnd"/>
      <w:r w:rsidRPr="00D36C9C">
        <w:rPr>
          <w:rFonts w:ascii="Arial" w:hAnsi="Arial" w:cs="Arial"/>
          <w:sz w:val="24"/>
          <w:szCs w:val="24"/>
          <w:lang w:val="en-GB" w:eastAsia="cs-CZ"/>
        </w:rPr>
        <w:t xml:space="preserve"> over non-malignant control and we detected significant </w:t>
      </w:r>
      <w:commentRangeStart w:id="116"/>
      <w:r w:rsidRPr="00D36C9C">
        <w:rPr>
          <w:rFonts w:ascii="Arial" w:hAnsi="Arial" w:cs="Arial"/>
          <w:sz w:val="24"/>
          <w:szCs w:val="24"/>
          <w:lang w:val="en-GB" w:eastAsia="cs-CZ"/>
        </w:rPr>
        <w:t>correlation</w:t>
      </w:r>
      <w:ins w:id="117" w:author="John Morgan" w:date="2015-03-22T19:26:00Z">
        <w:r w:rsidR="000D7FC9">
          <w:rPr>
            <w:rFonts w:ascii="Arial" w:hAnsi="Arial" w:cs="Arial"/>
            <w:sz w:val="24"/>
            <w:szCs w:val="24"/>
            <w:lang w:val="en-GB" w:eastAsia="cs-CZ"/>
          </w:rPr>
          <w:t>s</w:t>
        </w:r>
      </w:ins>
      <w:commentRangeEnd w:id="116"/>
      <w:r w:rsidR="000D7FC9">
        <w:rPr>
          <w:rStyle w:val="CommentReference"/>
          <w:vanish/>
        </w:rPr>
        <w:commentReference w:id="116"/>
      </w:r>
      <w:r w:rsidR="00476E45">
        <w:rPr>
          <w:rFonts w:ascii="Arial" w:hAnsi="Arial" w:cs="Arial"/>
          <w:sz w:val="24"/>
          <w:szCs w:val="24"/>
          <w:lang w:val="en-GB" w:eastAsia="cs-CZ"/>
        </w:rPr>
        <w:t xml:space="preserve"> </w:t>
      </w:r>
      <w:r w:rsidRPr="00D36C9C">
        <w:rPr>
          <w:rFonts w:ascii="Arial" w:hAnsi="Arial" w:cs="Arial"/>
          <w:sz w:val="24"/>
          <w:szCs w:val="24"/>
          <w:lang w:val="en-GB" w:eastAsia="cs-CZ"/>
        </w:rPr>
        <w:t>between low WNT3 levels and shorter treatment free survival of the patients. The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strongest correlation was observed within patients with mutated IGHV (generally</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good prognosis). Furthermore, we revealed </w:t>
      </w:r>
      <w:ins w:id="118" w:author="John Morgan" w:date="2015-03-22T19:27:00Z">
        <w:r w:rsidR="0039075A">
          <w:rPr>
            <w:rFonts w:ascii="Arial" w:hAnsi="Arial" w:cs="Arial"/>
            <w:sz w:val="24"/>
            <w:szCs w:val="24"/>
            <w:lang w:val="en-GB" w:eastAsia="cs-CZ"/>
          </w:rPr>
          <w:t xml:space="preserve">the </w:t>
        </w:r>
      </w:ins>
      <w:r w:rsidRPr="00D36C9C">
        <w:rPr>
          <w:rFonts w:ascii="Arial" w:hAnsi="Arial" w:cs="Arial"/>
          <w:sz w:val="24"/>
          <w:szCs w:val="24"/>
          <w:lang w:val="en-GB" w:eastAsia="cs-CZ"/>
        </w:rPr>
        <w:t>relation of low WNT3 levels to</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mutation in SF3B1 and NOTCH1 genes</w:t>
      </w:r>
      <w:ins w:id="119" w:author="John Morgan" w:date="2015-03-22T19:27:00Z">
        <w:r w:rsidR="0039075A">
          <w:rPr>
            <w:rFonts w:ascii="Arial" w:hAnsi="Arial" w:cs="Arial"/>
            <w:sz w:val="24"/>
            <w:szCs w:val="24"/>
            <w:lang w:val="en-GB" w:eastAsia="cs-CZ"/>
          </w:rPr>
          <w:t>,</w:t>
        </w:r>
      </w:ins>
      <w:r w:rsidRPr="00D36C9C">
        <w:rPr>
          <w:rFonts w:ascii="Arial" w:hAnsi="Arial" w:cs="Arial"/>
          <w:sz w:val="24"/>
          <w:szCs w:val="24"/>
          <w:lang w:val="en-GB" w:eastAsia="cs-CZ"/>
        </w:rPr>
        <w:t xml:space="preserve"> which were previously</w:t>
      </w:r>
      <w:commentRangeStart w:id="120"/>
      <w:r w:rsidRPr="00D36C9C">
        <w:rPr>
          <w:rFonts w:ascii="Arial" w:hAnsi="Arial" w:cs="Arial"/>
          <w:sz w:val="24"/>
          <w:szCs w:val="24"/>
          <w:lang w:val="en-GB" w:eastAsia="cs-CZ"/>
        </w:rPr>
        <w:t xml:space="preserve"> published </w:t>
      </w:r>
      <w:commentRangeEnd w:id="120"/>
      <w:r w:rsidR="0039075A">
        <w:rPr>
          <w:rStyle w:val="CommentReference"/>
          <w:vanish/>
        </w:rPr>
        <w:commentReference w:id="120"/>
      </w:r>
      <w:r w:rsidRPr="00D36C9C">
        <w:rPr>
          <w:rFonts w:ascii="Arial" w:hAnsi="Arial" w:cs="Arial"/>
          <w:sz w:val="24"/>
          <w:szCs w:val="24"/>
          <w:lang w:val="en-GB" w:eastAsia="cs-CZ"/>
        </w:rPr>
        <w:t>in connection</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with worse prognosis of CLL patients.</w:t>
      </w: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To conclude, low WNT3 expression is a useful marker defining rapidly progressing</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patients within </w:t>
      </w:r>
      <w:ins w:id="121" w:author="John Morgan" w:date="2015-03-22T19:28:00Z">
        <w:r w:rsidR="0039075A">
          <w:rPr>
            <w:rFonts w:ascii="Arial" w:hAnsi="Arial" w:cs="Arial"/>
            <w:sz w:val="24"/>
            <w:szCs w:val="24"/>
            <w:lang w:val="en-GB" w:eastAsia="cs-CZ"/>
          </w:rPr>
          <w:t xml:space="preserve">the </w:t>
        </w:r>
      </w:ins>
      <w:r w:rsidRPr="00D36C9C">
        <w:rPr>
          <w:rFonts w:ascii="Arial" w:hAnsi="Arial" w:cs="Arial"/>
          <w:sz w:val="24"/>
          <w:szCs w:val="24"/>
          <w:lang w:val="en-GB" w:eastAsia="cs-CZ"/>
        </w:rPr>
        <w:t>IGHV-mutated subgroup.</w:t>
      </w:r>
    </w:p>
    <w:p w:rsidR="00476E45" w:rsidRDefault="00476E45" w:rsidP="00BF2FCD">
      <w:pPr>
        <w:pStyle w:val="NoSpacing"/>
        <w:spacing w:line="360" w:lineRule="auto"/>
        <w:jc w:val="both"/>
        <w:rPr>
          <w:rFonts w:ascii="Arial" w:hAnsi="Arial" w:cs="Arial"/>
          <w:sz w:val="24"/>
          <w:szCs w:val="24"/>
          <w:lang w:val="en-GB" w:eastAsia="cs-CZ"/>
        </w:rPr>
      </w:pPr>
    </w:p>
    <w:p w:rsidR="00476E45" w:rsidRDefault="00476E45"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476E45" w:rsidRDefault="00BF2FCD" w:rsidP="00BF2FCD">
      <w:pPr>
        <w:spacing w:line="360" w:lineRule="auto"/>
        <w:rPr>
          <w:rFonts w:ascii="Arial" w:hAnsi="Arial" w:cs="Arial"/>
          <w:sz w:val="24"/>
          <w:szCs w:val="24"/>
          <w:lang w:val="en-GB" w:eastAsia="cs-CZ"/>
        </w:rPr>
      </w:pPr>
      <w:bookmarkStart w:id="122" w:name="_GoBack"/>
      <w:bookmarkEnd w:id="122"/>
      <w:r>
        <w:rPr>
          <w:rFonts w:ascii="Arial" w:hAnsi="Arial" w:cs="Arial"/>
          <w:sz w:val="24"/>
          <w:szCs w:val="24"/>
          <w:lang w:val="en-GB" w:eastAsia="cs-CZ"/>
        </w:rPr>
        <w:br w:type="page"/>
      </w:r>
      <w:r w:rsidR="00476E45">
        <w:rPr>
          <w:rFonts w:ascii="Arial" w:hAnsi="Arial" w:cs="Arial"/>
          <w:sz w:val="24"/>
          <w:szCs w:val="24"/>
          <w:lang w:val="en-GB" w:eastAsia="cs-CZ"/>
        </w:rPr>
        <w:t>9.</w:t>
      </w:r>
      <w:r w:rsidR="00476E45" w:rsidRPr="00476E45">
        <w:rPr>
          <w:rFonts w:ascii="Arial" w:hAnsi="Arial" w:cs="Arial"/>
          <w:sz w:val="24"/>
          <w:szCs w:val="24"/>
          <w:lang w:val="en-GB" w:eastAsia="cs-CZ"/>
        </w:rPr>
        <w:t xml:space="preserve"> </w:t>
      </w:r>
      <w:r w:rsidR="00476E45" w:rsidRPr="00D36C9C">
        <w:rPr>
          <w:rFonts w:ascii="Arial" w:hAnsi="Arial" w:cs="Arial"/>
          <w:sz w:val="24"/>
          <w:szCs w:val="24"/>
          <w:lang w:val="en-GB" w:eastAsia="cs-CZ"/>
        </w:rPr>
        <w:t xml:space="preserve">Michal </w:t>
      </w:r>
      <w:proofErr w:type="spellStart"/>
      <w:r w:rsidR="00476E45" w:rsidRPr="00D36C9C">
        <w:rPr>
          <w:rFonts w:ascii="Arial" w:hAnsi="Arial" w:cs="Arial"/>
          <w:sz w:val="24"/>
          <w:szCs w:val="24"/>
          <w:lang w:val="en-GB" w:eastAsia="cs-CZ"/>
        </w:rPr>
        <w:t>Je</w:t>
      </w:r>
      <w:r w:rsidR="00476E45">
        <w:rPr>
          <w:rFonts w:ascii="Arial" w:hAnsi="Arial" w:cs="Arial"/>
          <w:sz w:val="24"/>
          <w:szCs w:val="24"/>
          <w:lang w:val="en-GB" w:eastAsia="cs-CZ"/>
        </w:rPr>
        <w:t>z</w:t>
      </w:r>
      <w:proofErr w:type="spellEnd"/>
    </w:p>
    <w:p w:rsidR="00476E45" w:rsidRDefault="00476E45" w:rsidP="00BF2FCD">
      <w:pPr>
        <w:pStyle w:val="NoSpacing"/>
        <w:spacing w:line="360" w:lineRule="auto"/>
        <w:jc w:val="both"/>
        <w:rPr>
          <w:rFonts w:ascii="Arial" w:hAnsi="Arial" w:cs="Arial"/>
          <w:sz w:val="24"/>
          <w:szCs w:val="24"/>
          <w:lang w:val="en-GB" w:eastAsia="cs-CZ"/>
        </w:rPr>
      </w:pPr>
    </w:p>
    <w:p w:rsidR="00476E45"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Cell adhesion belongs among interactions that take place in the microenvironment</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of lymph nodes and bone marrow and which are responsible for progression of</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chronic lymphocytic leukaemia (CLL). In particular, the cell adhesion is</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considered to be a key event supporting therapy resistance of the CLL cells with</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its crucial regulator </w:t>
      </w:r>
      <w:ins w:id="123" w:author="John Morgan" w:date="2015-03-22T19:29:00Z">
        <w:r w:rsidR="0039075A">
          <w:rPr>
            <w:rFonts w:ascii="Arial" w:hAnsi="Arial" w:cs="Arial"/>
            <w:sz w:val="24"/>
            <w:szCs w:val="24"/>
            <w:lang w:val="en-GB" w:eastAsia="cs-CZ"/>
          </w:rPr>
          <w:t>f</w:t>
        </w:r>
      </w:ins>
      <w:del w:id="124" w:author="John Morgan" w:date="2015-03-22T19:29:00Z">
        <w:r w:rsidRPr="00D36C9C" w:rsidDel="0039075A">
          <w:rPr>
            <w:rFonts w:ascii="Arial" w:hAnsi="Arial" w:cs="Arial"/>
            <w:sz w:val="24"/>
            <w:szCs w:val="24"/>
            <w:lang w:val="en-GB" w:eastAsia="cs-CZ"/>
          </w:rPr>
          <w:delText>F</w:delText>
        </w:r>
      </w:del>
      <w:r w:rsidRPr="00D36C9C">
        <w:rPr>
          <w:rFonts w:ascii="Arial" w:hAnsi="Arial" w:cs="Arial"/>
          <w:sz w:val="24"/>
          <w:szCs w:val="24"/>
          <w:lang w:val="en-GB" w:eastAsia="cs-CZ"/>
        </w:rPr>
        <w:t xml:space="preserve">ocal adhesion </w:t>
      </w:r>
      <w:proofErr w:type="spellStart"/>
      <w:r w:rsidRPr="00D36C9C">
        <w:rPr>
          <w:rFonts w:ascii="Arial" w:hAnsi="Arial" w:cs="Arial"/>
          <w:sz w:val="24"/>
          <w:szCs w:val="24"/>
          <w:lang w:val="en-GB" w:eastAsia="cs-CZ"/>
        </w:rPr>
        <w:t>kinase</w:t>
      </w:r>
      <w:proofErr w:type="spellEnd"/>
      <w:r w:rsidRPr="00D36C9C">
        <w:rPr>
          <w:rFonts w:ascii="Arial" w:hAnsi="Arial" w:cs="Arial"/>
          <w:sz w:val="24"/>
          <w:szCs w:val="24"/>
          <w:lang w:val="en-GB" w:eastAsia="cs-CZ"/>
        </w:rPr>
        <w:t xml:space="preserve"> (FAK). In order to understand its</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function in CLL biology, we examined expression of PTK2 gene (encoding FAK) in</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CLL samples. A cohort of 64 randomly chosen and well-characterised CLL patients</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was analysed using </w:t>
      </w:r>
      <w:proofErr w:type="spellStart"/>
      <w:r w:rsidRPr="00D36C9C">
        <w:rPr>
          <w:rFonts w:ascii="Arial" w:hAnsi="Arial" w:cs="Arial"/>
          <w:sz w:val="24"/>
          <w:szCs w:val="24"/>
          <w:lang w:val="en-GB" w:eastAsia="cs-CZ"/>
        </w:rPr>
        <w:t>qRT</w:t>
      </w:r>
      <w:proofErr w:type="spellEnd"/>
      <w:r w:rsidRPr="00D36C9C">
        <w:rPr>
          <w:rFonts w:ascii="Arial" w:hAnsi="Arial" w:cs="Arial"/>
          <w:sz w:val="24"/>
          <w:szCs w:val="24"/>
          <w:lang w:val="en-GB" w:eastAsia="cs-CZ"/>
        </w:rPr>
        <w:t>-PCR</w:t>
      </w:r>
      <w:ins w:id="125" w:author="John Morgan" w:date="2015-03-22T19:30:00Z">
        <w:r w:rsidR="0039075A">
          <w:rPr>
            <w:rFonts w:ascii="Arial" w:hAnsi="Arial" w:cs="Arial"/>
            <w:sz w:val="24"/>
            <w:szCs w:val="24"/>
            <w:lang w:val="en-GB" w:eastAsia="cs-CZ"/>
          </w:rPr>
          <w:t>,</w:t>
        </w:r>
      </w:ins>
      <w:r w:rsidRPr="00D36C9C">
        <w:rPr>
          <w:rFonts w:ascii="Arial" w:hAnsi="Arial" w:cs="Arial"/>
          <w:sz w:val="24"/>
          <w:szCs w:val="24"/>
          <w:lang w:val="en-GB" w:eastAsia="cs-CZ"/>
        </w:rPr>
        <w:t xml:space="preserve"> and the expression data were analysed with routinely</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used parameters in CLL diagnostics. P-values were calculated using </w:t>
      </w:r>
      <w:commentRangeStart w:id="126"/>
      <w:ins w:id="127" w:author="John Morgan" w:date="2015-03-22T19:30:00Z">
        <w:r w:rsidR="0039075A">
          <w:rPr>
            <w:rFonts w:ascii="Arial" w:hAnsi="Arial" w:cs="Arial"/>
            <w:sz w:val="24"/>
            <w:szCs w:val="24"/>
            <w:lang w:val="en-GB" w:eastAsia="cs-CZ"/>
          </w:rPr>
          <w:t xml:space="preserve">the </w:t>
        </w:r>
      </w:ins>
      <w:r w:rsidRPr="00D36C9C">
        <w:rPr>
          <w:rFonts w:ascii="Arial" w:hAnsi="Arial" w:cs="Arial"/>
          <w:sz w:val="24"/>
          <w:szCs w:val="24"/>
          <w:lang w:val="en-GB" w:eastAsia="cs-CZ"/>
        </w:rPr>
        <w:t>Mann-Whitney</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test</w:t>
      </w:r>
      <w:commentRangeEnd w:id="126"/>
      <w:r w:rsidR="0039075A">
        <w:rPr>
          <w:rStyle w:val="CommentReference"/>
          <w:vanish/>
        </w:rPr>
        <w:commentReference w:id="126"/>
      </w:r>
      <w:r w:rsidRPr="00D36C9C">
        <w:rPr>
          <w:rFonts w:ascii="Arial" w:hAnsi="Arial" w:cs="Arial"/>
          <w:sz w:val="24"/>
          <w:szCs w:val="24"/>
          <w:lang w:val="en-GB" w:eastAsia="cs-CZ"/>
        </w:rPr>
        <w:t>. Generally, the expression levels of PTK2 varied from values at the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detection limit to samples with 1000-fold amounts. Comparing stage</w:t>
      </w:r>
      <w:ins w:id="128" w:author="John Morgan" w:date="2015-03-22T19:31:00Z">
        <w:r w:rsidR="0039075A">
          <w:rPr>
            <w:rFonts w:ascii="Arial" w:hAnsi="Arial" w:cs="Arial"/>
            <w:sz w:val="24"/>
            <w:szCs w:val="24"/>
            <w:lang w:val="en-GB" w:eastAsia="cs-CZ"/>
          </w:rPr>
          <w:t>s</w:t>
        </w:r>
      </w:ins>
      <w:r w:rsidRPr="00D36C9C">
        <w:rPr>
          <w:rFonts w:ascii="Arial" w:hAnsi="Arial" w:cs="Arial"/>
          <w:sz w:val="24"/>
          <w:szCs w:val="24"/>
          <w:lang w:val="en-GB" w:eastAsia="cs-CZ"/>
        </w:rPr>
        <w:t xml:space="preserve"> of the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disease, patients </w:t>
      </w:r>
      <w:del w:id="129" w:author="John Morgan" w:date="2015-03-22T19:31:00Z">
        <w:r w:rsidRPr="00D36C9C" w:rsidDel="0039075A">
          <w:rPr>
            <w:rFonts w:ascii="Arial" w:hAnsi="Arial" w:cs="Arial"/>
            <w:sz w:val="24"/>
            <w:szCs w:val="24"/>
            <w:lang w:val="en-GB" w:eastAsia="cs-CZ"/>
          </w:rPr>
          <w:delText xml:space="preserve">with </w:delText>
        </w:r>
      </w:del>
      <w:ins w:id="130" w:author="John Morgan" w:date="2015-03-22T19:31:00Z">
        <w:r w:rsidR="0039075A">
          <w:rPr>
            <w:rFonts w:ascii="Arial" w:hAnsi="Arial" w:cs="Arial"/>
            <w:sz w:val="24"/>
            <w:szCs w:val="24"/>
            <w:lang w:val="en-GB" w:eastAsia="cs-CZ"/>
          </w:rPr>
          <w:t>at</w:t>
        </w:r>
        <w:r w:rsidR="0039075A" w:rsidRPr="00D36C9C">
          <w:rPr>
            <w:rFonts w:ascii="Arial" w:hAnsi="Arial" w:cs="Arial"/>
            <w:sz w:val="24"/>
            <w:szCs w:val="24"/>
            <w:lang w:val="en-GB" w:eastAsia="cs-CZ"/>
          </w:rPr>
          <w:t xml:space="preserve"> </w:t>
        </w:r>
      </w:ins>
      <w:r w:rsidRPr="00D36C9C">
        <w:rPr>
          <w:rFonts w:ascii="Arial" w:hAnsi="Arial" w:cs="Arial"/>
          <w:sz w:val="24"/>
          <w:szCs w:val="24"/>
          <w:lang w:val="en-GB" w:eastAsia="cs-CZ"/>
        </w:rPr>
        <w:t>lower stage (RAI 0-II; n=34) had significantly higher</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expression of PTK2 than patients </w:t>
      </w:r>
      <w:commentRangeStart w:id="131"/>
      <w:ins w:id="132" w:author="John Morgan" w:date="2015-03-22T19:31:00Z">
        <w:r w:rsidR="0039075A">
          <w:rPr>
            <w:rFonts w:ascii="Arial" w:hAnsi="Arial" w:cs="Arial"/>
            <w:sz w:val="24"/>
            <w:szCs w:val="24"/>
            <w:lang w:val="en-GB" w:eastAsia="cs-CZ"/>
          </w:rPr>
          <w:t>at</w:t>
        </w:r>
      </w:ins>
      <w:del w:id="133" w:author="John Morgan" w:date="2015-03-22T19:31:00Z">
        <w:r w:rsidRPr="00D36C9C" w:rsidDel="0039075A">
          <w:rPr>
            <w:rFonts w:ascii="Arial" w:hAnsi="Arial" w:cs="Arial"/>
            <w:sz w:val="24"/>
            <w:szCs w:val="24"/>
            <w:lang w:val="en-GB" w:eastAsia="cs-CZ"/>
          </w:rPr>
          <w:delText>with</w:delText>
        </w:r>
      </w:del>
      <w:commentRangeEnd w:id="131"/>
      <w:r w:rsidR="0039075A">
        <w:rPr>
          <w:rStyle w:val="CommentReference"/>
          <w:vanish/>
        </w:rPr>
        <w:commentReference w:id="131"/>
      </w:r>
      <w:r w:rsidRPr="00D36C9C">
        <w:rPr>
          <w:rFonts w:ascii="Arial" w:hAnsi="Arial" w:cs="Arial"/>
          <w:sz w:val="24"/>
          <w:szCs w:val="24"/>
          <w:lang w:val="en-GB" w:eastAsia="cs-CZ"/>
        </w:rPr>
        <w:t xml:space="preserve"> higher stage (RAI III-IV; n=27; P&lt;0.05).</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For survival prognosis (counted from the date of diagnosis), we divided the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patients into two groups according to PTK2 expression median. The group </w:t>
      </w:r>
      <w:commentRangeStart w:id="134"/>
      <w:r w:rsidRPr="00D36C9C">
        <w:rPr>
          <w:rFonts w:ascii="Arial" w:hAnsi="Arial" w:cs="Arial"/>
          <w:sz w:val="24"/>
          <w:szCs w:val="24"/>
          <w:lang w:val="en-GB" w:eastAsia="cs-CZ"/>
        </w:rPr>
        <w:t>with</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lower expression </w:t>
      </w:r>
      <w:commentRangeEnd w:id="134"/>
      <w:r w:rsidR="0039075A">
        <w:rPr>
          <w:rStyle w:val="CommentReference"/>
          <w:vanish/>
        </w:rPr>
        <w:commentReference w:id="134"/>
      </w:r>
      <w:r w:rsidRPr="00D36C9C">
        <w:rPr>
          <w:rFonts w:ascii="Arial" w:hAnsi="Arial" w:cs="Arial"/>
          <w:sz w:val="24"/>
          <w:szCs w:val="24"/>
          <w:lang w:val="en-GB" w:eastAsia="cs-CZ"/>
        </w:rPr>
        <w:t xml:space="preserve">(n=29) had </w:t>
      </w:r>
      <w:ins w:id="135" w:author="John Morgan" w:date="2015-03-22T19:35:00Z">
        <w:r w:rsidR="0039075A">
          <w:rPr>
            <w:rFonts w:ascii="Arial" w:hAnsi="Arial" w:cs="Arial"/>
            <w:sz w:val="24"/>
            <w:szCs w:val="24"/>
            <w:lang w:val="en-GB" w:eastAsia="cs-CZ"/>
          </w:rPr>
          <w:t xml:space="preserve">a </w:t>
        </w:r>
      </w:ins>
      <w:r w:rsidRPr="00D36C9C">
        <w:rPr>
          <w:rFonts w:ascii="Arial" w:hAnsi="Arial" w:cs="Arial"/>
          <w:sz w:val="24"/>
          <w:szCs w:val="24"/>
          <w:lang w:val="en-GB" w:eastAsia="cs-CZ"/>
        </w:rPr>
        <w:t>median survival of 108 months</w:t>
      </w:r>
      <w:ins w:id="136" w:author="John Morgan" w:date="2015-03-22T19:35:00Z">
        <w:r w:rsidR="0039075A">
          <w:rPr>
            <w:rFonts w:ascii="Arial" w:hAnsi="Arial" w:cs="Arial"/>
            <w:sz w:val="24"/>
            <w:szCs w:val="24"/>
            <w:lang w:val="en-GB" w:eastAsia="cs-CZ"/>
          </w:rPr>
          <w:t>,</w:t>
        </w:r>
      </w:ins>
      <w:r w:rsidRPr="00D36C9C">
        <w:rPr>
          <w:rFonts w:ascii="Arial" w:hAnsi="Arial" w:cs="Arial"/>
          <w:sz w:val="24"/>
          <w:szCs w:val="24"/>
          <w:lang w:val="en-GB" w:eastAsia="cs-CZ"/>
        </w:rPr>
        <w:t xml:space="preserve"> whereas the group with</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higher expression (n=34) had </w:t>
      </w:r>
      <w:commentRangeStart w:id="137"/>
      <w:ins w:id="138" w:author="John Morgan" w:date="2015-03-22T19:35:00Z">
        <w:r w:rsidR="0039075A">
          <w:rPr>
            <w:rFonts w:ascii="Arial" w:hAnsi="Arial" w:cs="Arial"/>
            <w:sz w:val="24"/>
            <w:szCs w:val="24"/>
            <w:lang w:val="en-GB" w:eastAsia="cs-CZ"/>
          </w:rPr>
          <w:t xml:space="preserve">a median survival of </w:t>
        </w:r>
      </w:ins>
      <w:commentRangeEnd w:id="137"/>
      <w:r w:rsidR="0039075A">
        <w:rPr>
          <w:rStyle w:val="CommentReference"/>
          <w:vanish/>
        </w:rPr>
        <w:commentReference w:id="137"/>
      </w:r>
      <w:r w:rsidRPr="00D36C9C">
        <w:rPr>
          <w:rFonts w:ascii="Arial" w:hAnsi="Arial" w:cs="Arial"/>
          <w:sz w:val="24"/>
          <w:szCs w:val="24"/>
          <w:lang w:val="en-GB" w:eastAsia="cs-CZ"/>
        </w:rPr>
        <w:t xml:space="preserve">173 months </w:t>
      </w:r>
      <w:del w:id="139" w:author="John Morgan" w:date="2015-03-22T19:35:00Z">
        <w:r w:rsidRPr="00D36C9C" w:rsidDel="0039075A">
          <w:rPr>
            <w:rFonts w:ascii="Arial" w:hAnsi="Arial" w:cs="Arial"/>
            <w:sz w:val="24"/>
            <w:szCs w:val="24"/>
            <w:lang w:val="en-GB" w:eastAsia="cs-CZ"/>
          </w:rPr>
          <w:delText xml:space="preserve">median survival </w:delText>
        </w:r>
      </w:del>
      <w:r w:rsidRPr="00D36C9C">
        <w:rPr>
          <w:rFonts w:ascii="Arial" w:hAnsi="Arial" w:cs="Arial"/>
          <w:sz w:val="24"/>
          <w:szCs w:val="24"/>
          <w:lang w:val="en-GB" w:eastAsia="cs-CZ"/>
        </w:rPr>
        <w:t>(P=0.09; HR=2.126).</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Evaluating other parameters (p53, </w:t>
      </w:r>
      <w:proofErr w:type="spellStart"/>
      <w:r w:rsidRPr="00D36C9C">
        <w:rPr>
          <w:rFonts w:ascii="Arial" w:hAnsi="Arial" w:cs="Arial"/>
          <w:sz w:val="24"/>
          <w:szCs w:val="24"/>
          <w:lang w:val="en-GB" w:eastAsia="cs-CZ"/>
        </w:rPr>
        <w:t>IgHV</w:t>
      </w:r>
      <w:proofErr w:type="spellEnd"/>
      <w:r w:rsidRPr="00D36C9C">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cytogenetics</w:t>
      </w:r>
      <w:proofErr w:type="spellEnd"/>
      <w:r w:rsidRPr="00D36C9C">
        <w:rPr>
          <w:rFonts w:ascii="Arial" w:hAnsi="Arial" w:cs="Arial"/>
          <w:sz w:val="24"/>
          <w:szCs w:val="24"/>
          <w:lang w:val="en-GB" w:eastAsia="cs-CZ"/>
        </w:rPr>
        <w:t>, age and sex) showed no</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significant difference in PTK2 expression. In conclusion, FAK expression plays a</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significant role in CLL and ongoing analyses will help with its deciphering.</w:t>
      </w:r>
    </w:p>
    <w:p w:rsidR="00476E45" w:rsidRDefault="00476E45"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DA1171" w:rsidRDefault="00DA1171" w:rsidP="00BF2FCD">
      <w:pPr>
        <w:pStyle w:val="NoSpacing"/>
        <w:spacing w:line="360" w:lineRule="auto"/>
        <w:jc w:val="both"/>
        <w:rPr>
          <w:rFonts w:ascii="Arial" w:hAnsi="Arial" w:cs="Arial"/>
          <w:sz w:val="24"/>
          <w:szCs w:val="24"/>
          <w:lang w:val="en-GB" w:eastAsia="cs-CZ"/>
        </w:rPr>
      </w:pPr>
    </w:p>
    <w:p w:rsidR="00476E45" w:rsidRDefault="00BF2FCD" w:rsidP="00BF2FCD">
      <w:pPr>
        <w:spacing w:line="360" w:lineRule="auto"/>
        <w:rPr>
          <w:rFonts w:ascii="Arial" w:hAnsi="Arial" w:cs="Arial"/>
          <w:sz w:val="24"/>
          <w:szCs w:val="24"/>
          <w:lang w:val="en-GB" w:eastAsia="cs-CZ"/>
        </w:rPr>
      </w:pPr>
      <w:r>
        <w:rPr>
          <w:rFonts w:ascii="Arial" w:hAnsi="Arial" w:cs="Arial"/>
          <w:sz w:val="24"/>
          <w:szCs w:val="24"/>
          <w:lang w:val="en-GB" w:eastAsia="cs-CZ"/>
        </w:rPr>
        <w:br w:type="page"/>
      </w:r>
      <w:r w:rsidR="00476E45">
        <w:rPr>
          <w:rFonts w:ascii="Arial" w:hAnsi="Arial" w:cs="Arial"/>
          <w:sz w:val="24"/>
          <w:szCs w:val="24"/>
          <w:lang w:val="en-GB" w:eastAsia="cs-CZ"/>
        </w:rPr>
        <w:t xml:space="preserve">10. </w:t>
      </w:r>
      <w:proofErr w:type="spellStart"/>
      <w:r w:rsidR="00476E45" w:rsidRPr="00D36C9C">
        <w:rPr>
          <w:rFonts w:ascii="Arial" w:hAnsi="Arial" w:cs="Arial"/>
          <w:sz w:val="24"/>
          <w:szCs w:val="24"/>
          <w:lang w:val="en-GB" w:eastAsia="cs-CZ"/>
        </w:rPr>
        <w:t>Vlasta</w:t>
      </w:r>
      <w:proofErr w:type="spellEnd"/>
      <w:r w:rsidR="00476E45" w:rsidRPr="00D36C9C">
        <w:rPr>
          <w:rFonts w:ascii="Arial" w:hAnsi="Arial" w:cs="Arial"/>
          <w:sz w:val="24"/>
          <w:szCs w:val="24"/>
          <w:lang w:val="en-GB" w:eastAsia="cs-CZ"/>
        </w:rPr>
        <w:t xml:space="preserve"> </w:t>
      </w:r>
      <w:proofErr w:type="spellStart"/>
      <w:r w:rsidR="00476E45">
        <w:rPr>
          <w:rFonts w:ascii="Arial" w:hAnsi="Arial" w:cs="Arial"/>
          <w:sz w:val="24"/>
          <w:szCs w:val="24"/>
          <w:lang w:val="en-GB" w:eastAsia="cs-CZ"/>
        </w:rPr>
        <w:t>S</w:t>
      </w:r>
      <w:r w:rsidR="00476E45" w:rsidRPr="00D36C9C">
        <w:rPr>
          <w:rFonts w:ascii="Arial" w:hAnsi="Arial" w:cs="Arial"/>
          <w:sz w:val="24"/>
          <w:szCs w:val="24"/>
          <w:lang w:val="en-GB" w:eastAsia="cs-CZ"/>
        </w:rPr>
        <w:t>t</w:t>
      </w:r>
      <w:r w:rsidR="00476E45">
        <w:rPr>
          <w:rFonts w:ascii="Arial" w:hAnsi="Arial" w:cs="Arial"/>
          <w:sz w:val="24"/>
          <w:szCs w:val="24"/>
          <w:lang w:val="en-GB" w:eastAsia="cs-CZ"/>
        </w:rPr>
        <w:t>epa</w:t>
      </w:r>
      <w:r w:rsidR="00476E45" w:rsidRPr="00D36C9C">
        <w:rPr>
          <w:rFonts w:ascii="Arial" w:hAnsi="Arial" w:cs="Arial"/>
          <w:sz w:val="24"/>
          <w:szCs w:val="24"/>
          <w:lang w:val="en-GB" w:eastAsia="cs-CZ"/>
        </w:rPr>
        <w:t>nov</w:t>
      </w:r>
      <w:r w:rsidR="00476E45">
        <w:rPr>
          <w:rFonts w:ascii="Arial" w:hAnsi="Arial" w:cs="Arial"/>
          <w:sz w:val="24"/>
          <w:szCs w:val="24"/>
          <w:lang w:val="en-GB" w:eastAsia="cs-CZ"/>
        </w:rPr>
        <w:t>a</w:t>
      </w:r>
      <w:proofErr w:type="spellEnd"/>
    </w:p>
    <w:p w:rsidR="00476E45" w:rsidRDefault="00476E45"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p>
    <w:p w:rsidR="00D36C9C" w:rsidRPr="00D36C9C" w:rsidRDefault="00D36C9C" w:rsidP="00BF2FCD">
      <w:pPr>
        <w:pStyle w:val="NoSpacing"/>
        <w:spacing w:line="360" w:lineRule="auto"/>
        <w:jc w:val="both"/>
        <w:rPr>
          <w:rFonts w:ascii="Arial" w:hAnsi="Arial" w:cs="Arial"/>
          <w:sz w:val="24"/>
          <w:szCs w:val="24"/>
          <w:lang w:val="en-GB" w:eastAsia="cs-CZ"/>
        </w:rPr>
      </w:pPr>
      <w:r w:rsidRPr="00D36C9C">
        <w:rPr>
          <w:rFonts w:ascii="Arial" w:hAnsi="Arial" w:cs="Arial"/>
          <w:sz w:val="24"/>
          <w:szCs w:val="24"/>
          <w:lang w:val="en-GB" w:eastAsia="cs-CZ"/>
        </w:rPr>
        <w:t xml:space="preserve">Plasma treatment of glass enhances </w:t>
      </w:r>
      <w:commentRangeStart w:id="140"/>
      <w:del w:id="141" w:author="John Morgan" w:date="2015-03-22T19:37:00Z">
        <w:r w:rsidRPr="00D36C9C" w:rsidDel="0039075A">
          <w:rPr>
            <w:rFonts w:ascii="Arial" w:hAnsi="Arial" w:cs="Arial"/>
            <w:sz w:val="24"/>
            <w:szCs w:val="24"/>
            <w:lang w:val="en-GB" w:eastAsia="cs-CZ"/>
          </w:rPr>
          <w:delText xml:space="preserve">the </w:delText>
        </w:r>
      </w:del>
      <w:r w:rsidRPr="00D36C9C">
        <w:rPr>
          <w:rFonts w:ascii="Arial" w:hAnsi="Arial" w:cs="Arial"/>
          <w:sz w:val="24"/>
          <w:szCs w:val="24"/>
          <w:lang w:val="en-GB" w:eastAsia="cs-CZ"/>
        </w:rPr>
        <w:t xml:space="preserve">surface </w:t>
      </w:r>
      <w:proofErr w:type="spellStart"/>
      <w:r w:rsidRPr="00D36C9C">
        <w:rPr>
          <w:rFonts w:ascii="Arial" w:hAnsi="Arial" w:cs="Arial"/>
          <w:sz w:val="24"/>
          <w:szCs w:val="24"/>
          <w:lang w:val="en-GB" w:eastAsia="cs-CZ"/>
        </w:rPr>
        <w:t>wettability</w:t>
      </w:r>
      <w:proofErr w:type="spellEnd"/>
      <w:r w:rsidRPr="00D36C9C">
        <w:rPr>
          <w:rFonts w:ascii="Arial" w:hAnsi="Arial" w:cs="Arial"/>
          <w:sz w:val="24"/>
          <w:szCs w:val="24"/>
          <w:lang w:val="en-GB" w:eastAsia="cs-CZ"/>
        </w:rPr>
        <w:t>, adhesion</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and cleanness. </w:t>
      </w:r>
      <w:commentRangeEnd w:id="140"/>
      <w:r w:rsidR="0039075A">
        <w:rPr>
          <w:rStyle w:val="CommentReference"/>
          <w:vanish/>
        </w:rPr>
        <w:commentReference w:id="140"/>
      </w:r>
      <w:r w:rsidRPr="00D36C9C">
        <w:rPr>
          <w:rFonts w:ascii="Arial" w:hAnsi="Arial" w:cs="Arial"/>
          <w:sz w:val="24"/>
          <w:szCs w:val="24"/>
          <w:lang w:val="en-GB" w:eastAsia="cs-CZ"/>
        </w:rPr>
        <w:t xml:space="preserve">Surface properties of glass play </w:t>
      </w:r>
      <w:ins w:id="142" w:author="John Morgan" w:date="2015-03-22T19:38:00Z">
        <w:r w:rsidR="00524D73">
          <w:rPr>
            <w:rFonts w:ascii="Arial" w:hAnsi="Arial" w:cs="Arial"/>
            <w:sz w:val="24"/>
            <w:szCs w:val="24"/>
            <w:lang w:val="en-GB" w:eastAsia="cs-CZ"/>
          </w:rPr>
          <w:t xml:space="preserve">a </w:t>
        </w:r>
      </w:ins>
      <w:r w:rsidRPr="00D36C9C">
        <w:rPr>
          <w:rFonts w:ascii="Arial" w:hAnsi="Arial" w:cs="Arial"/>
          <w:sz w:val="24"/>
          <w:szCs w:val="24"/>
          <w:lang w:val="en-GB" w:eastAsia="cs-CZ"/>
        </w:rPr>
        <w:t xml:space="preserve">critical role </w:t>
      </w:r>
      <w:ins w:id="143" w:author="John Morgan" w:date="2015-03-22T19:38:00Z">
        <w:r w:rsidR="00524D73">
          <w:rPr>
            <w:rFonts w:ascii="Arial" w:hAnsi="Arial" w:cs="Arial"/>
            <w:sz w:val="24"/>
            <w:szCs w:val="24"/>
            <w:lang w:val="en-GB" w:eastAsia="cs-CZ"/>
          </w:rPr>
          <w:t>in</w:t>
        </w:r>
      </w:ins>
      <w:del w:id="144" w:author="John Morgan" w:date="2015-03-22T19:38:00Z">
        <w:r w:rsidRPr="00D36C9C" w:rsidDel="00524D73">
          <w:rPr>
            <w:rFonts w:ascii="Arial" w:hAnsi="Arial" w:cs="Arial"/>
            <w:sz w:val="24"/>
            <w:szCs w:val="24"/>
            <w:lang w:val="en-GB" w:eastAsia="cs-CZ"/>
          </w:rPr>
          <w:delText>for</w:delText>
        </w:r>
      </w:del>
      <w:r w:rsidR="00476E45">
        <w:rPr>
          <w:rFonts w:ascii="Arial" w:hAnsi="Arial" w:cs="Arial"/>
          <w:sz w:val="24"/>
          <w:szCs w:val="24"/>
          <w:lang w:val="en-GB" w:eastAsia="cs-CZ"/>
        </w:rPr>
        <w:t xml:space="preserve"> </w:t>
      </w:r>
      <w:r w:rsidRPr="00D36C9C">
        <w:rPr>
          <w:rFonts w:ascii="Arial" w:hAnsi="Arial" w:cs="Arial"/>
          <w:sz w:val="24"/>
          <w:szCs w:val="24"/>
          <w:lang w:val="en-GB" w:eastAsia="cs-CZ"/>
        </w:rPr>
        <w:t>applications (thin film coating, glass gluing, glass production,</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etc.). The aim of this </w:t>
      </w:r>
      <w:commentRangeStart w:id="145"/>
      <w:del w:id="146" w:author="John Morgan" w:date="2015-03-22T19:38:00Z">
        <w:r w:rsidRPr="00D36C9C" w:rsidDel="00524D73">
          <w:rPr>
            <w:rFonts w:ascii="Arial" w:hAnsi="Arial" w:cs="Arial"/>
            <w:sz w:val="24"/>
            <w:szCs w:val="24"/>
            <w:lang w:val="en-GB" w:eastAsia="cs-CZ"/>
          </w:rPr>
          <w:delText xml:space="preserve">contribution </w:delText>
        </w:r>
      </w:del>
      <w:ins w:id="147" w:author="John Morgan" w:date="2015-03-22T19:38:00Z">
        <w:r w:rsidR="00524D73">
          <w:rPr>
            <w:rFonts w:ascii="Arial" w:hAnsi="Arial" w:cs="Arial"/>
            <w:sz w:val="24"/>
            <w:szCs w:val="24"/>
            <w:lang w:val="en-GB" w:eastAsia="cs-CZ"/>
          </w:rPr>
          <w:t>study</w:t>
        </w:r>
        <w:commentRangeEnd w:id="145"/>
        <w:r w:rsidR="00524D73">
          <w:rPr>
            <w:rStyle w:val="CommentReference"/>
            <w:vanish/>
          </w:rPr>
          <w:commentReference w:id="145"/>
        </w:r>
        <w:r w:rsidR="00524D73" w:rsidRPr="00D36C9C">
          <w:rPr>
            <w:rFonts w:ascii="Arial" w:hAnsi="Arial" w:cs="Arial"/>
            <w:sz w:val="24"/>
            <w:szCs w:val="24"/>
            <w:lang w:val="en-GB" w:eastAsia="cs-CZ"/>
          </w:rPr>
          <w:t xml:space="preserve"> </w:t>
        </w:r>
      </w:ins>
      <w:r w:rsidRPr="00D36C9C">
        <w:rPr>
          <w:rFonts w:ascii="Arial" w:hAnsi="Arial" w:cs="Arial"/>
          <w:sz w:val="24"/>
          <w:szCs w:val="24"/>
          <w:lang w:val="en-GB" w:eastAsia="cs-CZ"/>
        </w:rPr>
        <w:t>is to compare plasma treatment of</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soda-lime glass with dielectric barrier discharge (DBD) and with</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gliding arc. Soda-lime glass was chosen for its homogeneity and small</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initial roughness. </w:t>
      </w:r>
      <w:commentRangeStart w:id="148"/>
      <w:r w:rsidRPr="00D36C9C">
        <w:rPr>
          <w:rFonts w:ascii="Arial" w:hAnsi="Arial" w:cs="Arial"/>
          <w:sz w:val="24"/>
          <w:szCs w:val="24"/>
          <w:lang w:val="en-GB" w:eastAsia="cs-CZ"/>
        </w:rPr>
        <w:t>Both</w:t>
      </w:r>
      <w:commentRangeEnd w:id="148"/>
      <w:r w:rsidR="00524D73">
        <w:rPr>
          <w:rStyle w:val="CommentReference"/>
          <w:vanish/>
        </w:rPr>
        <w:commentReference w:id="148"/>
      </w:r>
      <w:r w:rsidRPr="00D36C9C">
        <w:rPr>
          <w:rFonts w:ascii="Arial" w:hAnsi="Arial" w:cs="Arial"/>
          <w:sz w:val="24"/>
          <w:szCs w:val="24"/>
          <w:lang w:val="en-GB" w:eastAsia="cs-CZ"/>
        </w:rPr>
        <w:t xml:space="preserve"> plasma discharges operate at atmospheric</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pressure and air is used as </w:t>
      </w:r>
      <w:ins w:id="149" w:author="John Morgan" w:date="2015-03-22T19:41:00Z">
        <w:r w:rsidR="00524D73">
          <w:rPr>
            <w:rFonts w:ascii="Arial" w:hAnsi="Arial" w:cs="Arial"/>
            <w:sz w:val="24"/>
            <w:szCs w:val="24"/>
            <w:lang w:val="en-GB" w:eastAsia="cs-CZ"/>
          </w:rPr>
          <w:t xml:space="preserve">a </w:t>
        </w:r>
      </w:ins>
      <w:r w:rsidRPr="00D36C9C">
        <w:rPr>
          <w:rFonts w:ascii="Arial" w:hAnsi="Arial" w:cs="Arial"/>
          <w:sz w:val="24"/>
          <w:szCs w:val="24"/>
          <w:lang w:val="en-GB" w:eastAsia="cs-CZ"/>
        </w:rPr>
        <w:t xml:space="preserve">carrier gas. </w:t>
      </w:r>
      <w:ins w:id="150" w:author="John Morgan" w:date="2015-03-22T19:42:00Z">
        <w:r w:rsidR="00524D73">
          <w:rPr>
            <w:rFonts w:ascii="Arial" w:hAnsi="Arial" w:cs="Arial"/>
            <w:sz w:val="24"/>
            <w:szCs w:val="24"/>
            <w:lang w:val="en-GB" w:eastAsia="cs-CZ"/>
          </w:rPr>
          <w:t>The b</w:t>
        </w:r>
      </w:ins>
      <w:del w:id="151" w:author="John Morgan" w:date="2015-03-22T19:42:00Z">
        <w:r w:rsidRPr="00D36C9C" w:rsidDel="00524D73">
          <w:rPr>
            <w:rFonts w:ascii="Arial" w:hAnsi="Arial" w:cs="Arial"/>
            <w:sz w:val="24"/>
            <w:szCs w:val="24"/>
            <w:lang w:val="en-GB" w:eastAsia="cs-CZ"/>
          </w:rPr>
          <w:delText>B</w:delText>
        </w:r>
      </w:del>
      <w:r w:rsidRPr="00D36C9C">
        <w:rPr>
          <w:rFonts w:ascii="Arial" w:hAnsi="Arial" w:cs="Arial"/>
          <w:sz w:val="24"/>
          <w:szCs w:val="24"/>
          <w:lang w:val="en-GB" w:eastAsia="cs-CZ"/>
        </w:rPr>
        <w:t>enefit of dielectric barrier</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discharge is the large discharge area and plasma homogeneity. Glow</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discharge has </w:t>
      </w:r>
      <w:ins w:id="152" w:author="John Morgan" w:date="2015-03-22T19:42:00Z">
        <w:r w:rsidR="00524D73">
          <w:rPr>
            <w:rFonts w:ascii="Arial" w:hAnsi="Arial" w:cs="Arial"/>
            <w:sz w:val="24"/>
            <w:szCs w:val="24"/>
            <w:lang w:val="en-GB" w:eastAsia="cs-CZ"/>
          </w:rPr>
          <w:t xml:space="preserve">a </w:t>
        </w:r>
      </w:ins>
      <w:r w:rsidRPr="00D36C9C">
        <w:rPr>
          <w:rFonts w:ascii="Arial" w:hAnsi="Arial" w:cs="Arial"/>
          <w:sz w:val="24"/>
          <w:szCs w:val="24"/>
          <w:lang w:val="en-GB" w:eastAsia="cs-CZ"/>
        </w:rPr>
        <w:t xml:space="preserve">higher temperature of produced plasma. </w:t>
      </w:r>
      <w:ins w:id="153" w:author="John Morgan" w:date="2015-03-22T19:42:00Z">
        <w:r w:rsidR="00524D73">
          <w:rPr>
            <w:rFonts w:ascii="Arial" w:hAnsi="Arial" w:cs="Arial"/>
            <w:sz w:val="24"/>
            <w:szCs w:val="24"/>
            <w:lang w:val="en-GB" w:eastAsia="cs-CZ"/>
          </w:rPr>
          <w:t xml:space="preserve">The </w:t>
        </w:r>
      </w:ins>
      <w:r w:rsidRPr="00D36C9C">
        <w:rPr>
          <w:rFonts w:ascii="Arial" w:hAnsi="Arial" w:cs="Arial"/>
          <w:sz w:val="24"/>
          <w:szCs w:val="24"/>
          <w:lang w:val="en-GB" w:eastAsia="cs-CZ"/>
        </w:rPr>
        <w:t>DBD plasma source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is </w:t>
      </w:r>
      <w:ins w:id="154" w:author="John Morgan" w:date="2015-03-22T19:42:00Z">
        <w:r w:rsidR="00524D73">
          <w:rPr>
            <w:rFonts w:ascii="Arial" w:hAnsi="Arial" w:cs="Arial"/>
            <w:sz w:val="24"/>
            <w:szCs w:val="24"/>
            <w:lang w:val="en-GB" w:eastAsia="cs-CZ"/>
          </w:rPr>
          <w:t xml:space="preserve">a </w:t>
        </w:r>
      </w:ins>
      <w:proofErr w:type="gramStart"/>
      <w:r w:rsidRPr="00D36C9C">
        <w:rPr>
          <w:rFonts w:ascii="Arial" w:hAnsi="Arial" w:cs="Arial"/>
          <w:sz w:val="24"/>
          <w:szCs w:val="24"/>
          <w:lang w:val="en-GB" w:eastAsia="cs-CZ"/>
        </w:rPr>
        <w:t>home-made</w:t>
      </w:r>
      <w:proofErr w:type="gramEnd"/>
      <w:r w:rsidRPr="00D36C9C">
        <w:rPr>
          <w:rFonts w:ascii="Arial" w:hAnsi="Arial" w:cs="Arial"/>
          <w:sz w:val="24"/>
          <w:szCs w:val="24"/>
          <w:lang w:val="en-GB" w:eastAsia="cs-CZ"/>
        </w:rPr>
        <w:t xml:space="preserve"> device from our research group</w:t>
      </w:r>
      <w:ins w:id="155" w:author="John Morgan" w:date="2015-03-22T19:43:00Z">
        <w:r w:rsidR="00524D73">
          <w:rPr>
            <w:rFonts w:ascii="Arial" w:hAnsi="Arial" w:cs="Arial"/>
            <w:sz w:val="24"/>
            <w:szCs w:val="24"/>
            <w:lang w:val="en-GB" w:eastAsia="cs-CZ"/>
          </w:rPr>
          <w:t xml:space="preserve">, </w:t>
        </w:r>
        <w:commentRangeStart w:id="156"/>
        <w:r w:rsidR="00524D73">
          <w:rPr>
            <w:rFonts w:ascii="Arial" w:hAnsi="Arial" w:cs="Arial"/>
            <w:sz w:val="24"/>
            <w:szCs w:val="24"/>
            <w:lang w:val="en-GB" w:eastAsia="cs-CZ"/>
          </w:rPr>
          <w:t>whereas</w:t>
        </w:r>
      </w:ins>
      <w:del w:id="157" w:author="John Morgan" w:date="2015-03-22T19:43:00Z">
        <w:r w:rsidRPr="00D36C9C" w:rsidDel="00524D73">
          <w:rPr>
            <w:rFonts w:ascii="Arial" w:hAnsi="Arial" w:cs="Arial"/>
            <w:sz w:val="24"/>
            <w:szCs w:val="24"/>
            <w:lang w:val="en-GB" w:eastAsia="cs-CZ"/>
          </w:rPr>
          <w:delText xml:space="preserve"> and</w:delText>
        </w:r>
      </w:del>
      <w:commentRangeEnd w:id="156"/>
      <w:r w:rsidR="00524D73">
        <w:rPr>
          <w:rStyle w:val="CommentReference"/>
          <w:vanish/>
        </w:rPr>
        <w:commentReference w:id="156"/>
      </w:r>
      <w:r w:rsidRPr="00D36C9C">
        <w:rPr>
          <w:rFonts w:ascii="Arial" w:hAnsi="Arial" w:cs="Arial"/>
          <w:sz w:val="24"/>
          <w:szCs w:val="24"/>
          <w:lang w:val="en-GB" w:eastAsia="cs-CZ"/>
        </w:rPr>
        <w:t xml:space="preserve"> </w:t>
      </w:r>
      <w:ins w:id="158" w:author="John Morgan" w:date="2015-03-22T19:42:00Z">
        <w:r w:rsidR="00524D73">
          <w:rPr>
            <w:rFonts w:ascii="Arial" w:hAnsi="Arial" w:cs="Arial"/>
            <w:sz w:val="24"/>
            <w:szCs w:val="24"/>
            <w:lang w:val="en-GB" w:eastAsia="cs-CZ"/>
          </w:rPr>
          <w:t xml:space="preserve">the </w:t>
        </w:r>
      </w:ins>
      <w:r w:rsidRPr="00D36C9C">
        <w:rPr>
          <w:rFonts w:ascii="Arial" w:hAnsi="Arial" w:cs="Arial"/>
          <w:sz w:val="24"/>
          <w:szCs w:val="24"/>
          <w:lang w:val="en-GB" w:eastAsia="cs-CZ"/>
        </w:rPr>
        <w:t>gliding arc is</w:t>
      </w:r>
      <w:r w:rsidR="00476E45">
        <w:rPr>
          <w:rFonts w:ascii="Arial" w:hAnsi="Arial" w:cs="Arial"/>
          <w:sz w:val="24"/>
          <w:szCs w:val="24"/>
          <w:lang w:val="en-GB" w:eastAsia="cs-CZ"/>
        </w:rPr>
        <w:t xml:space="preserve"> </w:t>
      </w:r>
      <w:ins w:id="159" w:author="John Morgan" w:date="2015-03-22T19:42:00Z">
        <w:r w:rsidR="00524D73">
          <w:rPr>
            <w:rFonts w:ascii="Arial" w:hAnsi="Arial" w:cs="Arial"/>
            <w:sz w:val="24"/>
            <w:szCs w:val="24"/>
            <w:lang w:val="en-GB" w:eastAsia="cs-CZ"/>
          </w:rPr>
          <w:t xml:space="preserve">a </w:t>
        </w:r>
      </w:ins>
      <w:r w:rsidRPr="00D36C9C">
        <w:rPr>
          <w:rFonts w:ascii="Arial" w:hAnsi="Arial" w:cs="Arial"/>
          <w:sz w:val="24"/>
          <w:szCs w:val="24"/>
          <w:lang w:val="en-GB" w:eastAsia="cs-CZ"/>
        </w:rPr>
        <w:t xml:space="preserve">commercial plasma source from </w:t>
      </w:r>
      <w:proofErr w:type="spellStart"/>
      <w:r w:rsidRPr="00D36C9C">
        <w:rPr>
          <w:rFonts w:ascii="Arial" w:hAnsi="Arial" w:cs="Arial"/>
          <w:sz w:val="24"/>
          <w:szCs w:val="24"/>
          <w:lang w:val="en-GB" w:eastAsia="cs-CZ"/>
        </w:rPr>
        <w:t>Diener</w:t>
      </w:r>
      <w:proofErr w:type="spellEnd"/>
      <w:r w:rsidRPr="00D36C9C">
        <w:rPr>
          <w:rFonts w:ascii="Arial" w:hAnsi="Arial" w:cs="Arial"/>
          <w:sz w:val="24"/>
          <w:szCs w:val="24"/>
          <w:lang w:val="en-GB" w:eastAsia="cs-CZ"/>
        </w:rPr>
        <w:t xml:space="preserve"> Instruments. </w:t>
      </w:r>
      <w:ins w:id="160" w:author="John Morgan" w:date="2015-03-22T19:44:00Z">
        <w:r w:rsidR="00524D73">
          <w:rPr>
            <w:rFonts w:ascii="Arial" w:hAnsi="Arial" w:cs="Arial"/>
            <w:sz w:val="24"/>
            <w:szCs w:val="24"/>
            <w:lang w:val="en-GB" w:eastAsia="cs-CZ"/>
          </w:rPr>
          <w:t>The duration</w:t>
        </w:r>
      </w:ins>
      <w:del w:id="161" w:author="John Morgan" w:date="2015-03-22T19:44:00Z">
        <w:r w:rsidRPr="00D36C9C" w:rsidDel="00524D73">
          <w:rPr>
            <w:rFonts w:ascii="Arial" w:hAnsi="Arial" w:cs="Arial"/>
            <w:sz w:val="24"/>
            <w:szCs w:val="24"/>
            <w:lang w:val="en-GB" w:eastAsia="cs-CZ"/>
          </w:rPr>
          <w:delText>Time</w:delText>
        </w:r>
      </w:del>
      <w:r w:rsidRPr="00D36C9C">
        <w:rPr>
          <w:rFonts w:ascii="Arial" w:hAnsi="Arial" w:cs="Arial"/>
          <w:sz w:val="24"/>
          <w:szCs w:val="24"/>
          <w:lang w:val="en-GB" w:eastAsia="cs-CZ"/>
        </w:rPr>
        <w:t xml:space="preserve"> of plasma</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treatment was the same for</w:t>
      </w:r>
      <w:commentRangeStart w:id="162"/>
      <w:r w:rsidRPr="00D36C9C">
        <w:rPr>
          <w:rFonts w:ascii="Arial" w:hAnsi="Arial" w:cs="Arial"/>
          <w:sz w:val="24"/>
          <w:szCs w:val="24"/>
          <w:lang w:val="en-GB" w:eastAsia="cs-CZ"/>
        </w:rPr>
        <w:t xml:space="preserve"> </w:t>
      </w:r>
      <w:del w:id="163" w:author="John Morgan" w:date="2015-03-22T19:44:00Z">
        <w:r w:rsidRPr="00D36C9C" w:rsidDel="00524D73">
          <w:rPr>
            <w:rFonts w:ascii="Arial" w:hAnsi="Arial" w:cs="Arial"/>
            <w:sz w:val="24"/>
            <w:szCs w:val="24"/>
            <w:lang w:val="en-GB" w:eastAsia="cs-CZ"/>
          </w:rPr>
          <w:delText xml:space="preserve">the </w:delText>
        </w:r>
      </w:del>
      <w:r w:rsidRPr="00D36C9C">
        <w:rPr>
          <w:rFonts w:ascii="Arial" w:hAnsi="Arial" w:cs="Arial"/>
          <w:sz w:val="24"/>
          <w:szCs w:val="24"/>
          <w:lang w:val="en-GB" w:eastAsia="cs-CZ"/>
        </w:rPr>
        <w:t>both plasma sources</w:t>
      </w:r>
      <w:commentRangeEnd w:id="162"/>
      <w:r w:rsidR="00524D73">
        <w:rPr>
          <w:rStyle w:val="CommentReference"/>
          <w:vanish/>
        </w:rPr>
        <w:commentReference w:id="162"/>
      </w:r>
      <w:r w:rsidRPr="00D36C9C">
        <w:rPr>
          <w:rFonts w:ascii="Arial" w:hAnsi="Arial" w:cs="Arial"/>
          <w:sz w:val="24"/>
          <w:szCs w:val="24"/>
          <w:lang w:val="en-GB" w:eastAsia="cs-CZ"/>
        </w:rPr>
        <w:t>, specifically 15 s</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and 30 s. </w:t>
      </w:r>
      <w:ins w:id="164" w:author="John Morgan" w:date="2015-03-22T19:44:00Z">
        <w:r w:rsidR="00524D73">
          <w:rPr>
            <w:rFonts w:ascii="Arial" w:hAnsi="Arial" w:cs="Arial"/>
            <w:sz w:val="24"/>
            <w:szCs w:val="24"/>
            <w:lang w:val="en-GB" w:eastAsia="cs-CZ"/>
          </w:rPr>
          <w:t>The o</w:t>
        </w:r>
      </w:ins>
      <w:del w:id="165" w:author="John Morgan" w:date="2015-03-22T19:44:00Z">
        <w:r w:rsidRPr="00D36C9C" w:rsidDel="00524D73">
          <w:rPr>
            <w:rFonts w:ascii="Arial" w:hAnsi="Arial" w:cs="Arial"/>
            <w:sz w:val="24"/>
            <w:szCs w:val="24"/>
            <w:lang w:val="en-GB" w:eastAsia="cs-CZ"/>
          </w:rPr>
          <w:delText>O</w:delText>
        </w:r>
      </w:del>
      <w:r w:rsidRPr="00D36C9C">
        <w:rPr>
          <w:rFonts w:ascii="Arial" w:hAnsi="Arial" w:cs="Arial"/>
          <w:sz w:val="24"/>
          <w:szCs w:val="24"/>
          <w:lang w:val="en-GB" w:eastAsia="cs-CZ"/>
        </w:rPr>
        <w:t>bserved parameters were contact angle, roughness and change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of chemical bonds on </w:t>
      </w:r>
      <w:ins w:id="166" w:author="John Morgan" w:date="2015-03-22T19:44:00Z">
        <w:r w:rsidR="00524D73">
          <w:rPr>
            <w:rFonts w:ascii="Arial" w:hAnsi="Arial" w:cs="Arial"/>
            <w:sz w:val="24"/>
            <w:szCs w:val="24"/>
            <w:lang w:val="en-GB" w:eastAsia="cs-CZ"/>
          </w:rPr>
          <w:t xml:space="preserve">the </w:t>
        </w:r>
      </w:ins>
      <w:r w:rsidRPr="00D36C9C">
        <w:rPr>
          <w:rFonts w:ascii="Arial" w:hAnsi="Arial" w:cs="Arial"/>
          <w:sz w:val="24"/>
          <w:szCs w:val="24"/>
          <w:lang w:val="en-GB" w:eastAsia="cs-CZ"/>
        </w:rPr>
        <w:t>surface. Contact angle and surface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energy were measured using </w:t>
      </w:r>
      <w:commentRangeStart w:id="167"/>
      <w:r w:rsidRPr="00D36C9C">
        <w:rPr>
          <w:rFonts w:ascii="Arial" w:hAnsi="Arial" w:cs="Arial"/>
          <w:sz w:val="24"/>
          <w:szCs w:val="24"/>
          <w:lang w:val="en-GB" w:eastAsia="cs-CZ"/>
        </w:rPr>
        <w:t>Surface energy evaluation System</w:t>
      </w:r>
      <w:commentRangeEnd w:id="167"/>
      <w:r w:rsidR="00524D73">
        <w:rPr>
          <w:rStyle w:val="CommentReference"/>
          <w:vanish/>
        </w:rPr>
        <w:commentReference w:id="167"/>
      </w:r>
      <w:r w:rsidRPr="00D36C9C">
        <w:rPr>
          <w:rFonts w:ascii="Arial" w:hAnsi="Arial" w:cs="Arial"/>
          <w:sz w:val="24"/>
          <w:szCs w:val="24"/>
          <w:lang w:val="en-GB" w:eastAsia="cs-CZ"/>
        </w:rPr>
        <w:t>. Atomic</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force microscopy was used for evaluation of surface tomography and</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calculation of roughness. Change of surface chemistry was studied</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using X-ray photoelectron spectroscopy. </w:t>
      </w:r>
      <w:ins w:id="168" w:author="John Morgan" w:date="2015-03-22T19:46:00Z">
        <w:r w:rsidR="00524D73">
          <w:rPr>
            <w:rFonts w:ascii="Arial" w:hAnsi="Arial" w:cs="Arial"/>
            <w:sz w:val="24"/>
            <w:szCs w:val="24"/>
            <w:lang w:val="en-GB" w:eastAsia="cs-CZ"/>
          </w:rPr>
          <w:t>The r</w:t>
        </w:r>
      </w:ins>
      <w:del w:id="169" w:author="John Morgan" w:date="2015-03-22T19:46:00Z">
        <w:r w:rsidRPr="00D36C9C" w:rsidDel="00524D73">
          <w:rPr>
            <w:rFonts w:ascii="Arial" w:hAnsi="Arial" w:cs="Arial"/>
            <w:sz w:val="24"/>
            <w:szCs w:val="24"/>
            <w:lang w:val="en-GB" w:eastAsia="cs-CZ"/>
          </w:rPr>
          <w:delText>R</w:delText>
        </w:r>
      </w:del>
      <w:r w:rsidRPr="00D36C9C">
        <w:rPr>
          <w:rFonts w:ascii="Arial" w:hAnsi="Arial" w:cs="Arial"/>
          <w:sz w:val="24"/>
          <w:szCs w:val="24"/>
          <w:lang w:val="en-GB" w:eastAsia="cs-CZ"/>
        </w:rPr>
        <w:t xml:space="preserve">esults </w:t>
      </w:r>
      <w:ins w:id="170" w:author="John Morgan" w:date="2015-03-22T19:46:00Z">
        <w:r w:rsidR="00524D73">
          <w:rPr>
            <w:rFonts w:ascii="Arial" w:hAnsi="Arial" w:cs="Arial"/>
            <w:sz w:val="24"/>
            <w:szCs w:val="24"/>
            <w:lang w:val="en-GB" w:eastAsia="cs-CZ"/>
          </w:rPr>
          <w:t>indicate</w:t>
        </w:r>
      </w:ins>
      <w:del w:id="171" w:author="John Morgan" w:date="2015-03-22T19:46:00Z">
        <w:r w:rsidRPr="00D36C9C" w:rsidDel="00524D73">
          <w:rPr>
            <w:rFonts w:ascii="Arial" w:hAnsi="Arial" w:cs="Arial"/>
            <w:sz w:val="24"/>
            <w:szCs w:val="24"/>
            <w:lang w:val="en-GB" w:eastAsia="cs-CZ"/>
          </w:rPr>
          <w:delText>shown</w:delText>
        </w:r>
      </w:del>
      <w:r w:rsidRPr="00D36C9C">
        <w:rPr>
          <w:rFonts w:ascii="Arial" w:hAnsi="Arial" w:cs="Arial"/>
          <w:sz w:val="24"/>
          <w:szCs w:val="24"/>
          <w:lang w:val="en-GB" w:eastAsia="cs-CZ"/>
        </w:rPr>
        <w:t xml:space="preserve"> that DBD plasma</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is more efficient for improvement of </w:t>
      </w:r>
      <w:proofErr w:type="spellStart"/>
      <w:r w:rsidRPr="00D36C9C">
        <w:rPr>
          <w:rFonts w:ascii="Arial" w:hAnsi="Arial" w:cs="Arial"/>
          <w:sz w:val="24"/>
          <w:szCs w:val="24"/>
          <w:lang w:val="en-GB" w:eastAsia="cs-CZ"/>
        </w:rPr>
        <w:t>hydrophilicity</w:t>
      </w:r>
      <w:proofErr w:type="spellEnd"/>
      <w:r w:rsidRPr="00D36C9C">
        <w:rPr>
          <w:rFonts w:ascii="Arial" w:hAnsi="Arial" w:cs="Arial"/>
          <w:sz w:val="24"/>
          <w:szCs w:val="24"/>
          <w:lang w:val="en-GB" w:eastAsia="cs-CZ"/>
        </w:rPr>
        <w:t xml:space="preserve"> than gliding arc.</w:t>
      </w:r>
      <w:r w:rsidR="00476E45">
        <w:rPr>
          <w:rFonts w:ascii="Arial" w:hAnsi="Arial" w:cs="Arial"/>
          <w:sz w:val="24"/>
          <w:szCs w:val="24"/>
          <w:lang w:val="en-GB" w:eastAsia="cs-CZ"/>
        </w:rPr>
        <w:t xml:space="preserve"> </w:t>
      </w:r>
      <w:commentRangeStart w:id="172"/>
      <w:r w:rsidRPr="00D36C9C">
        <w:rPr>
          <w:rFonts w:ascii="Arial" w:hAnsi="Arial" w:cs="Arial"/>
          <w:sz w:val="24"/>
          <w:szCs w:val="24"/>
          <w:lang w:val="en-GB" w:eastAsia="cs-CZ"/>
        </w:rPr>
        <w:t xml:space="preserve">Roughness after DBD plasma treatment stays stable. </w:t>
      </w:r>
      <w:commentRangeEnd w:id="172"/>
      <w:r w:rsidR="00524D73">
        <w:rPr>
          <w:rStyle w:val="CommentReference"/>
          <w:vanish/>
        </w:rPr>
        <w:commentReference w:id="172"/>
      </w:r>
      <w:r w:rsidRPr="00D36C9C">
        <w:rPr>
          <w:rFonts w:ascii="Arial" w:hAnsi="Arial" w:cs="Arial"/>
          <w:sz w:val="24"/>
          <w:szCs w:val="24"/>
          <w:lang w:val="en-GB" w:eastAsia="cs-CZ"/>
        </w:rPr>
        <w:t>Plasma treated</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glass with glow discharge was</w:t>
      </w:r>
      <w:ins w:id="173" w:author="John Morgan" w:date="2015-03-22T19:48:00Z">
        <w:r w:rsidR="00151C93">
          <w:rPr>
            <w:rFonts w:ascii="Arial" w:hAnsi="Arial" w:cs="Arial"/>
            <w:sz w:val="24"/>
            <w:szCs w:val="24"/>
            <w:lang w:val="en-GB" w:eastAsia="cs-CZ"/>
          </w:rPr>
          <w:t xml:space="preserve"> also</w:t>
        </w:r>
      </w:ins>
      <w:r w:rsidRPr="00D36C9C">
        <w:rPr>
          <w:rFonts w:ascii="Arial" w:hAnsi="Arial" w:cs="Arial"/>
          <w:sz w:val="24"/>
          <w:szCs w:val="24"/>
          <w:lang w:val="en-GB" w:eastAsia="cs-CZ"/>
        </w:rPr>
        <w:t xml:space="preserve"> </w:t>
      </w:r>
      <w:proofErr w:type="spellStart"/>
      <w:r w:rsidRPr="00D36C9C">
        <w:rPr>
          <w:rFonts w:ascii="Arial" w:hAnsi="Arial" w:cs="Arial"/>
          <w:sz w:val="24"/>
          <w:szCs w:val="24"/>
          <w:lang w:val="en-GB" w:eastAsia="cs-CZ"/>
        </w:rPr>
        <w:t>hydrophilised</w:t>
      </w:r>
      <w:proofErr w:type="spellEnd"/>
      <w:r w:rsidRPr="00D36C9C">
        <w:rPr>
          <w:rFonts w:ascii="Arial" w:hAnsi="Arial" w:cs="Arial"/>
          <w:sz w:val="24"/>
          <w:szCs w:val="24"/>
          <w:lang w:val="en-GB" w:eastAsia="cs-CZ"/>
        </w:rPr>
        <w:t xml:space="preserve"> after plasma treatment</w:t>
      </w:r>
      <w:del w:id="174" w:author="John Morgan" w:date="2015-03-22T19:48:00Z">
        <w:r w:rsidR="00476E45" w:rsidDel="00151C93">
          <w:rPr>
            <w:rFonts w:ascii="Arial" w:hAnsi="Arial" w:cs="Arial"/>
            <w:sz w:val="24"/>
            <w:szCs w:val="24"/>
            <w:lang w:val="en-GB" w:eastAsia="cs-CZ"/>
          </w:rPr>
          <w:delText xml:space="preserve"> </w:delText>
        </w:r>
        <w:r w:rsidRPr="00D36C9C" w:rsidDel="00151C93">
          <w:rPr>
            <w:rFonts w:ascii="Arial" w:hAnsi="Arial" w:cs="Arial"/>
            <w:sz w:val="24"/>
            <w:szCs w:val="24"/>
            <w:lang w:val="en-GB" w:eastAsia="cs-CZ"/>
          </w:rPr>
          <w:delText>too</w:delText>
        </w:r>
      </w:del>
      <w:ins w:id="175" w:author="John Morgan" w:date="2015-03-22T19:49:00Z">
        <w:r w:rsidR="00151C93">
          <w:rPr>
            <w:rFonts w:ascii="Arial" w:hAnsi="Arial" w:cs="Arial"/>
            <w:sz w:val="24"/>
            <w:szCs w:val="24"/>
            <w:lang w:val="en-GB" w:eastAsia="cs-CZ"/>
          </w:rPr>
          <w:t>,</w:t>
        </w:r>
      </w:ins>
      <w:del w:id="176" w:author="John Morgan" w:date="2015-03-22T19:49:00Z">
        <w:r w:rsidRPr="00D36C9C" w:rsidDel="00151C93">
          <w:rPr>
            <w:rFonts w:ascii="Arial" w:hAnsi="Arial" w:cs="Arial"/>
            <w:sz w:val="24"/>
            <w:szCs w:val="24"/>
            <w:lang w:val="en-GB" w:eastAsia="cs-CZ"/>
          </w:rPr>
          <w:delText>.</w:delText>
        </w:r>
      </w:del>
      <w:r w:rsidRPr="00D36C9C">
        <w:rPr>
          <w:rFonts w:ascii="Arial" w:hAnsi="Arial" w:cs="Arial"/>
          <w:sz w:val="24"/>
          <w:szCs w:val="24"/>
          <w:lang w:val="en-GB" w:eastAsia="cs-CZ"/>
        </w:rPr>
        <w:t xml:space="preserve"> </w:t>
      </w:r>
      <w:ins w:id="177" w:author="John Morgan" w:date="2015-03-22T19:49:00Z">
        <w:r w:rsidR="00151C93">
          <w:rPr>
            <w:rFonts w:ascii="Arial" w:hAnsi="Arial" w:cs="Arial"/>
            <w:sz w:val="24"/>
            <w:szCs w:val="24"/>
            <w:lang w:val="en-GB" w:eastAsia="cs-CZ"/>
          </w:rPr>
          <w:t>h</w:t>
        </w:r>
      </w:ins>
      <w:del w:id="178" w:author="John Morgan" w:date="2015-03-22T19:49:00Z">
        <w:r w:rsidRPr="00D36C9C" w:rsidDel="00151C93">
          <w:rPr>
            <w:rFonts w:ascii="Arial" w:hAnsi="Arial" w:cs="Arial"/>
            <w:sz w:val="24"/>
            <w:szCs w:val="24"/>
            <w:lang w:val="en-GB" w:eastAsia="cs-CZ"/>
          </w:rPr>
          <w:delText>H</w:delText>
        </w:r>
      </w:del>
      <w:r w:rsidRPr="00D36C9C">
        <w:rPr>
          <w:rFonts w:ascii="Arial" w:hAnsi="Arial" w:cs="Arial"/>
          <w:sz w:val="24"/>
          <w:szCs w:val="24"/>
          <w:lang w:val="en-GB" w:eastAsia="cs-CZ"/>
        </w:rPr>
        <w:t>owever, the roughness of plasma treated glass with glow</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discharge increased. The increase of roughness is </w:t>
      </w:r>
      <w:ins w:id="179" w:author="John Morgan" w:date="2015-03-22T19:49:00Z">
        <w:r w:rsidR="00151C93">
          <w:rPr>
            <w:rFonts w:ascii="Arial" w:hAnsi="Arial" w:cs="Arial"/>
            <w:sz w:val="24"/>
            <w:szCs w:val="24"/>
            <w:lang w:val="en-GB" w:eastAsia="cs-CZ"/>
          </w:rPr>
          <w:t xml:space="preserve">an </w:t>
        </w:r>
      </w:ins>
      <w:r w:rsidRPr="00D36C9C">
        <w:rPr>
          <w:rFonts w:ascii="Arial" w:hAnsi="Arial" w:cs="Arial"/>
          <w:sz w:val="24"/>
          <w:szCs w:val="24"/>
          <w:lang w:val="en-GB" w:eastAsia="cs-CZ"/>
        </w:rPr>
        <w:t>undesirable effect</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because of </w:t>
      </w:r>
      <w:commentRangeStart w:id="180"/>
      <w:r w:rsidRPr="00D36C9C">
        <w:rPr>
          <w:rFonts w:ascii="Arial" w:hAnsi="Arial" w:cs="Arial"/>
          <w:sz w:val="24"/>
          <w:szCs w:val="24"/>
          <w:lang w:val="en-GB" w:eastAsia="cs-CZ"/>
        </w:rPr>
        <w:t>applications</w:t>
      </w:r>
      <w:commentRangeEnd w:id="180"/>
      <w:r w:rsidR="00151C93">
        <w:rPr>
          <w:rStyle w:val="CommentReference"/>
          <w:vanish/>
        </w:rPr>
        <w:commentReference w:id="180"/>
      </w:r>
      <w:r w:rsidRPr="00D36C9C">
        <w:rPr>
          <w:rFonts w:ascii="Arial" w:hAnsi="Arial" w:cs="Arial"/>
          <w:sz w:val="24"/>
          <w:szCs w:val="24"/>
          <w:lang w:val="en-GB" w:eastAsia="cs-CZ"/>
        </w:rPr>
        <w:t>. Shorter time of plasma treatment (15 s) was</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sufficient for </w:t>
      </w:r>
      <w:proofErr w:type="spellStart"/>
      <w:r w:rsidRPr="00D36C9C">
        <w:rPr>
          <w:rFonts w:ascii="Arial" w:hAnsi="Arial" w:cs="Arial"/>
          <w:sz w:val="24"/>
          <w:szCs w:val="24"/>
          <w:lang w:val="en-GB" w:eastAsia="cs-CZ"/>
        </w:rPr>
        <w:t>wettability</w:t>
      </w:r>
      <w:proofErr w:type="spellEnd"/>
      <w:r w:rsidRPr="00D36C9C">
        <w:rPr>
          <w:rFonts w:ascii="Arial" w:hAnsi="Arial" w:cs="Arial"/>
          <w:sz w:val="24"/>
          <w:szCs w:val="24"/>
          <w:lang w:val="en-GB" w:eastAsia="cs-CZ"/>
        </w:rPr>
        <w:t xml:space="preserve"> </w:t>
      </w:r>
      <w:proofErr w:type="gramStart"/>
      <w:r w:rsidRPr="00D36C9C">
        <w:rPr>
          <w:rFonts w:ascii="Arial" w:hAnsi="Arial" w:cs="Arial"/>
          <w:sz w:val="24"/>
          <w:szCs w:val="24"/>
          <w:lang w:val="en-GB" w:eastAsia="cs-CZ"/>
        </w:rPr>
        <w:t>change</w:t>
      </w:r>
      <w:ins w:id="181" w:author="John Morgan" w:date="2015-03-22T19:51:00Z">
        <w:r w:rsidR="00151C93">
          <w:rPr>
            <w:rFonts w:ascii="Arial" w:hAnsi="Arial" w:cs="Arial"/>
            <w:sz w:val="24"/>
            <w:szCs w:val="24"/>
            <w:lang w:val="en-GB" w:eastAsia="cs-CZ"/>
          </w:rPr>
          <w:t>,</w:t>
        </w:r>
      </w:ins>
      <w:proofErr w:type="gramEnd"/>
      <w:del w:id="182" w:author="John Morgan" w:date="2015-03-22T19:51:00Z">
        <w:r w:rsidRPr="00D36C9C" w:rsidDel="00151C93">
          <w:rPr>
            <w:rFonts w:ascii="Arial" w:hAnsi="Arial" w:cs="Arial"/>
            <w:sz w:val="24"/>
            <w:szCs w:val="24"/>
            <w:lang w:val="en-GB" w:eastAsia="cs-CZ"/>
          </w:rPr>
          <w:delText>.</w:delText>
        </w:r>
      </w:del>
      <w:r w:rsidRPr="00D36C9C">
        <w:rPr>
          <w:rFonts w:ascii="Arial" w:hAnsi="Arial" w:cs="Arial"/>
          <w:sz w:val="24"/>
          <w:szCs w:val="24"/>
          <w:lang w:val="en-GB" w:eastAsia="cs-CZ"/>
        </w:rPr>
        <w:t xml:space="preserve"> </w:t>
      </w:r>
      <w:ins w:id="183" w:author="John Morgan" w:date="2015-03-22T19:51:00Z">
        <w:r w:rsidR="00151C93">
          <w:rPr>
            <w:rFonts w:ascii="Arial" w:hAnsi="Arial" w:cs="Arial"/>
            <w:sz w:val="24"/>
            <w:szCs w:val="24"/>
            <w:lang w:val="en-GB" w:eastAsia="cs-CZ"/>
          </w:rPr>
          <w:t>w</w:t>
        </w:r>
      </w:ins>
      <w:del w:id="184" w:author="John Morgan" w:date="2015-03-22T19:51:00Z">
        <w:r w:rsidRPr="00D36C9C" w:rsidDel="00151C93">
          <w:rPr>
            <w:rFonts w:ascii="Arial" w:hAnsi="Arial" w:cs="Arial"/>
            <w:sz w:val="24"/>
            <w:szCs w:val="24"/>
            <w:lang w:val="en-GB" w:eastAsia="cs-CZ"/>
          </w:rPr>
          <w:delText>W</w:delText>
        </w:r>
      </w:del>
      <w:r w:rsidRPr="00D36C9C">
        <w:rPr>
          <w:rFonts w:ascii="Arial" w:hAnsi="Arial" w:cs="Arial"/>
          <w:sz w:val="24"/>
          <w:szCs w:val="24"/>
          <w:lang w:val="en-GB" w:eastAsia="cs-CZ"/>
        </w:rPr>
        <w:t>hile longer plasma treatment time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 xml:space="preserve">(30 s) was more stable in time. More significant chemical changes on </w:t>
      </w:r>
      <w:ins w:id="185" w:author="John Morgan" w:date="2015-03-22T19:51:00Z">
        <w:r w:rsidR="00151C93">
          <w:rPr>
            <w:rFonts w:ascii="Arial" w:hAnsi="Arial" w:cs="Arial"/>
            <w:sz w:val="24"/>
            <w:szCs w:val="24"/>
            <w:lang w:val="en-GB" w:eastAsia="cs-CZ"/>
          </w:rPr>
          <w:t xml:space="preserve">the </w:t>
        </w:r>
      </w:ins>
      <w:r w:rsidRPr="00D36C9C">
        <w:rPr>
          <w:rFonts w:ascii="Arial" w:hAnsi="Arial" w:cs="Arial"/>
          <w:sz w:val="24"/>
          <w:szCs w:val="24"/>
          <w:lang w:val="en-GB" w:eastAsia="cs-CZ"/>
        </w:rPr>
        <w:t>surface</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between untreated and plasma treated glass were observed after DBD treatment.</w:t>
      </w:r>
      <w:r w:rsidR="00476E45">
        <w:rPr>
          <w:rFonts w:ascii="Arial" w:hAnsi="Arial" w:cs="Arial"/>
          <w:sz w:val="24"/>
          <w:szCs w:val="24"/>
          <w:lang w:val="en-GB" w:eastAsia="cs-CZ"/>
        </w:rPr>
        <w:t xml:space="preserve"> </w:t>
      </w:r>
      <w:ins w:id="186" w:author="John Morgan" w:date="2015-03-22T19:51:00Z">
        <w:r w:rsidR="00151C93">
          <w:rPr>
            <w:rFonts w:ascii="Arial" w:hAnsi="Arial" w:cs="Arial"/>
            <w:sz w:val="24"/>
            <w:szCs w:val="24"/>
            <w:lang w:val="en-GB" w:eastAsia="cs-CZ"/>
          </w:rPr>
          <w:t>The c</w:t>
        </w:r>
      </w:ins>
      <w:del w:id="187" w:author="John Morgan" w:date="2015-03-22T19:51:00Z">
        <w:r w:rsidRPr="00D36C9C" w:rsidDel="00151C93">
          <w:rPr>
            <w:rFonts w:ascii="Arial" w:hAnsi="Arial" w:cs="Arial"/>
            <w:sz w:val="24"/>
            <w:szCs w:val="24"/>
            <w:lang w:val="en-GB" w:eastAsia="cs-CZ"/>
          </w:rPr>
          <w:delText>C</w:delText>
        </w:r>
      </w:del>
      <w:r w:rsidRPr="00D36C9C">
        <w:rPr>
          <w:rFonts w:ascii="Arial" w:hAnsi="Arial" w:cs="Arial"/>
          <w:sz w:val="24"/>
          <w:szCs w:val="24"/>
          <w:lang w:val="en-GB" w:eastAsia="cs-CZ"/>
        </w:rPr>
        <w:t xml:space="preserve">onclusion is that DBD discharge is </w:t>
      </w:r>
      <w:ins w:id="188" w:author="John Morgan" w:date="2015-03-22T19:51:00Z">
        <w:r w:rsidR="00151C93">
          <w:rPr>
            <w:rFonts w:ascii="Arial" w:hAnsi="Arial" w:cs="Arial"/>
            <w:sz w:val="24"/>
            <w:szCs w:val="24"/>
            <w:lang w:val="en-GB" w:eastAsia="cs-CZ"/>
          </w:rPr>
          <w:t xml:space="preserve">a </w:t>
        </w:r>
      </w:ins>
      <w:r w:rsidRPr="00D36C9C">
        <w:rPr>
          <w:rFonts w:ascii="Arial" w:hAnsi="Arial" w:cs="Arial"/>
          <w:sz w:val="24"/>
          <w:szCs w:val="24"/>
          <w:lang w:val="en-GB" w:eastAsia="cs-CZ"/>
        </w:rPr>
        <w:t>more suitable device for plasma treatment of</w:t>
      </w:r>
      <w:r w:rsidR="00476E45">
        <w:rPr>
          <w:rFonts w:ascii="Arial" w:hAnsi="Arial" w:cs="Arial"/>
          <w:sz w:val="24"/>
          <w:szCs w:val="24"/>
          <w:lang w:val="en-GB" w:eastAsia="cs-CZ"/>
        </w:rPr>
        <w:t xml:space="preserve"> </w:t>
      </w:r>
      <w:r w:rsidRPr="00D36C9C">
        <w:rPr>
          <w:rFonts w:ascii="Arial" w:hAnsi="Arial" w:cs="Arial"/>
          <w:sz w:val="24"/>
          <w:szCs w:val="24"/>
          <w:lang w:val="en-GB" w:eastAsia="cs-CZ"/>
        </w:rPr>
        <w:t>glass than gliding arc.</w:t>
      </w:r>
    </w:p>
    <w:sectPr w:rsidR="00D36C9C" w:rsidRPr="00D36C9C" w:rsidSect="00C4485A">
      <w:pgSz w:w="11906" w:h="16838"/>
      <w:pgMar w:top="1417" w:right="1417" w:bottom="1417" w:left="1417" w:header="708" w:footer="708" w:gutter="0"/>
      <w:cols w:space="708"/>
      <w:docGrid w:linePitch="360"/>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3" w:author="John Morgan" w:date="2015-03-22T19:52:00Z" w:initials="JM">
    <w:p w:rsidR="00524D73" w:rsidRDefault="00524D73">
      <w:pPr>
        <w:pStyle w:val="CommentText"/>
      </w:pPr>
      <w:r>
        <w:rPr>
          <w:rStyle w:val="CommentReference"/>
        </w:rPr>
        <w:annotationRef/>
      </w:r>
      <w:r>
        <w:t>In this paragraph both examples in brackets are quite long, but are very useful to clear contextualisation. I might be worth making them part of the main sentences, as the clarity of information to a significant extent depends on the descriptions.</w:t>
      </w:r>
    </w:p>
    <w:p w:rsidR="00524D73" w:rsidRDefault="00524D73">
      <w:pPr>
        <w:pStyle w:val="CommentText"/>
      </w:pPr>
    </w:p>
    <w:p w:rsidR="00524D73" w:rsidRDefault="00524D73">
      <w:pPr>
        <w:pStyle w:val="CommentText"/>
      </w:pPr>
      <w:r>
        <w:t>One way of doing this is to split the text from „Rational antibiotic...“ onwards into 3 sentences. The introductory statement and then two more sentences. Each could beging „firstly“, „secondly“ and each could have a relative pronoun/clause „which is...“ to bring in the examples.</w:t>
      </w:r>
    </w:p>
  </w:comment>
  <w:comment w:id="6" w:author="John Morgan" w:date="2015-03-22T19:52:00Z" w:initials="JM">
    <w:p w:rsidR="00524D73" w:rsidRDefault="00524D73">
      <w:pPr>
        <w:pStyle w:val="CommentText"/>
      </w:pPr>
      <w:r>
        <w:rPr>
          <w:rStyle w:val="CommentReference"/>
        </w:rPr>
        <w:annotationRef/>
      </w:r>
      <w:r>
        <w:t>Is this a team study? If so, we is OK. As an alternative consider use of the passive voice which indicates process as being more important than agent in the context of what is being reported. This would be „In this study all patients... were analyzed“. If a team study the we is actually better as the subsequent clause is quite long.</w:t>
      </w:r>
    </w:p>
  </w:comment>
  <w:comment w:id="15" w:author="John Morgan" w:date="2015-03-22T19:52:00Z" w:initials="JM">
    <w:p w:rsidR="00524D73" w:rsidRDefault="00524D73">
      <w:pPr>
        <w:pStyle w:val="CommentText"/>
      </w:pPr>
      <w:r>
        <w:rPr>
          <w:rStyle w:val="CommentReference"/>
        </w:rPr>
        <w:annotationRef/>
      </w:r>
      <w:r>
        <w:t>Is this a title? If so it would be better as „The effect of ZAP-70 on BCR...“</w:t>
      </w:r>
    </w:p>
  </w:comment>
  <w:comment w:id="21" w:author="John Morgan" w:date="2015-03-22T19:52:00Z" w:initials="JM">
    <w:p w:rsidR="00524D73" w:rsidRDefault="00524D73">
      <w:pPr>
        <w:pStyle w:val="CommentText"/>
      </w:pPr>
      <w:r>
        <w:rPr>
          <w:rStyle w:val="CommentReference"/>
        </w:rPr>
        <w:annotationRef/>
      </w:r>
      <w:r>
        <w:t>To focus on process instead of agent you could use the passive as an alternative. It would follow on in  a more parallel manner from the last sentence through to the next one: were stimulated, was established, was observed (the agent--your team—has already been identified).</w:t>
      </w:r>
    </w:p>
  </w:comment>
  <w:comment w:id="24" w:author="John Morgan" w:date="2015-03-22T19:52:00Z" w:initials="JM">
    <w:p w:rsidR="00524D73" w:rsidRDefault="00524D73">
      <w:pPr>
        <w:pStyle w:val="CommentText"/>
      </w:pPr>
      <w:r>
        <w:rPr>
          <w:rStyle w:val="CommentReference"/>
        </w:rPr>
        <w:annotationRef/>
      </w:r>
      <w:r>
        <w:t>Is it necessary to include a citation to others? This is possible and common in abstracts, though it may depend on the expectations of the supervisor/department.</w:t>
      </w:r>
    </w:p>
  </w:comment>
  <w:comment w:id="31" w:author="John Morgan" w:date="2015-03-22T19:52:00Z" w:initials="JM">
    <w:p w:rsidR="00524D73" w:rsidRDefault="00524D73">
      <w:pPr>
        <w:pStyle w:val="CommentText"/>
      </w:pPr>
      <w:r>
        <w:rPr>
          <w:rStyle w:val="CommentReference"/>
        </w:rPr>
        <w:annotationRef/>
      </w:r>
      <w:r>
        <w:t>What process is being reported with the expression „declared to change“ and „rescue of its activity“? It’s not clear to a non-specialist reader.</w:t>
      </w:r>
    </w:p>
  </w:comment>
  <w:comment w:id="32" w:author="John Morgan" w:date="2015-03-22T19:52:00Z" w:initials="JM">
    <w:p w:rsidR="00524D73" w:rsidRDefault="00524D73">
      <w:pPr>
        <w:pStyle w:val="CommentText"/>
      </w:pPr>
      <w:r>
        <w:rPr>
          <w:rStyle w:val="CommentReference"/>
        </w:rPr>
        <w:annotationRef/>
      </w:r>
      <w:r>
        <w:t>What is the process here? Is it „identified“. Pronounced is more related to opinion or a statement that could be challenged.</w:t>
      </w:r>
    </w:p>
  </w:comment>
  <w:comment w:id="33" w:author="John Morgan" w:date="2015-03-22T19:52:00Z" w:initials="JM">
    <w:p w:rsidR="00524D73" w:rsidRDefault="00524D73">
      <w:pPr>
        <w:pStyle w:val="CommentText"/>
      </w:pPr>
      <w:r>
        <w:rPr>
          <w:rStyle w:val="CommentReference"/>
        </w:rPr>
        <w:annotationRef/>
      </w:r>
      <w:r>
        <w:t>„</w:t>
      </w:r>
      <w:r>
        <w:t>for“ or „as“? For means it was done for the next two things. „As“ would indicate a measurement for each.</w:t>
      </w:r>
    </w:p>
  </w:comment>
  <w:comment w:id="44" w:author="John Morgan" w:date="2015-03-22T19:52:00Z" w:initials="JM">
    <w:p w:rsidR="00524D73" w:rsidRDefault="00524D73">
      <w:pPr>
        <w:pStyle w:val="CommentText"/>
      </w:pPr>
      <w:r>
        <w:rPr>
          <w:rStyle w:val="CommentReference"/>
        </w:rPr>
        <w:annotationRef/>
      </w:r>
      <w:r>
        <w:t>What is meant by „high“?</w:t>
      </w:r>
    </w:p>
  </w:comment>
  <w:comment w:id="61" w:author="John Morgan" w:date="2015-03-22T19:52:00Z" w:initials="JM">
    <w:p w:rsidR="00524D73" w:rsidRDefault="00524D73">
      <w:pPr>
        <w:pStyle w:val="CommentText"/>
      </w:pPr>
      <w:r>
        <w:rPr>
          <w:rStyle w:val="CommentReference"/>
        </w:rPr>
        <w:annotationRef/>
      </w:r>
      <w:r>
        <w:t>Triple ambiguity: Three systems (plural) or three uses of one system (three uses of the) or is this a specific name (the three...)?</w:t>
      </w:r>
    </w:p>
  </w:comment>
  <w:comment w:id="76" w:author="John Morgan" w:date="2015-03-22T19:52:00Z" w:initials="JM">
    <w:p w:rsidR="00524D73" w:rsidRDefault="00524D73">
      <w:pPr>
        <w:pStyle w:val="CommentText"/>
      </w:pPr>
      <w:r>
        <w:rPr>
          <w:rStyle w:val="CommentReference"/>
        </w:rPr>
        <w:annotationRef/>
      </w:r>
      <w:r>
        <w:t>Is this a scale?</w:t>
      </w:r>
    </w:p>
  </w:comment>
  <w:comment w:id="77" w:author="John Morgan" w:date="2015-03-22T19:52:00Z" w:initials="JM">
    <w:p w:rsidR="00524D73" w:rsidRDefault="00524D73">
      <w:pPr>
        <w:pStyle w:val="CommentText"/>
      </w:pPr>
      <w:r>
        <w:rPr>
          <w:rStyle w:val="CommentReference"/>
        </w:rPr>
        <w:annotationRef/>
      </w:r>
      <w:r>
        <w:t>If published in Englsih this would be 0.4. If published in other languages it may be 0,4.</w:t>
      </w:r>
    </w:p>
  </w:comment>
  <w:comment w:id="82" w:author="John Morgan" w:date="2015-03-22T19:52:00Z" w:initials="JM">
    <w:p w:rsidR="00524D73" w:rsidRDefault="00524D73">
      <w:pPr>
        <w:pStyle w:val="CommentText"/>
      </w:pPr>
      <w:r>
        <w:rPr>
          <w:rStyle w:val="CommentReference"/>
        </w:rPr>
        <w:annotationRef/>
      </w:r>
      <w:r>
        <w:t>found = discovery; found out = something that was being hidden (an intended secret)</w:t>
      </w:r>
    </w:p>
  </w:comment>
  <w:comment w:id="92" w:author="John Morgan" w:date="2015-03-22T19:52:00Z" w:initials="JM">
    <w:p w:rsidR="00524D73" w:rsidRDefault="00524D73">
      <w:pPr>
        <w:pStyle w:val="CommentText"/>
      </w:pPr>
      <w:r>
        <w:rPr>
          <w:rStyle w:val="CommentReference"/>
        </w:rPr>
        <w:annotationRef/>
      </w:r>
      <w:r>
        <w:t>more formal as a written expression than „to sum up“</w:t>
      </w:r>
    </w:p>
  </w:comment>
  <w:comment w:id="96" w:author="John Morgan" w:date="2015-03-22T19:52:00Z" w:initials="JM">
    <w:p w:rsidR="00524D73" w:rsidRDefault="00524D73">
      <w:pPr>
        <w:pStyle w:val="CommentText"/>
      </w:pPr>
      <w:r>
        <w:rPr>
          <w:rStyle w:val="CommentReference"/>
        </w:rPr>
        <w:annotationRef/>
      </w:r>
      <w:r>
        <w:t>Consider adding a citation here. It is commonly seen in abstracts, but may depend on requirements of supervisor, department or editor.</w:t>
      </w:r>
    </w:p>
  </w:comment>
  <w:comment w:id="97" w:author="John Morgan" w:date="2015-03-22T19:52:00Z" w:initials="JM">
    <w:p w:rsidR="00524D73" w:rsidRDefault="00524D73">
      <w:pPr>
        <w:pStyle w:val="CommentText"/>
      </w:pPr>
      <w:r>
        <w:rPr>
          <w:rStyle w:val="CommentReference"/>
        </w:rPr>
        <w:annotationRef/>
      </w:r>
      <w:r>
        <w:t>„</w:t>
      </w:r>
      <w:r>
        <w:t>fresh, frozen...“ as two ietms or „freshly frozen“ as one?</w:t>
      </w:r>
    </w:p>
  </w:comment>
  <w:comment w:id="107" w:author="John Morgan" w:date="2015-03-22T19:52:00Z" w:initials="JM">
    <w:p w:rsidR="00524D73" w:rsidRDefault="00524D73">
      <w:pPr>
        <w:pStyle w:val="CommentText"/>
      </w:pPr>
      <w:r>
        <w:rPr>
          <w:rStyle w:val="CommentReference"/>
        </w:rPr>
        <w:annotationRef/>
      </w:r>
      <w:r>
        <w:t>Use full form repetition in this case.</w:t>
      </w:r>
    </w:p>
  </w:comment>
  <w:comment w:id="109" w:author="John Morgan" w:date="2015-03-22T19:52:00Z" w:initials="JM">
    <w:p w:rsidR="00524D73" w:rsidRDefault="00524D73">
      <w:pPr>
        <w:pStyle w:val="CommentText"/>
      </w:pPr>
      <w:r>
        <w:rPr>
          <w:rStyle w:val="CommentReference"/>
        </w:rPr>
        <w:annotationRef/>
      </w:r>
      <w:r>
        <w:t>Insert citation as it refers to a specific study.</w:t>
      </w:r>
    </w:p>
  </w:comment>
  <w:comment w:id="113" w:author="John Morgan" w:date="2015-03-22T19:52:00Z" w:initials="JM">
    <w:p w:rsidR="00524D73" w:rsidRDefault="00524D73">
      <w:pPr>
        <w:pStyle w:val="CommentText"/>
      </w:pPr>
      <w:r>
        <w:rPr>
          <w:rStyle w:val="CommentReference"/>
        </w:rPr>
        <w:annotationRef/>
      </w:r>
      <w:r>
        <w:t>Is this one concept or two? If two insert „and that WNT pathway...“</w:t>
      </w:r>
    </w:p>
  </w:comment>
  <w:comment w:id="114" w:author="John Morgan" w:date="2015-03-22T19:52:00Z" w:initials="JM">
    <w:p w:rsidR="00524D73" w:rsidRDefault="00524D73">
      <w:pPr>
        <w:pStyle w:val="CommentText"/>
      </w:pPr>
      <w:r>
        <w:rPr>
          <w:rStyle w:val="CommentReference"/>
        </w:rPr>
        <w:annotationRef/>
      </w:r>
      <w:r>
        <w:t>Not necessary to comment on the decisions behind the study, only on its contribution to the field.</w:t>
      </w:r>
    </w:p>
  </w:comment>
  <w:comment w:id="116" w:author="John Morgan" w:date="2015-03-22T19:52:00Z" w:initials="JM">
    <w:p w:rsidR="00524D73" w:rsidRDefault="00524D73">
      <w:pPr>
        <w:pStyle w:val="CommentText"/>
      </w:pPr>
      <w:r>
        <w:rPr>
          <w:rStyle w:val="CommentReference"/>
        </w:rPr>
        <w:annotationRef/>
      </w:r>
      <w:r>
        <w:t>Use plural as the next sentence refers to the strongest correlation, which indicates more than one.</w:t>
      </w:r>
    </w:p>
  </w:comment>
  <w:comment w:id="120" w:author="John Morgan" w:date="2015-03-22T19:52:00Z" w:initials="JM">
    <w:p w:rsidR="00524D73" w:rsidRDefault="00524D73">
      <w:pPr>
        <w:pStyle w:val="CommentText"/>
      </w:pPr>
      <w:r>
        <w:rPr>
          <w:rStyle w:val="CommentReference"/>
        </w:rPr>
        <w:annotationRef/>
      </w:r>
      <w:r>
        <w:t>Add citation for a specific study.</w:t>
      </w:r>
    </w:p>
  </w:comment>
  <w:comment w:id="126" w:author="John Morgan" w:date="2015-03-22T19:52:00Z" w:initials="JM">
    <w:p w:rsidR="00524D73" w:rsidRDefault="00524D73">
      <w:pPr>
        <w:pStyle w:val="CommentText"/>
      </w:pPr>
      <w:r>
        <w:rPr>
          <w:rStyle w:val="CommentReference"/>
        </w:rPr>
        <w:annotationRef/>
      </w:r>
      <w:r>
        <w:t>A specific method or named item has a definite article.</w:t>
      </w:r>
    </w:p>
  </w:comment>
  <w:comment w:id="131" w:author="John Morgan" w:date="2015-03-22T19:52:00Z" w:initials="JM">
    <w:p w:rsidR="00524D73" w:rsidRDefault="00524D73">
      <w:pPr>
        <w:pStyle w:val="CommentText"/>
      </w:pPr>
      <w:r>
        <w:rPr>
          <w:rStyle w:val="CommentReference"/>
        </w:rPr>
        <w:annotationRef/>
      </w:r>
      <w:r>
        <w:t>Along a temporal  or linear sequence we more commonloy use „at“ for each of the stages (with is possible, but seems more unfamiliar). How is it reported in othere studies?</w:t>
      </w:r>
    </w:p>
  </w:comment>
  <w:comment w:id="134" w:author="John Morgan" w:date="2015-03-22T19:52:00Z" w:initials="JM">
    <w:p w:rsidR="00524D73" w:rsidRDefault="00524D73">
      <w:pPr>
        <w:pStyle w:val="CommentText"/>
      </w:pPr>
      <w:r>
        <w:rPr>
          <w:rStyle w:val="CommentReference"/>
        </w:rPr>
        <w:annotationRef/>
      </w:r>
      <w:r>
        <w:t>Compared to the last comment, expression appears as an output of a process and uses „with“.</w:t>
      </w:r>
    </w:p>
  </w:comment>
  <w:comment w:id="137" w:author="John Morgan" w:date="2015-03-22T19:52:00Z" w:initials="JM">
    <w:p w:rsidR="00524D73" w:rsidRDefault="00524D73">
      <w:pPr>
        <w:pStyle w:val="CommentText"/>
      </w:pPr>
      <w:r>
        <w:rPr>
          <w:rStyle w:val="CommentReference"/>
        </w:rPr>
        <w:annotationRef/>
      </w:r>
      <w:r>
        <w:t>Full form repetition to enhance grammatical parallelism.</w:t>
      </w:r>
    </w:p>
  </w:comment>
  <w:comment w:id="140" w:author="John Morgan" w:date="2015-03-22T19:52:00Z" w:initials="JM">
    <w:p w:rsidR="00524D73" w:rsidRDefault="00524D73">
      <w:pPr>
        <w:pStyle w:val="CommentText"/>
      </w:pPr>
      <w:r>
        <w:rPr>
          <w:rStyle w:val="CommentReference"/>
        </w:rPr>
        <w:annotationRef/>
      </w:r>
      <w:r>
        <w:t>generic concept = no article</w:t>
      </w:r>
    </w:p>
  </w:comment>
  <w:comment w:id="145" w:author="John Morgan" w:date="2015-03-22T19:52:00Z" w:initials="JM">
    <w:p w:rsidR="00524D73" w:rsidRDefault="00524D73">
      <w:pPr>
        <w:pStyle w:val="CommentText"/>
      </w:pPr>
      <w:r>
        <w:rPr>
          <w:rStyle w:val="CommentReference"/>
        </w:rPr>
        <w:annotationRef/>
      </w:r>
      <w:r>
        <w:t>You may choose to comment on its contribution to the field after the aim has been achieved. In this case it would as a follow up to the initial statement.</w:t>
      </w:r>
    </w:p>
  </w:comment>
  <w:comment w:id="148" w:author="John Morgan" w:date="2015-03-22T19:52:00Z" w:initials="JM">
    <w:p w:rsidR="00524D73" w:rsidRDefault="00524D73">
      <w:pPr>
        <w:pStyle w:val="CommentText"/>
      </w:pPr>
      <w:r>
        <w:rPr>
          <w:rStyle w:val="CommentReference"/>
        </w:rPr>
        <w:annotationRef/>
      </w:r>
      <w:r>
        <w:t>Does this refer to DBD and gliding arc? If so insert that after „Both“ as the reader is still identifying the focus, so a fuller repetition is appropriate.</w:t>
      </w:r>
    </w:p>
  </w:comment>
  <w:comment w:id="156" w:author="John Morgan" w:date="2015-03-22T19:52:00Z" w:initials="JM">
    <w:p w:rsidR="00524D73" w:rsidRDefault="00524D73">
      <w:pPr>
        <w:pStyle w:val="CommentText"/>
      </w:pPr>
      <w:r>
        <w:rPr>
          <w:rStyle w:val="CommentReference"/>
        </w:rPr>
        <w:annotationRef/>
      </w:r>
      <w:r>
        <w:t>Whereas to indicate contrast of home made vs. commercial product.</w:t>
      </w:r>
    </w:p>
  </w:comment>
  <w:comment w:id="162" w:author="John Morgan" w:date="2015-03-22T19:52:00Z" w:initials="JM">
    <w:p w:rsidR="00524D73" w:rsidRDefault="00524D73">
      <w:pPr>
        <w:pStyle w:val="CommentText"/>
      </w:pPr>
      <w:r>
        <w:rPr>
          <w:rStyle w:val="CommentReference"/>
        </w:rPr>
        <w:annotationRef/>
      </w:r>
      <w:r>
        <w:t>plural = no article</w:t>
      </w:r>
    </w:p>
  </w:comment>
  <w:comment w:id="167" w:author="John Morgan" w:date="2015-03-22T19:52:00Z" w:initials="JM">
    <w:p w:rsidR="00524D73" w:rsidRDefault="00524D73">
      <w:pPr>
        <w:pStyle w:val="CommentText"/>
      </w:pPr>
      <w:r>
        <w:rPr>
          <w:rStyle w:val="CommentReference"/>
        </w:rPr>
        <w:annotationRef/>
      </w:r>
      <w:r>
        <w:t>Specific system/method: should all initial letters be capitalised?</w:t>
      </w:r>
    </w:p>
  </w:comment>
  <w:comment w:id="172" w:author="John Morgan" w:date="2015-03-22T19:52:00Z" w:initials="JM">
    <w:p w:rsidR="00524D73" w:rsidRDefault="00524D73">
      <w:pPr>
        <w:pStyle w:val="CommentText"/>
      </w:pPr>
      <w:r>
        <w:rPr>
          <w:rStyle w:val="CommentReference"/>
        </w:rPr>
        <w:annotationRef/>
      </w:r>
      <w:r>
        <w:t>Is this the reason for the efficiency mentioned in the last sentence? It is a very short sentence and could be connected with „...arc, as roughness...“</w:t>
      </w:r>
    </w:p>
  </w:comment>
  <w:comment w:id="180" w:author="John Morgan" w:date="2015-03-22T19:52:00Z" w:initials="JM">
    <w:p w:rsidR="00151C93" w:rsidRDefault="00151C93">
      <w:pPr>
        <w:pStyle w:val="CommentText"/>
      </w:pPr>
      <w:r>
        <w:rPr>
          <w:rStyle w:val="CommentReference"/>
        </w:rPr>
        <w:annotationRef/>
      </w:r>
      <w:r>
        <w:t>The properties of these applications is not stated to validate or explain the undesirable effect. Could that be added briefly?</w:t>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163CD8"/>
    <w:multiLevelType w:val="multilevel"/>
    <w:tmpl w:val="B7EC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oNotTrackMoves/>
  <w:defaultTabStop w:val="708"/>
  <w:hyphenationZone w:val="425"/>
  <w:characterSpacingControl w:val="doNotCompress"/>
  <w:compat/>
  <w:rsids>
    <w:rsidRoot w:val="00D36C9C"/>
    <w:rsid w:val="000D7FC9"/>
    <w:rsid w:val="00151C93"/>
    <w:rsid w:val="0039075A"/>
    <w:rsid w:val="0046224F"/>
    <w:rsid w:val="00476E45"/>
    <w:rsid w:val="00524D73"/>
    <w:rsid w:val="006B26E1"/>
    <w:rsid w:val="008974D5"/>
    <w:rsid w:val="00A7674E"/>
    <w:rsid w:val="00BF2FCD"/>
    <w:rsid w:val="00C4485A"/>
    <w:rsid w:val="00CA30F0"/>
    <w:rsid w:val="00D36C9C"/>
    <w:rsid w:val="00D72142"/>
    <w:rsid w:val="00DA1171"/>
    <w:rsid w:val="00DB2BF8"/>
    <w:rsid w:val="00FB41CF"/>
    <w:rsid w:val="00FF06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85A"/>
  </w:style>
  <w:style w:type="paragraph" w:styleId="Heading2">
    <w:name w:val="heading 2"/>
    <w:basedOn w:val="Normal"/>
    <w:link w:val="Heading2Char"/>
    <w:uiPriority w:val="9"/>
    <w:qFormat/>
    <w:rsid w:val="00D36C9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Heading5">
    <w:name w:val="heading 5"/>
    <w:basedOn w:val="Normal"/>
    <w:link w:val="Heading5Char"/>
    <w:uiPriority w:val="9"/>
    <w:qFormat/>
    <w:rsid w:val="00D36C9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D36C9C"/>
    <w:rPr>
      <w:rFonts w:ascii="Times New Roman" w:eastAsia="Times New Roman" w:hAnsi="Times New Roman" w:cs="Times New Roman"/>
      <w:b/>
      <w:bCs/>
      <w:sz w:val="36"/>
      <w:szCs w:val="36"/>
      <w:lang w:eastAsia="cs-CZ"/>
    </w:rPr>
  </w:style>
  <w:style w:type="character" w:customStyle="1" w:styleId="Heading5Char">
    <w:name w:val="Heading 5 Char"/>
    <w:basedOn w:val="DefaultParagraphFont"/>
    <w:link w:val="Heading5"/>
    <w:uiPriority w:val="9"/>
    <w:rsid w:val="00D36C9C"/>
    <w:rPr>
      <w:rFonts w:ascii="Times New Roman" w:eastAsia="Times New Roman" w:hAnsi="Times New Roman" w:cs="Times New Roman"/>
      <w:b/>
      <w:bCs/>
      <w:sz w:val="20"/>
      <w:szCs w:val="20"/>
      <w:lang w:eastAsia="cs-CZ"/>
    </w:rPr>
  </w:style>
  <w:style w:type="paragraph" w:styleId="z-TopofForm">
    <w:name w:val="HTML Top of Form"/>
    <w:basedOn w:val="Normal"/>
    <w:next w:val="Normal"/>
    <w:link w:val="z-TopofFormChar"/>
    <w:hidden/>
    <w:uiPriority w:val="99"/>
    <w:semiHidden/>
    <w:unhideWhenUsed/>
    <w:rsid w:val="00D36C9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TopofFormChar">
    <w:name w:val="z-Top of Form Char"/>
    <w:basedOn w:val="DefaultParagraphFont"/>
    <w:link w:val="z-TopofForm"/>
    <w:uiPriority w:val="99"/>
    <w:semiHidden/>
    <w:rsid w:val="00D36C9C"/>
    <w:rPr>
      <w:rFonts w:ascii="Arial" w:eastAsia="Times New Roman" w:hAnsi="Arial" w:cs="Arial"/>
      <w:vanish/>
      <w:sz w:val="16"/>
      <w:szCs w:val="16"/>
      <w:lang w:eastAsia="cs-CZ"/>
    </w:rPr>
  </w:style>
  <w:style w:type="paragraph" w:styleId="z-BottomofForm">
    <w:name w:val="HTML Bottom of Form"/>
    <w:basedOn w:val="Normal"/>
    <w:next w:val="Normal"/>
    <w:link w:val="z-BottomofFormChar"/>
    <w:hidden/>
    <w:uiPriority w:val="99"/>
    <w:semiHidden/>
    <w:unhideWhenUsed/>
    <w:rsid w:val="00D36C9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BottomofFormChar">
    <w:name w:val="z-Bottom of Form Char"/>
    <w:basedOn w:val="DefaultParagraphFont"/>
    <w:link w:val="z-BottomofForm"/>
    <w:uiPriority w:val="99"/>
    <w:semiHidden/>
    <w:rsid w:val="00D36C9C"/>
    <w:rPr>
      <w:rFonts w:ascii="Arial" w:eastAsia="Times New Roman" w:hAnsi="Arial" w:cs="Arial"/>
      <w:vanish/>
      <w:sz w:val="16"/>
      <w:szCs w:val="16"/>
      <w:lang w:eastAsia="cs-CZ"/>
    </w:rPr>
  </w:style>
  <w:style w:type="character" w:styleId="Hyperlink">
    <w:name w:val="Hyperlink"/>
    <w:basedOn w:val="DefaultParagraphFont"/>
    <w:uiPriority w:val="99"/>
    <w:semiHidden/>
    <w:unhideWhenUsed/>
    <w:rsid w:val="00D36C9C"/>
    <w:rPr>
      <w:color w:val="0000FF"/>
      <w:u w:val="single"/>
    </w:rPr>
  </w:style>
  <w:style w:type="character" w:customStyle="1" w:styleId="permalink">
    <w:name w:val="permalink"/>
    <w:basedOn w:val="DefaultParagraphFont"/>
    <w:rsid w:val="00D36C9C"/>
  </w:style>
  <w:style w:type="character" w:customStyle="1" w:styleId="jdds">
    <w:name w:val="jdds"/>
    <w:basedOn w:val="DefaultParagraphFont"/>
    <w:rsid w:val="00D36C9C"/>
  </w:style>
  <w:style w:type="paragraph" w:customStyle="1" w:styleId="przpet">
    <w:name w:val="pr_zpet"/>
    <w:basedOn w:val="Normal"/>
    <w:rsid w:val="00D36C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zmnaz">
    <w:name w:val="pr_zm_naz"/>
    <w:basedOn w:val="DefaultParagraphFont"/>
    <w:rsid w:val="00D36C9C"/>
  </w:style>
  <w:style w:type="paragraph" w:styleId="HTMLPreformatted">
    <w:name w:val="HTML Preformatted"/>
    <w:basedOn w:val="Normal"/>
    <w:link w:val="HTMLPreformattedChar"/>
    <w:uiPriority w:val="99"/>
    <w:semiHidden/>
    <w:unhideWhenUsed/>
    <w:rsid w:val="00D3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rsid w:val="00D36C9C"/>
    <w:rPr>
      <w:rFonts w:ascii="Courier New" w:eastAsia="Times New Roman" w:hAnsi="Courier New" w:cs="Courier New"/>
      <w:sz w:val="20"/>
      <w:szCs w:val="20"/>
      <w:lang w:eastAsia="cs-CZ"/>
    </w:rPr>
  </w:style>
  <w:style w:type="character" w:customStyle="1" w:styleId="prvlozret">
    <w:name w:val="pr_vloz_ret"/>
    <w:basedOn w:val="DefaultParagraphFont"/>
    <w:rsid w:val="00D36C9C"/>
  </w:style>
  <w:style w:type="character" w:customStyle="1" w:styleId="nedurazne">
    <w:name w:val="nedurazne"/>
    <w:basedOn w:val="DefaultParagraphFont"/>
    <w:rsid w:val="00D36C9C"/>
  </w:style>
  <w:style w:type="paragraph" w:styleId="BalloonText">
    <w:name w:val="Balloon Text"/>
    <w:basedOn w:val="Normal"/>
    <w:link w:val="BalloonTextChar"/>
    <w:uiPriority w:val="99"/>
    <w:semiHidden/>
    <w:unhideWhenUsed/>
    <w:rsid w:val="00D36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9C"/>
    <w:rPr>
      <w:rFonts w:ascii="Tahoma" w:hAnsi="Tahoma" w:cs="Tahoma"/>
      <w:sz w:val="16"/>
      <w:szCs w:val="16"/>
    </w:rPr>
  </w:style>
  <w:style w:type="paragraph" w:styleId="NoSpacing">
    <w:name w:val="No Spacing"/>
    <w:uiPriority w:val="1"/>
    <w:qFormat/>
    <w:rsid w:val="00D36C9C"/>
    <w:pPr>
      <w:spacing w:after="0" w:line="240" w:lineRule="auto"/>
    </w:pPr>
  </w:style>
  <w:style w:type="character" w:styleId="CommentReference">
    <w:name w:val="annotation reference"/>
    <w:basedOn w:val="DefaultParagraphFont"/>
    <w:uiPriority w:val="99"/>
    <w:semiHidden/>
    <w:unhideWhenUsed/>
    <w:rsid w:val="00BF2FCD"/>
    <w:rPr>
      <w:sz w:val="18"/>
      <w:szCs w:val="18"/>
    </w:rPr>
  </w:style>
  <w:style w:type="paragraph" w:styleId="CommentText">
    <w:name w:val="annotation text"/>
    <w:basedOn w:val="Normal"/>
    <w:link w:val="CommentTextChar"/>
    <w:uiPriority w:val="99"/>
    <w:semiHidden/>
    <w:unhideWhenUsed/>
    <w:rsid w:val="00BF2FCD"/>
    <w:pPr>
      <w:spacing w:line="240" w:lineRule="auto"/>
    </w:pPr>
    <w:rPr>
      <w:sz w:val="24"/>
      <w:szCs w:val="24"/>
    </w:rPr>
  </w:style>
  <w:style w:type="character" w:customStyle="1" w:styleId="CommentTextChar">
    <w:name w:val="Comment Text Char"/>
    <w:basedOn w:val="DefaultParagraphFont"/>
    <w:link w:val="CommentText"/>
    <w:uiPriority w:val="99"/>
    <w:semiHidden/>
    <w:rsid w:val="00BF2FCD"/>
    <w:rPr>
      <w:sz w:val="24"/>
      <w:szCs w:val="24"/>
    </w:rPr>
  </w:style>
  <w:style w:type="paragraph" w:styleId="CommentSubject">
    <w:name w:val="annotation subject"/>
    <w:basedOn w:val="CommentText"/>
    <w:next w:val="CommentText"/>
    <w:link w:val="CommentSubjectChar"/>
    <w:uiPriority w:val="99"/>
    <w:semiHidden/>
    <w:unhideWhenUsed/>
    <w:rsid w:val="00BF2FCD"/>
    <w:rPr>
      <w:b/>
      <w:bCs/>
      <w:sz w:val="20"/>
      <w:szCs w:val="20"/>
    </w:rPr>
  </w:style>
  <w:style w:type="character" w:customStyle="1" w:styleId="CommentSubjectChar">
    <w:name w:val="Comment Subject Char"/>
    <w:basedOn w:val="CommentTextChar"/>
    <w:link w:val="CommentSubject"/>
    <w:uiPriority w:val="99"/>
    <w:semiHidden/>
    <w:rsid w:val="00BF2FC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D36C9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5">
    <w:name w:val="heading 5"/>
    <w:basedOn w:val="Normln"/>
    <w:link w:val="Nadpis5Char"/>
    <w:uiPriority w:val="9"/>
    <w:qFormat/>
    <w:rsid w:val="00D36C9C"/>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36C9C"/>
    <w:rPr>
      <w:rFonts w:ascii="Times New Roman" w:eastAsia="Times New Roman" w:hAnsi="Times New Roman" w:cs="Times New Roman"/>
      <w:b/>
      <w:bCs/>
      <w:sz w:val="36"/>
      <w:szCs w:val="36"/>
      <w:lang w:eastAsia="cs-CZ"/>
    </w:rPr>
  </w:style>
  <w:style w:type="character" w:customStyle="1" w:styleId="Nadpis5Char">
    <w:name w:val="Nadpis 5 Char"/>
    <w:basedOn w:val="Standardnpsmoodstavce"/>
    <w:link w:val="Nadpis5"/>
    <w:uiPriority w:val="9"/>
    <w:rsid w:val="00D36C9C"/>
    <w:rPr>
      <w:rFonts w:ascii="Times New Roman" w:eastAsia="Times New Roman" w:hAnsi="Times New Roman" w:cs="Times New Roman"/>
      <w:b/>
      <w:bCs/>
      <w:sz w:val="20"/>
      <w:szCs w:val="20"/>
      <w:lang w:eastAsia="cs-CZ"/>
    </w:rPr>
  </w:style>
  <w:style w:type="paragraph" w:styleId="z-Zatekformule">
    <w:name w:val="HTML Top of Form"/>
    <w:basedOn w:val="Normln"/>
    <w:next w:val="Normln"/>
    <w:link w:val="z-ZatekformuleChar"/>
    <w:hidden/>
    <w:uiPriority w:val="99"/>
    <w:semiHidden/>
    <w:unhideWhenUsed/>
    <w:rsid w:val="00D36C9C"/>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D36C9C"/>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D36C9C"/>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D36C9C"/>
    <w:rPr>
      <w:rFonts w:ascii="Arial" w:eastAsia="Times New Roman" w:hAnsi="Arial" w:cs="Arial"/>
      <w:vanish/>
      <w:sz w:val="16"/>
      <w:szCs w:val="16"/>
      <w:lang w:eastAsia="cs-CZ"/>
    </w:rPr>
  </w:style>
  <w:style w:type="character" w:styleId="Hypertextovodkaz">
    <w:name w:val="Hyperlink"/>
    <w:basedOn w:val="Standardnpsmoodstavce"/>
    <w:uiPriority w:val="99"/>
    <w:semiHidden/>
    <w:unhideWhenUsed/>
    <w:rsid w:val="00D36C9C"/>
    <w:rPr>
      <w:color w:val="0000FF"/>
      <w:u w:val="single"/>
    </w:rPr>
  </w:style>
  <w:style w:type="character" w:customStyle="1" w:styleId="permalink">
    <w:name w:val="permalink"/>
    <w:basedOn w:val="Standardnpsmoodstavce"/>
    <w:rsid w:val="00D36C9C"/>
  </w:style>
  <w:style w:type="character" w:customStyle="1" w:styleId="jdds">
    <w:name w:val="jdds"/>
    <w:basedOn w:val="Standardnpsmoodstavce"/>
    <w:rsid w:val="00D36C9C"/>
  </w:style>
  <w:style w:type="paragraph" w:customStyle="1" w:styleId="przpet">
    <w:name w:val="pr_zpet"/>
    <w:basedOn w:val="Normln"/>
    <w:rsid w:val="00D36C9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zmnaz">
    <w:name w:val="pr_zm_naz"/>
    <w:basedOn w:val="Standardnpsmoodstavce"/>
    <w:rsid w:val="00D36C9C"/>
  </w:style>
  <w:style w:type="paragraph" w:styleId="FormtovanvHTML">
    <w:name w:val="HTML Preformatted"/>
    <w:basedOn w:val="Normln"/>
    <w:link w:val="FormtovanvHTMLChar"/>
    <w:uiPriority w:val="99"/>
    <w:semiHidden/>
    <w:unhideWhenUsed/>
    <w:rsid w:val="00D3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36C9C"/>
    <w:rPr>
      <w:rFonts w:ascii="Courier New" w:eastAsia="Times New Roman" w:hAnsi="Courier New" w:cs="Courier New"/>
      <w:sz w:val="20"/>
      <w:szCs w:val="20"/>
      <w:lang w:eastAsia="cs-CZ"/>
    </w:rPr>
  </w:style>
  <w:style w:type="character" w:customStyle="1" w:styleId="prvlozret">
    <w:name w:val="pr_vloz_ret"/>
    <w:basedOn w:val="Standardnpsmoodstavce"/>
    <w:rsid w:val="00D36C9C"/>
  </w:style>
  <w:style w:type="character" w:customStyle="1" w:styleId="nedurazne">
    <w:name w:val="nedurazne"/>
    <w:basedOn w:val="Standardnpsmoodstavce"/>
    <w:rsid w:val="00D36C9C"/>
  </w:style>
  <w:style w:type="paragraph" w:styleId="Textbubliny">
    <w:name w:val="Balloon Text"/>
    <w:basedOn w:val="Normln"/>
    <w:link w:val="TextbublinyChar"/>
    <w:uiPriority w:val="99"/>
    <w:semiHidden/>
    <w:unhideWhenUsed/>
    <w:rsid w:val="00D36C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6C9C"/>
    <w:rPr>
      <w:rFonts w:ascii="Tahoma" w:hAnsi="Tahoma" w:cs="Tahoma"/>
      <w:sz w:val="16"/>
      <w:szCs w:val="16"/>
    </w:rPr>
  </w:style>
  <w:style w:type="paragraph" w:styleId="Bezmezer">
    <w:name w:val="No Spacing"/>
    <w:uiPriority w:val="1"/>
    <w:qFormat/>
    <w:rsid w:val="00D36C9C"/>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5177082">
      <w:bodyDiv w:val="1"/>
      <w:marLeft w:val="0"/>
      <w:marRight w:val="0"/>
      <w:marTop w:val="0"/>
      <w:marBottom w:val="0"/>
      <w:divBdr>
        <w:top w:val="none" w:sz="0" w:space="0" w:color="auto"/>
        <w:left w:val="none" w:sz="0" w:space="0" w:color="auto"/>
        <w:bottom w:val="none" w:sz="0" w:space="0" w:color="auto"/>
        <w:right w:val="none" w:sz="0" w:space="0" w:color="auto"/>
      </w:divBdr>
      <w:divsChild>
        <w:div w:id="373698885">
          <w:marLeft w:val="0"/>
          <w:marRight w:val="0"/>
          <w:marTop w:val="0"/>
          <w:marBottom w:val="0"/>
          <w:divBdr>
            <w:top w:val="none" w:sz="0" w:space="0" w:color="auto"/>
            <w:left w:val="none" w:sz="0" w:space="0" w:color="auto"/>
            <w:bottom w:val="none" w:sz="0" w:space="0" w:color="auto"/>
            <w:right w:val="none" w:sz="0" w:space="0" w:color="auto"/>
          </w:divBdr>
        </w:div>
        <w:div w:id="1953895595">
          <w:marLeft w:val="0"/>
          <w:marRight w:val="0"/>
          <w:marTop w:val="0"/>
          <w:marBottom w:val="0"/>
          <w:divBdr>
            <w:top w:val="none" w:sz="0" w:space="0" w:color="auto"/>
            <w:left w:val="none" w:sz="0" w:space="0" w:color="auto"/>
            <w:bottom w:val="none" w:sz="0" w:space="0" w:color="auto"/>
            <w:right w:val="none" w:sz="0" w:space="0" w:color="auto"/>
          </w:divBdr>
          <w:divsChild>
            <w:div w:id="1039209832">
              <w:marLeft w:val="0"/>
              <w:marRight w:val="0"/>
              <w:marTop w:val="0"/>
              <w:marBottom w:val="0"/>
              <w:divBdr>
                <w:top w:val="none" w:sz="0" w:space="0" w:color="auto"/>
                <w:left w:val="none" w:sz="0" w:space="0" w:color="auto"/>
                <w:bottom w:val="none" w:sz="0" w:space="0" w:color="auto"/>
                <w:right w:val="none" w:sz="0" w:space="0" w:color="auto"/>
              </w:divBdr>
              <w:divsChild>
                <w:div w:id="1917326869">
                  <w:marLeft w:val="0"/>
                  <w:marRight w:val="0"/>
                  <w:marTop w:val="0"/>
                  <w:marBottom w:val="0"/>
                  <w:divBdr>
                    <w:top w:val="none" w:sz="0" w:space="0" w:color="auto"/>
                    <w:left w:val="none" w:sz="0" w:space="0" w:color="auto"/>
                    <w:bottom w:val="none" w:sz="0" w:space="0" w:color="auto"/>
                    <w:right w:val="none" w:sz="0" w:space="0" w:color="auto"/>
                  </w:divBdr>
                </w:div>
                <w:div w:id="522015084">
                  <w:marLeft w:val="0"/>
                  <w:marRight w:val="0"/>
                  <w:marTop w:val="0"/>
                  <w:marBottom w:val="0"/>
                  <w:divBdr>
                    <w:top w:val="none" w:sz="0" w:space="0" w:color="auto"/>
                    <w:left w:val="none" w:sz="0" w:space="0" w:color="auto"/>
                    <w:bottom w:val="none" w:sz="0" w:space="0" w:color="auto"/>
                    <w:right w:val="none" w:sz="0" w:space="0" w:color="auto"/>
                  </w:divBdr>
                </w:div>
              </w:divsChild>
            </w:div>
            <w:div w:id="2044280426">
              <w:marLeft w:val="225"/>
              <w:marRight w:val="0"/>
              <w:marTop w:val="0"/>
              <w:marBottom w:val="0"/>
              <w:divBdr>
                <w:top w:val="none" w:sz="0" w:space="0" w:color="auto"/>
                <w:left w:val="none" w:sz="0" w:space="0" w:color="auto"/>
                <w:bottom w:val="none" w:sz="0" w:space="0" w:color="auto"/>
                <w:right w:val="none" w:sz="0" w:space="0" w:color="auto"/>
              </w:divBdr>
              <w:divsChild>
                <w:div w:id="1331788714">
                  <w:marLeft w:val="0"/>
                  <w:marRight w:val="0"/>
                  <w:marTop w:val="0"/>
                  <w:marBottom w:val="0"/>
                  <w:divBdr>
                    <w:top w:val="none" w:sz="0" w:space="0" w:color="auto"/>
                    <w:left w:val="none" w:sz="0" w:space="0" w:color="auto"/>
                    <w:bottom w:val="none" w:sz="0" w:space="0" w:color="auto"/>
                    <w:right w:val="none" w:sz="0" w:space="0" w:color="auto"/>
                  </w:divBdr>
                </w:div>
                <w:div w:id="13958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9227">
          <w:marLeft w:val="225"/>
          <w:marRight w:val="0"/>
          <w:marTop w:val="0"/>
          <w:marBottom w:val="0"/>
          <w:divBdr>
            <w:top w:val="none" w:sz="0" w:space="0" w:color="auto"/>
            <w:left w:val="none" w:sz="0" w:space="0" w:color="auto"/>
            <w:bottom w:val="none" w:sz="0" w:space="0" w:color="auto"/>
            <w:right w:val="none" w:sz="0" w:space="0" w:color="auto"/>
          </w:divBdr>
        </w:div>
        <w:div w:id="934900690">
          <w:marLeft w:val="225"/>
          <w:marRight w:val="0"/>
          <w:marTop w:val="0"/>
          <w:marBottom w:val="0"/>
          <w:divBdr>
            <w:top w:val="none" w:sz="0" w:space="0" w:color="auto"/>
            <w:left w:val="none" w:sz="0" w:space="0" w:color="auto"/>
            <w:bottom w:val="none" w:sz="0" w:space="0" w:color="auto"/>
            <w:right w:val="none" w:sz="0" w:space="0" w:color="auto"/>
          </w:divBdr>
          <w:divsChild>
            <w:div w:id="399526901">
              <w:marLeft w:val="0"/>
              <w:marRight w:val="0"/>
              <w:marTop w:val="0"/>
              <w:marBottom w:val="0"/>
              <w:divBdr>
                <w:top w:val="none" w:sz="0" w:space="0" w:color="auto"/>
                <w:left w:val="none" w:sz="0" w:space="0" w:color="auto"/>
                <w:bottom w:val="none" w:sz="0" w:space="0" w:color="auto"/>
                <w:right w:val="none" w:sz="0" w:space="0" w:color="auto"/>
              </w:divBdr>
            </w:div>
            <w:div w:id="235435414">
              <w:marLeft w:val="0"/>
              <w:marRight w:val="0"/>
              <w:marTop w:val="0"/>
              <w:marBottom w:val="0"/>
              <w:divBdr>
                <w:top w:val="none" w:sz="0" w:space="0" w:color="auto"/>
                <w:left w:val="none" w:sz="0" w:space="0" w:color="auto"/>
                <w:bottom w:val="none" w:sz="0" w:space="0" w:color="auto"/>
                <w:right w:val="none" w:sz="0" w:space="0" w:color="auto"/>
              </w:divBdr>
            </w:div>
          </w:divsChild>
        </w:div>
        <w:div w:id="1669207493">
          <w:marLeft w:val="225"/>
          <w:marRight w:val="0"/>
          <w:marTop w:val="0"/>
          <w:marBottom w:val="0"/>
          <w:divBdr>
            <w:top w:val="none" w:sz="0" w:space="0" w:color="auto"/>
            <w:left w:val="none" w:sz="0" w:space="0" w:color="auto"/>
            <w:bottom w:val="none" w:sz="0" w:space="0" w:color="auto"/>
            <w:right w:val="none" w:sz="0" w:space="0" w:color="auto"/>
          </w:divBdr>
        </w:div>
        <w:div w:id="1701668093">
          <w:marLeft w:val="225"/>
          <w:marRight w:val="0"/>
          <w:marTop w:val="0"/>
          <w:marBottom w:val="0"/>
          <w:divBdr>
            <w:top w:val="none" w:sz="0" w:space="0" w:color="auto"/>
            <w:left w:val="none" w:sz="0" w:space="0" w:color="auto"/>
            <w:bottom w:val="none" w:sz="0" w:space="0" w:color="auto"/>
            <w:right w:val="none" w:sz="0" w:space="0" w:color="auto"/>
          </w:divBdr>
          <w:divsChild>
            <w:div w:id="910502885">
              <w:marLeft w:val="0"/>
              <w:marRight w:val="0"/>
              <w:marTop w:val="0"/>
              <w:marBottom w:val="0"/>
              <w:divBdr>
                <w:top w:val="none" w:sz="0" w:space="0" w:color="auto"/>
                <w:left w:val="none" w:sz="0" w:space="0" w:color="auto"/>
                <w:bottom w:val="none" w:sz="0" w:space="0" w:color="auto"/>
                <w:right w:val="none" w:sz="0" w:space="0" w:color="auto"/>
              </w:divBdr>
            </w:div>
            <w:div w:id="2017222028">
              <w:marLeft w:val="0"/>
              <w:marRight w:val="0"/>
              <w:marTop w:val="0"/>
              <w:marBottom w:val="0"/>
              <w:divBdr>
                <w:top w:val="none" w:sz="0" w:space="0" w:color="auto"/>
                <w:left w:val="none" w:sz="0" w:space="0" w:color="auto"/>
                <w:bottom w:val="none" w:sz="0" w:space="0" w:color="auto"/>
                <w:right w:val="none" w:sz="0" w:space="0" w:color="auto"/>
              </w:divBdr>
            </w:div>
          </w:divsChild>
        </w:div>
        <w:div w:id="1571650253">
          <w:marLeft w:val="225"/>
          <w:marRight w:val="0"/>
          <w:marTop w:val="0"/>
          <w:marBottom w:val="0"/>
          <w:divBdr>
            <w:top w:val="none" w:sz="0" w:space="0" w:color="auto"/>
            <w:left w:val="none" w:sz="0" w:space="0" w:color="auto"/>
            <w:bottom w:val="none" w:sz="0" w:space="0" w:color="auto"/>
            <w:right w:val="none" w:sz="0" w:space="0" w:color="auto"/>
          </w:divBdr>
        </w:div>
        <w:div w:id="748692317">
          <w:marLeft w:val="225"/>
          <w:marRight w:val="0"/>
          <w:marTop w:val="0"/>
          <w:marBottom w:val="0"/>
          <w:divBdr>
            <w:top w:val="none" w:sz="0" w:space="0" w:color="auto"/>
            <w:left w:val="none" w:sz="0" w:space="0" w:color="auto"/>
            <w:bottom w:val="none" w:sz="0" w:space="0" w:color="auto"/>
            <w:right w:val="none" w:sz="0" w:space="0" w:color="auto"/>
          </w:divBdr>
          <w:divsChild>
            <w:div w:id="1080827510">
              <w:marLeft w:val="0"/>
              <w:marRight w:val="0"/>
              <w:marTop w:val="0"/>
              <w:marBottom w:val="0"/>
              <w:divBdr>
                <w:top w:val="none" w:sz="0" w:space="0" w:color="auto"/>
                <w:left w:val="none" w:sz="0" w:space="0" w:color="auto"/>
                <w:bottom w:val="none" w:sz="0" w:space="0" w:color="auto"/>
                <w:right w:val="none" w:sz="0" w:space="0" w:color="auto"/>
              </w:divBdr>
            </w:div>
            <w:div w:id="483208660">
              <w:marLeft w:val="0"/>
              <w:marRight w:val="0"/>
              <w:marTop w:val="0"/>
              <w:marBottom w:val="0"/>
              <w:divBdr>
                <w:top w:val="none" w:sz="0" w:space="0" w:color="auto"/>
                <w:left w:val="none" w:sz="0" w:space="0" w:color="auto"/>
                <w:bottom w:val="none" w:sz="0" w:space="0" w:color="auto"/>
                <w:right w:val="none" w:sz="0" w:space="0" w:color="auto"/>
              </w:divBdr>
            </w:div>
          </w:divsChild>
        </w:div>
        <w:div w:id="1081760409">
          <w:marLeft w:val="225"/>
          <w:marRight w:val="0"/>
          <w:marTop w:val="0"/>
          <w:marBottom w:val="0"/>
          <w:divBdr>
            <w:top w:val="none" w:sz="0" w:space="0" w:color="auto"/>
            <w:left w:val="none" w:sz="0" w:space="0" w:color="auto"/>
            <w:bottom w:val="none" w:sz="0" w:space="0" w:color="auto"/>
            <w:right w:val="none" w:sz="0" w:space="0" w:color="auto"/>
          </w:divBdr>
        </w:div>
        <w:div w:id="1299218245">
          <w:marLeft w:val="225"/>
          <w:marRight w:val="0"/>
          <w:marTop w:val="0"/>
          <w:marBottom w:val="0"/>
          <w:divBdr>
            <w:top w:val="none" w:sz="0" w:space="0" w:color="auto"/>
            <w:left w:val="none" w:sz="0" w:space="0" w:color="auto"/>
            <w:bottom w:val="none" w:sz="0" w:space="0" w:color="auto"/>
            <w:right w:val="none" w:sz="0" w:space="0" w:color="auto"/>
          </w:divBdr>
          <w:divsChild>
            <w:div w:id="1240755255">
              <w:marLeft w:val="0"/>
              <w:marRight w:val="0"/>
              <w:marTop w:val="0"/>
              <w:marBottom w:val="0"/>
              <w:divBdr>
                <w:top w:val="none" w:sz="0" w:space="0" w:color="auto"/>
                <w:left w:val="none" w:sz="0" w:space="0" w:color="auto"/>
                <w:bottom w:val="none" w:sz="0" w:space="0" w:color="auto"/>
                <w:right w:val="none" w:sz="0" w:space="0" w:color="auto"/>
              </w:divBdr>
            </w:div>
            <w:div w:id="324669656">
              <w:marLeft w:val="0"/>
              <w:marRight w:val="0"/>
              <w:marTop w:val="0"/>
              <w:marBottom w:val="0"/>
              <w:divBdr>
                <w:top w:val="none" w:sz="0" w:space="0" w:color="auto"/>
                <w:left w:val="none" w:sz="0" w:space="0" w:color="auto"/>
                <w:bottom w:val="none" w:sz="0" w:space="0" w:color="auto"/>
                <w:right w:val="none" w:sz="0" w:space="0" w:color="auto"/>
              </w:divBdr>
            </w:div>
          </w:divsChild>
        </w:div>
        <w:div w:id="683092407">
          <w:marLeft w:val="225"/>
          <w:marRight w:val="0"/>
          <w:marTop w:val="0"/>
          <w:marBottom w:val="0"/>
          <w:divBdr>
            <w:top w:val="none" w:sz="0" w:space="0" w:color="auto"/>
            <w:left w:val="none" w:sz="0" w:space="0" w:color="auto"/>
            <w:bottom w:val="none" w:sz="0" w:space="0" w:color="auto"/>
            <w:right w:val="none" w:sz="0" w:space="0" w:color="auto"/>
          </w:divBdr>
        </w:div>
        <w:div w:id="2018578401">
          <w:marLeft w:val="225"/>
          <w:marRight w:val="0"/>
          <w:marTop w:val="0"/>
          <w:marBottom w:val="0"/>
          <w:divBdr>
            <w:top w:val="none" w:sz="0" w:space="0" w:color="auto"/>
            <w:left w:val="none" w:sz="0" w:space="0" w:color="auto"/>
            <w:bottom w:val="none" w:sz="0" w:space="0" w:color="auto"/>
            <w:right w:val="none" w:sz="0" w:space="0" w:color="auto"/>
          </w:divBdr>
          <w:divsChild>
            <w:div w:id="1493452947">
              <w:marLeft w:val="0"/>
              <w:marRight w:val="0"/>
              <w:marTop w:val="0"/>
              <w:marBottom w:val="0"/>
              <w:divBdr>
                <w:top w:val="none" w:sz="0" w:space="0" w:color="auto"/>
                <w:left w:val="none" w:sz="0" w:space="0" w:color="auto"/>
                <w:bottom w:val="none" w:sz="0" w:space="0" w:color="auto"/>
                <w:right w:val="none" w:sz="0" w:space="0" w:color="auto"/>
              </w:divBdr>
            </w:div>
            <w:div w:id="1231618598">
              <w:marLeft w:val="0"/>
              <w:marRight w:val="0"/>
              <w:marTop w:val="0"/>
              <w:marBottom w:val="0"/>
              <w:divBdr>
                <w:top w:val="none" w:sz="0" w:space="0" w:color="auto"/>
                <w:left w:val="none" w:sz="0" w:space="0" w:color="auto"/>
                <w:bottom w:val="none" w:sz="0" w:space="0" w:color="auto"/>
                <w:right w:val="none" w:sz="0" w:space="0" w:color="auto"/>
              </w:divBdr>
            </w:div>
          </w:divsChild>
        </w:div>
        <w:div w:id="1048458219">
          <w:marLeft w:val="225"/>
          <w:marRight w:val="0"/>
          <w:marTop w:val="0"/>
          <w:marBottom w:val="0"/>
          <w:divBdr>
            <w:top w:val="none" w:sz="0" w:space="0" w:color="auto"/>
            <w:left w:val="none" w:sz="0" w:space="0" w:color="auto"/>
            <w:bottom w:val="none" w:sz="0" w:space="0" w:color="auto"/>
            <w:right w:val="none" w:sz="0" w:space="0" w:color="auto"/>
          </w:divBdr>
        </w:div>
        <w:div w:id="1860044156">
          <w:marLeft w:val="225"/>
          <w:marRight w:val="0"/>
          <w:marTop w:val="0"/>
          <w:marBottom w:val="0"/>
          <w:divBdr>
            <w:top w:val="none" w:sz="0" w:space="0" w:color="auto"/>
            <w:left w:val="none" w:sz="0" w:space="0" w:color="auto"/>
            <w:bottom w:val="none" w:sz="0" w:space="0" w:color="auto"/>
            <w:right w:val="none" w:sz="0" w:space="0" w:color="auto"/>
          </w:divBdr>
          <w:divsChild>
            <w:div w:id="1219240885">
              <w:marLeft w:val="0"/>
              <w:marRight w:val="0"/>
              <w:marTop w:val="0"/>
              <w:marBottom w:val="0"/>
              <w:divBdr>
                <w:top w:val="none" w:sz="0" w:space="0" w:color="auto"/>
                <w:left w:val="none" w:sz="0" w:space="0" w:color="auto"/>
                <w:bottom w:val="none" w:sz="0" w:space="0" w:color="auto"/>
                <w:right w:val="none" w:sz="0" w:space="0" w:color="auto"/>
              </w:divBdr>
            </w:div>
            <w:div w:id="2072266503">
              <w:marLeft w:val="0"/>
              <w:marRight w:val="0"/>
              <w:marTop w:val="0"/>
              <w:marBottom w:val="0"/>
              <w:divBdr>
                <w:top w:val="none" w:sz="0" w:space="0" w:color="auto"/>
                <w:left w:val="none" w:sz="0" w:space="0" w:color="auto"/>
                <w:bottom w:val="none" w:sz="0" w:space="0" w:color="auto"/>
                <w:right w:val="none" w:sz="0" w:space="0" w:color="auto"/>
              </w:divBdr>
            </w:div>
          </w:divsChild>
        </w:div>
        <w:div w:id="1562591168">
          <w:marLeft w:val="225"/>
          <w:marRight w:val="0"/>
          <w:marTop w:val="0"/>
          <w:marBottom w:val="0"/>
          <w:divBdr>
            <w:top w:val="none" w:sz="0" w:space="0" w:color="auto"/>
            <w:left w:val="none" w:sz="0" w:space="0" w:color="auto"/>
            <w:bottom w:val="none" w:sz="0" w:space="0" w:color="auto"/>
            <w:right w:val="none" w:sz="0" w:space="0" w:color="auto"/>
          </w:divBdr>
        </w:div>
        <w:div w:id="1446122829">
          <w:marLeft w:val="225"/>
          <w:marRight w:val="0"/>
          <w:marTop w:val="0"/>
          <w:marBottom w:val="0"/>
          <w:divBdr>
            <w:top w:val="none" w:sz="0" w:space="0" w:color="auto"/>
            <w:left w:val="none" w:sz="0" w:space="0" w:color="auto"/>
            <w:bottom w:val="none" w:sz="0" w:space="0" w:color="auto"/>
            <w:right w:val="none" w:sz="0" w:space="0" w:color="auto"/>
          </w:divBdr>
          <w:divsChild>
            <w:div w:id="1344478090">
              <w:marLeft w:val="0"/>
              <w:marRight w:val="0"/>
              <w:marTop w:val="0"/>
              <w:marBottom w:val="0"/>
              <w:divBdr>
                <w:top w:val="none" w:sz="0" w:space="0" w:color="auto"/>
                <w:left w:val="none" w:sz="0" w:space="0" w:color="auto"/>
                <w:bottom w:val="none" w:sz="0" w:space="0" w:color="auto"/>
                <w:right w:val="none" w:sz="0" w:space="0" w:color="auto"/>
              </w:divBdr>
            </w:div>
            <w:div w:id="360864950">
              <w:marLeft w:val="0"/>
              <w:marRight w:val="0"/>
              <w:marTop w:val="0"/>
              <w:marBottom w:val="0"/>
              <w:divBdr>
                <w:top w:val="none" w:sz="0" w:space="0" w:color="auto"/>
                <w:left w:val="none" w:sz="0" w:space="0" w:color="auto"/>
                <w:bottom w:val="none" w:sz="0" w:space="0" w:color="auto"/>
                <w:right w:val="none" w:sz="0" w:space="0" w:color="auto"/>
              </w:divBdr>
            </w:div>
          </w:divsChild>
        </w:div>
        <w:div w:id="1042443796">
          <w:marLeft w:val="225"/>
          <w:marRight w:val="0"/>
          <w:marTop w:val="0"/>
          <w:marBottom w:val="0"/>
          <w:divBdr>
            <w:top w:val="none" w:sz="0" w:space="0" w:color="auto"/>
            <w:left w:val="none" w:sz="0" w:space="0" w:color="auto"/>
            <w:bottom w:val="none" w:sz="0" w:space="0" w:color="auto"/>
            <w:right w:val="none" w:sz="0" w:space="0" w:color="auto"/>
          </w:divBdr>
        </w:div>
        <w:div w:id="790199596">
          <w:marLeft w:val="225"/>
          <w:marRight w:val="0"/>
          <w:marTop w:val="0"/>
          <w:marBottom w:val="0"/>
          <w:divBdr>
            <w:top w:val="none" w:sz="0" w:space="0" w:color="auto"/>
            <w:left w:val="none" w:sz="0" w:space="0" w:color="auto"/>
            <w:bottom w:val="none" w:sz="0" w:space="0" w:color="auto"/>
            <w:right w:val="none" w:sz="0" w:space="0" w:color="auto"/>
          </w:divBdr>
          <w:divsChild>
            <w:div w:id="436868714">
              <w:marLeft w:val="0"/>
              <w:marRight w:val="0"/>
              <w:marTop w:val="0"/>
              <w:marBottom w:val="0"/>
              <w:divBdr>
                <w:top w:val="none" w:sz="0" w:space="0" w:color="auto"/>
                <w:left w:val="none" w:sz="0" w:space="0" w:color="auto"/>
                <w:bottom w:val="none" w:sz="0" w:space="0" w:color="auto"/>
                <w:right w:val="none" w:sz="0" w:space="0" w:color="auto"/>
              </w:divBdr>
            </w:div>
            <w:div w:id="1701659734">
              <w:marLeft w:val="0"/>
              <w:marRight w:val="0"/>
              <w:marTop w:val="0"/>
              <w:marBottom w:val="0"/>
              <w:divBdr>
                <w:top w:val="none" w:sz="0" w:space="0" w:color="auto"/>
                <w:left w:val="none" w:sz="0" w:space="0" w:color="auto"/>
                <w:bottom w:val="none" w:sz="0" w:space="0" w:color="auto"/>
                <w:right w:val="none" w:sz="0" w:space="0" w:color="auto"/>
              </w:divBdr>
            </w:div>
          </w:divsChild>
        </w:div>
        <w:div w:id="1036857982">
          <w:marLeft w:val="225"/>
          <w:marRight w:val="0"/>
          <w:marTop w:val="0"/>
          <w:marBottom w:val="0"/>
          <w:divBdr>
            <w:top w:val="none" w:sz="0" w:space="0" w:color="auto"/>
            <w:left w:val="none" w:sz="0" w:space="0" w:color="auto"/>
            <w:bottom w:val="none" w:sz="0" w:space="0" w:color="auto"/>
            <w:right w:val="none" w:sz="0" w:space="0" w:color="auto"/>
          </w:divBdr>
        </w:div>
        <w:div w:id="1166164353">
          <w:marLeft w:val="450"/>
          <w:marRight w:val="0"/>
          <w:marTop w:val="0"/>
          <w:marBottom w:val="0"/>
          <w:divBdr>
            <w:top w:val="none" w:sz="0" w:space="0" w:color="auto"/>
            <w:left w:val="none" w:sz="0" w:space="0" w:color="auto"/>
            <w:bottom w:val="none" w:sz="0" w:space="0" w:color="auto"/>
            <w:right w:val="none" w:sz="0" w:space="0" w:color="auto"/>
          </w:divBdr>
          <w:divsChild>
            <w:div w:id="365763568">
              <w:marLeft w:val="0"/>
              <w:marRight w:val="0"/>
              <w:marTop w:val="0"/>
              <w:marBottom w:val="0"/>
              <w:divBdr>
                <w:top w:val="none" w:sz="0" w:space="0" w:color="auto"/>
                <w:left w:val="none" w:sz="0" w:space="0" w:color="auto"/>
                <w:bottom w:val="none" w:sz="0" w:space="0" w:color="auto"/>
                <w:right w:val="none" w:sz="0" w:space="0" w:color="auto"/>
              </w:divBdr>
            </w:div>
            <w:div w:id="1214465688">
              <w:marLeft w:val="0"/>
              <w:marRight w:val="0"/>
              <w:marTop w:val="0"/>
              <w:marBottom w:val="0"/>
              <w:divBdr>
                <w:top w:val="none" w:sz="0" w:space="0" w:color="auto"/>
                <w:left w:val="none" w:sz="0" w:space="0" w:color="auto"/>
                <w:bottom w:val="none" w:sz="0" w:space="0" w:color="auto"/>
                <w:right w:val="none" w:sz="0" w:space="0" w:color="auto"/>
              </w:divBdr>
            </w:div>
          </w:divsChild>
        </w:div>
        <w:div w:id="7559763">
          <w:marLeft w:val="450"/>
          <w:marRight w:val="0"/>
          <w:marTop w:val="0"/>
          <w:marBottom w:val="0"/>
          <w:divBdr>
            <w:top w:val="none" w:sz="0" w:space="0" w:color="auto"/>
            <w:left w:val="none" w:sz="0" w:space="0" w:color="auto"/>
            <w:bottom w:val="none" w:sz="0" w:space="0" w:color="auto"/>
            <w:right w:val="none" w:sz="0" w:space="0" w:color="auto"/>
          </w:divBdr>
        </w:div>
        <w:div w:id="343283563">
          <w:marLeft w:val="675"/>
          <w:marRight w:val="0"/>
          <w:marTop w:val="0"/>
          <w:marBottom w:val="0"/>
          <w:divBdr>
            <w:top w:val="none" w:sz="0" w:space="0" w:color="auto"/>
            <w:left w:val="none" w:sz="0" w:space="0" w:color="auto"/>
            <w:bottom w:val="none" w:sz="0" w:space="0" w:color="auto"/>
            <w:right w:val="none" w:sz="0" w:space="0" w:color="auto"/>
          </w:divBdr>
          <w:divsChild>
            <w:div w:id="1014960359">
              <w:marLeft w:val="0"/>
              <w:marRight w:val="0"/>
              <w:marTop w:val="0"/>
              <w:marBottom w:val="0"/>
              <w:divBdr>
                <w:top w:val="none" w:sz="0" w:space="0" w:color="auto"/>
                <w:left w:val="none" w:sz="0" w:space="0" w:color="auto"/>
                <w:bottom w:val="none" w:sz="0" w:space="0" w:color="auto"/>
                <w:right w:val="none" w:sz="0" w:space="0" w:color="auto"/>
              </w:divBdr>
            </w:div>
            <w:div w:id="17643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2698</Words>
  <Characters>15381</Characters>
  <Application>Microsoft Word 12.0.0</Application>
  <DocSecurity>0</DocSecurity>
  <Lines>128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cjv</dc:creator>
  <cp:lastModifiedBy>John Morgan</cp:lastModifiedBy>
  <cp:revision>5</cp:revision>
  <dcterms:created xsi:type="dcterms:W3CDTF">2015-03-20T21:51:00Z</dcterms:created>
  <dcterms:modified xsi:type="dcterms:W3CDTF">2015-03-22T19:52:00Z</dcterms:modified>
</cp:coreProperties>
</file>