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47" w:rsidRDefault="00755BEF" w:rsidP="00B5744B">
      <w:pPr>
        <w:spacing w:after="0" w:line="480" w:lineRule="auto"/>
        <w:jc w:val="both"/>
        <w:rPr>
          <w:rFonts w:ascii="Times New Roman" w:hAnsi="Times New Roman" w:cs="Times New Roman"/>
          <w:sz w:val="24"/>
          <w:szCs w:val="24"/>
          <w:lang w:val="en-GB"/>
        </w:rPr>
      </w:pPr>
      <w:r w:rsidRPr="00B5744B">
        <w:rPr>
          <w:rFonts w:ascii="Times New Roman" w:hAnsi="Times New Roman" w:cs="Times New Roman"/>
          <w:b/>
          <w:sz w:val="24"/>
          <w:szCs w:val="24"/>
          <w:lang w:val="en-GB"/>
        </w:rPr>
        <w:t>1.</w:t>
      </w:r>
      <w:r>
        <w:rPr>
          <w:rFonts w:ascii="Times New Roman" w:hAnsi="Times New Roman" w:cs="Times New Roman"/>
          <w:sz w:val="24"/>
          <w:szCs w:val="24"/>
          <w:lang w:val="en-GB"/>
        </w:rPr>
        <w:t xml:space="preserve"> </w:t>
      </w:r>
      <w:r w:rsidR="00743347" w:rsidRPr="00755BEF">
        <w:rPr>
          <w:rFonts w:ascii="Times New Roman" w:hAnsi="Times New Roman" w:cs="Times New Roman"/>
          <w:sz w:val="24"/>
          <w:szCs w:val="24"/>
          <w:lang w:val="en-GB"/>
        </w:rPr>
        <w:t xml:space="preserve">From previous paragraphs are evident raw links between sustainability and transportation. A division of the concept to three basic fields like the environment, economy and society follows the same structure widely used in a discussion about a sustainable development. </w:t>
      </w:r>
      <w:proofErr w:type="spellStart"/>
      <w:r w:rsidR="00743347" w:rsidRPr="00755BEF">
        <w:rPr>
          <w:rFonts w:ascii="Times New Roman" w:hAnsi="Times New Roman" w:cs="Times New Roman"/>
          <w:sz w:val="24"/>
          <w:szCs w:val="24"/>
          <w:lang w:val="en-GB"/>
        </w:rPr>
        <w:t>Rodrigue</w:t>
      </w:r>
      <w:proofErr w:type="spellEnd"/>
      <w:r w:rsidR="00743347" w:rsidRPr="00755BEF">
        <w:rPr>
          <w:rFonts w:ascii="Times New Roman" w:hAnsi="Times New Roman" w:cs="Times New Roman"/>
          <w:sz w:val="24"/>
          <w:szCs w:val="24"/>
          <w:lang w:val="en-GB"/>
        </w:rPr>
        <w:t xml:space="preserve"> (2006) use another possible division: top-down and bottom-up approach to the sustainability. According to </w:t>
      </w:r>
      <w:proofErr w:type="spellStart"/>
      <w:r w:rsidR="00743347" w:rsidRPr="00755BEF">
        <w:rPr>
          <w:rFonts w:ascii="Times New Roman" w:hAnsi="Times New Roman" w:cs="Times New Roman"/>
          <w:sz w:val="24"/>
          <w:szCs w:val="24"/>
          <w:lang w:val="en-GB"/>
        </w:rPr>
        <w:t>Rodrigue</w:t>
      </w:r>
      <w:proofErr w:type="spellEnd"/>
      <w:r w:rsidR="00743347" w:rsidRPr="00755BEF">
        <w:rPr>
          <w:rFonts w:ascii="Times New Roman" w:hAnsi="Times New Roman" w:cs="Times New Roman"/>
          <w:sz w:val="24"/>
          <w:szCs w:val="24"/>
          <w:lang w:val="en-GB"/>
        </w:rPr>
        <w:t>, top-down approach requires the promotion of policies and planning tools used by an international community and national governments to implement regulations and options for the sustainable development. Bottom-up approach focuses on the role of transport firms to reduce environmental impacts of their activities based on their analysis of operating conditions. From that distinction is apparent that transport planning as a tool of local governments is strongly related with the first approach – a top-down approach.</w:t>
      </w:r>
    </w:p>
    <w:p w:rsidR="00755BEF" w:rsidRPr="00755BEF" w:rsidRDefault="00755BEF" w:rsidP="00B5744B">
      <w:pPr>
        <w:spacing w:after="0" w:line="480" w:lineRule="auto"/>
        <w:jc w:val="both"/>
        <w:rPr>
          <w:rFonts w:ascii="Times New Roman" w:hAnsi="Times New Roman" w:cs="Times New Roman"/>
          <w:sz w:val="24"/>
          <w:szCs w:val="24"/>
          <w:lang w:val="en-GB"/>
        </w:rPr>
      </w:pPr>
    </w:p>
    <w:p w:rsidR="00743347" w:rsidRPr="00755BEF" w:rsidRDefault="00743347"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t>2.</w:t>
      </w:r>
      <w:r w:rsidR="00755BEF">
        <w:rPr>
          <w:rFonts w:ascii="Times New Roman" w:hAnsi="Times New Roman" w:cs="Times New Roman"/>
          <w:sz w:val="24"/>
          <w:szCs w:val="24"/>
          <w:lang w:val="en-GB"/>
        </w:rPr>
        <w:t xml:space="preserve"> </w:t>
      </w:r>
      <w:r w:rsidR="00631862" w:rsidRPr="00755BEF">
        <w:rPr>
          <w:rFonts w:ascii="Times New Roman" w:hAnsi="Times New Roman" w:cs="Times New Roman"/>
          <w:sz w:val="24"/>
          <w:szCs w:val="24"/>
          <w:lang w:val="en-GB"/>
        </w:rPr>
        <w:t xml:space="preserve">Because of the rising spectrum of fungal pathogens, </w:t>
      </w:r>
      <w:proofErr w:type="spellStart"/>
      <w:r w:rsidR="00631862" w:rsidRPr="00755BEF">
        <w:rPr>
          <w:rFonts w:ascii="Times New Roman" w:hAnsi="Times New Roman" w:cs="Times New Roman"/>
          <w:sz w:val="24"/>
          <w:szCs w:val="24"/>
          <w:lang w:val="en-GB"/>
        </w:rPr>
        <w:t>panfungal</w:t>
      </w:r>
      <w:proofErr w:type="spellEnd"/>
      <w:r w:rsidR="00631862" w:rsidRPr="00755BEF">
        <w:rPr>
          <w:rFonts w:ascii="Times New Roman" w:hAnsi="Times New Roman" w:cs="Times New Roman"/>
          <w:sz w:val="24"/>
          <w:szCs w:val="24"/>
          <w:lang w:val="en-GB"/>
        </w:rPr>
        <w:t xml:space="preserve"> PCR could be a favourable method. So far, it is mostly utilized when primarily sterile material is examined [8-10]. However, as pulmonary disease is the most prominent manifestation of IFD, one of the most frequently tested materials is fluid from BAL. So far, to diagnose invasive aspergillosis (IA) and invasive </w:t>
      </w:r>
      <w:proofErr w:type="spellStart"/>
      <w:r w:rsidR="00631862" w:rsidRPr="00755BEF">
        <w:rPr>
          <w:rFonts w:ascii="Times New Roman" w:hAnsi="Times New Roman" w:cs="Times New Roman"/>
          <w:sz w:val="24"/>
          <w:szCs w:val="24"/>
          <w:lang w:val="en-GB"/>
        </w:rPr>
        <w:t>mucormycosis</w:t>
      </w:r>
      <w:proofErr w:type="spellEnd"/>
      <w:r w:rsidR="00631862" w:rsidRPr="00755BEF">
        <w:rPr>
          <w:rFonts w:ascii="Times New Roman" w:hAnsi="Times New Roman" w:cs="Times New Roman"/>
          <w:sz w:val="24"/>
          <w:szCs w:val="24"/>
          <w:lang w:val="en-GB"/>
        </w:rPr>
        <w:t xml:space="preserve"> (IM) from BAL mostly genus/species specific PCR is used [11-13]. However, support of the use of </w:t>
      </w:r>
      <w:proofErr w:type="spellStart"/>
      <w:r w:rsidR="00631862" w:rsidRPr="00755BEF">
        <w:rPr>
          <w:rFonts w:ascii="Times New Roman" w:hAnsi="Times New Roman" w:cs="Times New Roman"/>
          <w:sz w:val="24"/>
          <w:szCs w:val="24"/>
          <w:lang w:val="en-GB"/>
        </w:rPr>
        <w:t>panfungal</w:t>
      </w:r>
      <w:proofErr w:type="spellEnd"/>
      <w:r w:rsidR="00631862" w:rsidRPr="00755BEF">
        <w:rPr>
          <w:rFonts w:ascii="Times New Roman" w:hAnsi="Times New Roman" w:cs="Times New Roman"/>
          <w:sz w:val="24"/>
          <w:szCs w:val="24"/>
          <w:lang w:val="en-GB"/>
        </w:rPr>
        <w:t xml:space="preserve"> PCR as a diagnostic tool of IFD from BAL samples is missing in the literature. BAL is a primarily non-sterile material and thus interpreting a positive </w:t>
      </w:r>
      <w:proofErr w:type="spellStart"/>
      <w:r w:rsidR="00631862" w:rsidRPr="00755BEF">
        <w:rPr>
          <w:rFonts w:ascii="Times New Roman" w:hAnsi="Times New Roman" w:cs="Times New Roman"/>
          <w:sz w:val="24"/>
          <w:szCs w:val="24"/>
          <w:lang w:val="en-GB"/>
        </w:rPr>
        <w:t>panfungal</w:t>
      </w:r>
      <w:proofErr w:type="spellEnd"/>
      <w:r w:rsidR="00631862" w:rsidRPr="00755BEF">
        <w:rPr>
          <w:rFonts w:ascii="Times New Roman" w:hAnsi="Times New Roman" w:cs="Times New Roman"/>
          <w:sz w:val="24"/>
          <w:szCs w:val="24"/>
          <w:lang w:val="en-GB"/>
        </w:rPr>
        <w:t xml:space="preserve"> PCR result can be difficult. It is important to distinguish ongoing infection from the colonization of airways with non-pathogenic species and/or, possible contamination with environmental fungi. Sequencing the obtained PCR product is therefore necessary, but it is costly and time consuming and mixed sequences are frequently detected in primarily non-sterile material.</w:t>
      </w:r>
    </w:p>
    <w:p w:rsidR="00631862" w:rsidRDefault="00631862"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123E66" w:rsidRPr="00755BEF" w:rsidRDefault="00123E66" w:rsidP="00B5744B">
      <w:pPr>
        <w:spacing w:after="0" w:line="480" w:lineRule="auto"/>
        <w:rPr>
          <w:rFonts w:ascii="Times New Roman" w:hAnsi="Times New Roman" w:cs="Times New Roman"/>
          <w:sz w:val="24"/>
          <w:szCs w:val="24"/>
          <w:lang w:val="en-GB"/>
        </w:rPr>
      </w:pPr>
    </w:p>
    <w:p w:rsidR="00631862" w:rsidRPr="00755BEF" w:rsidRDefault="00631862" w:rsidP="00B5744B">
      <w:pPr>
        <w:spacing w:after="0" w:line="480" w:lineRule="auto"/>
        <w:rPr>
          <w:rFonts w:ascii="Times New Roman" w:eastAsia="Calibri" w:hAnsi="Times New Roman" w:cs="Times New Roman"/>
          <w:sz w:val="24"/>
          <w:szCs w:val="24"/>
          <w:lang w:val="en-GB"/>
        </w:rPr>
      </w:pPr>
      <w:r w:rsidRPr="00B5744B">
        <w:rPr>
          <w:rFonts w:ascii="Times New Roman" w:hAnsi="Times New Roman" w:cs="Times New Roman"/>
          <w:b/>
          <w:sz w:val="24"/>
          <w:szCs w:val="24"/>
          <w:lang w:val="en-GB"/>
        </w:rPr>
        <w:lastRenderedPageBreak/>
        <w:t>3.</w:t>
      </w:r>
      <w:r w:rsidR="00755BEF">
        <w:rPr>
          <w:rFonts w:ascii="Times New Roman" w:hAnsi="Times New Roman" w:cs="Times New Roman"/>
          <w:sz w:val="24"/>
          <w:szCs w:val="24"/>
          <w:lang w:val="en-GB"/>
        </w:rPr>
        <w:t xml:space="preserve"> </w:t>
      </w:r>
      <w:r w:rsidRPr="00755BEF">
        <w:rPr>
          <w:rFonts w:ascii="Times New Roman" w:eastAsia="Calibri" w:hAnsi="Times New Roman" w:cs="Times New Roman"/>
          <w:sz w:val="24"/>
          <w:szCs w:val="24"/>
          <w:lang w:val="en-GB"/>
        </w:rPr>
        <w:t>Tacit knowledge is connected with Polanyi's claim "We know more than we can tell" (Polanyi, 1983, p. 4), by which he expresses the nature of tacit knowledge. As a typical example of tacit knowledge is riding a bicycle, because we are able to ride the bicycle, but we cannot tell how. Tacit knowledge is individual and it is formed by mutual interaction with surrounding and by searching for balance between subjects and surrounding. Tacit knowledge is conceptualized in relation to explicit knowledge. (</w:t>
      </w:r>
      <w:proofErr w:type="spellStart"/>
      <w:r w:rsidRPr="00755BEF">
        <w:rPr>
          <w:rFonts w:ascii="Times New Roman" w:eastAsia="Calibri" w:hAnsi="Times New Roman" w:cs="Times New Roman"/>
          <w:sz w:val="24"/>
          <w:szCs w:val="24"/>
          <w:lang w:val="en-GB"/>
        </w:rPr>
        <w:t>Ambrosiny</w:t>
      </w:r>
      <w:proofErr w:type="spellEnd"/>
      <w:r w:rsidRPr="00755BEF">
        <w:rPr>
          <w:rFonts w:ascii="Times New Roman" w:eastAsia="Calibri" w:hAnsi="Times New Roman" w:cs="Times New Roman"/>
          <w:sz w:val="24"/>
          <w:szCs w:val="24"/>
          <w:lang w:val="en-GB"/>
        </w:rPr>
        <w:t xml:space="preserve"> &amp; Bowman, 2001; Taylor, 2007). Basically, the less realised knowledge, the closer to tacit part.</w:t>
      </w:r>
    </w:p>
    <w:p w:rsidR="00B5744B" w:rsidRPr="00755BEF" w:rsidRDefault="00B5744B" w:rsidP="00B5744B">
      <w:pPr>
        <w:spacing w:after="0" w:line="480" w:lineRule="auto"/>
        <w:rPr>
          <w:rFonts w:ascii="Times New Roman" w:hAnsi="Times New Roman" w:cs="Times New Roman"/>
          <w:sz w:val="24"/>
          <w:szCs w:val="24"/>
          <w:lang w:val="en-GB"/>
        </w:rPr>
      </w:pPr>
    </w:p>
    <w:p w:rsidR="00E000DF" w:rsidRPr="00755BEF" w:rsidRDefault="00E000DF"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t>4.</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 xml:space="preserve">Recent reports suggest that initial treatment with anticoagulation and heparin for one to several weeks is appropriate. A review of 145 cases found that medical treatment has less risks and less benefits as compared to surgery, and lead to thrombus dissolution in 86% of patients (11). In a </w:t>
      </w:r>
      <w:proofErr w:type="spellStart"/>
      <w:r w:rsidRPr="00755BEF">
        <w:rPr>
          <w:rFonts w:ascii="Times New Roman" w:hAnsi="Times New Roman" w:cs="Times New Roman"/>
          <w:sz w:val="24"/>
          <w:szCs w:val="24"/>
          <w:lang w:val="en-GB"/>
        </w:rPr>
        <w:t>serie</w:t>
      </w:r>
      <w:proofErr w:type="spellEnd"/>
      <w:r w:rsidRPr="00755BEF">
        <w:rPr>
          <w:rFonts w:ascii="Times New Roman" w:hAnsi="Times New Roman" w:cs="Times New Roman"/>
          <w:sz w:val="24"/>
          <w:szCs w:val="24"/>
          <w:lang w:val="en-GB"/>
        </w:rPr>
        <w:t xml:space="preserve"> of 24 patients managed with initial anticoagulation, no patient suffered a stroke during medical therapy, 14/24 patients were managed with medical therapy alone, and 10/24 patients were </w:t>
      </w:r>
      <w:proofErr w:type="spellStart"/>
      <w:r w:rsidRPr="00755BEF">
        <w:rPr>
          <w:rFonts w:ascii="Times New Roman" w:hAnsi="Times New Roman" w:cs="Times New Roman"/>
          <w:sz w:val="24"/>
          <w:szCs w:val="24"/>
          <w:lang w:val="en-GB"/>
        </w:rPr>
        <w:t>succesfully</w:t>
      </w:r>
      <w:proofErr w:type="spellEnd"/>
      <w:r w:rsidRPr="00755BEF">
        <w:rPr>
          <w:rFonts w:ascii="Times New Roman" w:hAnsi="Times New Roman" w:cs="Times New Roman"/>
          <w:sz w:val="24"/>
          <w:szCs w:val="24"/>
          <w:lang w:val="en-GB"/>
        </w:rPr>
        <w:t xml:space="preserve"> treated with delayed surgery (13).</w:t>
      </w:r>
    </w:p>
    <w:p w:rsidR="00E000DF" w:rsidRPr="00755BEF" w:rsidRDefault="00E000DF" w:rsidP="00B5744B">
      <w:pPr>
        <w:spacing w:after="0" w:line="480" w:lineRule="auto"/>
        <w:rPr>
          <w:rFonts w:ascii="Times New Roman" w:hAnsi="Times New Roman" w:cs="Times New Roman"/>
          <w:sz w:val="24"/>
          <w:szCs w:val="24"/>
          <w:lang w:val="en-GB"/>
        </w:rPr>
      </w:pPr>
    </w:p>
    <w:p w:rsidR="00E000DF" w:rsidRPr="00755BEF" w:rsidRDefault="00E000DF" w:rsidP="00B5744B">
      <w:pPr>
        <w:spacing w:after="0" w:line="480" w:lineRule="auto"/>
        <w:rPr>
          <w:rFonts w:ascii="Times New Roman" w:hAnsi="Times New Roman" w:cs="Times New Roman"/>
          <w:bCs/>
          <w:sz w:val="24"/>
          <w:szCs w:val="24"/>
          <w:lang w:val="en-GB"/>
        </w:rPr>
      </w:pPr>
      <w:r w:rsidRPr="00B5744B">
        <w:rPr>
          <w:rFonts w:ascii="Times New Roman" w:hAnsi="Times New Roman" w:cs="Times New Roman"/>
          <w:b/>
          <w:sz w:val="24"/>
          <w:szCs w:val="24"/>
          <w:lang w:val="en-GB"/>
        </w:rPr>
        <w:t>5.</w:t>
      </w:r>
      <w:r w:rsidR="00755BEF" w:rsidRPr="00755BEF">
        <w:rPr>
          <w:rFonts w:ascii="Times New Roman" w:hAnsi="Times New Roman" w:cs="Times New Roman"/>
          <w:sz w:val="24"/>
          <w:szCs w:val="24"/>
          <w:lang w:val="en-GB"/>
        </w:rPr>
        <w:t xml:space="preserve"> </w:t>
      </w:r>
      <w:r w:rsidRPr="00755BEF">
        <w:rPr>
          <w:rFonts w:ascii="Times New Roman" w:hAnsi="Times New Roman" w:cs="Times New Roman"/>
          <w:bCs/>
          <w:sz w:val="24"/>
          <w:szCs w:val="24"/>
          <w:lang w:val="en-GB"/>
        </w:rPr>
        <w:t>The motivation behind the selection of the topic follows from plural factors. Although the topic of football hooliganism is generally over-researched, for the policy against football-related violence and more for comparison of the policies in several countries it is not the case. Besides, the EU is now quite successful in cooperation in the „area of freedom, security and justice“, which makes it useful to find out how much the policies against football-related violence of both units are actually intertwined, and even more with France as one of the leading countries in the EU.</w:t>
      </w:r>
    </w:p>
    <w:p w:rsidR="00E000DF" w:rsidRDefault="00E000DF"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E000DF" w:rsidRPr="00755BEF" w:rsidRDefault="00E000DF"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lastRenderedPageBreak/>
        <w:t>6.</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Writing is everyday routine for most of us. But in ordinary life the handwriting is not using so often than keyboard typing. This trend is quickly developing and keyboard typing maybe will substitute classical writing with pen and paper.</w:t>
      </w:r>
    </w:p>
    <w:p w:rsidR="00E000DF" w:rsidRPr="00755BEF" w:rsidRDefault="00E000DF" w:rsidP="00B5744B">
      <w:pPr>
        <w:spacing w:after="0" w:line="480" w:lineRule="auto"/>
        <w:ind w:firstLine="708"/>
        <w:rPr>
          <w:rFonts w:ascii="Times New Roman" w:hAnsi="Times New Roman" w:cs="Times New Roman"/>
          <w:sz w:val="24"/>
          <w:szCs w:val="24"/>
          <w:lang w:val="en-GB"/>
        </w:rPr>
      </w:pPr>
      <w:r w:rsidRPr="00755BEF">
        <w:rPr>
          <w:rFonts w:ascii="Times New Roman" w:hAnsi="Times New Roman" w:cs="Times New Roman"/>
          <w:sz w:val="24"/>
          <w:szCs w:val="24"/>
          <w:lang w:val="en-GB"/>
        </w:rPr>
        <w:t xml:space="preserve">In this paper is described first resolution of our pilot fMRI study of handwriting and keyboard typing. The aim of this study is mapping areas in brain, activated during writing – handwriting with pen and paper and keyboard typing, our attention is oriented to peripheral processes of writing. In a sample of fourteen participants we tried to find differences in these processes.  </w:t>
      </w:r>
    </w:p>
    <w:p w:rsidR="00755BEF" w:rsidRDefault="00755BEF" w:rsidP="00B5744B">
      <w:pPr>
        <w:spacing w:after="0" w:line="480" w:lineRule="auto"/>
        <w:rPr>
          <w:rFonts w:ascii="Times New Roman" w:hAnsi="Times New Roman" w:cs="Times New Roman"/>
          <w:sz w:val="24"/>
          <w:szCs w:val="24"/>
          <w:lang w:val="en-GB"/>
        </w:rPr>
      </w:pPr>
    </w:p>
    <w:p w:rsidR="00E000DF" w:rsidRPr="00755BEF" w:rsidRDefault="00E000DF"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t>7.</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The software will face other future challenges as well. The timing the animations of the NEWRON character has been discussed with psychologists. Nevertheless, it may show during the testing of the application that the animations are generally slower than needed for the children with ASD. The NEWRON character may get more active when such assumption proves to be true. Another very promising area to be tested out is the facial animation of the guide. A number of distinct appearances of the main character have been created and those will be incorporated in the software as well. The reason to do so is the research on the reactions of the children on different visual representations of the same character.</w:t>
      </w:r>
    </w:p>
    <w:p w:rsidR="00E000DF" w:rsidRPr="00755BEF" w:rsidRDefault="00E000DF" w:rsidP="00B5744B">
      <w:pPr>
        <w:spacing w:after="0" w:line="480" w:lineRule="auto"/>
        <w:rPr>
          <w:rFonts w:ascii="Times New Roman" w:hAnsi="Times New Roman" w:cs="Times New Roman"/>
          <w:sz w:val="24"/>
          <w:szCs w:val="24"/>
          <w:lang w:val="en-GB"/>
        </w:rPr>
      </w:pPr>
    </w:p>
    <w:p w:rsidR="00E000DF" w:rsidRPr="00755BEF" w:rsidRDefault="00E000DF" w:rsidP="00B5744B">
      <w:pPr>
        <w:spacing w:after="0" w:line="480" w:lineRule="auto"/>
        <w:rPr>
          <w:rFonts w:ascii="Times New Roman" w:eastAsia="Calibri" w:hAnsi="Times New Roman" w:cs="Times New Roman"/>
          <w:sz w:val="24"/>
          <w:szCs w:val="24"/>
          <w:lang w:val="en-GB"/>
        </w:rPr>
      </w:pPr>
      <w:r w:rsidRPr="00B5744B">
        <w:rPr>
          <w:rFonts w:ascii="Times New Roman" w:hAnsi="Times New Roman" w:cs="Times New Roman"/>
          <w:b/>
          <w:sz w:val="24"/>
          <w:szCs w:val="24"/>
          <w:lang w:val="en-GB"/>
        </w:rPr>
        <w:t>8.</w:t>
      </w:r>
      <w:r w:rsidR="00755BEF">
        <w:rPr>
          <w:rFonts w:ascii="Times New Roman" w:hAnsi="Times New Roman" w:cs="Times New Roman"/>
          <w:sz w:val="24"/>
          <w:szCs w:val="24"/>
          <w:lang w:val="en-GB"/>
        </w:rPr>
        <w:t xml:space="preserve"> </w:t>
      </w:r>
      <w:r w:rsidRPr="00755BEF">
        <w:rPr>
          <w:rFonts w:ascii="Times New Roman" w:eastAsia="Calibri" w:hAnsi="Times New Roman" w:cs="Times New Roman"/>
          <w:sz w:val="24"/>
          <w:szCs w:val="24"/>
          <w:lang w:val="en-GB"/>
        </w:rPr>
        <w:t xml:space="preserve">The nowadays media usually work on a daily basis or even on a 24/7 cycle. At the same time it also means that the media still need new information they can communicate, or even better for them, a wide flow of information from which they can choose the best fitting ones to use for their stories according to the agenda-setting criteria. This means the cooperation between media and legal system, too. In this essay, the focus is laid on particular cooperation or non-cooperation between media and judiciary: how do they cooperate? What can it mean for society and bring back to the judicial system? What is the typical behaviour of judges and media when they meet? </w:t>
      </w:r>
    </w:p>
    <w:p w:rsidR="00E000DF" w:rsidRPr="00755BEF" w:rsidRDefault="00E000DF" w:rsidP="00B5744B">
      <w:pPr>
        <w:spacing w:after="0" w:line="480" w:lineRule="auto"/>
        <w:rPr>
          <w:rFonts w:ascii="Times New Roman" w:hAnsi="Times New Roman" w:cs="Times New Roman"/>
          <w:sz w:val="24"/>
          <w:szCs w:val="24"/>
          <w:lang w:val="en-GB"/>
        </w:rPr>
      </w:pPr>
      <w:bookmarkStart w:id="0" w:name="_GoBack"/>
      <w:bookmarkEnd w:id="0"/>
      <w:r w:rsidRPr="00B5744B">
        <w:rPr>
          <w:rFonts w:ascii="Times New Roman" w:hAnsi="Times New Roman" w:cs="Times New Roman"/>
          <w:b/>
          <w:sz w:val="24"/>
          <w:szCs w:val="24"/>
          <w:lang w:val="en-GB"/>
        </w:rPr>
        <w:lastRenderedPageBreak/>
        <w:t>9.</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 xml:space="preserve">All of the analysed fabrics are very fine with predominance of </w:t>
      </w:r>
      <w:proofErr w:type="spellStart"/>
      <w:r w:rsidRPr="00755BEF">
        <w:rPr>
          <w:rFonts w:ascii="Times New Roman" w:hAnsi="Times New Roman" w:cs="Times New Roman"/>
          <w:sz w:val="24"/>
          <w:szCs w:val="24"/>
          <w:lang w:val="en-GB"/>
        </w:rPr>
        <w:t>calcacerous</w:t>
      </w:r>
      <w:proofErr w:type="spellEnd"/>
      <w:r w:rsidRPr="00755BEF">
        <w:rPr>
          <w:rFonts w:ascii="Times New Roman" w:hAnsi="Times New Roman" w:cs="Times New Roman"/>
          <w:sz w:val="24"/>
          <w:szCs w:val="24"/>
          <w:lang w:val="en-GB"/>
        </w:rPr>
        <w:t xml:space="preserve"> matrix, fired in oxidizing atmosphere. </w:t>
      </w:r>
      <w:proofErr w:type="spellStart"/>
      <w:r w:rsidRPr="00755BEF">
        <w:rPr>
          <w:rFonts w:ascii="Times New Roman" w:hAnsi="Times New Roman" w:cs="Times New Roman"/>
          <w:sz w:val="24"/>
          <w:szCs w:val="24"/>
          <w:lang w:val="en-GB"/>
        </w:rPr>
        <w:t>Petrographical</w:t>
      </w:r>
      <w:proofErr w:type="spellEnd"/>
      <w:r w:rsidRPr="00755BEF">
        <w:rPr>
          <w:rFonts w:ascii="Times New Roman" w:hAnsi="Times New Roman" w:cs="Times New Roman"/>
          <w:sz w:val="24"/>
          <w:szCs w:val="24"/>
          <w:lang w:val="en-GB"/>
        </w:rPr>
        <w:t xml:space="preserve"> composition and technological characteristics are described in table 2.</w:t>
      </w:r>
    </w:p>
    <w:p w:rsidR="00E000DF" w:rsidRPr="00755BEF" w:rsidRDefault="00E000DF" w:rsidP="00B5744B">
      <w:pPr>
        <w:spacing w:after="0" w:line="480" w:lineRule="auto"/>
        <w:rPr>
          <w:rFonts w:ascii="Times New Roman" w:hAnsi="Times New Roman" w:cs="Times New Roman"/>
          <w:sz w:val="24"/>
          <w:szCs w:val="24"/>
          <w:lang w:val="en-GB"/>
        </w:rPr>
      </w:pPr>
      <w:r w:rsidRPr="00755BEF">
        <w:rPr>
          <w:rFonts w:ascii="Times New Roman" w:hAnsi="Times New Roman" w:cs="Times New Roman"/>
          <w:sz w:val="24"/>
          <w:szCs w:val="24"/>
          <w:lang w:val="en-GB"/>
        </w:rPr>
        <w:tab/>
        <w:t xml:space="preserve">Fabrics observed are </w:t>
      </w:r>
      <w:proofErr w:type="spellStart"/>
      <w:r w:rsidRPr="00755BEF">
        <w:rPr>
          <w:rFonts w:ascii="Times New Roman" w:hAnsi="Times New Roman" w:cs="Times New Roman"/>
          <w:sz w:val="24"/>
          <w:szCs w:val="24"/>
          <w:lang w:val="en-GB"/>
        </w:rPr>
        <w:t>petrographically</w:t>
      </w:r>
      <w:proofErr w:type="spellEnd"/>
      <w:r w:rsidRPr="00755BEF">
        <w:rPr>
          <w:rFonts w:ascii="Times New Roman" w:hAnsi="Times New Roman" w:cs="Times New Roman"/>
          <w:sz w:val="24"/>
          <w:szCs w:val="24"/>
          <w:lang w:val="en-GB"/>
        </w:rPr>
        <w:t xml:space="preserve"> rather similar with dominance of </w:t>
      </w:r>
      <w:proofErr w:type="spellStart"/>
      <w:r w:rsidRPr="00755BEF">
        <w:rPr>
          <w:rFonts w:ascii="Times New Roman" w:hAnsi="Times New Roman" w:cs="Times New Roman"/>
          <w:sz w:val="24"/>
          <w:szCs w:val="24"/>
          <w:lang w:val="en-GB"/>
        </w:rPr>
        <w:t>subrounded</w:t>
      </w:r>
      <w:proofErr w:type="spellEnd"/>
      <w:r w:rsidRPr="00755BEF">
        <w:rPr>
          <w:rFonts w:ascii="Times New Roman" w:hAnsi="Times New Roman" w:cs="Times New Roman"/>
          <w:sz w:val="24"/>
          <w:szCs w:val="24"/>
          <w:lang w:val="en-GB"/>
        </w:rPr>
        <w:t xml:space="preserve"> quartz grains, </w:t>
      </w:r>
      <w:proofErr w:type="spellStart"/>
      <w:r w:rsidRPr="00755BEF">
        <w:rPr>
          <w:rFonts w:ascii="Times New Roman" w:hAnsi="Times New Roman" w:cs="Times New Roman"/>
          <w:sz w:val="24"/>
          <w:szCs w:val="24"/>
          <w:lang w:val="en-GB"/>
        </w:rPr>
        <w:t>silicites</w:t>
      </w:r>
      <w:proofErr w:type="spellEnd"/>
      <w:r w:rsidRPr="00755BEF">
        <w:rPr>
          <w:rFonts w:ascii="Times New Roman" w:hAnsi="Times New Roman" w:cs="Times New Roman"/>
          <w:sz w:val="24"/>
          <w:szCs w:val="24"/>
          <w:lang w:val="en-GB"/>
        </w:rPr>
        <w:t xml:space="preserve">, micas (both muscovite and biotite), sometimes with traces or a small </w:t>
      </w:r>
      <w:proofErr w:type="spellStart"/>
      <w:r w:rsidRPr="00755BEF">
        <w:rPr>
          <w:rFonts w:ascii="Times New Roman" w:hAnsi="Times New Roman" w:cs="Times New Roman"/>
          <w:sz w:val="24"/>
          <w:szCs w:val="24"/>
          <w:lang w:val="en-GB"/>
        </w:rPr>
        <w:t>ammount</w:t>
      </w:r>
      <w:proofErr w:type="spellEnd"/>
      <w:r w:rsidRPr="00755BEF">
        <w:rPr>
          <w:rFonts w:ascii="Times New Roman" w:hAnsi="Times New Roman" w:cs="Times New Roman"/>
          <w:sz w:val="24"/>
          <w:szCs w:val="24"/>
          <w:lang w:val="en-GB"/>
        </w:rPr>
        <w:t xml:space="preserve"> of feldspars, amphibole and </w:t>
      </w:r>
      <w:proofErr w:type="spellStart"/>
      <w:r w:rsidRPr="00755BEF">
        <w:rPr>
          <w:rFonts w:ascii="Times New Roman" w:hAnsi="Times New Roman" w:cs="Times New Roman"/>
          <w:sz w:val="24"/>
          <w:szCs w:val="24"/>
          <w:lang w:val="en-GB"/>
        </w:rPr>
        <w:t>zircone</w:t>
      </w:r>
      <w:proofErr w:type="spellEnd"/>
      <w:r w:rsidRPr="00755BEF">
        <w:rPr>
          <w:rFonts w:ascii="Times New Roman" w:hAnsi="Times New Roman" w:cs="Times New Roman"/>
          <w:sz w:val="24"/>
          <w:szCs w:val="24"/>
          <w:lang w:val="en-GB"/>
        </w:rPr>
        <w:t xml:space="preserve">. All of the fabrics except EC413 and 416b contains more or less </w:t>
      </w:r>
      <w:proofErr w:type="spellStart"/>
      <w:r w:rsidRPr="00755BEF">
        <w:rPr>
          <w:rFonts w:ascii="Times New Roman" w:hAnsi="Times New Roman" w:cs="Times New Roman"/>
          <w:sz w:val="24"/>
          <w:szCs w:val="24"/>
          <w:lang w:val="en-GB"/>
        </w:rPr>
        <w:t>phragments</w:t>
      </w:r>
      <w:proofErr w:type="spellEnd"/>
      <w:r w:rsidRPr="00755BEF">
        <w:rPr>
          <w:rFonts w:ascii="Times New Roman" w:hAnsi="Times New Roman" w:cs="Times New Roman"/>
          <w:sz w:val="24"/>
          <w:szCs w:val="24"/>
          <w:lang w:val="en-GB"/>
        </w:rPr>
        <w:t xml:space="preserve"> of red </w:t>
      </w:r>
      <w:proofErr w:type="spellStart"/>
      <w:r w:rsidRPr="00755BEF">
        <w:rPr>
          <w:rFonts w:ascii="Times New Roman" w:hAnsi="Times New Roman" w:cs="Times New Roman"/>
          <w:sz w:val="24"/>
          <w:szCs w:val="24"/>
          <w:lang w:val="en-GB"/>
        </w:rPr>
        <w:t>radiolarites</w:t>
      </w:r>
      <w:proofErr w:type="spellEnd"/>
      <w:r w:rsidRPr="00755BEF">
        <w:rPr>
          <w:rFonts w:ascii="Times New Roman" w:hAnsi="Times New Roman" w:cs="Times New Roman"/>
          <w:sz w:val="24"/>
          <w:szCs w:val="24"/>
          <w:lang w:val="en-GB"/>
        </w:rPr>
        <w:t>.</w:t>
      </w:r>
    </w:p>
    <w:p w:rsidR="00E000DF" w:rsidRPr="00755BEF" w:rsidRDefault="00E000DF" w:rsidP="00B5744B">
      <w:pPr>
        <w:spacing w:after="0" w:line="480" w:lineRule="auto"/>
        <w:rPr>
          <w:rFonts w:ascii="Times New Roman" w:hAnsi="Times New Roman" w:cs="Times New Roman"/>
          <w:sz w:val="24"/>
          <w:szCs w:val="24"/>
          <w:lang w:val="en-GB"/>
        </w:rPr>
      </w:pPr>
    </w:p>
    <w:p w:rsidR="00E000DF" w:rsidRPr="00755BEF" w:rsidRDefault="00E000DF"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t>10.</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Data on thiamine metabolism in pregnancy complicated by diabetes is scarce so far. Several studies showed decreased levels of thiamine in diabetic patients [5-7] and several studies have demonstrated increased thiamine requirements during pregnancy usually based on measurement of activation coefficient of erythrocyte TKT. We confirmed that pregnancy is accompanied by increased requirements for thiamine which is reflected by decreased plasma thiamine (adjusted to BMI), increased erythrocyte TDP and decreased T/TDP ratio in mid-trimester compared to postpartum in both groups.</w:t>
      </w:r>
    </w:p>
    <w:p w:rsidR="00B5744B" w:rsidRPr="00755BEF" w:rsidRDefault="00B5744B" w:rsidP="00B5744B">
      <w:pPr>
        <w:spacing w:after="0" w:line="480" w:lineRule="auto"/>
        <w:rPr>
          <w:rFonts w:ascii="Times New Roman" w:hAnsi="Times New Roman" w:cs="Times New Roman"/>
          <w:sz w:val="24"/>
          <w:szCs w:val="24"/>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53"/>
      </w:tblGrid>
      <w:tr w:rsidR="00E000DF" w:rsidRPr="00755BEF">
        <w:tblPrEx>
          <w:tblCellMar>
            <w:top w:w="0" w:type="dxa"/>
            <w:bottom w:w="0" w:type="dxa"/>
          </w:tblCellMar>
        </w:tblPrEx>
        <w:trPr>
          <w:trHeight w:val="1381"/>
        </w:trPr>
        <w:tc>
          <w:tcPr>
            <w:tcW w:w="8453" w:type="dxa"/>
          </w:tcPr>
          <w:p w:rsidR="00E000DF" w:rsidRPr="00755BEF" w:rsidRDefault="00E000DF" w:rsidP="00B5744B">
            <w:pPr>
              <w:pStyle w:val="Default"/>
              <w:spacing w:line="480" w:lineRule="auto"/>
              <w:rPr>
                <w:rFonts w:ascii="Times New Roman" w:hAnsi="Times New Roman" w:cs="Times New Roman"/>
                <w:lang w:val="en-GB"/>
              </w:rPr>
            </w:pPr>
            <w:r w:rsidRPr="00B5744B">
              <w:rPr>
                <w:rFonts w:ascii="Times New Roman" w:hAnsi="Times New Roman" w:cs="Times New Roman"/>
                <w:b/>
                <w:lang w:val="en-GB"/>
              </w:rPr>
              <w:t>11.</w:t>
            </w:r>
            <w:r w:rsidR="00755BEF">
              <w:rPr>
                <w:rFonts w:ascii="Times New Roman" w:hAnsi="Times New Roman" w:cs="Times New Roman"/>
                <w:lang w:val="en-GB"/>
              </w:rPr>
              <w:t xml:space="preserve"> </w:t>
            </w:r>
            <w:r w:rsidRPr="00755BEF">
              <w:rPr>
                <w:rFonts w:ascii="Times New Roman" w:hAnsi="Times New Roman" w:cs="Times New Roman"/>
                <w:lang w:val="en-GB"/>
              </w:rPr>
              <w:t xml:space="preserve"> The Arctic has been</w:t>
            </w:r>
            <w:r w:rsidRPr="00755BEF">
              <w:rPr>
                <w:rFonts w:ascii="Times New Roman" w:hAnsi="Times New Roman" w:cs="Times New Roman"/>
                <w:lang w:val="en-GB"/>
              </w:rPr>
              <w:t xml:space="preserve"> </w:t>
            </w:r>
            <w:r w:rsidRPr="00755BEF">
              <w:rPr>
                <w:rFonts w:ascii="Times New Roman" w:hAnsi="Times New Roman" w:cs="Times New Roman"/>
                <w:lang w:val="en-GB"/>
              </w:rPr>
              <w:t>attracting more and more attention in recent years. The growing interest has been manifested not</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only by so-called “Arctic Five” states,</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namely</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 xml:space="preserve">Russia, Canada, Norway, Denmark and the </w:t>
            </w:r>
            <w:proofErr w:type="spellStart"/>
            <w:r w:rsidRPr="00755BEF">
              <w:rPr>
                <w:rFonts w:ascii="Times New Roman" w:hAnsi="Times New Roman" w:cs="Times New Roman"/>
                <w:lang w:val="en-GB"/>
              </w:rPr>
              <w:t>USA</w:t>
            </w:r>
            <w:proofErr w:type="gramStart"/>
            <w:r w:rsidRPr="00755BEF">
              <w:rPr>
                <w:rFonts w:ascii="Times New Roman" w:hAnsi="Times New Roman" w:cs="Times New Roman"/>
                <w:lang w:val="en-GB"/>
              </w:rPr>
              <w:t>,but</w:t>
            </w:r>
            <w:proofErr w:type="spellEnd"/>
            <w:proofErr w:type="gramEnd"/>
            <w:r w:rsidRPr="00755BEF">
              <w:rPr>
                <w:rFonts w:ascii="Times New Roman" w:hAnsi="Times New Roman" w:cs="Times New Roman"/>
                <w:lang w:val="en-GB"/>
              </w:rPr>
              <w:t xml:space="preserve"> also by countries, which</w:t>
            </w:r>
            <w:r w:rsidRPr="00755BEF">
              <w:rPr>
                <w:rFonts w:ascii="Times New Roman" w:hAnsi="Times New Roman" w:cs="Times New Roman"/>
                <w:lang w:val="en-GB"/>
              </w:rPr>
              <w:t xml:space="preserve"> </w:t>
            </w:r>
            <w:r w:rsidRPr="00755BEF">
              <w:rPr>
                <w:rFonts w:ascii="Times New Roman" w:hAnsi="Times New Roman" w:cs="Times New Roman"/>
                <w:lang w:val="en-GB"/>
              </w:rPr>
              <w:t>are</w:t>
            </w:r>
            <w:r w:rsidRPr="00755BEF">
              <w:rPr>
                <w:rFonts w:ascii="Times New Roman" w:hAnsi="Times New Roman" w:cs="Times New Roman"/>
                <w:lang w:val="en-GB"/>
              </w:rPr>
              <w:t xml:space="preserve"> </w:t>
            </w:r>
            <w:r w:rsidRPr="00755BEF">
              <w:rPr>
                <w:rFonts w:ascii="Times New Roman" w:hAnsi="Times New Roman" w:cs="Times New Roman"/>
                <w:lang w:val="en-GB"/>
              </w:rPr>
              <w:t>geographically</w:t>
            </w:r>
            <w:r w:rsidRPr="00755BEF">
              <w:rPr>
                <w:rFonts w:ascii="Times New Roman" w:hAnsi="Times New Roman" w:cs="Times New Roman"/>
                <w:lang w:val="en-GB"/>
              </w:rPr>
              <w:t xml:space="preserve"> </w:t>
            </w:r>
            <w:r w:rsidRPr="00755BEF">
              <w:rPr>
                <w:rFonts w:ascii="Times New Roman" w:hAnsi="Times New Roman" w:cs="Times New Roman"/>
                <w:lang w:val="en-GB"/>
              </w:rPr>
              <w:t>not directly linked</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to the Arctic,</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such as China,</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India,</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Japan</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or Singapore. These non-Arctic states see a huge commercial potential in the northern territories, mainly connected to transportation. Importance of non-Arctic states has been</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increased by the Arctic Council, which granted them an observer status. As observers they are invited to the meetings of the Arctic Council and they could make relevant contributions through their engagement</w:t>
            </w:r>
            <w:r w:rsidR="00E74E3C" w:rsidRPr="00755BEF">
              <w:rPr>
                <w:rFonts w:ascii="Times New Roman" w:hAnsi="Times New Roman" w:cs="Times New Roman"/>
                <w:lang w:val="en-GB"/>
              </w:rPr>
              <w:t xml:space="preserve"> </w:t>
            </w:r>
            <w:r w:rsidRPr="00755BEF">
              <w:rPr>
                <w:rFonts w:ascii="Times New Roman" w:hAnsi="Times New Roman" w:cs="Times New Roman"/>
                <w:lang w:val="en-GB"/>
              </w:rPr>
              <w:t>in this organization.</w:t>
            </w:r>
          </w:p>
        </w:tc>
      </w:tr>
    </w:tbl>
    <w:p w:rsidR="00B5744B" w:rsidRDefault="00B5744B" w:rsidP="00B5744B">
      <w:pPr>
        <w:spacing w:after="0" w:line="480" w:lineRule="auto"/>
        <w:rPr>
          <w:rFonts w:ascii="Times New Roman" w:hAnsi="Times New Roman" w:cs="Times New Roman"/>
          <w:b/>
          <w:sz w:val="24"/>
          <w:szCs w:val="24"/>
          <w:lang w:val="en-GB"/>
        </w:rPr>
      </w:pPr>
    </w:p>
    <w:p w:rsidR="00E74E3C" w:rsidRPr="00755BEF" w:rsidRDefault="00E74E3C" w:rsidP="00B5744B">
      <w:pPr>
        <w:spacing w:after="0" w:line="480" w:lineRule="auto"/>
        <w:rPr>
          <w:rFonts w:ascii="Times New Roman" w:eastAsia="Arial" w:hAnsi="Times New Roman" w:cs="Times New Roman"/>
          <w:sz w:val="24"/>
          <w:szCs w:val="24"/>
          <w:lang w:val="en-GB"/>
        </w:rPr>
      </w:pPr>
      <w:r w:rsidRPr="00B5744B">
        <w:rPr>
          <w:rFonts w:ascii="Times New Roman" w:hAnsi="Times New Roman" w:cs="Times New Roman"/>
          <w:b/>
          <w:sz w:val="24"/>
          <w:szCs w:val="24"/>
          <w:lang w:val="en-GB"/>
        </w:rPr>
        <w:lastRenderedPageBreak/>
        <w:t>12.</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 xml:space="preserve">In my dissertation research I would like to prove the involvement of innate immunity particularly the complement system in pathogenesis of ROP by measuring and charting values of several components of complement system from peripheral blood of premature infants. I will compare three groups of babies: the first group of premature infants who will not suffer from retinopathy, the second group of premature infants with some stage of retinopathy and the third control group of healthy </w:t>
      </w:r>
      <w:proofErr w:type="spellStart"/>
      <w:r w:rsidRPr="00755BEF">
        <w:rPr>
          <w:rFonts w:ascii="Times New Roman" w:hAnsi="Times New Roman" w:cs="Times New Roman"/>
          <w:sz w:val="24"/>
          <w:szCs w:val="24"/>
          <w:lang w:val="en-GB"/>
        </w:rPr>
        <w:t>newborns</w:t>
      </w:r>
      <w:proofErr w:type="spellEnd"/>
      <w:r w:rsidRPr="00755BEF">
        <w:rPr>
          <w:rFonts w:ascii="Times New Roman" w:hAnsi="Times New Roman" w:cs="Times New Roman"/>
          <w:sz w:val="24"/>
          <w:szCs w:val="24"/>
          <w:lang w:val="en-GB"/>
        </w:rPr>
        <w:t xml:space="preserve"> born at term. I will compare levels of complement, changes over time, correlation between stage and severity of ROP and levels of complement. Following the recent research on mouse model we suppose that complement-deficient babies reveal increased pathological retinal angiogenesis. During my research I will contribute to examination, diagnosing and treatment of premature infants with ROP.</w:t>
      </w:r>
    </w:p>
    <w:p w:rsidR="00E74E3C" w:rsidRPr="00755BEF" w:rsidRDefault="00E74E3C" w:rsidP="00B5744B">
      <w:pPr>
        <w:spacing w:after="0" w:line="480" w:lineRule="auto"/>
        <w:rPr>
          <w:rFonts w:ascii="Times New Roman" w:hAnsi="Times New Roman" w:cs="Times New Roman"/>
          <w:sz w:val="24"/>
          <w:szCs w:val="24"/>
          <w:lang w:val="en-GB"/>
        </w:rPr>
      </w:pPr>
    </w:p>
    <w:p w:rsidR="00E74E3C" w:rsidRPr="00755BEF" w:rsidRDefault="00E74E3C"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t>13.</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 xml:space="preserve">The presented case study is founded on twenty semi-structured interviews. Their duration was about one-hour and all were after permission recorded. I analysed the transcriptions. The set of twenty interviews composes of eight interviews with people based in a headquarters of concerned company. Specifically with two near-shoring managers, two process managers responsible for near-shored activities, one department and project manager concerned by the transfer of activities, one trade union representative and two members of process management team assigned to the near-shoring. The rest of interviews was conducted in the shared services </w:t>
      </w:r>
      <w:proofErr w:type="spellStart"/>
      <w:r w:rsidRPr="00755BEF">
        <w:rPr>
          <w:rFonts w:ascii="Times New Roman" w:hAnsi="Times New Roman" w:cs="Times New Roman"/>
          <w:sz w:val="24"/>
          <w:szCs w:val="24"/>
          <w:lang w:val="en-GB"/>
        </w:rPr>
        <w:t>center</w:t>
      </w:r>
      <w:proofErr w:type="spellEnd"/>
      <w:r w:rsidRPr="00755BEF">
        <w:rPr>
          <w:rFonts w:ascii="Times New Roman" w:hAnsi="Times New Roman" w:cs="Times New Roman"/>
          <w:sz w:val="24"/>
          <w:szCs w:val="24"/>
          <w:lang w:val="en-GB"/>
        </w:rPr>
        <w:t xml:space="preserve"> with one on-boarding manager, two department managers, two team leaders, two coordinators and selected team’s members. </w:t>
      </w:r>
    </w:p>
    <w:p w:rsidR="00743347" w:rsidRPr="00755BEF" w:rsidRDefault="00743347" w:rsidP="00B5744B">
      <w:pPr>
        <w:spacing w:after="0" w:line="480" w:lineRule="auto"/>
        <w:rPr>
          <w:rFonts w:ascii="Times New Roman" w:hAnsi="Times New Roman" w:cs="Times New Roman"/>
          <w:sz w:val="24"/>
          <w:szCs w:val="24"/>
          <w:lang w:val="en-GB"/>
        </w:rPr>
      </w:pPr>
    </w:p>
    <w:p w:rsidR="00755BEF" w:rsidRDefault="00755BEF" w:rsidP="00B5744B">
      <w:pPr>
        <w:spacing w:after="0" w:line="480" w:lineRule="auto"/>
        <w:rPr>
          <w:rFonts w:ascii="Times New Roman" w:hAnsi="Times New Roman" w:cs="Times New Roman"/>
          <w:sz w:val="24"/>
          <w:szCs w:val="24"/>
          <w:lang w:val="en-GB"/>
        </w:rPr>
      </w:pPr>
    </w:p>
    <w:p w:rsidR="00B5744B" w:rsidRDefault="00B5744B"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123E66" w:rsidRDefault="00123E66" w:rsidP="00B5744B">
      <w:pPr>
        <w:spacing w:after="0" w:line="480" w:lineRule="auto"/>
        <w:rPr>
          <w:rFonts w:ascii="Times New Roman" w:hAnsi="Times New Roman" w:cs="Times New Roman"/>
          <w:sz w:val="24"/>
          <w:szCs w:val="24"/>
          <w:lang w:val="en-GB"/>
        </w:rPr>
      </w:pPr>
    </w:p>
    <w:p w:rsidR="00743347" w:rsidRPr="00755BEF" w:rsidRDefault="00E74E3C" w:rsidP="00B5744B">
      <w:pPr>
        <w:spacing w:after="0" w:line="480" w:lineRule="auto"/>
        <w:rPr>
          <w:rFonts w:ascii="Times New Roman" w:hAnsi="Times New Roman" w:cs="Times New Roman"/>
          <w:sz w:val="24"/>
          <w:szCs w:val="24"/>
          <w:lang w:val="en-GB"/>
        </w:rPr>
      </w:pPr>
      <w:r w:rsidRPr="00B5744B">
        <w:rPr>
          <w:rFonts w:ascii="Times New Roman" w:hAnsi="Times New Roman" w:cs="Times New Roman"/>
          <w:b/>
          <w:sz w:val="24"/>
          <w:szCs w:val="24"/>
          <w:lang w:val="en-GB"/>
        </w:rPr>
        <w:lastRenderedPageBreak/>
        <w:t>14.</w:t>
      </w:r>
      <w:r w:rsid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t xml:space="preserve">There are various sources of compounds with ED potency in the aquatic environment and their identification is difficult </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"DOI" : "10.1016/j.ecoenv.2014.05.024", "ISSN" : "1090-2414", "PMID" : "24927389", "abstract" : "BACKGROUND: We had previously reported high androgenic and estrogenic activities in seawaters in confined clusters close to Singapore. Further investigations revealed a hitherto unsuspected link between estrogenic/androgenic activity and net phytoplankton count.\n\nOBJECTIVE: The primary objective of this study was to investigate the cause of a correlation between net phytoplankton and endocrine activity, and corroborate this observation, and rule out other possible confounding factors. Our secondary objective was to study if these estrogenic secretions can impact human health.\n\nMETHODS: Five species of phytoplankton, Gymnodinium catenatum, Prorocentrum minimum, Alexandrium leei, Chattonella marina, and Fibrocapsa japonica, were isolated from Singapore waters and mass cultured and the cells and culture media screened for estrogenic and androgenic activity using human cell-based bioassays.\n\nRESULTS: The raphidophytes C. marina and F. japonica displayed significant estrogenic activity whilst the dinoflagellates G. catenatum and P. minimum displayed significant androgenic activity in both the cell extracts and the cell culture media extract.\n\nCONCLUSIONS: Our data shows that selected phytoplankton isolates are potent secretors of estrogenic and androgenic substances, which are potential endocrine disrupting chemicals (EDCs). As the harmful nature of EDCs is largely due to their bioaccumulation in the aquatic food chain our findings imply that the impact of these phytoplankton secretions needs to be investigated especially for seafoods, which are only a single trophic level away from phytoplankton. Alternatively, should these phytoplankton-origin EDCs not accumulate through marine food chains to significantly impact humans or marine mammals, our results indicate that functional assays could greatly over-estimate the risk from naturally occurring EDCs produced by marine phytoplankton. It remains to be determined if these EDCs affect zooplankton and other organisms that directly feed on marine phytoplankton, or if the secreted EDCs can directly impact other marine fauna.", "author" : [ { "dropping-particle" : "", "family" : "Gong", "given" : "Yinhan", "non-dropping-particle" : "", "parse-names" : false, "suffix" : "" }, { "dropping-particle" : "", "family" : "Wang", "given" : "Xiaochong", "non-dropping-particle" : "", "parse-names" : false, "suffix" : "" }, { "dropping-particle" : "", "family" : "Indran", "given" : "Inthrani Raja", "non-dropping-particle" : "", "parse-names" : false, "suffix" : "" }, { "dropping-particle" : "", "family" : "Zhang", "given" : "Shi-Jun", "non-dropping-particle" : "", "parse-names" : false, "suffix" : "" }, { "dropping-particle" : "", "family" : "Lv", "given" : "Zhengbing", "non-dropping-particle" : "", "parse-names" : false, "suffix" : "" }, { "dropping-particle" : "", "family" : "Li", "given" : "Jun", "non-dropping-particle" : "", "parse-names" : false, "suffix" : "" }, { "dropping-particle" : "", "family" : "Holmes", "given" : "Michael", "non-dropping-particle" : "", "parse-names" : false, "suffix" : "" }, { "dropping-particle" : "", "family" : "Tang", "given" : "Ying Zhong", "non-dropping-particle" : "", "parse-names" : false, "suffix" : "" }, { "dropping-particle" : "", "family" : "Yong", "given" : "E L", "non-dropping-particle" : "", "parse-names" : false, "suffix" : "" } ], "container-title" : "Ecotoxicology and environmental safety", "id" : "ITEM-1", "issued" : { "date-parts" : [ [ "2014", "9" ] ] }, "note" : "Gymnodinium catenatum(chromista,dinophycae), Prorocentrum minimum(chromista, dinophycae), Alexandrium leei(chromista,dinophycae), Chattonella marina (chromista,raphidophyceae), and Fibrocapsa japonica (chromista,raphidophyceae)\n\n\n\n\nfor estrogenic and androgenic activity using human cell-based bioassays\n\n\n\n\nraphidophytes(chloromon\u00e1dy) displayed significant estrogenic activity -exudaty\ndinoflagellates(obrn\u011bnky) displayed significant androgenic activity in both the cell extracts and the cell culture media extract\n\n\nThe highest AR bioactivitywas observed from P. minimum culture media extract, equivalent to 200% bioactivity of 0.1 nM\nDHT, and the highest ER\u03b1 bioactivity was observed from C. marina media extracts equivalent to 35% bioactivity of 10 nM E2 \n\n\n\n\nakumulace:Moreover concurrent discovery of an accumulation of estrogenic chemicals in wild green mussel samples (Bayen et al., 2004)", "page" : "126-32", "publisher" : "Elsevier", "title" : "Phytoplankton blooms: an overlooked marine source of natural endocrine disrupting chemicals.", "type" : "article-journal", "volume" : "107" }, "uris" : [ "http://www.mendeley.com/documents/?uuid=2d889d67-fab4-47ae-a7bb-6586b26ab431" ] } ], "mendeley" : { "formattedCitation" : "(Gong et al., 2014)", "plainTextFormattedCitation" : "(Gong et al., 2014)", "previouslyFormattedCitation" : "(Gong et al., 2014)"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(Gong et al., 2014)</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 Compounds of both anthropogenic and natural origin can contribute to the disruption of the endocrine system in organisms, which could lead to adverse changes in reproduction, the immune system, development and other physiological processes in both vertebrates and invertebrates</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"abstract" : "Annex 1 SUMMARY OF THE STATE OF THE SCIENCE Revised version , 29 January 2012", "author" : [ { "dropping-particle" : "", "family" : "Kortenkamp", "given" : "Andreas", "non-dropping-particle" : "", "parse-names" : false, "suffix" : "" }, { "dropping-particle" : "", "family" : "Evans", "given" : "Richard", "non-dropping-particle" : "", "parse-names" : false, "suffix" : "" }, { "dropping-particle" : "", "family" : "Martin", "given" : "Olwenn", "non-dropping-particle" : "", "parse-names" : false, "suffix" : "" }, { "dropping-particle" : "", "family" : "Mckinlay", "given" : "Rebecca", "non-dropping-particle" : "", "parse-names" : false, "suffix" : "" }, { "dropping-particle" : "", "family" : "Orton", "given" : "Frances", "non-dropping-particle" : "", "parse-names" : false, "suffix" : "" }, { "dropping-particle" : "", "family" : "Rosivatz", "given" : "Erika", "non-dropping-particle" : "", "parse-names" : false, "suffix" : "" } ], "id" : "ITEM-1", "issue" : "070307/2009/550687/SER/D3", "issued" : { "date-parts" : [ [ "2012" ] ] }, "number-of-pages" : "486", "title" : "State of the Art Assessment of Endocrine Disruptors. Final Report. Annex 1 Summary of the state of science", "type" : "report" }, "uris" : [ "http://www.mendeley.com/documents/?uuid=d72c7a97-d3f7-4ccd-a769-0bd33590a1c9" ] }, { "id" : "ITEM-2", "itemData" : { "DOI" : "10.2903/j.efsa.2013.3132", "author" : [ { "dropping-particle" : "", "family" : "EFSA Scientific Committee", "given" : "", "non-dropping-particle" : "", "parse-names" : false, "suffix" : "" } ], "container-title" : "EFSA Journal", "id" : "ITEM-2", "issue" : "3", "issued" : { "date-parts" : [ [ "2013" ] ] }, "note" : "EAS=endocrine active substances\nED=endocrine disruptors\nCF=conceptual framework-koncep\u010dn\u00ed r\u00e1mec\nEATS=oestrogen, androgen, thyroid, or steroidogenesis\nGD=guidence document\nLevels:\nLevel 1 (existing information and non-test information, which should guide the initial needs for testing and assessment)\nLevel 2 (selected in vitro endocrine mechanistic/mode of action test methods)\nLevel 3 (in vivo selective endocrine mechanistic screening methods)\nLevel 4 (in vivo apical tests (for adverse effects) which include endocrine relevant endpoints) \nLevel 5 (and more comprehensive data over more extensive parts of the life cycle)", "page" : "3132-3215", "title" : "Scientific Opinion on the hazard assessment of endocrine disruptors : Scientific criteria for identification of endocrine disruptors and appropriateness of existing test methods for assessing effects mediated by these substances on human health and the en", "type" : "article-journal", "volume" : "11" }, "uris" : [ "http://www.mendeley.com/documents/?uuid=91d578d5-09e7-4e9e-872b-0982ba907d79" ] } ], "mendeley" : { "formattedCitation" : "(EFSA Scientific Committee, 2013; Kortenkamp et al., 2012)", "plainTextFormattedCitation" : "(EFSA Scientific Committee, 2013; Kortenkamp et al., 2012)", "previouslyFormattedCitation" : "(EFSA Scientific Committee, 2013; Kortenkamp et al., 2012)"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(EFSA Scientific Committee, 2013; Kortenkamp et al., 2012)</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 xml:space="preserve">. Several recent studies have indicated the presence of compounds with endocrine disruptive properties in extracts and exudates (extracellularly produced metabolites) of cyanobacteria and algae </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"DOI" : "10.1016/j.bbagen.2010.11.009", "ISSN" : "0006-3002", "PMID" : "21145941", "abstract" : "BACKGROUND: All-trans retinoic acid (RA) is a low-molecular compound derived from vitamin A. It induces events in various ways by binding with the retinoic acid receptor (RAR), a nuclear receptor, in animal cells. RA and its metabolites have been found in animal tissues. In this paper, we report a novel RA analogue found in cyanobacterial cells, describe the method for its isolation, and compare its photo-stability with that of all-trans RA.\n\nMETHODS: The new A analogue was extracted from cells of Microcystis aeruginosa and Spirulina sp. and fractionated by high-performance liquid chromatography. The analogue was analysed using a yeast two-hybrid assay method to measure in vitro RAR-agonistic activity. Liquid chromatography-mass spectrometry/mass spectrometry analyses was performed to elucidate the chemical structure of this RA analogue.\n\nRESULTS: The results of the analysis of the fragments revealed that the novel RA analogue was 7-hydroxy RA. The yields from 3.5 \u03bcg (4.5% of the total RAR-agonistic activity of Spirulina sp. cells) of 7-hydroxy RA was a mixture of 4 isomers due to cis-trans isomerisation coupled with keto-enol tautomerism; its relative RAR agonistic activity was 0.49 \u00b1 0.01 (n=3) when the activity of all trans RA was set up to 1.00. Under fluorescent light, the mixture of 7-hydroxy RA isomers was more stable than all- trans RA.\n\nCONCLUSIONS: We isolated a novel RAR-activating compound, 7-hydroxy RA, from cyanobacteria.\n\nGENERAL SIGNIFICANCE: 7-hydroxy RA is more stable than all-trans RA under UV-A.", "author" : [ { "dropping-particle" : "", "family" : "Kaya", "given" : "Kunimitsu", "non-dropping-particle" : "", "parse-names" : false, "suffix" : "" }, { "dropping-particle" : "", "family" : "Shiraishi", "given" : "Fujio", "non-dropping-particle" : "", "parse-names" : false, "suffix" : "" }, { "dropping-particle" : "", "family" : "Uchida", "given" : "Hideaki", "non-dropping-particle" : "", "parse-names" : false, "suffix" : "" }, { "dropping-particle" : "", "family" : "Sano", "given" : "Tomoharu", "non-dropping-particle" : "", "parse-names" : false, "suffix" : "" } ], "container-title" : "Biochimica et biophysica acta", "id" : "ITEM-1", "issue" : "4", "issued" : { "date-parts" : [ [ "2011", "4" ] ] }, "note" : "extracted from cells of \n\nMicrocystis aeruginosa and Spirulina (cyano, nostocales) sp +Planktothrix rubescens, Phormidium tenue (cyano, oscillatoriales), Gloeocapsa decorticans (cyano,chroococales , jako microcystis)\nyeast two- hybrid assay: REQ ngATRA/g DW\n\nSpirulina platensis: 660 and 470\nSpirulina sp. 780\nMiA 2500\nPlan.rubescens 2000\nPhormidium 1100\nGleocapsa dec. 210\n\n\n\nLiquid chromatography\u2013mass spectrometry/ mass spectrometry analyses \n\n\nthe novel RA analogue was 7-hydroxy RA", "page" : "414-9", "publisher" : "Elsevier B.V.", "title" : "A novel retinoic acid analogue, 7-hydroxy retinoic acid, isolated from cyanobacteria.", "type" : "article-journal", "volume" : "1810" }, "uris" : [ "http://www.mendeley.com/documents/?uuid=e4e1c876-0413-415f-bf80-88df9c396092" ] } ], "mendeley" : { "formattedCitation" : "(Kaya et al., 2011)", "manualFormatting" : "(Kaya et al., 2011", "plainTextFormattedCitation" : "(Kaya et al., 2011)", "previouslyFormattedCitation" : "(Kaya et al., 2011)"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(Kaya et al., 2011</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"DOI" : "10.1016/j.chroma.2010.07.020", "ISSN" : "1873-3778", "PMID" : "20701916", "abstract" : "New hyphenated technique for the extraction and determination of isoflavones in sea and freshwater algae and cyanobacteria was developed. The method consists of sonication sample pretreatment, extraction by supercritical CO(2) modified by 3% (v/v) of MeOH/H(2)O mixture (9:1, v/v) at 35 MPa and 40\u00b0C for 60 min, fast chromatography analysis by the means of Agilent 1200 Series Rapid Resolution and MS/MS determination. Agilent 1200 Series RRLC was used with Zorbax SB-CN chromatographic column (100 mm \u00d7 2.1mm, particle size 3.5 \u03bcm), 3\u03bcl injection volume, mobile phase consisting of 0.2% (v/v) acetic acid in water (solvent A) and acetonitrile (solvent B) and used with linear gradient (30% B at 0 min, from 0 min to 3 min up to 50% B, from 3 to 6 min up to 80% B and from 6 to 10 min down to 30% B). The flow-rate was 0.4 mL/min, column oven temperature 35\u00b0C. MS detector Agilent Technologies 6460 Triple quadrupole LC/MS with Agilent Jet Stream was used in a negative ESI mode under following conditions: gas temperature 350\u00b0C, gas flow 13 L/min, nebulizer gas pressure 50 psi, sheath gas temperature 400\u00b0C, sheath gas flow 12L/min, capillary voltage was 4 kV. Samples were analysed in the multiple reaction monitoring (MRM) mode. Eight isoflavone compounds were found for the first time in seven real samples of sea algae and in three control samples of freshwater algae and cyanobacteria. Usual optimisation study of extraction parameters was performed. Pressure and temperature optima for algae matrix are different from those obtained sooner for other matrices for most of the analytes, but the results of modifier optimisation study are in good accordance with those obtained sooner for spiked samples and red clover matrix. It seems that matrix has very small or no effect on the modifier selection. Two different approaches of sonication pretreatment were tested: sonication bath and the thorn instrument. In longer extraction time experiments, thorn sonication was more efficient and recovery of following supercritical fluid extraction was higher.", "author" : [ { "dropping-particle" : "", "family" : "Klejdus", "given" : "B", "non-dropping-particle" : "", "parse-names" : false, "suffix" : "" }, { "dropping-particle" : "", "family" : "Lojkov\u00e1", "given" : "L", "non-dropping-particle" : "", "parse-names" : false, "suffix" : "" }, { "dropping-particle" : "", "family" : "Plaza", "given" : "M", "non-dropping-particle" : "", "parse-names" : false, "suffix" : "" }, { "dropping-particle" : "", "family" : "Sn\u00f3blov\u00e1", "given" : "M", "non-dropping-particle" : "", "parse-names" : false, "suffix" : "" }, { "dropping-particle" : "", "family" : "St\u011brbov\u00e1", "given" : "D", "non-dropping-particle" : "", "parse-names" : false, "suffix" : "" } ], "container-title" : "Journal of chromatography. A", "id" : "ITEM-1", "issue" : "51", "issued" : { "date-parts" : [ [ "2010", "12" ] ] }, "page" : "7956-65", "title" : "Hyphenated technique for the extraction and determination of isoflavones in algae: ultrasound-assisted supercritical fluid extraction followed by fast chromatography with tandem mass spectrometry.", "type" : "article-journal", "volume" : "1217" }, "uris" : [ "http://www.mendeley.com/documents/?uuid=6bc803e7-da45-4c47-a07c-5b62f2195484" ] } ], "mendeley" : { "formattedCitation" : "(Klejdus et al., 2010)", "manualFormatting" : " Klejdus et al., 2010", "plainTextFormattedCitation" : "(Klejdus et al., 2010)", "previouslyFormattedCitation" : "(Klejdus et al., 2010)"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 xml:space="preserve"> Klejdus et al., 2010</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"DOI" : "10.1016/j.aquatox.2011.08.002", "ISSN" : "1879-1514", "PMID" : "21903046", "abstract" : "The biological activity of cyanobacteria and their chemical components have been widely studied due to their blooms in eutrophic waters worldwide. The primary goal of this study was to determine if individual cyanobacterial species and mixtures of cyanobacteria collected from the environment contain compounds with the potential for interaction with signaling pathways of the aryl hydrocarbon receptor (AhR), androgen receptor (AR), estrogen receptor (ER), glucocorticoid receptor (GR) and retinoid acid receptor (RAR). Cytotoxicity and specific toxic potencies of products of freshwater cyanobacteria were determined by use of in vitro reporter gene trans-activation assays. The testing included samples prepared from five selected single cyanobacterial species cultivated in laboratory and five complex cyanobacterial biomasses collected from blooms in surface waters in the Czech Republic. The results demonstrate estrogenic potencies of extracts of cyanobacterial biomasses. Among the laboratory single species, the extract of Planktothrix agardhii (intracellular metabolites) had a potency of estrogenic equivalents (EEQ) of 3.8 ng 17\u03b2-estradiol/g dw. The estimates of EEQs of samples prepared from complex cyanobacterial biomasses collected from freshwaters in the Czech Republic ranged from 19 to 2200 ng 17\u03b2-estradiol/g dw. Several samples prepared from the environmental cyanobacterial biomasses potentiated the androgenic potency of dihydrotestosterone. There was no dioxin-like, glucocorticoid or anti/retinoic activity observed for any of the extracts studied. Extracts of natural complex cyanobacterial biomasses exhibited greater and more frequent presence of compounds with specific modes of action, mainly estrogenic, and also greater cytotoxicity than extracts of single cyanobacterial species. The demonstrated estrogenic potency of the compounds present in complex cyanobacterial biomasses is of environmental relevance, and could potentially contribute to endocrine disruptive effects in aquatic ecosystems in case of great bloom densities.", "author" : [ { "dropping-particle" : "", "family" : "St\u011bp\u00e1nkov\u00e1", "given" : "T", "non-dropping-particle" : "", "parse-names" : false, "suffix" : "" }, { "dropping-particle" : "", "family" : "Ambro\u017eov\u00e1", "given" : "L", "non-dropping-particle" : "", "parse-names" : false, "suffix" : "" }, { "dropping-particle" : "", "family" : "Bl\u00e1ha", "given" : "L", "non-dropping-particle" : "", "parse-names" : false, "suffix" : "" }, { "dropping-particle" : "", "family" : "Giesy", "given" : "J P", "non-dropping-particle" : "", "parse-names" : false, "suffix" : "" }, { "dropping-particle" : "", "family" : "Hilscherov\u00e1", "given" : "K", "non-dropping-particle" : "", "parse-names" : false, "suffix" : "" } ], "container-title" : "Aquatic toxicology (Amsterdam, Netherlands)", "id" : "ITEM-1", "issue" : "3-4", "issued" : { "date-parts" : [ [ "2011", "10" ] ] }, "page" : "497-507", "title" : "In vitro modulation of intracellular receptor signaling and cytotoxicity induced by extracts of cyanobacteria, complex water blooms and their fractions.", "type" : "article-journal", "volume" : "105" }, "uris" : [ "http://www.mendeley.com/documents/?uuid=9a868f3f-7c68-4137-abdd-a52e4dc111e5" ] } ], "mendeley" : { "formattedCitation" : "(St\u011bp\u00e1nkov\u00e1 et al., 2011)", "manualFormatting" : "St\u011bp\u00e1nkov\u00e1 et al., 2011", "plainTextFormattedCitation" : "(St\u011bp\u00e1nkov\u00e1 et al., 2011)", "previouslyFormattedCitation" : "(St\u011bp\u00e1nkov\u00e1 et al., 2011)"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Stěpánková et al., 2011</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"DOI" : "10.1073/pnas.1200062109", "ISSN" : "1091-6490", "PMID" : "22645328", "abstract" : "Deformed amphibians have been observed in eutrophic habitats, and some clues point to the retinoic acids (RAs) or RA mimics. However, RAs are generally thought of as vertebrate-specific hormones, and there was no evidence that RAs exist in cyanobacteria or algae blooms. By analyzing RAs and their analogs 4-oxo-RAs in natural cyanobacteria blooms and cultures of cyanobacteria and algae, we showed that cyanobacteria blooms could produce RAs, which were powerful animal teratogens. Intracellular RAs and 4-oxo-RAs with concentrations between 0.4 and 4.2 \u00d7 10(2) ng/L were detected in all bloom materials, and extracellular concentrations measured in water from Taihu Lake, China, were as great as 2.0 \u00d7 10 ng/L, which might pose a risk to wildlife through chronic exposure. Further examination of 39 cyanobacteria and algae species revealed that 32 species could produce RAs and 4-oxo-RAs (1.6-1.4 \u00d7 10(3) ng/g dry weight), and the dominant cyanobacteria species in Taihu Lake, Microcystis flos-aquae and Microcystis aeruginosa, produced high amounts of RAs and 4-oxo-RAs with concentrations of 1.4 \u00d7 10(3) and 3.7 \u00d7 10(2) ng/g dry weight, respectively. Most genera of cyanobacteria that could produce RAs and 4-oxo-RAs, such as Microcystis, Anabaena, and Aphanizomenon, often occur dominantly in blooms. Production of RAs and 4-oxo-RAs by cyanobacteria was associated with species, origin location, and growth stage. These results represent a conclusive demonstration of endogenous production of RAs in freshwater cyanobacteria blooms. The observation of teratogenic RAs in cyanobacteria is evolutionarily and ecologically significant because RAs are vertebrate-specific hormones, and cyanobacteria form extensive and highly visible blooms in many aquatic ecosystems.", "author" : [ { "dropping-particle" : "", "family" : "Wu", "given" : "Xiaoqin", "non-dropping-particle" : "", "parse-names" : false, "suffix" : "" }, { "dropping-particle" : "", "family" : "Jiang", "given" : "Jieqiong", "non-dropping-particle" : "", "parse-names" : false, "suffix" : "" }, { "dropping-particle" : "", "family" : "Wan", "given" : "Yi", "non-dropping-particle" : "", "parse-names" : false, "suffix" : "" }, { "dropping-particle" : "", "family" : "Giesy", "given" : "John P", "non-dropping-particle" : "", "parse-names" : false, "suffix" : "" }, { "dropping-particle" : "", "family" : "Hu", "given" : "Jianying", "non-dropping-particle" : "", "parse-names" : false, "suffix" : "" } ], "container-title" : "Proceedings of the National Academy of Sciences of the United States of America", "id" : "ITEM-1", "issue" : "24", "issued" : { "date-parts" : [ [ "2012", "6", "12" ] ] }, "note" : "RAs and their analogs 4-oxo-RAs in", "page" : "9477-82", "title" : "Cyanobacteria blooms produce teratogenic retinoic acids", "type" : "article-journal", "volume" : "109" }, "uris" : [ "http://www.mendeley.com/documents/?uuid=4a08aae8-f8e3-47a8-99ee-625a89779ab5" ] } ], "mendeley" : { "formattedCitation" : "(Wu et al., 2012)", "manualFormatting" : " Wu et al., 2012", "plainTextFormattedCitation" : "(Wu et al., 2012)", "previouslyFormattedCitation" : "(Wu et al., 2012)"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 xml:space="preserve"> Wu et al., 2012</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 xml:space="preserve">; </w:t>
      </w:r>
      <w:r w:rsidRPr="00755BEF">
        <w:rPr>
          <w:rFonts w:ascii="Times New Roman" w:hAnsi="Times New Roman" w:cs="Times New Roman"/>
          <w:sz w:val="24"/>
          <w:szCs w:val="24"/>
          <w:lang w:val="en-GB"/>
        </w:rPr>
        <w:fldChar w:fldCharType="begin" w:fldLock="1"/>
      </w:r>
      <w:r w:rsidRPr="00755BEF">
        <w:rPr>
          <w:rFonts w:ascii="Times New Roman" w:hAnsi="Times New Roman" w:cs="Times New Roman"/>
          <w:sz w:val="24"/>
          <w:szCs w:val="24"/>
          <w:lang w:val="en-GB"/>
        </w:rPr>
        <w:instrText>ADDIN CSL_CITATION { "citationItems" : [ { "id" : "ITEM-1", "itemData" : { "DOI" : "10.1111/jam.12397", "ISSN" : "1365-2672", "PMID" : "24267817", "abstract" : "AIMS: This study investigated the effect of some cyanobacterial exudates on the level of sex hormones in a mammalian model and to identify the molecules that could act as endocrine disruptor. METHODS AND RESULTS: In this study, the cytotoxicity of purified exudates of some axenic cyanobacterial cultures (Nostoc ellipsosporum, Nostoc muscorum, Anabaena oryzae &amp; Anabaena. sp.) was evaluated against normal melanocyte cell line (HFB4). The intraperitoneal injection of the cyanobacterial exudates demonstrated a marked disturbance in the serum level of testosterone, progesterone, follicular stimulating hormone (FSH) and luteinizing hormone (LH) of male mice. GC-MS and LC-MS/MS analysis showed the presence of some sterol-like compounds in the cyanobacterial filtrates. CONCLUSIONS: This work demonstrated that the nontoxic cyanobacterial species have the ability to produce some bioactive compounds into their surroundings that can disrupt the mammalian reproductive hormones. SIGNIFICANCE AND IMPACT OF STUDY: The cyanobacterial extracellular bioactive molecules can affect on the production of the sex hormones via positive and negative feedback and may be a risk to human beings.", "author" : [ { "dropping-particle" : "", "family" : "Essa", "given" : "A M M", "non-dropping-particle" : "", "parse-names" : false, "suffix" : "" }, { "dropping-particle" : "", "family" : "Fathy", "given" : "S M", "non-dropping-particle" : "", "parse-names" : false, "suffix" : "" } ], "container-title" : "Journal of applied microbiology", "id" : "ITEM-1", "issue" : "3", "issued" : { "date-parts" : [ [ "2014", "11", "22" ] ] }, "note" : "cyanobacterial exudates\n-melanocyte cell line\n-male mice\n\n\nin the serum level of testosterone, progesterone, follicular stimulating hormone (FSH) and luteinizing hormone (in mice)\nGC-MS and LC\u2013MS/MS analysis - some sterol-like compounds in the cyanobacterial filtrates\n\n\nproduce some extracellular bioactive compounds into their sur- roundings that can disrupt the mammalian reproductive hormones.", "page" : "700-709", "title" : "Sex hormonal disruption by cyanobacterial bioactive compounds.", "type" : "article-journal", "volume" : "116" }, "uris" : [ "http://www.mendeley.com/documents/?uuid=60869f73-962d-47d9-b4f3-cf5aac09e0ea" ] } ], "mendeley" : { "formattedCitation" : "(Essa and Fathy, 2014)", "manualFormatting" : "Essa and Fathy, 2013)", "plainTextFormattedCitation" : "(Essa and Fathy, 2014)", "previouslyFormattedCitation" : "(Essa and Fathy, 2014)" }, "properties" : { "noteIndex" : 0 }, "schema" : "https://github.com/citation-style-language/schema/raw/master/csl-citation.json" }</w:instrText>
      </w:r>
      <w:r w:rsidRPr="00755BEF">
        <w:rPr>
          <w:rFonts w:ascii="Times New Roman" w:hAnsi="Times New Roman" w:cs="Times New Roman"/>
          <w:sz w:val="24"/>
          <w:szCs w:val="24"/>
          <w:lang w:val="en-GB"/>
        </w:rPr>
        <w:fldChar w:fldCharType="separate"/>
      </w:r>
      <w:r w:rsidRPr="00755BEF">
        <w:rPr>
          <w:rFonts w:ascii="Times New Roman" w:hAnsi="Times New Roman" w:cs="Times New Roman"/>
          <w:noProof/>
          <w:sz w:val="24"/>
          <w:szCs w:val="24"/>
          <w:lang w:val="en-GB"/>
        </w:rPr>
        <w:t>Essa and Fathy, 2013)</w:t>
      </w:r>
      <w:r w:rsidRPr="00755BEF">
        <w:rPr>
          <w:rFonts w:ascii="Times New Roman" w:hAnsi="Times New Roman" w:cs="Times New Roman"/>
          <w:sz w:val="24"/>
          <w:szCs w:val="24"/>
          <w:lang w:val="en-GB"/>
        </w:rPr>
        <w:fldChar w:fldCharType="end"/>
      </w:r>
      <w:r w:rsidRPr="00755BEF">
        <w:rPr>
          <w:rFonts w:ascii="Times New Roman" w:hAnsi="Times New Roman" w:cs="Times New Roman"/>
          <w:sz w:val="24"/>
          <w:szCs w:val="24"/>
          <w:lang w:val="en-GB"/>
        </w:rPr>
        <w:t>. Nevertheless, evidence of endocrine disruptive (ED) effects of compounds produced by cyanobacteria species are limited.</w:t>
      </w:r>
    </w:p>
    <w:sectPr w:rsidR="00743347" w:rsidRPr="00755BEF" w:rsidSect="00123E6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ˇ¦|ˇ¦¨§ˇ¦|ˇ§ˇě?"/>
    <w:panose1 w:val="02010600030101010101"/>
    <w:charset w:val="86"/>
    <w:family w:val="auto"/>
    <w:pitch w:val="variable"/>
    <w:sig w:usb0="00000003" w:usb1="288F0000" w:usb2="00000016" w:usb3="00000000" w:csb0="00040001"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302AC"/>
    <w:multiLevelType w:val="hybridMultilevel"/>
    <w:tmpl w:val="80E8A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47"/>
    <w:rsid w:val="00123E66"/>
    <w:rsid w:val="00631862"/>
    <w:rsid w:val="00743347"/>
    <w:rsid w:val="00755BEF"/>
    <w:rsid w:val="00B5744B"/>
    <w:rsid w:val="00E000DF"/>
    <w:rsid w:val="00E74E3C"/>
    <w:rsid w:val="00F23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22C5-A6B1-4FEE-B92E-898D85AC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minrka-U0">
    <w:name w:val="Seminárka - U0"/>
    <w:basedOn w:val="Normln"/>
    <w:link w:val="Seminrka-U0Char"/>
    <w:uiPriority w:val="99"/>
    <w:rsid w:val="00E000DF"/>
    <w:pPr>
      <w:tabs>
        <w:tab w:val="left" w:pos="3330"/>
      </w:tabs>
      <w:spacing w:before="120" w:after="120" w:line="360" w:lineRule="auto"/>
      <w:ind w:firstLine="284"/>
      <w:jc w:val="both"/>
    </w:pPr>
    <w:rPr>
      <w:rFonts w:ascii="Cambria" w:eastAsia="SimSun" w:hAnsi="Cambria" w:cs="Times New Roman"/>
      <w:b/>
      <w:bCs/>
      <w:sz w:val="24"/>
      <w:szCs w:val="24"/>
      <w:lang w:eastAsia="zh-CN"/>
    </w:rPr>
  </w:style>
  <w:style w:type="character" w:customStyle="1" w:styleId="Seminrka-U0Char">
    <w:name w:val="Seminárka - U0 Char"/>
    <w:basedOn w:val="Standardnpsmoodstavce"/>
    <w:link w:val="Seminrka-U0"/>
    <w:uiPriority w:val="99"/>
    <w:locked/>
    <w:rsid w:val="00E000DF"/>
    <w:rPr>
      <w:rFonts w:ascii="Cambria" w:eastAsia="SimSun" w:hAnsi="Cambria" w:cs="Times New Roman"/>
      <w:b/>
      <w:bCs/>
      <w:sz w:val="24"/>
      <w:szCs w:val="24"/>
      <w:lang w:eastAsia="zh-CN"/>
    </w:rPr>
  </w:style>
  <w:style w:type="paragraph" w:styleId="Bezmezer">
    <w:name w:val="No Spacing"/>
    <w:uiPriority w:val="1"/>
    <w:qFormat/>
    <w:rsid w:val="00E000DF"/>
    <w:pPr>
      <w:spacing w:after="0" w:line="240" w:lineRule="auto"/>
    </w:pPr>
  </w:style>
  <w:style w:type="paragraph" w:customStyle="1" w:styleId="Default">
    <w:name w:val="Default"/>
    <w:rsid w:val="00E000DF"/>
    <w:pPr>
      <w:autoSpaceDE w:val="0"/>
      <w:autoSpaceDN w:val="0"/>
      <w:adjustRightInd w:val="0"/>
      <w:spacing w:after="0" w:line="240" w:lineRule="auto"/>
    </w:pPr>
    <w:rPr>
      <w:rFonts w:ascii="Calibri" w:hAnsi="Calibri" w:cs="Calibri"/>
      <w:color w:val="000000"/>
      <w:sz w:val="24"/>
      <w:szCs w:val="24"/>
    </w:rPr>
  </w:style>
  <w:style w:type="paragraph" w:customStyle="1" w:styleId="disertacenormln">
    <w:name w:val="disertace normální"/>
    <w:basedOn w:val="Normln"/>
    <w:link w:val="disertacenormlnCharChar"/>
    <w:uiPriority w:val="99"/>
    <w:rsid w:val="00E74E3C"/>
    <w:pPr>
      <w:adjustRightInd w:val="0"/>
      <w:spacing w:after="240" w:line="288" w:lineRule="auto"/>
      <w:jc w:val="both"/>
      <w:textAlignment w:val="baseline"/>
    </w:pPr>
    <w:rPr>
      <w:rFonts w:ascii="Times New Roman" w:eastAsia="Calibri" w:hAnsi="Times New Roman" w:cs="Times New Roman"/>
      <w:sz w:val="24"/>
      <w:szCs w:val="24"/>
      <w:lang w:val="en-GB"/>
    </w:rPr>
  </w:style>
  <w:style w:type="character" w:customStyle="1" w:styleId="disertacenormlnCharChar">
    <w:name w:val="disertace normální Char Char"/>
    <w:basedOn w:val="Standardnpsmoodstavce"/>
    <w:link w:val="disertacenormln"/>
    <w:uiPriority w:val="99"/>
    <w:locked/>
    <w:rsid w:val="00E74E3C"/>
    <w:rPr>
      <w:rFonts w:ascii="Times New Roman" w:eastAsia="Calibri" w:hAnsi="Times New Roman" w:cs="Times New Roman"/>
      <w:sz w:val="24"/>
      <w:szCs w:val="24"/>
      <w:lang w:val="en-GB"/>
    </w:rPr>
  </w:style>
  <w:style w:type="paragraph" w:styleId="Odstavecseseznamem">
    <w:name w:val="List Paragraph"/>
    <w:basedOn w:val="Normln"/>
    <w:uiPriority w:val="34"/>
    <w:qFormat/>
    <w:rsid w:val="0075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5247</Words>
  <Characters>30962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Šalamoun</dc:creator>
  <cp:keywords/>
  <dc:description/>
  <cp:lastModifiedBy>Šalamoun</cp:lastModifiedBy>
  <cp:revision>3</cp:revision>
  <cp:lastPrinted>2016-04-05T09:33:00Z</cp:lastPrinted>
  <dcterms:created xsi:type="dcterms:W3CDTF">2016-04-05T08:47:00Z</dcterms:created>
  <dcterms:modified xsi:type="dcterms:W3CDTF">2016-04-05T09:35:00Z</dcterms:modified>
</cp:coreProperties>
</file>