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87" w:rsidRPr="00274045" w:rsidRDefault="00314587" w:rsidP="00314587">
      <w:pPr>
        <w:jc w:val="center"/>
        <w:rPr>
          <w:b/>
          <w:sz w:val="36"/>
          <w:szCs w:val="36"/>
        </w:rPr>
      </w:pPr>
      <w:r w:rsidRPr="00274045">
        <w:rPr>
          <w:b/>
          <w:sz w:val="36"/>
          <w:szCs w:val="36"/>
        </w:rPr>
        <w:t xml:space="preserve">Cvičení </w:t>
      </w:r>
      <w:r>
        <w:rPr>
          <w:b/>
          <w:sz w:val="36"/>
          <w:szCs w:val="36"/>
        </w:rPr>
        <w:t>7</w:t>
      </w:r>
      <w:r w:rsidRPr="00274045">
        <w:rPr>
          <w:b/>
          <w:sz w:val="36"/>
          <w:szCs w:val="36"/>
        </w:rPr>
        <w:t>. –</w:t>
      </w:r>
      <w:r>
        <w:rPr>
          <w:b/>
          <w:sz w:val="36"/>
          <w:szCs w:val="36"/>
        </w:rPr>
        <w:t xml:space="preserve"> </w:t>
      </w:r>
      <w:r w:rsidRPr="00274045">
        <w:rPr>
          <w:b/>
          <w:sz w:val="36"/>
          <w:szCs w:val="36"/>
        </w:rPr>
        <w:t>Nezaměstnanost</w:t>
      </w:r>
      <w:r>
        <w:rPr>
          <w:b/>
          <w:sz w:val="36"/>
          <w:szCs w:val="36"/>
        </w:rPr>
        <w:t xml:space="preserve"> (řešení)</w:t>
      </w:r>
    </w:p>
    <w:p w:rsidR="00314587" w:rsidRDefault="00314587" w:rsidP="00314587"/>
    <w:p w:rsidR="00314587" w:rsidRDefault="00314587" w:rsidP="00314587"/>
    <w:p w:rsidR="00314587" w:rsidRDefault="00314587" w:rsidP="00314587">
      <w:pPr>
        <w:pStyle w:val="Odstavecseseznamem"/>
        <w:numPr>
          <w:ilvl w:val="0"/>
          <w:numId w:val="1"/>
        </w:numPr>
        <w:jc w:val="both"/>
      </w:pPr>
      <w:r>
        <w:t xml:space="preserve">a) Míra nezaměstnanosti ve stálém stavu je situace, kdy počet lidí nacházejících práci je roven počtu lidí ztrácející práci: fU=sE. Počet zaměstnaných můžeme vyjádřit jako     E = L – U.  Potom U/L = s/f+s = (0.05)/(0.07+0.05)*100 = 41.7%. Protože v pracovní síle je 500 lidí, potom počet nezaměstnaných je 0.417*500=208. </w:t>
      </w:r>
    </w:p>
    <w:p w:rsidR="00314587" w:rsidRDefault="00314587" w:rsidP="00314587">
      <w:pPr>
        <w:pStyle w:val="Odstavecseseznamem"/>
        <w:jc w:val="both"/>
      </w:pPr>
    </w:p>
    <w:p w:rsidR="00314587" w:rsidRDefault="00314587" w:rsidP="00314587">
      <w:pPr>
        <w:pStyle w:val="Odstavecseseznamem"/>
        <w:jc w:val="both"/>
      </w:pPr>
      <w:r>
        <w:t>b) Pokud míra ztráty práce klesne na 3%, potom míra nezaměstnanosti ve stálém stavu klesne na U/L = 0.03/(0.07+0.03) = 30%. Počet nezaměstnaných se sníží na 150</w:t>
      </w:r>
    </w:p>
    <w:p w:rsidR="00314587" w:rsidRDefault="00314587" w:rsidP="00314587">
      <w:pPr>
        <w:pStyle w:val="Odstavecseseznamem"/>
        <w:jc w:val="both"/>
      </w:pPr>
    </w:p>
    <w:p w:rsidR="00314587" w:rsidRDefault="00314587" w:rsidP="00314587">
      <w:pPr>
        <w:pStyle w:val="Odstavecseseznamem"/>
        <w:jc w:val="both"/>
      </w:pPr>
      <w:r>
        <w:t>c) Nová míra nezaměstnanosti se okamžitě zvýší v důsledku přírůstku 100 nezaměstnaných lidí na (150+100)/600*100 = 41.7%. Míra nezaměstnanosti ve stálém stavu se nezmění a zůstává na 30%. Počet nezaměstnaných se jednorázově zvýší na 250 a potom bude pomalu klesat na hodnotu 180 (0.3*600).</w:t>
      </w:r>
    </w:p>
    <w:p w:rsidR="00314587" w:rsidRDefault="00314587" w:rsidP="00314587">
      <w:pPr>
        <w:jc w:val="both"/>
      </w:pPr>
    </w:p>
    <w:p w:rsidR="00314587" w:rsidRDefault="00314587" w:rsidP="00314587">
      <w:pPr>
        <w:jc w:val="both"/>
      </w:pPr>
      <w:r>
        <w:t>2. Například pomocí změn a úprav pojištění v nezaměstnanosti, rekvalifikací, zákoníku práce, fungování úřadů práce……</w:t>
      </w:r>
    </w:p>
    <w:p w:rsidR="00314587" w:rsidRDefault="00314587" w:rsidP="00314587">
      <w:pPr>
        <w:jc w:val="both"/>
      </w:pPr>
    </w:p>
    <w:p w:rsidR="00314587" w:rsidRDefault="00314587" w:rsidP="00314587">
      <w:pPr>
        <w:jc w:val="both"/>
      </w:pPr>
      <w:r>
        <w:t xml:space="preserve">    3.        </w:t>
      </w:r>
    </w:p>
    <w:tbl>
      <w:tblPr>
        <w:tblStyle w:val="Mkatabulky"/>
        <w:tblW w:w="0" w:type="auto"/>
        <w:tblLook w:val="04A0"/>
      </w:tblPr>
      <w:tblGrid>
        <w:gridCol w:w="4077"/>
        <w:gridCol w:w="1985"/>
        <w:gridCol w:w="1701"/>
        <w:gridCol w:w="1449"/>
      </w:tblGrid>
      <w:tr w:rsidR="00314587" w:rsidTr="00314587">
        <w:tc>
          <w:tcPr>
            <w:tcW w:w="4077" w:type="dxa"/>
          </w:tcPr>
          <w:p w:rsidR="00314587" w:rsidRDefault="00314587" w:rsidP="00314587">
            <w:pPr>
              <w:jc w:val="both"/>
            </w:pPr>
          </w:p>
        </w:tc>
        <w:tc>
          <w:tcPr>
            <w:tcW w:w="1985" w:type="dxa"/>
          </w:tcPr>
          <w:p w:rsidR="00314587" w:rsidRPr="00314587" w:rsidRDefault="00314587" w:rsidP="00314587">
            <w:pPr>
              <w:jc w:val="center"/>
              <w:rPr>
                <w:b/>
                <w:sz w:val="28"/>
                <w:szCs w:val="28"/>
              </w:rPr>
            </w:pPr>
            <w:r w:rsidRPr="00314587">
              <w:rPr>
                <w:b/>
                <w:sz w:val="28"/>
                <w:szCs w:val="28"/>
              </w:rPr>
              <w:t>u</w:t>
            </w:r>
          </w:p>
        </w:tc>
        <w:tc>
          <w:tcPr>
            <w:tcW w:w="1701" w:type="dxa"/>
          </w:tcPr>
          <w:p w:rsidR="00314587" w:rsidRPr="00314587" w:rsidRDefault="00314587" w:rsidP="00314587">
            <w:pPr>
              <w:jc w:val="center"/>
              <w:rPr>
                <w:b/>
                <w:sz w:val="28"/>
                <w:szCs w:val="28"/>
              </w:rPr>
            </w:pPr>
            <w:r w:rsidRPr="00314587">
              <w:rPr>
                <w:b/>
                <w:sz w:val="28"/>
                <w:szCs w:val="28"/>
              </w:rPr>
              <w:t>W/P</w:t>
            </w:r>
          </w:p>
        </w:tc>
        <w:tc>
          <w:tcPr>
            <w:tcW w:w="1449" w:type="dxa"/>
          </w:tcPr>
          <w:p w:rsidR="00314587" w:rsidRPr="00314587" w:rsidRDefault="00314587" w:rsidP="00314587">
            <w:pPr>
              <w:jc w:val="center"/>
              <w:rPr>
                <w:b/>
                <w:sz w:val="28"/>
                <w:szCs w:val="28"/>
              </w:rPr>
            </w:pPr>
            <w:r w:rsidRPr="00314587">
              <w:rPr>
                <w:b/>
                <w:sz w:val="28"/>
                <w:szCs w:val="28"/>
              </w:rPr>
              <w:t>Time</w:t>
            </w:r>
          </w:p>
        </w:tc>
      </w:tr>
      <w:tr w:rsidR="00314587" w:rsidTr="00314587">
        <w:tc>
          <w:tcPr>
            <w:tcW w:w="4077" w:type="dxa"/>
          </w:tcPr>
          <w:p w:rsidR="00314587" w:rsidRDefault="00314587" w:rsidP="00314587">
            <w:pPr>
              <w:jc w:val="both"/>
            </w:pPr>
            <w:r>
              <w:t>a) zvýšení členství v odborech</w:t>
            </w:r>
          </w:p>
        </w:tc>
        <w:tc>
          <w:tcPr>
            <w:tcW w:w="1985" w:type="dxa"/>
          </w:tcPr>
          <w:p w:rsidR="00314587" w:rsidRDefault="00314587" w:rsidP="00314587">
            <w:pPr>
              <w:jc w:val="center"/>
            </w:pPr>
            <w:r>
              <w:t>+</w:t>
            </w:r>
          </w:p>
        </w:tc>
        <w:tc>
          <w:tcPr>
            <w:tcW w:w="1701" w:type="dxa"/>
          </w:tcPr>
          <w:p w:rsidR="00314587" w:rsidRDefault="00314587" w:rsidP="00314587">
            <w:pPr>
              <w:jc w:val="center"/>
            </w:pPr>
            <w:r>
              <w:t>+</w:t>
            </w:r>
          </w:p>
        </w:tc>
        <w:tc>
          <w:tcPr>
            <w:tcW w:w="1449" w:type="dxa"/>
          </w:tcPr>
          <w:p w:rsidR="00314587" w:rsidRDefault="00314587" w:rsidP="00314587">
            <w:pPr>
              <w:jc w:val="center"/>
            </w:pPr>
            <w:r>
              <w:t>+</w:t>
            </w:r>
          </w:p>
        </w:tc>
      </w:tr>
      <w:tr w:rsidR="00314587" w:rsidTr="00314587">
        <w:tc>
          <w:tcPr>
            <w:tcW w:w="4077" w:type="dxa"/>
          </w:tcPr>
          <w:p w:rsidR="00314587" w:rsidRDefault="00314587" w:rsidP="00314587">
            <w:pPr>
              <w:jc w:val="both"/>
            </w:pPr>
            <w:r>
              <w:t>b) snížení minimální mzdy</w:t>
            </w:r>
          </w:p>
        </w:tc>
        <w:tc>
          <w:tcPr>
            <w:tcW w:w="1985" w:type="dxa"/>
          </w:tcPr>
          <w:p w:rsidR="00314587" w:rsidRDefault="00314587" w:rsidP="00314587">
            <w:pPr>
              <w:jc w:val="center"/>
            </w:pPr>
            <w:r>
              <w:t>-</w:t>
            </w:r>
          </w:p>
        </w:tc>
        <w:tc>
          <w:tcPr>
            <w:tcW w:w="1701" w:type="dxa"/>
          </w:tcPr>
          <w:p w:rsidR="00314587" w:rsidRDefault="00314587" w:rsidP="00314587">
            <w:pPr>
              <w:jc w:val="center"/>
            </w:pPr>
            <w:r>
              <w:t>-</w:t>
            </w:r>
          </w:p>
        </w:tc>
        <w:tc>
          <w:tcPr>
            <w:tcW w:w="1449" w:type="dxa"/>
          </w:tcPr>
          <w:p w:rsidR="00314587" w:rsidRDefault="00314587" w:rsidP="00314587">
            <w:pPr>
              <w:jc w:val="center"/>
            </w:pPr>
            <w:r>
              <w:t>-</w:t>
            </w:r>
          </w:p>
        </w:tc>
      </w:tr>
      <w:tr w:rsidR="00314587" w:rsidTr="00314587">
        <w:tc>
          <w:tcPr>
            <w:tcW w:w="4077" w:type="dxa"/>
          </w:tcPr>
          <w:p w:rsidR="00314587" w:rsidRDefault="00314587" w:rsidP="00314587">
            <w:pPr>
              <w:jc w:val="both"/>
            </w:pPr>
            <w:r>
              <w:t>c) zvýšení dávek v nezaměstnanosti</w:t>
            </w:r>
          </w:p>
        </w:tc>
        <w:tc>
          <w:tcPr>
            <w:tcW w:w="1985" w:type="dxa"/>
          </w:tcPr>
          <w:p w:rsidR="00314587" w:rsidRDefault="00314587" w:rsidP="00314587">
            <w:pPr>
              <w:jc w:val="center"/>
            </w:pPr>
            <w:r>
              <w:t>+</w:t>
            </w:r>
          </w:p>
        </w:tc>
        <w:tc>
          <w:tcPr>
            <w:tcW w:w="1701" w:type="dxa"/>
          </w:tcPr>
          <w:p w:rsidR="00314587" w:rsidRDefault="00314587" w:rsidP="00314587">
            <w:pPr>
              <w:jc w:val="center"/>
            </w:pPr>
            <w:r>
              <w:t>+</w:t>
            </w:r>
          </w:p>
        </w:tc>
        <w:tc>
          <w:tcPr>
            <w:tcW w:w="1449" w:type="dxa"/>
          </w:tcPr>
          <w:p w:rsidR="00314587" w:rsidRDefault="00314587" w:rsidP="00314587">
            <w:pPr>
              <w:jc w:val="center"/>
            </w:pPr>
            <w:r>
              <w:t>+</w:t>
            </w:r>
          </w:p>
        </w:tc>
      </w:tr>
      <w:tr w:rsidR="00314587" w:rsidTr="00314587">
        <w:tc>
          <w:tcPr>
            <w:tcW w:w="4077" w:type="dxa"/>
          </w:tcPr>
          <w:p w:rsidR="00314587" w:rsidRDefault="00314587" w:rsidP="00314587">
            <w:pPr>
              <w:jc w:val="both"/>
            </w:pPr>
            <w:r>
              <w:t>d) efektivnostní mzdy ve firmách</w:t>
            </w:r>
          </w:p>
        </w:tc>
        <w:tc>
          <w:tcPr>
            <w:tcW w:w="1985" w:type="dxa"/>
          </w:tcPr>
          <w:p w:rsidR="00314587" w:rsidRDefault="00314587" w:rsidP="00314587">
            <w:pPr>
              <w:jc w:val="center"/>
            </w:pPr>
            <w:r>
              <w:t>+/-/0</w:t>
            </w:r>
          </w:p>
        </w:tc>
        <w:tc>
          <w:tcPr>
            <w:tcW w:w="1701" w:type="dxa"/>
          </w:tcPr>
          <w:p w:rsidR="00314587" w:rsidRDefault="00314587" w:rsidP="00314587">
            <w:pPr>
              <w:jc w:val="center"/>
            </w:pPr>
            <w:r>
              <w:t>+</w:t>
            </w:r>
          </w:p>
        </w:tc>
        <w:tc>
          <w:tcPr>
            <w:tcW w:w="1449" w:type="dxa"/>
          </w:tcPr>
          <w:p w:rsidR="00314587" w:rsidRDefault="00314587" w:rsidP="00314587">
            <w:pPr>
              <w:jc w:val="center"/>
            </w:pPr>
            <w:r>
              <w:t>+</w:t>
            </w:r>
          </w:p>
        </w:tc>
      </w:tr>
      <w:tr w:rsidR="00314587" w:rsidTr="00314587">
        <w:tc>
          <w:tcPr>
            <w:tcW w:w="4077" w:type="dxa"/>
          </w:tcPr>
          <w:p w:rsidR="00314587" w:rsidRDefault="00314587" w:rsidP="00314587">
            <w:pPr>
              <w:jc w:val="both"/>
            </w:pPr>
            <w:r>
              <w:t>e) vyšší účast žen na trhu práce</w:t>
            </w:r>
          </w:p>
        </w:tc>
        <w:tc>
          <w:tcPr>
            <w:tcW w:w="1985" w:type="dxa"/>
          </w:tcPr>
          <w:p w:rsidR="00314587" w:rsidRDefault="00314587" w:rsidP="00314587">
            <w:pPr>
              <w:jc w:val="center"/>
            </w:pPr>
            <w:r>
              <w:t>+</w:t>
            </w:r>
          </w:p>
        </w:tc>
        <w:tc>
          <w:tcPr>
            <w:tcW w:w="1701" w:type="dxa"/>
          </w:tcPr>
          <w:p w:rsidR="00314587" w:rsidRDefault="00314587" w:rsidP="00314587">
            <w:pPr>
              <w:jc w:val="center"/>
            </w:pPr>
            <w:r>
              <w:t>-</w:t>
            </w:r>
          </w:p>
        </w:tc>
        <w:tc>
          <w:tcPr>
            <w:tcW w:w="1449" w:type="dxa"/>
          </w:tcPr>
          <w:p w:rsidR="00314587" w:rsidRDefault="00314587" w:rsidP="00314587">
            <w:pPr>
              <w:jc w:val="center"/>
            </w:pPr>
            <w:r>
              <w:t>+</w:t>
            </w:r>
          </w:p>
        </w:tc>
      </w:tr>
      <w:tr w:rsidR="00314587" w:rsidTr="00314587">
        <w:tc>
          <w:tcPr>
            <w:tcW w:w="4077" w:type="dxa"/>
          </w:tcPr>
          <w:p w:rsidR="00314587" w:rsidRDefault="00314587" w:rsidP="00314587">
            <w:pPr>
              <w:jc w:val="both"/>
            </w:pPr>
            <w:r>
              <w:t>f) vyšší volatilita spotřeby a investic</w:t>
            </w:r>
          </w:p>
        </w:tc>
        <w:tc>
          <w:tcPr>
            <w:tcW w:w="1985" w:type="dxa"/>
          </w:tcPr>
          <w:p w:rsidR="00314587" w:rsidRDefault="00314587" w:rsidP="00314587">
            <w:pPr>
              <w:jc w:val="center"/>
            </w:pPr>
            <w:r>
              <w:t>+</w:t>
            </w:r>
          </w:p>
        </w:tc>
        <w:tc>
          <w:tcPr>
            <w:tcW w:w="1701" w:type="dxa"/>
          </w:tcPr>
          <w:p w:rsidR="00314587" w:rsidRDefault="00314587" w:rsidP="00314587">
            <w:pPr>
              <w:jc w:val="center"/>
            </w:pPr>
            <w:r>
              <w:t>0</w:t>
            </w:r>
          </w:p>
        </w:tc>
        <w:tc>
          <w:tcPr>
            <w:tcW w:w="1449" w:type="dxa"/>
          </w:tcPr>
          <w:p w:rsidR="00314587" w:rsidRDefault="00314587" w:rsidP="00314587">
            <w:pPr>
              <w:jc w:val="center"/>
            </w:pPr>
            <w:r>
              <w:t>0</w:t>
            </w:r>
          </w:p>
        </w:tc>
      </w:tr>
    </w:tbl>
    <w:p w:rsidR="00314587" w:rsidRDefault="00314587" w:rsidP="00314587">
      <w:pPr>
        <w:jc w:val="both"/>
      </w:pPr>
    </w:p>
    <w:p w:rsidR="00330BEF" w:rsidRDefault="00314587" w:rsidP="00314587">
      <w:pPr>
        <w:jc w:val="both"/>
      </w:pPr>
      <w:r>
        <w:t xml:space="preserve">Pozn: Vliv zavedení efektivnostních mezd na míru nezaměstnanosti je nejednoznačný. Na jednu stranu snižuje s, protože motivuje zaměstnance udržet si pracovní místo, na druhou stranu snižuje f, protože vyšší než rovnovážné mzdy zhoršují schopnost nezaměstnaných naleznout pracovní místo. Který efekt převáží, nemůžeme z tohoto zadání jednoznačně určit.  U žen předpokládáme jejich skutečné charakteristiky na trhu práce, tj. nižší mzdy, vyšší nezaměstnanost a delší dobu hledání práce. Pokud bychom modelově předpokládali, že muži a ženy se ve svých pracovních charakteristikách neliší, potom by odpověď byla 0-0-0. U volatility C a I předpokládáme, že zvýší s. </w:t>
      </w:r>
    </w:p>
    <w:p w:rsidR="00314587" w:rsidRDefault="00314587" w:rsidP="00314587">
      <w:pPr>
        <w:jc w:val="both"/>
      </w:pPr>
    </w:p>
    <w:p w:rsidR="00314587" w:rsidRPr="00314587" w:rsidRDefault="00314587" w:rsidP="00314587">
      <w:pPr>
        <w:jc w:val="both"/>
      </w:pPr>
      <w:r w:rsidRPr="00314587">
        <w:t>4. a) výpočet stálého stavu (viz přednáška č. 7 – Solow model)</w:t>
      </w:r>
    </w:p>
    <w:p w:rsidR="00314587" w:rsidRPr="00314587" w:rsidRDefault="00314587" w:rsidP="00314587">
      <w:pPr>
        <w:jc w:val="both"/>
      </w:pPr>
      <w:r w:rsidRPr="00314587">
        <w:t xml:space="preserve">         s*f(k) = ∂*k</w:t>
      </w:r>
    </w:p>
    <w:p w:rsidR="00314587" w:rsidRPr="00314587" w:rsidRDefault="00314587" w:rsidP="00314587">
      <w:pPr>
        <w:jc w:val="both"/>
      </w:pPr>
      <w:r w:rsidRPr="00314587">
        <w:t xml:space="preserve">         0.2*k</w:t>
      </w:r>
      <w:r w:rsidRPr="00314587">
        <w:rPr>
          <w:vertAlign w:val="superscript"/>
        </w:rPr>
        <w:t>0.5</w:t>
      </w:r>
      <w:r w:rsidRPr="00314587">
        <w:t xml:space="preserve"> = 0.06*k</w:t>
      </w:r>
    </w:p>
    <w:p w:rsidR="00314587" w:rsidRPr="00314587" w:rsidRDefault="00314587" w:rsidP="00314587">
      <w:pPr>
        <w:jc w:val="both"/>
      </w:pPr>
      <w:r w:rsidRPr="00314587">
        <w:t xml:space="preserve">                k = 3,33</w:t>
      </w:r>
      <w:r w:rsidRPr="00314587">
        <w:rPr>
          <w:vertAlign w:val="superscript"/>
        </w:rPr>
        <w:t>2</w:t>
      </w:r>
      <w:r w:rsidRPr="00314587">
        <w:t xml:space="preserve"> = 11.1</w:t>
      </w:r>
    </w:p>
    <w:p w:rsidR="00314587" w:rsidRPr="00314587" w:rsidRDefault="00314587" w:rsidP="00314587">
      <w:pPr>
        <w:jc w:val="both"/>
      </w:pPr>
      <w:r w:rsidRPr="00314587">
        <w:t xml:space="preserve">                y = k</w:t>
      </w:r>
      <w:r w:rsidRPr="00314587">
        <w:rPr>
          <w:vertAlign w:val="superscript"/>
        </w:rPr>
        <w:t>0.5</w:t>
      </w:r>
      <w:r w:rsidRPr="00314587">
        <w:t xml:space="preserve"> =      3.33</w:t>
      </w:r>
    </w:p>
    <w:p w:rsidR="00314587" w:rsidRPr="00314587" w:rsidRDefault="00314587" w:rsidP="00314587">
      <w:pPr>
        <w:jc w:val="both"/>
      </w:pPr>
    </w:p>
    <w:p w:rsidR="00314587" w:rsidRPr="00314587" w:rsidRDefault="00314587" w:rsidP="00314587">
      <w:pPr>
        <w:jc w:val="both"/>
      </w:pPr>
      <w:r w:rsidRPr="00314587">
        <w:t xml:space="preserve">    b) U/L = s/f+s = 0.02/0.1 = 0.2 = 20%   U = 20 lidí</w:t>
      </w:r>
    </w:p>
    <w:p w:rsidR="00314587" w:rsidRPr="00314587" w:rsidRDefault="00314587" w:rsidP="00314587">
      <w:pPr>
        <w:jc w:val="both"/>
      </w:pPr>
    </w:p>
    <w:p w:rsidR="00314587" w:rsidRPr="00314587" w:rsidRDefault="00314587" w:rsidP="00314587">
      <w:pPr>
        <w:jc w:val="both"/>
      </w:pPr>
      <w:r w:rsidRPr="00314587">
        <w:t xml:space="preserve">    c) Y = 80*3.33 = 266.4       K= 80*11.1 = 888</w:t>
      </w:r>
    </w:p>
    <w:p w:rsidR="00314587" w:rsidRPr="00314587" w:rsidRDefault="00314587" w:rsidP="00314587">
      <w:pPr>
        <w:jc w:val="both"/>
      </w:pPr>
      <w:r w:rsidRPr="00314587">
        <w:t xml:space="preserve"> </w:t>
      </w:r>
    </w:p>
    <w:p w:rsidR="00314587" w:rsidRPr="00314587" w:rsidRDefault="00314587" w:rsidP="00314587">
      <w:pPr>
        <w:jc w:val="both"/>
      </w:pPr>
      <w:r w:rsidRPr="00314587">
        <w:t xml:space="preserve">    d) a) nebude ovlivněno</w:t>
      </w:r>
    </w:p>
    <w:p w:rsidR="00314587" w:rsidRPr="00314587" w:rsidRDefault="00314587" w:rsidP="00314587">
      <w:pPr>
        <w:jc w:val="both"/>
      </w:pPr>
      <w:r w:rsidRPr="00314587">
        <w:t xml:space="preserve">        b) u = 16,6%; U = 17 lidí</w:t>
      </w:r>
    </w:p>
    <w:p w:rsidR="00314587" w:rsidRDefault="00314587" w:rsidP="00314587">
      <w:pPr>
        <w:jc w:val="both"/>
      </w:pPr>
      <w:r w:rsidRPr="00314587">
        <w:t xml:space="preserve">       c) Y = 83*3.33 = 276.4      K = 83*11.1 = 921.3</w:t>
      </w:r>
    </w:p>
    <w:p w:rsidR="00314587" w:rsidRDefault="00314587" w:rsidP="00314587">
      <w:pPr>
        <w:jc w:val="both"/>
      </w:pPr>
      <w:r>
        <w:lastRenderedPageBreak/>
        <w:t xml:space="preserve">5. Nejedná se (pravděpodobně) o zvýšení přirozené míry nezaměstnanosti. Příčinou zvýšení nezaměstnanosti byl krátkodobý cyklický výkyv ekonomiky (viz modely krátkého období – přednášky 9-13) a lze očekávat, že po odeznění recese se vrátíme zpátky na přirozenou míru nezaměstnanosti (pokud předpokládáme, že 6% je přirozená míra nezaměstnanosti v ČR). K nárůstu přirozené míry nezaměstnanosti by mohlo dojít pouze pokud by současná recese </w:t>
      </w:r>
      <w:r w:rsidRPr="00314587">
        <w:rPr>
          <w:u w:val="single"/>
        </w:rPr>
        <w:t>dlouhodobě</w:t>
      </w:r>
      <w:r>
        <w:t xml:space="preserve"> zvýšila s nebo snížila f, například díky tomu, že by současní nezaměstnaní během dlouhé recese ztratili pracovní návyky a obtížně si pak po skončení recese hledali práci. </w:t>
      </w:r>
    </w:p>
    <w:p w:rsidR="00314587" w:rsidRDefault="00314587" w:rsidP="00314587">
      <w:pPr>
        <w:jc w:val="both"/>
      </w:pPr>
    </w:p>
    <w:p w:rsidR="00314587" w:rsidRDefault="00314587" w:rsidP="00314587">
      <w:pPr>
        <w:jc w:val="both"/>
      </w:pPr>
      <w:r>
        <w:t>6. Například:</w:t>
      </w:r>
    </w:p>
    <w:p w:rsidR="00314587" w:rsidRDefault="00314587" w:rsidP="00314587">
      <w:pPr>
        <w:jc w:val="both"/>
      </w:pPr>
      <w:r>
        <w:t>a) veřejné práce</w:t>
      </w:r>
    </w:p>
    <w:p w:rsidR="00314587" w:rsidRDefault="00314587" w:rsidP="00314587">
      <w:pPr>
        <w:jc w:val="both"/>
      </w:pPr>
      <w:r>
        <w:t>b) rekvalifikace</w:t>
      </w:r>
    </w:p>
    <w:p w:rsidR="00314587" w:rsidRDefault="00314587" w:rsidP="00314587">
      <w:pPr>
        <w:jc w:val="both"/>
      </w:pPr>
      <w:r>
        <w:t>c) investiční pobídky</w:t>
      </w:r>
    </w:p>
    <w:p w:rsidR="00314587" w:rsidRDefault="00314587" w:rsidP="00314587">
      <w:pPr>
        <w:jc w:val="both"/>
      </w:pPr>
      <w:r>
        <w:t>d) podpora vzdělávání</w:t>
      </w:r>
    </w:p>
    <w:p w:rsidR="00314587" w:rsidRDefault="00314587" w:rsidP="00314587">
      <w:pPr>
        <w:jc w:val="both"/>
      </w:pPr>
    </w:p>
    <w:p w:rsidR="00314587" w:rsidRDefault="00314587" w:rsidP="00314587">
      <w:pPr>
        <w:jc w:val="both"/>
      </w:pPr>
      <w:r>
        <w:t>7. Průměrná délka trvání nezaměstnanosti = 4 měsíce</w:t>
      </w:r>
    </w:p>
    <w:p w:rsidR="00314587" w:rsidRDefault="00314587" w:rsidP="00314587">
      <w:pPr>
        <w:jc w:val="both"/>
      </w:pPr>
      <w:r>
        <w:t xml:space="preserve">    Míra nezaměstnanosti = 16%</w:t>
      </w:r>
    </w:p>
    <w:p w:rsidR="00314587" w:rsidRDefault="00314587" w:rsidP="00314587">
      <w:pPr>
        <w:jc w:val="both"/>
      </w:pPr>
    </w:p>
    <w:p w:rsidR="00314587" w:rsidRDefault="00314587" w:rsidP="00314587">
      <w:pPr>
        <w:jc w:val="both"/>
      </w:pPr>
      <w:r>
        <w:t xml:space="preserve">8. Zvyšuje jí, protože zaměstnanci s podporou déle hledají práci a zvyšují tak frikční nezaměstnanost. </w:t>
      </w:r>
    </w:p>
    <w:p w:rsidR="00314587" w:rsidRDefault="00314587" w:rsidP="00314587">
      <w:pPr>
        <w:jc w:val="both"/>
      </w:pPr>
    </w:p>
    <w:p w:rsidR="00314587" w:rsidRDefault="00314587" w:rsidP="00314587">
      <w:pPr>
        <w:jc w:val="both"/>
      </w:pPr>
      <w:r>
        <w:t xml:space="preserve">9. Pokud je poptávka po práci vysoce </w:t>
      </w:r>
      <w:r w:rsidR="00906ADF">
        <w:t xml:space="preserve">cenově </w:t>
      </w:r>
      <w:r>
        <w:t xml:space="preserve">elastická, potom zvyšovaní minimální mzdy </w:t>
      </w:r>
      <w:r w:rsidR="00E46944">
        <w:t xml:space="preserve">bude mít velký dopad na růst nezaměstnanosti a malý dopad na růst reálné mzdy. V případě </w:t>
      </w:r>
      <w:r w:rsidR="00906ADF">
        <w:t xml:space="preserve">cenově </w:t>
      </w:r>
      <w:r w:rsidR="00E46944">
        <w:t xml:space="preserve">neelastické poptávky je tomu tak přesně obráceně. Proto lze říci, že zvyšování minimální mzdy více funguje/méně škodí v případě </w:t>
      </w:r>
      <w:r w:rsidR="00906ADF">
        <w:t xml:space="preserve">cenově </w:t>
      </w:r>
      <w:r w:rsidR="00E46944">
        <w:t xml:space="preserve">neeelastické poptávky po práci. </w:t>
      </w:r>
    </w:p>
    <w:p w:rsidR="00314587" w:rsidRDefault="00314587" w:rsidP="00314587">
      <w:pPr>
        <w:jc w:val="both"/>
      </w:pPr>
    </w:p>
    <w:p w:rsidR="00314587" w:rsidRDefault="00314587" w:rsidP="00314587">
      <w:pPr>
        <w:jc w:val="both"/>
      </w:pPr>
    </w:p>
    <w:p w:rsidR="00314587" w:rsidRPr="00314587" w:rsidRDefault="00314587" w:rsidP="00314587">
      <w:pPr>
        <w:jc w:val="both"/>
      </w:pPr>
    </w:p>
    <w:sectPr w:rsidR="00314587" w:rsidRPr="00314587" w:rsidSect="00330B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632E0"/>
    <w:multiLevelType w:val="hybridMultilevel"/>
    <w:tmpl w:val="05E81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14587"/>
    <w:rsid w:val="00314587"/>
    <w:rsid w:val="00330BEF"/>
    <w:rsid w:val="00906ADF"/>
    <w:rsid w:val="009D1055"/>
    <w:rsid w:val="00E469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458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4587"/>
    <w:pPr>
      <w:ind w:left="720"/>
      <w:contextualSpacing/>
    </w:pPr>
  </w:style>
  <w:style w:type="table" w:styleId="Mkatabulky">
    <w:name w:val="Table Grid"/>
    <w:basedOn w:val="Normlntabulka"/>
    <w:uiPriority w:val="59"/>
    <w:rsid w:val="003145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512</Words>
  <Characters>3023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tomes</dc:creator>
  <cp:lastModifiedBy>tomes</cp:lastModifiedBy>
  <cp:revision>2</cp:revision>
  <cp:lastPrinted>2010-04-07T10:02:00Z</cp:lastPrinted>
  <dcterms:created xsi:type="dcterms:W3CDTF">2010-04-07T08:53:00Z</dcterms:created>
  <dcterms:modified xsi:type="dcterms:W3CDTF">2010-04-07T10:04:00Z</dcterms:modified>
</cp:coreProperties>
</file>