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6A" w:rsidRDefault="006D456A"/>
    <w:p w:rsidR="00231669" w:rsidRDefault="00231669"/>
    <w:p w:rsidR="00231669" w:rsidRDefault="00231669"/>
    <w:p w:rsidR="00231669" w:rsidRDefault="00231669"/>
    <w:p w:rsidR="00231669" w:rsidRDefault="00231669"/>
    <w:p w:rsidR="00231669" w:rsidRDefault="00231669"/>
    <w:p w:rsidR="00231669" w:rsidRDefault="00231669"/>
    <w:p w:rsidR="00231669" w:rsidRDefault="00231669"/>
    <w:p w:rsidR="00231669" w:rsidRDefault="00231669"/>
    <w:p w:rsidR="00231669" w:rsidRDefault="00231669"/>
    <w:p w:rsidR="00231669" w:rsidRDefault="00231669" w:rsidP="00231669">
      <w:pPr>
        <w:jc w:val="center"/>
        <w:rPr>
          <w:rFonts w:cs="Arial"/>
          <w:b/>
          <w:sz w:val="40"/>
          <w:szCs w:val="40"/>
        </w:rPr>
      </w:pPr>
      <w:r>
        <w:rPr>
          <w:rFonts w:cs="Arial"/>
          <w:b/>
          <w:sz w:val="40"/>
          <w:szCs w:val="40"/>
        </w:rPr>
        <w:t>Finanční analýza – vertikální a horizontální analýza</w:t>
      </w: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jc w:val="center"/>
        <w:rPr>
          <w:rFonts w:cs="Arial"/>
          <w:b/>
          <w:sz w:val="40"/>
          <w:szCs w:val="40"/>
        </w:rPr>
      </w:pPr>
    </w:p>
    <w:p w:rsidR="00231669" w:rsidRDefault="00231669" w:rsidP="00231669">
      <w:pPr>
        <w:spacing w:line="276" w:lineRule="auto"/>
        <w:rPr>
          <w:rFonts w:cs="Arial"/>
          <w:b/>
          <w:szCs w:val="24"/>
        </w:rPr>
      </w:pPr>
      <w:r>
        <w:rPr>
          <w:rFonts w:cs="Arial"/>
          <w:b/>
          <w:szCs w:val="24"/>
        </w:rPr>
        <w:t>Petr Čablík (364056)</w:t>
      </w:r>
    </w:p>
    <w:p w:rsidR="00231669" w:rsidRDefault="00231669">
      <w:pPr>
        <w:spacing w:after="200" w:line="276" w:lineRule="auto"/>
        <w:rPr>
          <w:rFonts w:cs="Arial"/>
          <w:b/>
          <w:szCs w:val="24"/>
        </w:rPr>
      </w:pPr>
      <w:r>
        <w:rPr>
          <w:rFonts w:cs="Arial"/>
          <w:b/>
          <w:szCs w:val="24"/>
        </w:rPr>
        <w:br w:type="page"/>
      </w:r>
    </w:p>
    <w:p w:rsidR="00231669" w:rsidRPr="00B50326" w:rsidRDefault="00231669" w:rsidP="00231669">
      <w:pPr>
        <w:pStyle w:val="Nadpis1"/>
        <w:rPr>
          <w:rFonts w:ascii="Arial" w:hAnsi="Arial" w:cs="Arial"/>
          <w:color w:val="auto"/>
          <w:u w:val="single"/>
        </w:rPr>
      </w:pPr>
      <w:r w:rsidRPr="00B50326">
        <w:rPr>
          <w:rFonts w:ascii="Arial" w:hAnsi="Arial" w:cs="Arial"/>
          <w:color w:val="auto"/>
          <w:u w:val="single"/>
        </w:rPr>
        <w:lastRenderedPageBreak/>
        <w:t>Vertikální a horizontální analýza</w:t>
      </w:r>
    </w:p>
    <w:p w:rsidR="00231669" w:rsidRPr="005709FB" w:rsidRDefault="00231669" w:rsidP="00231669">
      <w:r w:rsidRPr="005709FB">
        <w:t xml:space="preserve">Finanční </w:t>
      </w:r>
      <w:r w:rsidR="005709FB" w:rsidRPr="005709FB">
        <w:t xml:space="preserve">analýza </w:t>
      </w:r>
      <w:r w:rsidRPr="005709FB">
        <w:t>slouží k posouzení finanční výkonnosti firmy a ke zhodnocení aktuální finanční pozi</w:t>
      </w:r>
      <w:r w:rsidR="005709FB" w:rsidRPr="005709FB">
        <w:t>ce firmy. Závěry a poznatky finanční analýzy slouží hlavně pro taktické a strategické rozhodování o investicích a financování, ale také pro reporting vlastníkům, věřitelům a dalším zainteresovaným osobám.</w:t>
      </w:r>
    </w:p>
    <w:p w:rsidR="00231669" w:rsidRPr="005709FB" w:rsidRDefault="00231669" w:rsidP="00231669">
      <w:r w:rsidRPr="005709FB">
        <w:t>Podstatou analýzy je výpočet ukazatelů, které mají dobrou vypovídací schopnost</w:t>
      </w:r>
    </w:p>
    <w:p w:rsidR="00231669" w:rsidRPr="005709FB" w:rsidRDefault="00231669" w:rsidP="00231669">
      <w:r w:rsidRPr="005709FB">
        <w:t>vzhledem ke zkoumané ekonomické realitě.</w:t>
      </w:r>
      <w:r w:rsidR="005709FB" w:rsidRPr="005709FB">
        <w:t xml:space="preserve"> </w:t>
      </w:r>
    </w:p>
    <w:p w:rsidR="005709FB" w:rsidRPr="005709FB" w:rsidRDefault="005709FB" w:rsidP="005709FB">
      <w:r w:rsidRPr="005709FB">
        <w:t>Ukazatelé mohou být vyjádřeny v:</w:t>
      </w:r>
    </w:p>
    <w:p w:rsidR="005709FB" w:rsidRPr="005709FB" w:rsidRDefault="005709FB" w:rsidP="005709FB">
      <w:pPr>
        <w:pStyle w:val="Odstavecseseznamem"/>
        <w:numPr>
          <w:ilvl w:val="0"/>
          <w:numId w:val="1"/>
        </w:numPr>
      </w:pPr>
      <w:r w:rsidRPr="005709FB">
        <w:t xml:space="preserve"> </w:t>
      </w:r>
      <w:proofErr w:type="gramStart"/>
      <w:r w:rsidRPr="005709FB">
        <w:t>procentech</w:t>
      </w:r>
      <w:proofErr w:type="gramEnd"/>
      <w:r w:rsidRPr="005709FB">
        <w:t>,</w:t>
      </w:r>
    </w:p>
    <w:p w:rsidR="005709FB" w:rsidRPr="005709FB" w:rsidRDefault="005709FB" w:rsidP="005709FB">
      <w:pPr>
        <w:pStyle w:val="Odstavecseseznamem"/>
        <w:numPr>
          <w:ilvl w:val="0"/>
          <w:numId w:val="1"/>
        </w:numPr>
      </w:pPr>
      <w:r w:rsidRPr="005709FB">
        <w:t xml:space="preserve"> peněžních </w:t>
      </w:r>
      <w:proofErr w:type="gramStart"/>
      <w:r w:rsidRPr="005709FB">
        <w:t>jednotkách</w:t>
      </w:r>
      <w:proofErr w:type="gramEnd"/>
      <w:r w:rsidRPr="005709FB">
        <w:t>,</w:t>
      </w:r>
    </w:p>
    <w:p w:rsidR="005709FB" w:rsidRPr="005709FB" w:rsidRDefault="005709FB" w:rsidP="005709FB">
      <w:pPr>
        <w:pStyle w:val="Odstavecseseznamem"/>
        <w:numPr>
          <w:ilvl w:val="0"/>
          <w:numId w:val="1"/>
        </w:numPr>
      </w:pPr>
      <w:r w:rsidRPr="005709FB">
        <w:t xml:space="preserve"> v bezrozměrném vyjádření.</w:t>
      </w:r>
    </w:p>
    <w:p w:rsidR="005709FB" w:rsidRDefault="005709FB" w:rsidP="005709FB"/>
    <w:p w:rsidR="005709FB" w:rsidRDefault="005709FB" w:rsidP="005709FB">
      <w:r>
        <w:t>Používají se dvě základní rozborové techniky:</w:t>
      </w:r>
    </w:p>
    <w:p w:rsidR="005709FB" w:rsidRDefault="005709FB" w:rsidP="005709FB">
      <w:pPr>
        <w:pStyle w:val="Odstavecseseznamem"/>
        <w:numPr>
          <w:ilvl w:val="0"/>
          <w:numId w:val="3"/>
        </w:numPr>
      </w:pPr>
      <w:r>
        <w:t xml:space="preserve"> poměrová analýza (ukazatele rentability, likvidity, aktivity, zadluženosti, tržní hodnoty),</w:t>
      </w:r>
    </w:p>
    <w:p w:rsidR="005709FB" w:rsidRDefault="005709FB" w:rsidP="005709FB">
      <w:pPr>
        <w:pStyle w:val="Odstavecseseznamem"/>
        <w:numPr>
          <w:ilvl w:val="0"/>
          <w:numId w:val="3"/>
        </w:numPr>
      </w:pPr>
      <w:r>
        <w:t xml:space="preserve"> procentuální rozbor (vertikální a horizontální analýza).</w:t>
      </w:r>
    </w:p>
    <w:p w:rsidR="00276B86" w:rsidRDefault="00276B86" w:rsidP="00276B86">
      <w:pPr>
        <w:rPr>
          <w:b/>
          <w:u w:val="single"/>
        </w:rPr>
      </w:pPr>
    </w:p>
    <w:p w:rsidR="00276B86" w:rsidRPr="00276B86" w:rsidRDefault="00276B86" w:rsidP="00276B86">
      <w:pPr>
        <w:rPr>
          <w:b/>
          <w:u w:val="single"/>
        </w:rPr>
      </w:pPr>
      <w:r w:rsidRPr="00276B86">
        <w:rPr>
          <w:b/>
          <w:u w:val="single"/>
        </w:rPr>
        <w:t>Vertikální analýza</w:t>
      </w:r>
      <w:r w:rsidR="00BD3394">
        <w:rPr>
          <w:b/>
          <w:u w:val="single"/>
        </w:rPr>
        <w:t>:</w:t>
      </w:r>
    </w:p>
    <w:p w:rsidR="005709FB" w:rsidRDefault="00276B86" w:rsidP="00276B86">
      <w:r>
        <w:t>Vertikální analýza se zabývá stupňovitým procentuálním rozborem jednotlivých složek tvořících jeden souhrnný finanční ukazatel, neboli procentuálním vyjádřením struktury daného ekonomického ukazatele. Cílem této analýzy je zjistit, jak se jednotlivé položky rozvahy nebo výkazu podílely na celkové sumě (např. podíl DHM na DM a DM na celkových aktivech). Můžeme tak sledovat změny ve struktuře jednotlivých položek finančních výkazů v čase. Důležité je zde také porovnání se situací v odvětví a ve srovnatelných firmách.</w:t>
      </w:r>
    </w:p>
    <w:p w:rsidR="00276B86" w:rsidRDefault="00276B86" w:rsidP="005709FB"/>
    <w:p w:rsidR="005709FB" w:rsidRDefault="005709FB" w:rsidP="005709FB">
      <w:pPr>
        <w:rPr>
          <w:b/>
          <w:u w:val="single"/>
        </w:rPr>
      </w:pPr>
      <w:r w:rsidRPr="005709FB">
        <w:rPr>
          <w:b/>
          <w:u w:val="single"/>
        </w:rPr>
        <w:t>Horizontální analýza</w:t>
      </w:r>
      <w:r w:rsidR="00BD3394">
        <w:rPr>
          <w:b/>
          <w:u w:val="single"/>
        </w:rPr>
        <w:t>:</w:t>
      </w:r>
    </w:p>
    <w:p w:rsidR="005709FB" w:rsidRDefault="005709FB" w:rsidP="005709FB">
      <w:r>
        <w:t>Neboli, rozbor horizontální struktury účetních výkazů. Zkoumám</w:t>
      </w:r>
      <w:r w:rsidR="00276B86">
        <w:t>e</w:t>
      </w:r>
      <w:r>
        <w:t xml:space="preserve"> v ní o kolik jednotek (absolutní hodnoty) nebo procent (relativní hodnoty), se změnila příslušná jednotka v čase. Horizontální analýza je v zásadě o</w:t>
      </w:r>
      <w:r w:rsidR="00B50326">
        <w:t xml:space="preserve">bsažena již v samotné rozvaze a </w:t>
      </w:r>
      <w:r>
        <w:t>výsledovce, protože jsou v ní srovnány peněžní částky položek ve d</w:t>
      </w:r>
      <w:r w:rsidR="00B50326">
        <w:t xml:space="preserve">vou obdobích – běžném a </w:t>
      </w:r>
      <w:proofErr w:type="gramStart"/>
      <w:r w:rsidR="00B50326">
        <w:t>minulém</w:t>
      </w:r>
      <w:proofErr w:type="gramEnd"/>
      <w:r w:rsidR="00B50326">
        <w:t xml:space="preserve">. </w:t>
      </w:r>
    </w:p>
    <w:p w:rsidR="00BD3394" w:rsidRDefault="00B50326" w:rsidP="005709FB">
      <w:r>
        <w:t>Horizontální analýza si tedy klade za cíl změřit pohyby jednotlivých veličin a to absolutně a relativně a také změřit jejich intenzitu</w:t>
      </w:r>
      <w:r w:rsidR="00276B86">
        <w:t>.</w:t>
      </w:r>
    </w:p>
    <w:p w:rsidR="00BD3394" w:rsidRDefault="00B50326" w:rsidP="005709FB">
      <w:r>
        <w:t>Vzorec pro výpočet relativních hodnot</w:t>
      </w:r>
      <w:r w:rsidR="00BD3394">
        <w:t xml:space="preserve">: </w:t>
      </w:r>
      <w:r w:rsidRPr="00BD3394">
        <w:rPr>
          <w:rFonts w:cs="Arial"/>
          <w:b/>
        </w:rPr>
        <w:t>∆</w:t>
      </w:r>
      <w:r w:rsidRPr="00BD3394">
        <w:rPr>
          <w:b/>
        </w:rPr>
        <w:t>stavu = (</w:t>
      </w:r>
      <w:proofErr w:type="spellStart"/>
      <w:r w:rsidRPr="00BD3394">
        <w:rPr>
          <w:b/>
        </w:rPr>
        <w:t>stav</w:t>
      </w:r>
      <w:r w:rsidRPr="00BD3394">
        <w:rPr>
          <w:b/>
          <w:vertAlign w:val="subscript"/>
        </w:rPr>
        <w:t>t</w:t>
      </w:r>
      <w:proofErr w:type="spellEnd"/>
      <w:r w:rsidRPr="00BD3394">
        <w:rPr>
          <w:b/>
          <w:vertAlign w:val="subscript"/>
        </w:rPr>
        <w:t xml:space="preserve">+1 </w:t>
      </w:r>
      <w:r w:rsidRPr="00BD3394">
        <w:rPr>
          <w:b/>
        </w:rPr>
        <w:t xml:space="preserve">– </w:t>
      </w:r>
      <w:proofErr w:type="spellStart"/>
      <w:r w:rsidRPr="00BD3394">
        <w:rPr>
          <w:b/>
        </w:rPr>
        <w:t>stav</w:t>
      </w:r>
      <w:r w:rsidRPr="00BD3394">
        <w:rPr>
          <w:b/>
          <w:vertAlign w:val="subscript"/>
        </w:rPr>
        <w:t>t</w:t>
      </w:r>
      <w:proofErr w:type="spellEnd"/>
      <w:r w:rsidRPr="00BD3394">
        <w:rPr>
          <w:b/>
        </w:rPr>
        <w:t>)/</w:t>
      </w:r>
      <w:proofErr w:type="spellStart"/>
      <w:r w:rsidRPr="00BD3394">
        <w:rPr>
          <w:b/>
        </w:rPr>
        <w:t>stav</w:t>
      </w:r>
      <w:r w:rsidRPr="00BD3394">
        <w:rPr>
          <w:b/>
          <w:vertAlign w:val="subscript"/>
        </w:rPr>
        <w:t>t</w:t>
      </w:r>
      <w:proofErr w:type="spellEnd"/>
    </w:p>
    <w:p w:rsidR="00BD3394" w:rsidRPr="00BD3394" w:rsidRDefault="00BD3394" w:rsidP="005709FB">
      <w:r w:rsidRPr="00BD3394">
        <w:rPr>
          <w:b/>
          <w:u w:val="single"/>
        </w:rPr>
        <w:lastRenderedPageBreak/>
        <w:t>Příklad:</w:t>
      </w:r>
    </w:p>
    <w:p w:rsidR="00BD3394" w:rsidRDefault="00BD3394" w:rsidP="005709FB"/>
    <w:p w:rsidR="00BD3394" w:rsidRPr="00BD3394" w:rsidRDefault="00BD3394" w:rsidP="00BD3394">
      <w:pPr>
        <w:jc w:val="both"/>
        <w:rPr>
          <w:b/>
          <w:i/>
          <w:sz w:val="20"/>
          <w:szCs w:val="20"/>
        </w:rPr>
      </w:pPr>
      <w:r>
        <w:rPr>
          <w:b/>
          <w:i/>
          <w:sz w:val="20"/>
          <w:szCs w:val="20"/>
        </w:rPr>
        <w:t>Tab. 1</w:t>
      </w:r>
      <w:r>
        <w:rPr>
          <w:b/>
          <w:i/>
          <w:sz w:val="20"/>
          <w:szCs w:val="20"/>
        </w:rPr>
        <w:tab/>
      </w:r>
      <w:r w:rsidRPr="00BD3394">
        <w:rPr>
          <w:b/>
          <w:i/>
          <w:sz w:val="20"/>
          <w:szCs w:val="20"/>
        </w:rPr>
        <w:t xml:space="preserve"> Procentuální roz</w:t>
      </w:r>
      <w:r>
        <w:rPr>
          <w:b/>
          <w:i/>
          <w:sz w:val="20"/>
          <w:szCs w:val="20"/>
        </w:rPr>
        <w:t xml:space="preserve">bor položek rozvahy </w:t>
      </w:r>
    </w:p>
    <w:tbl>
      <w:tblPr>
        <w:tblW w:w="9980" w:type="dxa"/>
        <w:tblInd w:w="-80" w:type="dxa"/>
        <w:tblCellMar>
          <w:left w:w="0" w:type="dxa"/>
          <w:right w:w="0" w:type="dxa"/>
        </w:tblCellMar>
        <w:tblLook w:val="0000"/>
      </w:tblPr>
      <w:tblGrid>
        <w:gridCol w:w="400"/>
        <w:gridCol w:w="400"/>
        <w:gridCol w:w="300"/>
        <w:gridCol w:w="3320"/>
        <w:gridCol w:w="820"/>
        <w:gridCol w:w="900"/>
        <w:gridCol w:w="960"/>
        <w:gridCol w:w="960"/>
        <w:gridCol w:w="960"/>
        <w:gridCol w:w="960"/>
      </w:tblGrid>
      <w:tr w:rsidR="00BD3394" w:rsidTr="00790F69">
        <w:trPr>
          <w:trHeight w:val="255"/>
        </w:trPr>
        <w:tc>
          <w:tcPr>
            <w:tcW w:w="400" w:type="dxa"/>
            <w:tcBorders>
              <w:top w:val="single" w:sz="8" w:space="0" w:color="auto"/>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 </w:t>
            </w:r>
          </w:p>
        </w:tc>
        <w:tc>
          <w:tcPr>
            <w:tcW w:w="400" w:type="dxa"/>
            <w:tcBorders>
              <w:top w:val="single" w:sz="8" w:space="0" w:color="auto"/>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300" w:type="dxa"/>
            <w:tcBorders>
              <w:top w:val="single" w:sz="8" w:space="0" w:color="auto"/>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3320" w:type="dxa"/>
            <w:tcBorders>
              <w:top w:val="single" w:sz="8" w:space="0" w:color="auto"/>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82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1998</w:t>
            </w:r>
          </w:p>
        </w:tc>
        <w:tc>
          <w:tcPr>
            <w:tcW w:w="90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 </w:t>
            </w:r>
          </w:p>
        </w:tc>
        <w:tc>
          <w:tcPr>
            <w:tcW w:w="96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1999</w:t>
            </w:r>
          </w:p>
        </w:tc>
        <w:tc>
          <w:tcPr>
            <w:tcW w:w="96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 </w:t>
            </w:r>
          </w:p>
        </w:tc>
        <w:tc>
          <w:tcPr>
            <w:tcW w:w="96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2000</w:t>
            </w:r>
          </w:p>
        </w:tc>
        <w:tc>
          <w:tcPr>
            <w:tcW w:w="96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8" w:space="0" w:color="auto"/>
              <w:bottom w:val="single" w:sz="4" w:space="0" w:color="auto"/>
              <w:right w:val="nil"/>
            </w:tcBorders>
            <w:shd w:val="clear" w:color="auto" w:fill="FFFFCC"/>
            <w:noWrap/>
            <w:vAlign w:val="bottom"/>
          </w:tcPr>
          <w:p w:rsidR="00BD3394" w:rsidRDefault="00BD3394" w:rsidP="00790F69">
            <w:pPr>
              <w:rPr>
                <w:rFonts w:eastAsia="Arial Unicode MS"/>
                <w:b/>
                <w:bCs/>
                <w:sz w:val="20"/>
                <w:szCs w:val="20"/>
              </w:rPr>
            </w:pPr>
            <w:r>
              <w:rPr>
                <w:b/>
                <w:bCs/>
                <w:sz w:val="20"/>
                <w:szCs w:val="20"/>
              </w:rPr>
              <w:t> </w:t>
            </w:r>
          </w:p>
        </w:tc>
        <w:tc>
          <w:tcPr>
            <w:tcW w:w="0" w:type="auto"/>
            <w:tcBorders>
              <w:top w:val="nil"/>
              <w:left w:val="single" w:sz="8" w:space="0" w:color="auto"/>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Aktiva celkem</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11 576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23 927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xml:space="preserve">27 379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100,0%</w:t>
            </w:r>
          </w:p>
        </w:tc>
      </w:tr>
      <w:tr w:rsidR="00BD3394" w:rsidTr="00790F69">
        <w:trPr>
          <w:trHeight w:val="255"/>
        </w:trPr>
        <w:tc>
          <w:tcPr>
            <w:tcW w:w="0" w:type="auto"/>
            <w:tcBorders>
              <w:top w:val="nil"/>
              <w:left w:val="single" w:sz="8" w:space="0" w:color="auto"/>
              <w:bottom w:val="single" w:sz="4"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Pohledávky za upsaný vlastní kapitál</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55"/>
        </w:trPr>
        <w:tc>
          <w:tcPr>
            <w:tcW w:w="0" w:type="auto"/>
            <w:tcBorders>
              <w:top w:val="nil"/>
              <w:left w:val="single" w:sz="8" w:space="0" w:color="auto"/>
              <w:bottom w:val="single" w:sz="4"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Stálá aktiva</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1 064</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9,2%</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15 745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65,8%</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9 978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36,4%</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proofErr w:type="gramStart"/>
            <w:r>
              <w:rPr>
                <w:sz w:val="20"/>
                <w:szCs w:val="20"/>
              </w:rPr>
              <w:t>NIM</w:t>
            </w:r>
            <w:proofErr w:type="gramEnd"/>
            <w:r>
              <w:rPr>
                <w:sz w:val="20"/>
                <w:szCs w:val="20"/>
              </w:rPr>
              <w:t xml:space="preserve"> (DNM)</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369</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3,2%</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32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0,1%</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HIM (DHM)</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695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15 713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65,7%</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9 978</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36,4%</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Finanční investice (DFM)</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55"/>
        </w:trPr>
        <w:tc>
          <w:tcPr>
            <w:tcW w:w="0" w:type="auto"/>
            <w:tcBorders>
              <w:top w:val="nil"/>
              <w:left w:val="single" w:sz="8" w:space="0" w:color="auto"/>
              <w:bottom w:val="single" w:sz="4"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C.</w:t>
            </w:r>
          </w:p>
        </w:tc>
        <w:tc>
          <w:tcPr>
            <w:tcW w:w="0" w:type="auto"/>
            <w:tcBorders>
              <w:top w:val="nil"/>
              <w:left w:val="single" w:sz="8"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Oběžná aktiva</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9 986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86,3%</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7 671</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32,1%</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16 530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60,4%</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C.</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Zásoby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6 627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57,2%</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5 393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22,5%</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5 870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21,4%</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C.</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Dlouhodobé pohledávky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C.</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Krátkodobé pohledávky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2 413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20,8%</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782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8 115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29,6%</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1.</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Pohledávky z obchodního styku</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2 413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20,8%</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-1 690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-7,1%</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8 105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29,6%</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C.</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IV.</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Finanční majetek</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946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8,2%</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1 496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2 545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9,3%</w:t>
            </w:r>
          </w:p>
        </w:tc>
      </w:tr>
      <w:tr w:rsidR="00BD3394" w:rsidTr="00790F69">
        <w:trPr>
          <w:trHeight w:val="255"/>
        </w:trPr>
        <w:tc>
          <w:tcPr>
            <w:tcW w:w="0" w:type="auto"/>
            <w:tcBorders>
              <w:top w:val="nil"/>
              <w:left w:val="single" w:sz="8" w:space="0" w:color="auto"/>
              <w:bottom w:val="single" w:sz="4"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D.</w:t>
            </w:r>
          </w:p>
        </w:tc>
        <w:tc>
          <w:tcPr>
            <w:tcW w:w="0" w:type="auto"/>
            <w:tcBorders>
              <w:top w:val="nil"/>
              <w:left w:val="single" w:sz="8"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Ostatní aktiva</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526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4,5%</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511</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2,1%</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871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3,2%</w:t>
            </w:r>
          </w:p>
        </w:tc>
      </w:tr>
      <w:tr w:rsidR="00BD3394" w:rsidTr="00790F69">
        <w:trPr>
          <w:trHeight w:val="255"/>
        </w:trPr>
        <w:tc>
          <w:tcPr>
            <w:tcW w:w="0" w:type="auto"/>
            <w:tcBorders>
              <w:top w:val="nil"/>
              <w:left w:val="single" w:sz="8" w:space="0" w:color="auto"/>
              <w:bottom w:val="single" w:sz="4" w:space="0" w:color="auto"/>
              <w:right w:val="nil"/>
            </w:tcBorders>
            <w:shd w:val="clear" w:color="auto" w:fill="FFFFCC"/>
            <w:noWrap/>
            <w:vAlign w:val="bottom"/>
          </w:tcPr>
          <w:p w:rsidR="00BD3394" w:rsidRDefault="00BD3394" w:rsidP="00790F69">
            <w:pPr>
              <w:rPr>
                <w:rFonts w:eastAsia="Arial Unicode MS"/>
                <w:b/>
                <w:bCs/>
                <w:sz w:val="20"/>
                <w:szCs w:val="20"/>
              </w:rPr>
            </w:pPr>
            <w:r>
              <w:rPr>
                <w:b/>
                <w:bCs/>
                <w:sz w:val="20"/>
                <w:szCs w:val="20"/>
              </w:rPr>
              <w:t> </w:t>
            </w:r>
          </w:p>
        </w:tc>
        <w:tc>
          <w:tcPr>
            <w:tcW w:w="0" w:type="auto"/>
            <w:tcBorders>
              <w:top w:val="nil"/>
              <w:left w:val="single" w:sz="8" w:space="0" w:color="auto"/>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Pasiva celkem</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11 576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23 927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xml:space="preserve">27 379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100,0%</w:t>
            </w:r>
          </w:p>
        </w:tc>
      </w:tr>
      <w:tr w:rsidR="00BD3394" w:rsidTr="00790F69">
        <w:trPr>
          <w:trHeight w:val="255"/>
        </w:trPr>
        <w:tc>
          <w:tcPr>
            <w:tcW w:w="0" w:type="auto"/>
            <w:tcBorders>
              <w:top w:val="nil"/>
              <w:left w:val="single" w:sz="8" w:space="0" w:color="auto"/>
              <w:bottom w:val="single" w:sz="4"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Vlastní kapitál</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1 863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16,1%</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6 012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25,1%</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8 200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29,9%</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Základní kapitál</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0,9%</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0,4%</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100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0,4%</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Kapitálové fondy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Fondy ze zisku</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20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0,1%</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IV.</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HV minulých let</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1 754</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7,3%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5 386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19,7%</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A.</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V.</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HV běžného období</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1 763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15,2%</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4 148</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17,3%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2 694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9,8%</w:t>
            </w:r>
          </w:p>
        </w:tc>
      </w:tr>
      <w:tr w:rsidR="00BD3394" w:rsidTr="00790F69">
        <w:trPr>
          <w:trHeight w:val="255"/>
        </w:trPr>
        <w:tc>
          <w:tcPr>
            <w:tcW w:w="0" w:type="auto"/>
            <w:tcBorders>
              <w:top w:val="nil"/>
              <w:left w:val="single" w:sz="8" w:space="0" w:color="auto"/>
              <w:bottom w:val="single" w:sz="4"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Cizí zdroje</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9 582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82,8%</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17 915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74,9%</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18 859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68,9%</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Rezervy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184</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1,6%</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767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3,2%</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884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3,2%</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Dlouhodobé závazky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8 215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34,3%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Krátkodobé závazky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9 398</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81,2%</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3 933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16,4%</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13 704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50,1%</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III.</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1.</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Závazky z obchodního styku</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7 679</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66,3%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552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9 110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33,3%</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IV.</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Bankovní úvěry a výpomoci</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5 000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20,9%</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4 271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15,6%</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B.</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IV.</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1.</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Bankovní úvěry dlouhodobé</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5 000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20,9%</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4 271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15,6%</w:t>
            </w:r>
          </w:p>
        </w:tc>
      </w:tr>
      <w:tr w:rsidR="00BD3394" w:rsidTr="00790F69">
        <w:trPr>
          <w:trHeight w:val="255"/>
        </w:trPr>
        <w:tc>
          <w:tcPr>
            <w:tcW w:w="0" w:type="auto"/>
            <w:tcBorders>
              <w:top w:val="nil"/>
              <w:left w:val="single" w:sz="8" w:space="0" w:color="auto"/>
              <w:bottom w:val="single" w:sz="4" w:space="0" w:color="auto"/>
              <w:right w:val="nil"/>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single" w:sz="8"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2.</w:t>
            </w:r>
          </w:p>
        </w:tc>
        <w:tc>
          <w:tcPr>
            <w:tcW w:w="0" w:type="auto"/>
            <w:tcBorders>
              <w:top w:val="nil"/>
              <w:left w:val="nil"/>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Běžné bankovní úvěry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r>
      <w:tr w:rsidR="00BD3394" w:rsidTr="00790F69">
        <w:trPr>
          <w:trHeight w:val="270"/>
        </w:trPr>
        <w:tc>
          <w:tcPr>
            <w:tcW w:w="0" w:type="auto"/>
            <w:tcBorders>
              <w:top w:val="nil"/>
              <w:left w:val="single" w:sz="8" w:space="0" w:color="auto"/>
              <w:bottom w:val="single" w:sz="8" w:space="0" w:color="auto"/>
              <w:right w:val="nil"/>
            </w:tcBorders>
            <w:shd w:val="clear" w:color="auto" w:fill="CCFFCC"/>
            <w:noWrap/>
            <w:vAlign w:val="bottom"/>
          </w:tcPr>
          <w:p w:rsidR="00BD3394" w:rsidRDefault="00BD3394" w:rsidP="00790F69">
            <w:pPr>
              <w:rPr>
                <w:rFonts w:eastAsia="Arial Unicode MS"/>
                <w:sz w:val="20"/>
                <w:szCs w:val="20"/>
              </w:rPr>
            </w:pPr>
            <w:r>
              <w:rPr>
                <w:sz w:val="20"/>
                <w:szCs w:val="20"/>
              </w:rPr>
              <w:t>C.</w:t>
            </w:r>
          </w:p>
        </w:tc>
        <w:tc>
          <w:tcPr>
            <w:tcW w:w="0" w:type="auto"/>
            <w:tcBorders>
              <w:top w:val="nil"/>
              <w:left w:val="single" w:sz="8" w:space="0" w:color="auto"/>
              <w:bottom w:val="single" w:sz="8"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Ostatní pasiva</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131</w:t>
            </w:r>
          </w:p>
        </w:tc>
        <w:tc>
          <w:tcPr>
            <w:tcW w:w="0" w:type="auto"/>
            <w:tcBorders>
              <w:top w:val="nil"/>
              <w:left w:val="nil"/>
              <w:bottom w:val="single" w:sz="8"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1,1%</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8"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0,0%</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320   </w:t>
            </w:r>
          </w:p>
        </w:tc>
        <w:tc>
          <w:tcPr>
            <w:tcW w:w="0" w:type="auto"/>
            <w:tcBorders>
              <w:top w:val="nil"/>
              <w:left w:val="nil"/>
              <w:bottom w:val="single" w:sz="8"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1,2%</w:t>
            </w:r>
          </w:p>
        </w:tc>
      </w:tr>
    </w:tbl>
    <w:p w:rsidR="00BD3394" w:rsidRDefault="00BD3394" w:rsidP="00BD3394">
      <w:pPr>
        <w:jc w:val="both"/>
        <w:rPr>
          <w:b/>
          <w:i/>
        </w:rPr>
      </w:pPr>
    </w:p>
    <w:p w:rsidR="00BD3394" w:rsidRDefault="00BD3394">
      <w:pPr>
        <w:spacing w:after="200" w:line="276" w:lineRule="auto"/>
        <w:rPr>
          <w:b/>
          <w:i/>
        </w:rPr>
      </w:pPr>
      <w:r>
        <w:rPr>
          <w:b/>
          <w:i/>
        </w:rPr>
        <w:br w:type="page"/>
      </w:r>
    </w:p>
    <w:p w:rsidR="00BD3394" w:rsidRPr="00BD3394" w:rsidRDefault="00BD3394" w:rsidP="00BD3394">
      <w:pPr>
        <w:spacing w:after="200" w:line="276" w:lineRule="auto"/>
        <w:rPr>
          <w:b/>
          <w:i/>
        </w:rPr>
      </w:pPr>
      <w:r>
        <w:rPr>
          <w:b/>
          <w:i/>
          <w:sz w:val="20"/>
          <w:szCs w:val="20"/>
        </w:rPr>
        <w:lastRenderedPageBreak/>
        <w:t>Tab. 2</w:t>
      </w:r>
      <w:r>
        <w:rPr>
          <w:b/>
          <w:i/>
          <w:sz w:val="20"/>
          <w:szCs w:val="20"/>
        </w:rPr>
        <w:tab/>
        <w:t>Horizontální rozbor položek rozvahy</w:t>
      </w:r>
    </w:p>
    <w:tbl>
      <w:tblPr>
        <w:tblW w:w="7700" w:type="dxa"/>
        <w:tblInd w:w="-5" w:type="dxa"/>
        <w:tblCellMar>
          <w:left w:w="0" w:type="dxa"/>
          <w:right w:w="0" w:type="dxa"/>
        </w:tblCellMar>
        <w:tblLook w:val="0000"/>
      </w:tblPr>
      <w:tblGrid>
        <w:gridCol w:w="3460"/>
        <w:gridCol w:w="820"/>
        <w:gridCol w:w="880"/>
        <w:gridCol w:w="800"/>
        <w:gridCol w:w="920"/>
        <w:gridCol w:w="820"/>
      </w:tblGrid>
      <w:tr w:rsidR="00BD3394" w:rsidTr="00790F69">
        <w:trPr>
          <w:trHeight w:val="255"/>
        </w:trPr>
        <w:tc>
          <w:tcPr>
            <w:tcW w:w="3460" w:type="dxa"/>
            <w:tcBorders>
              <w:top w:val="single" w:sz="8" w:space="0" w:color="auto"/>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82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1998</w:t>
            </w:r>
          </w:p>
        </w:tc>
        <w:tc>
          <w:tcPr>
            <w:tcW w:w="88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1999</w:t>
            </w:r>
          </w:p>
        </w:tc>
        <w:tc>
          <w:tcPr>
            <w:tcW w:w="80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99/98</w:t>
            </w:r>
          </w:p>
        </w:tc>
        <w:tc>
          <w:tcPr>
            <w:tcW w:w="92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2000</w:t>
            </w:r>
          </w:p>
        </w:tc>
        <w:tc>
          <w:tcPr>
            <w:tcW w:w="820" w:type="dxa"/>
            <w:tcBorders>
              <w:top w:val="single" w:sz="8" w:space="0" w:color="auto"/>
              <w:left w:val="nil"/>
              <w:bottom w:val="single" w:sz="4" w:space="0" w:color="auto"/>
              <w:right w:val="single" w:sz="4" w:space="0" w:color="auto"/>
            </w:tcBorders>
            <w:noWrap/>
            <w:vAlign w:val="bottom"/>
          </w:tcPr>
          <w:p w:rsidR="00BD3394" w:rsidRDefault="00BD3394" w:rsidP="00790F69">
            <w:pPr>
              <w:jc w:val="center"/>
              <w:rPr>
                <w:rFonts w:eastAsia="Arial Unicode MS"/>
                <w:b/>
                <w:bCs/>
                <w:sz w:val="20"/>
                <w:szCs w:val="20"/>
              </w:rPr>
            </w:pPr>
            <w:r>
              <w:rPr>
                <w:b/>
                <w:bCs/>
                <w:sz w:val="20"/>
                <w:szCs w:val="20"/>
              </w:rPr>
              <w:t>00/99</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Aktiva celkem</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11 576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23 927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xml:space="preserve">27 379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14%</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Pohledávky za upsaný vlastní kapitál</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Stálá aktiva</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1 064</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15 745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1380%</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9 978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-37%</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proofErr w:type="gramStart"/>
            <w:r>
              <w:rPr>
                <w:sz w:val="20"/>
                <w:szCs w:val="20"/>
              </w:rPr>
              <w:t>NIM</w:t>
            </w:r>
            <w:proofErr w:type="gramEnd"/>
            <w:r>
              <w:rPr>
                <w:sz w:val="20"/>
                <w:szCs w:val="20"/>
              </w:rPr>
              <w:t xml:space="preserve"> (DNM)</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369</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32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-91%</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HIM (DHM)</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695</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15 713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2161%</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9 978</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-36%</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Finanční investice (DFM)</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Oběžná aktiva</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9 986</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7 671</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-23%</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16 530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115%</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Zásoby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6 627</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5 393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-19%</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5 870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Dlouhodobé pohledávky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Krátkodobé pohledávky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2 413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782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-68%</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8 115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938%</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Pohledávky z obchodního styku</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2 413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-1 690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-170%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8 105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-580%</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Finanční majetek</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946</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1 496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58%</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2 545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70%</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Ostatní aktiva</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526</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511</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871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70%</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FFFFFF"/>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FF"/>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FF"/>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FFFFFF"/>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FFFFCC"/>
            <w:noWrap/>
            <w:vAlign w:val="bottom"/>
          </w:tcPr>
          <w:p w:rsidR="00BD3394" w:rsidRDefault="00BD3394" w:rsidP="00790F69">
            <w:pPr>
              <w:rPr>
                <w:rFonts w:eastAsia="Arial Unicode MS"/>
                <w:b/>
                <w:bCs/>
                <w:sz w:val="20"/>
                <w:szCs w:val="20"/>
              </w:rPr>
            </w:pPr>
            <w:r>
              <w:rPr>
                <w:b/>
                <w:bCs/>
                <w:sz w:val="20"/>
                <w:szCs w:val="20"/>
              </w:rPr>
              <w:t>Pasiva celkem</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11 576</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23 927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xml:space="preserve">27 379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14%</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Vlastní kapitál</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1 863</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6 012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223%</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8 200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36%</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Základní kapitál</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100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100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0%</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Kapitálové fondy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Fondy ze zisku</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20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HV minulých let</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1 754</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5 386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207%</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HV běžného období</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1 763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4 148</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135%</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2 694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-35%</w:t>
            </w:r>
          </w:p>
        </w:tc>
      </w:tr>
      <w:tr w:rsidR="00BD3394" w:rsidTr="00790F69">
        <w:trPr>
          <w:trHeight w:val="255"/>
        </w:trPr>
        <w:tc>
          <w:tcPr>
            <w:tcW w:w="0" w:type="auto"/>
            <w:tcBorders>
              <w:top w:val="nil"/>
              <w:left w:val="single" w:sz="4" w:space="0" w:color="auto"/>
              <w:bottom w:val="single" w:sz="4"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Cizí zdroje</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9 582</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17 915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87%</w:t>
            </w:r>
          </w:p>
        </w:tc>
        <w:tc>
          <w:tcPr>
            <w:tcW w:w="0" w:type="auto"/>
            <w:tcBorders>
              <w:top w:val="nil"/>
              <w:left w:val="nil"/>
              <w:bottom w:val="single" w:sz="4"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18 859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5%</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Rezervy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184</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767</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317%</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884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Dlouhodobé závazky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8 215</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Krátkodobé závazky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9 398</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3 933</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-58%</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13 704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248%</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Závazky z obchodního styku</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7 679</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552</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-93%</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9 110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1550%</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Bankovní úvěry a výpomoci</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5 000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4 271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Bankovní úvěry dlouhodobé</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5 000</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xml:space="preserve">4 271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-15%</w:t>
            </w:r>
          </w:p>
        </w:tc>
      </w:tr>
      <w:tr w:rsidR="00BD3394" w:rsidTr="00790F69">
        <w:trPr>
          <w:trHeight w:val="255"/>
        </w:trPr>
        <w:tc>
          <w:tcPr>
            <w:tcW w:w="0" w:type="auto"/>
            <w:tcBorders>
              <w:top w:val="nil"/>
              <w:left w:val="single" w:sz="4" w:space="0" w:color="auto"/>
              <w:bottom w:val="single" w:sz="4" w:space="0" w:color="auto"/>
              <w:right w:val="single" w:sz="4" w:space="0" w:color="auto"/>
            </w:tcBorders>
            <w:noWrap/>
            <w:vAlign w:val="bottom"/>
          </w:tcPr>
          <w:p w:rsidR="00BD3394" w:rsidRDefault="00BD3394" w:rsidP="00790F69">
            <w:pPr>
              <w:rPr>
                <w:rFonts w:eastAsia="Arial Unicode MS"/>
                <w:sz w:val="20"/>
                <w:szCs w:val="20"/>
              </w:rPr>
            </w:pPr>
            <w:r>
              <w:rPr>
                <w:sz w:val="20"/>
                <w:szCs w:val="20"/>
              </w:rPr>
              <w:t>Běžné bankovní úvěry</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BD3394" w:rsidRDefault="00BD3394" w:rsidP="00790F69">
            <w:pPr>
              <w:jc w:val="center"/>
              <w:rPr>
                <w:rFonts w:eastAsia="Arial Unicode MS"/>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r w:rsidR="00BD3394" w:rsidTr="00790F69">
        <w:trPr>
          <w:trHeight w:val="270"/>
        </w:trPr>
        <w:tc>
          <w:tcPr>
            <w:tcW w:w="0" w:type="auto"/>
            <w:tcBorders>
              <w:top w:val="nil"/>
              <w:left w:val="single" w:sz="4" w:space="0" w:color="auto"/>
              <w:bottom w:val="single" w:sz="8" w:space="0" w:color="auto"/>
              <w:right w:val="single" w:sz="4" w:space="0" w:color="auto"/>
            </w:tcBorders>
            <w:shd w:val="clear" w:color="auto" w:fill="CCFFCC"/>
            <w:noWrap/>
            <w:vAlign w:val="bottom"/>
          </w:tcPr>
          <w:p w:rsidR="00BD3394" w:rsidRDefault="00BD3394" w:rsidP="00790F69">
            <w:pPr>
              <w:rPr>
                <w:rFonts w:eastAsia="Arial Unicode MS"/>
                <w:sz w:val="20"/>
                <w:szCs w:val="20"/>
              </w:rPr>
            </w:pPr>
            <w:r>
              <w:rPr>
                <w:sz w:val="20"/>
                <w:szCs w:val="20"/>
              </w:rPr>
              <w:t>Ostatní pasiva</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131</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0</w:t>
            </w:r>
          </w:p>
        </w:tc>
        <w:tc>
          <w:tcPr>
            <w:tcW w:w="0" w:type="auto"/>
            <w:tcBorders>
              <w:top w:val="nil"/>
              <w:left w:val="nil"/>
              <w:bottom w:val="single" w:sz="8"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-100%</w:t>
            </w:r>
          </w:p>
        </w:tc>
        <w:tc>
          <w:tcPr>
            <w:tcW w:w="0" w:type="auto"/>
            <w:tcBorders>
              <w:top w:val="nil"/>
              <w:left w:val="nil"/>
              <w:bottom w:val="single" w:sz="8" w:space="0" w:color="auto"/>
              <w:right w:val="single" w:sz="4" w:space="0" w:color="auto"/>
            </w:tcBorders>
            <w:shd w:val="clear" w:color="auto" w:fill="CCFFCC"/>
            <w:noWrap/>
            <w:vAlign w:val="bottom"/>
          </w:tcPr>
          <w:p w:rsidR="00BD3394" w:rsidRDefault="00BD3394" w:rsidP="00790F69">
            <w:pPr>
              <w:jc w:val="center"/>
              <w:rPr>
                <w:rFonts w:eastAsia="Arial Unicode MS"/>
                <w:sz w:val="20"/>
                <w:szCs w:val="20"/>
              </w:rPr>
            </w:pPr>
            <w:r>
              <w:rPr>
                <w:sz w:val="20"/>
                <w:szCs w:val="20"/>
              </w:rPr>
              <w:t xml:space="preserve">320   </w:t>
            </w:r>
          </w:p>
        </w:tc>
        <w:tc>
          <w:tcPr>
            <w:tcW w:w="0" w:type="auto"/>
            <w:tcBorders>
              <w:top w:val="nil"/>
              <w:left w:val="nil"/>
              <w:bottom w:val="single" w:sz="8" w:space="0" w:color="auto"/>
              <w:right w:val="single" w:sz="4" w:space="0" w:color="auto"/>
            </w:tcBorders>
            <w:shd w:val="clear" w:color="auto" w:fill="FFFFCC"/>
            <w:noWrap/>
            <w:vAlign w:val="bottom"/>
          </w:tcPr>
          <w:p w:rsidR="00BD3394" w:rsidRDefault="00BD3394" w:rsidP="00790F69">
            <w:pPr>
              <w:jc w:val="center"/>
              <w:rPr>
                <w:rFonts w:eastAsia="Arial Unicode MS"/>
                <w:b/>
                <w:bCs/>
                <w:sz w:val="20"/>
                <w:szCs w:val="20"/>
              </w:rPr>
            </w:pPr>
            <w:r>
              <w:rPr>
                <w:b/>
                <w:bCs/>
                <w:sz w:val="20"/>
                <w:szCs w:val="20"/>
              </w:rPr>
              <w:t> </w:t>
            </w:r>
          </w:p>
        </w:tc>
      </w:tr>
    </w:tbl>
    <w:p w:rsidR="00A008D3" w:rsidRDefault="00A008D3" w:rsidP="005709FB"/>
    <w:p w:rsidR="00A008D3" w:rsidRDefault="00A008D3">
      <w:pPr>
        <w:spacing w:after="200" w:line="276" w:lineRule="auto"/>
      </w:pPr>
      <w:r>
        <w:br w:type="page"/>
      </w:r>
    </w:p>
    <w:p w:rsidR="00BD3394" w:rsidRDefault="00A008D3" w:rsidP="005709FB">
      <w:pPr>
        <w:rPr>
          <w:b/>
          <w:sz w:val="28"/>
          <w:szCs w:val="28"/>
        </w:rPr>
      </w:pPr>
      <w:r>
        <w:rPr>
          <w:b/>
          <w:sz w:val="28"/>
          <w:szCs w:val="28"/>
        </w:rPr>
        <w:lastRenderedPageBreak/>
        <w:t>Zdroje:</w:t>
      </w:r>
    </w:p>
    <w:p w:rsidR="00A008D3" w:rsidRPr="00A008D3" w:rsidRDefault="00A008D3" w:rsidP="00A008D3">
      <w:pPr>
        <w:rPr>
          <w:rFonts w:cs="Arial"/>
          <w:lang w:val="en-US"/>
        </w:rPr>
      </w:pPr>
      <w:r w:rsidRPr="00A008D3">
        <w:rPr>
          <w:rFonts w:cs="Arial"/>
          <w:lang w:val="en-US"/>
        </w:rPr>
        <w:t>[1]</w:t>
      </w:r>
      <w:r w:rsidRPr="00A008D3">
        <w:rPr>
          <w:rFonts w:cs="Arial"/>
          <w:lang w:val="en-US"/>
        </w:rPr>
        <w:tab/>
      </w:r>
      <w:r w:rsidRPr="00A008D3">
        <w:rPr>
          <w:rFonts w:cs="Arial"/>
        </w:rPr>
        <w:t xml:space="preserve">KISLINGEROVÁ, </w:t>
      </w:r>
      <w:proofErr w:type="spellStart"/>
      <w:r w:rsidRPr="00A008D3">
        <w:rPr>
          <w:rFonts w:cs="Arial"/>
        </w:rPr>
        <w:t>Eve</w:t>
      </w:r>
      <w:proofErr w:type="spellEnd"/>
      <w:r w:rsidRPr="00A008D3">
        <w:rPr>
          <w:rFonts w:cs="Arial"/>
        </w:rPr>
        <w:t xml:space="preserve">, </w:t>
      </w:r>
      <w:proofErr w:type="spellStart"/>
      <w:r w:rsidRPr="00A008D3">
        <w:rPr>
          <w:rFonts w:cs="Arial"/>
        </w:rPr>
        <w:t>et</w:t>
      </w:r>
      <w:proofErr w:type="spellEnd"/>
      <w:r w:rsidRPr="00A008D3">
        <w:rPr>
          <w:rFonts w:cs="Arial"/>
        </w:rPr>
        <w:t xml:space="preserve"> </w:t>
      </w:r>
      <w:proofErr w:type="spellStart"/>
      <w:r w:rsidRPr="00A008D3">
        <w:rPr>
          <w:rFonts w:cs="Arial"/>
        </w:rPr>
        <w:t>al</w:t>
      </w:r>
      <w:proofErr w:type="spellEnd"/>
      <w:r w:rsidRPr="00A008D3">
        <w:rPr>
          <w:rFonts w:cs="Arial"/>
        </w:rPr>
        <w:t xml:space="preserve">. </w:t>
      </w:r>
      <w:r w:rsidRPr="00A008D3">
        <w:rPr>
          <w:rStyle w:val="Zvraznn"/>
          <w:rFonts w:cs="Arial"/>
        </w:rPr>
        <w:t>Manažerské finance</w:t>
      </w:r>
      <w:r w:rsidRPr="00A008D3">
        <w:rPr>
          <w:rFonts w:cs="Arial"/>
        </w:rPr>
        <w:t xml:space="preserve">. 2. </w:t>
      </w:r>
      <w:proofErr w:type="gramStart"/>
      <w:r w:rsidRPr="00A008D3">
        <w:rPr>
          <w:rFonts w:cs="Arial"/>
        </w:rPr>
        <w:t>Praha : C.</w:t>
      </w:r>
      <w:proofErr w:type="gramEnd"/>
      <w:r w:rsidRPr="00A008D3">
        <w:rPr>
          <w:rFonts w:cs="Arial"/>
        </w:rPr>
        <w:t xml:space="preserve"> H. </w:t>
      </w:r>
      <w:proofErr w:type="spellStart"/>
      <w:r w:rsidRPr="00A008D3">
        <w:rPr>
          <w:rFonts w:cs="Arial"/>
        </w:rPr>
        <w:t>Beck</w:t>
      </w:r>
      <w:proofErr w:type="spellEnd"/>
      <w:r w:rsidRPr="00A008D3">
        <w:rPr>
          <w:rFonts w:cs="Arial"/>
        </w:rPr>
        <w:t>, 2007. 745 s. ISBN 978-80-7179-903-0.</w:t>
      </w:r>
    </w:p>
    <w:p w:rsidR="00A008D3" w:rsidRPr="00A008D3" w:rsidRDefault="00A008D3" w:rsidP="00A008D3">
      <w:pPr>
        <w:rPr>
          <w:rFonts w:eastAsia="Times New Roman" w:cs="Arial"/>
          <w:szCs w:val="24"/>
          <w:lang w:eastAsia="cs-CZ"/>
        </w:rPr>
      </w:pPr>
      <w:r w:rsidRPr="00A008D3">
        <w:rPr>
          <w:rFonts w:cs="Arial"/>
          <w:lang w:val="en-US"/>
        </w:rPr>
        <w:t>[2]</w:t>
      </w:r>
      <w:r w:rsidRPr="00A008D3">
        <w:rPr>
          <w:rFonts w:cs="Arial"/>
          <w:lang w:val="en-US"/>
        </w:rPr>
        <w:tab/>
      </w:r>
      <w:r w:rsidRPr="00A008D3">
        <w:rPr>
          <w:rFonts w:eastAsia="Times New Roman" w:cs="Arial"/>
          <w:i/>
          <w:iCs/>
          <w:szCs w:val="24"/>
          <w:lang w:eastAsia="cs-CZ"/>
        </w:rPr>
        <w:t>Vertikální a horizontální analýza</w:t>
      </w:r>
      <w:r w:rsidRPr="00A008D3">
        <w:rPr>
          <w:rFonts w:eastAsia="Times New Roman" w:cs="Arial"/>
          <w:szCs w:val="24"/>
          <w:lang w:eastAsia="cs-CZ"/>
        </w:rPr>
        <w:t xml:space="preserve"> [online]. ???? [cit. 2010-02-26]. Vertikální a horizontální analýza. Dostupné z WWW: &lt;http://halek.info/dokumenty/km_c3_02.pdf&gt;.</w:t>
      </w:r>
    </w:p>
    <w:p w:rsidR="00A008D3" w:rsidRPr="00A008D3" w:rsidRDefault="00A008D3" w:rsidP="00A008D3">
      <w:pPr>
        <w:rPr>
          <w:lang w:val="en-US"/>
        </w:rPr>
      </w:pPr>
    </w:p>
    <w:p w:rsidR="00A008D3" w:rsidRPr="00A008D3" w:rsidRDefault="00A008D3">
      <w:pPr>
        <w:rPr>
          <w:lang w:val="en-US"/>
        </w:rPr>
      </w:pPr>
    </w:p>
    <w:sectPr w:rsidR="00A008D3" w:rsidRPr="00A008D3" w:rsidSect="00BD3394">
      <w:pgSz w:w="11906" w:h="16838"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C52"/>
    <w:multiLevelType w:val="hybridMultilevel"/>
    <w:tmpl w:val="A7CCB1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5593437"/>
    <w:multiLevelType w:val="hybridMultilevel"/>
    <w:tmpl w:val="C0588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B560DBE"/>
    <w:multiLevelType w:val="hybridMultilevel"/>
    <w:tmpl w:val="A426B4E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31669"/>
    <w:rsid w:val="00193D60"/>
    <w:rsid w:val="00231669"/>
    <w:rsid w:val="00276B86"/>
    <w:rsid w:val="005709FB"/>
    <w:rsid w:val="006D456A"/>
    <w:rsid w:val="00713DBA"/>
    <w:rsid w:val="007A5EC9"/>
    <w:rsid w:val="008A674C"/>
    <w:rsid w:val="008D334B"/>
    <w:rsid w:val="00A008D3"/>
    <w:rsid w:val="00B50326"/>
    <w:rsid w:val="00BD3394"/>
    <w:rsid w:val="00C90339"/>
    <w:rsid w:val="00D073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1669"/>
    <w:pPr>
      <w:spacing w:after="0" w:line="360" w:lineRule="auto"/>
    </w:pPr>
    <w:rPr>
      <w:rFonts w:ascii="Arial" w:hAnsi="Arial"/>
      <w:sz w:val="24"/>
    </w:rPr>
  </w:style>
  <w:style w:type="paragraph" w:styleId="Nadpis1">
    <w:name w:val="heading 1"/>
    <w:basedOn w:val="Normln"/>
    <w:next w:val="Normln"/>
    <w:link w:val="Nadpis1Char"/>
    <w:uiPriority w:val="9"/>
    <w:qFormat/>
    <w:rsid w:val="00231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1669"/>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5709FB"/>
    <w:pPr>
      <w:ind w:left="720"/>
      <w:contextualSpacing/>
    </w:pPr>
  </w:style>
  <w:style w:type="character" w:styleId="Zvraznn">
    <w:name w:val="Emphasis"/>
    <w:basedOn w:val="Standardnpsmoodstavce"/>
    <w:uiPriority w:val="20"/>
    <w:qFormat/>
    <w:rsid w:val="00A008D3"/>
    <w:rPr>
      <w:i/>
      <w:iCs/>
    </w:rPr>
  </w:style>
  <w:style w:type="character" w:styleId="Siln">
    <w:name w:val="Strong"/>
    <w:basedOn w:val="Standardnpsmoodstavce"/>
    <w:uiPriority w:val="22"/>
    <w:qFormat/>
    <w:rsid w:val="00A008D3"/>
    <w:rPr>
      <w:b/>
      <w:bCs/>
    </w:rPr>
  </w:style>
</w:styles>
</file>

<file path=word/webSettings.xml><?xml version="1.0" encoding="utf-8"?>
<w:webSettings xmlns:r="http://schemas.openxmlformats.org/officeDocument/2006/relationships" xmlns:w="http://schemas.openxmlformats.org/wordprocessingml/2006/main">
  <w:divs>
    <w:div w:id="323047187">
      <w:bodyDiv w:val="1"/>
      <w:marLeft w:val="0"/>
      <w:marRight w:val="0"/>
      <w:marTop w:val="0"/>
      <w:marBottom w:val="0"/>
      <w:divBdr>
        <w:top w:val="none" w:sz="0" w:space="0" w:color="auto"/>
        <w:left w:val="none" w:sz="0" w:space="0" w:color="auto"/>
        <w:bottom w:val="none" w:sz="0" w:space="0" w:color="auto"/>
        <w:right w:val="none" w:sz="0" w:space="0" w:color="auto"/>
      </w:divBdr>
      <w:divsChild>
        <w:div w:id="1634168563">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53B7-C248-419E-929F-D4FC71F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787</Words>
  <Characters>4647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Czablos</dc:creator>
  <cp:lastModifiedBy>Czablos</cp:lastModifiedBy>
  <cp:revision>2</cp:revision>
  <dcterms:created xsi:type="dcterms:W3CDTF">2010-02-26T18:09:00Z</dcterms:created>
  <dcterms:modified xsi:type="dcterms:W3CDTF">2010-02-26T19:05:00Z</dcterms:modified>
</cp:coreProperties>
</file>