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97" w:rsidRPr="008A7297" w:rsidRDefault="008A7297" w:rsidP="008A7297">
      <w:pPr>
        <w:pStyle w:val="Default"/>
        <w:jc w:val="center"/>
        <w:rPr>
          <w:sz w:val="26"/>
          <w:szCs w:val="26"/>
        </w:rPr>
      </w:pPr>
      <w:r w:rsidRPr="008A7297">
        <w:rPr>
          <w:sz w:val="26"/>
          <w:szCs w:val="26"/>
        </w:rPr>
        <w:t>Masaryk University – Brno Department of Economics – Faculty of Economics and Administration Lipová 507/41a, Pisárky, Brno</w:t>
      </w:r>
    </w:p>
    <w:p w:rsidR="008A7297" w:rsidRDefault="008A7297" w:rsidP="008A7297">
      <w:pPr>
        <w:pStyle w:val="Default"/>
        <w:rPr>
          <w:sz w:val="23"/>
          <w:szCs w:val="23"/>
        </w:rPr>
      </w:pPr>
    </w:p>
    <w:p w:rsidR="008A7297" w:rsidRDefault="008A7297" w:rsidP="008A7297">
      <w:pPr>
        <w:pStyle w:val="Default"/>
        <w:rPr>
          <w:sz w:val="23"/>
          <w:szCs w:val="23"/>
        </w:rPr>
      </w:pPr>
    </w:p>
    <w:p w:rsidR="008A7297" w:rsidRDefault="008A7297" w:rsidP="008A7297">
      <w:pPr>
        <w:pStyle w:val="Default"/>
        <w:rPr>
          <w:color w:val="0000FF"/>
          <w:sz w:val="23"/>
          <w:szCs w:val="23"/>
        </w:rPr>
      </w:pPr>
      <w:r>
        <w:rPr>
          <w:sz w:val="23"/>
          <w:szCs w:val="23"/>
        </w:rPr>
        <w:t xml:space="preserve">                                                                  </w:t>
      </w:r>
      <w:r>
        <w:rPr>
          <w:sz w:val="32"/>
          <w:szCs w:val="32"/>
        </w:rPr>
        <w:t xml:space="preserve">Macroeconomics 1 </w:t>
      </w:r>
      <w:r>
        <w:rPr>
          <w:color w:val="0000FF"/>
          <w:sz w:val="23"/>
          <w:szCs w:val="23"/>
        </w:rPr>
        <w:t xml:space="preserve"> </w:t>
      </w:r>
    </w:p>
    <w:p w:rsidR="008A7297" w:rsidRDefault="008A7297" w:rsidP="008A7297">
      <w:pPr>
        <w:pStyle w:val="Default"/>
        <w:rPr>
          <w:color w:val="auto"/>
          <w:sz w:val="32"/>
          <w:szCs w:val="32"/>
        </w:rPr>
      </w:pPr>
      <w:r>
        <w:rPr>
          <w:color w:val="auto"/>
          <w:sz w:val="32"/>
          <w:szCs w:val="32"/>
        </w:rPr>
        <w:t xml:space="preserve">                                                      </w:t>
      </w:r>
      <w:r w:rsidRPr="008A7297">
        <w:rPr>
          <w:color w:val="auto"/>
          <w:sz w:val="32"/>
          <w:szCs w:val="32"/>
        </w:rPr>
        <w:t>Spring 2011</w:t>
      </w:r>
    </w:p>
    <w:p w:rsidR="00075A28" w:rsidRPr="00075A28" w:rsidRDefault="00075A28" w:rsidP="008A7297">
      <w:pPr>
        <w:pStyle w:val="Default"/>
        <w:rPr>
          <w:b/>
          <w:color w:val="auto"/>
          <w:sz w:val="36"/>
          <w:szCs w:val="36"/>
        </w:rPr>
      </w:pPr>
      <w:r>
        <w:rPr>
          <w:color w:val="auto"/>
          <w:sz w:val="32"/>
          <w:szCs w:val="32"/>
        </w:rPr>
        <w:t xml:space="preserve">                                                        </w:t>
      </w:r>
      <w:r w:rsidRPr="00075A28">
        <w:rPr>
          <w:b/>
          <w:color w:val="auto"/>
          <w:sz w:val="36"/>
          <w:szCs w:val="36"/>
        </w:rPr>
        <w:t>Syllabus</w:t>
      </w:r>
    </w:p>
    <w:p w:rsidR="008A7297" w:rsidRDefault="008A7297" w:rsidP="008A7297">
      <w:pPr>
        <w:pStyle w:val="Default"/>
        <w:rPr>
          <w:color w:val="auto"/>
          <w:sz w:val="23"/>
          <w:szCs w:val="23"/>
        </w:rPr>
      </w:pPr>
    </w:p>
    <w:p w:rsidR="008A7297" w:rsidRPr="008A7297" w:rsidRDefault="008A7297" w:rsidP="008A7297">
      <w:pPr>
        <w:pStyle w:val="Default"/>
        <w:rPr>
          <w:color w:val="auto"/>
          <w:sz w:val="23"/>
          <w:szCs w:val="23"/>
        </w:rPr>
      </w:pPr>
    </w:p>
    <w:tbl>
      <w:tblPr>
        <w:tblW w:w="0" w:type="auto"/>
        <w:tblBorders>
          <w:top w:val="nil"/>
          <w:left w:val="nil"/>
          <w:bottom w:val="nil"/>
          <w:right w:val="nil"/>
        </w:tblBorders>
        <w:tblLayout w:type="fixed"/>
        <w:tblLook w:val="0000"/>
      </w:tblPr>
      <w:tblGrid>
        <w:gridCol w:w="3876"/>
        <w:gridCol w:w="3876"/>
      </w:tblGrid>
      <w:tr w:rsidR="008A7297" w:rsidTr="008A7297">
        <w:trPr>
          <w:trHeight w:val="907"/>
        </w:trPr>
        <w:tc>
          <w:tcPr>
            <w:tcW w:w="3876" w:type="dxa"/>
          </w:tcPr>
          <w:p w:rsidR="008A7297" w:rsidRPr="008A7297" w:rsidRDefault="008A7297">
            <w:pPr>
              <w:pStyle w:val="Default"/>
              <w:rPr>
                <w:sz w:val="26"/>
                <w:szCs w:val="26"/>
              </w:rPr>
            </w:pPr>
            <w:r w:rsidRPr="008A7297">
              <w:rPr>
                <w:b/>
                <w:bCs/>
                <w:sz w:val="26"/>
                <w:szCs w:val="26"/>
              </w:rPr>
              <w:t xml:space="preserve">Instructor: </w:t>
            </w:r>
          </w:p>
          <w:p w:rsidR="008A7297" w:rsidRPr="008A7297" w:rsidRDefault="008A7297">
            <w:pPr>
              <w:pStyle w:val="Default"/>
              <w:rPr>
                <w:sz w:val="26"/>
                <w:szCs w:val="26"/>
              </w:rPr>
            </w:pPr>
            <w:r w:rsidRPr="008A7297">
              <w:rPr>
                <w:b/>
                <w:bCs/>
                <w:sz w:val="26"/>
                <w:szCs w:val="26"/>
              </w:rPr>
              <w:t xml:space="preserve">E-mail: </w:t>
            </w:r>
          </w:p>
          <w:p w:rsidR="008A7297" w:rsidRPr="008A7297" w:rsidRDefault="008A7297">
            <w:pPr>
              <w:pStyle w:val="Default"/>
              <w:rPr>
                <w:sz w:val="26"/>
                <w:szCs w:val="26"/>
              </w:rPr>
            </w:pPr>
            <w:r w:rsidRPr="008A7297">
              <w:rPr>
                <w:b/>
                <w:bCs/>
                <w:sz w:val="26"/>
                <w:szCs w:val="26"/>
              </w:rPr>
              <w:t>Language of Instruction</w:t>
            </w:r>
            <w:r w:rsidRPr="008A7297">
              <w:rPr>
                <w:sz w:val="26"/>
                <w:szCs w:val="26"/>
              </w:rPr>
              <w:t xml:space="preserve">: </w:t>
            </w:r>
          </w:p>
          <w:p w:rsidR="008A7297" w:rsidRPr="008A7297" w:rsidRDefault="008A7297">
            <w:pPr>
              <w:pStyle w:val="Default"/>
              <w:rPr>
                <w:sz w:val="26"/>
                <w:szCs w:val="26"/>
              </w:rPr>
            </w:pPr>
            <w:r w:rsidRPr="008A7297">
              <w:rPr>
                <w:b/>
                <w:bCs/>
                <w:sz w:val="26"/>
                <w:szCs w:val="26"/>
              </w:rPr>
              <w:t xml:space="preserve">Office Hours: </w:t>
            </w:r>
          </w:p>
          <w:p w:rsidR="008A7297" w:rsidRPr="008A7297" w:rsidRDefault="008A7297">
            <w:pPr>
              <w:pStyle w:val="Default"/>
              <w:rPr>
                <w:sz w:val="26"/>
                <w:szCs w:val="26"/>
              </w:rPr>
            </w:pPr>
            <w:r w:rsidRPr="008A7297">
              <w:rPr>
                <w:b/>
                <w:bCs/>
                <w:sz w:val="26"/>
                <w:szCs w:val="26"/>
              </w:rPr>
              <w:t xml:space="preserve">Semester: </w:t>
            </w:r>
          </w:p>
          <w:p w:rsidR="008A7297" w:rsidRPr="008A7297" w:rsidRDefault="008A7297">
            <w:pPr>
              <w:pStyle w:val="Default"/>
              <w:rPr>
                <w:sz w:val="26"/>
                <w:szCs w:val="26"/>
              </w:rPr>
            </w:pPr>
            <w:r w:rsidRPr="008A7297">
              <w:rPr>
                <w:b/>
                <w:bCs/>
                <w:sz w:val="26"/>
                <w:szCs w:val="26"/>
              </w:rPr>
              <w:t xml:space="preserve">Exam Period: </w:t>
            </w:r>
          </w:p>
        </w:tc>
        <w:tc>
          <w:tcPr>
            <w:tcW w:w="3876" w:type="dxa"/>
          </w:tcPr>
          <w:p w:rsidR="008A7297" w:rsidRPr="008A7297" w:rsidRDefault="008A7297">
            <w:pPr>
              <w:pStyle w:val="Default"/>
              <w:rPr>
                <w:sz w:val="26"/>
                <w:szCs w:val="26"/>
              </w:rPr>
            </w:pPr>
            <w:r w:rsidRPr="008A7297">
              <w:rPr>
                <w:sz w:val="26"/>
                <w:szCs w:val="26"/>
              </w:rPr>
              <w:t xml:space="preserve">Ashot Tsharakyan, M.A., Ph.D </w:t>
            </w:r>
          </w:p>
          <w:p w:rsidR="008A7297" w:rsidRPr="008A7297" w:rsidRDefault="008A7297">
            <w:pPr>
              <w:pStyle w:val="Default"/>
              <w:rPr>
                <w:sz w:val="26"/>
                <w:szCs w:val="26"/>
              </w:rPr>
            </w:pPr>
            <w:r w:rsidRPr="008A7297">
              <w:rPr>
                <w:sz w:val="26"/>
                <w:szCs w:val="26"/>
              </w:rPr>
              <w:t>ashichek@gmail.com</w:t>
            </w:r>
          </w:p>
          <w:p w:rsidR="008A7297" w:rsidRPr="008A7297" w:rsidRDefault="008A7297">
            <w:pPr>
              <w:pStyle w:val="Default"/>
              <w:rPr>
                <w:sz w:val="26"/>
                <w:szCs w:val="26"/>
              </w:rPr>
            </w:pPr>
            <w:r w:rsidRPr="008A7297">
              <w:rPr>
                <w:sz w:val="26"/>
                <w:szCs w:val="26"/>
              </w:rPr>
              <w:t xml:space="preserve">English </w:t>
            </w:r>
          </w:p>
          <w:p w:rsidR="008A7297" w:rsidRPr="008A7297" w:rsidRDefault="008A7297">
            <w:pPr>
              <w:pStyle w:val="Default"/>
              <w:rPr>
                <w:sz w:val="26"/>
                <w:szCs w:val="26"/>
              </w:rPr>
            </w:pPr>
            <w:r w:rsidRPr="008A7297">
              <w:rPr>
                <w:sz w:val="26"/>
                <w:szCs w:val="26"/>
              </w:rPr>
              <w:t xml:space="preserve">Friday, 12:00-13:00, room TBA </w:t>
            </w:r>
          </w:p>
          <w:p w:rsidR="008A7297" w:rsidRPr="008A7297" w:rsidRDefault="008A7297">
            <w:pPr>
              <w:pStyle w:val="Default"/>
              <w:rPr>
                <w:sz w:val="26"/>
                <w:szCs w:val="26"/>
              </w:rPr>
            </w:pPr>
            <w:r w:rsidRPr="008A7297">
              <w:rPr>
                <w:sz w:val="26"/>
                <w:szCs w:val="26"/>
              </w:rPr>
              <w:t xml:space="preserve">21.02.2011 – 20.05.2011 </w:t>
            </w:r>
          </w:p>
          <w:p w:rsidR="008A7297" w:rsidRPr="008A7297" w:rsidRDefault="008A7297">
            <w:pPr>
              <w:pStyle w:val="Default"/>
              <w:rPr>
                <w:sz w:val="26"/>
                <w:szCs w:val="26"/>
              </w:rPr>
            </w:pPr>
            <w:r w:rsidRPr="008A7297">
              <w:rPr>
                <w:sz w:val="26"/>
                <w:szCs w:val="26"/>
              </w:rPr>
              <w:t xml:space="preserve">23.05.2011 – 01.07.2011 </w:t>
            </w:r>
          </w:p>
        </w:tc>
      </w:tr>
    </w:tbl>
    <w:p w:rsidR="00842987" w:rsidRDefault="00842987"/>
    <w:p w:rsidR="008A7297" w:rsidRDefault="008A7297" w:rsidP="008A7297">
      <w:pPr>
        <w:pStyle w:val="Default"/>
      </w:pPr>
    </w:p>
    <w:p w:rsidR="008A7297" w:rsidRPr="008A7297" w:rsidRDefault="008A7297" w:rsidP="008A7297">
      <w:pPr>
        <w:pStyle w:val="Default"/>
      </w:pPr>
      <w:r>
        <w:t xml:space="preserve"> </w:t>
      </w:r>
      <w:r w:rsidRPr="008A7297">
        <w:rPr>
          <w:b/>
        </w:rPr>
        <w:t>Course Description:</w:t>
      </w:r>
      <w:r w:rsidRPr="008A7297">
        <w:t xml:space="preserve"> The course introduces macroeconomics to students. It provides the basic measures that describe the development of an economy as a whole. A distinction is made between the long-run trend of the main macroeconomic variables and their short-run fluctuations. Respectively, a general description is given of the factors and the policy measures which affect macroeconomic development in the short run and in the long run. </w:t>
      </w:r>
    </w:p>
    <w:p w:rsidR="008A7297" w:rsidRPr="008A7297" w:rsidRDefault="008A7297" w:rsidP="008A7297">
      <w:pPr>
        <w:pStyle w:val="Default"/>
      </w:pPr>
      <w:r w:rsidRPr="008A7297">
        <w:t xml:space="preserve">The course objectives can be summarized as follows: </w:t>
      </w:r>
    </w:p>
    <w:p w:rsidR="008A7297" w:rsidRPr="008A7297" w:rsidRDefault="008A7297" w:rsidP="008A7297">
      <w:pPr>
        <w:pStyle w:val="Default"/>
      </w:pPr>
      <w:r w:rsidRPr="008A7297">
        <w:t xml:space="preserve">- to provide students with basic knowledge about how economy could be analysed in general, </w:t>
      </w:r>
    </w:p>
    <w:p w:rsidR="008A7297" w:rsidRPr="008A7297" w:rsidRDefault="008A7297" w:rsidP="008A7297">
      <w:pPr>
        <w:pStyle w:val="Default"/>
      </w:pPr>
      <w:r w:rsidRPr="008A7297">
        <w:t xml:space="preserve">- to give students an intuition why sometimes prices increase or fall in all the markets, what makes production expand or contract in all industries from time to time, how rise in unemployment during recession could be explained </w:t>
      </w:r>
    </w:p>
    <w:p w:rsidR="008A7297" w:rsidRPr="008A7297" w:rsidRDefault="008A7297" w:rsidP="008A7297">
      <w:pPr>
        <w:pStyle w:val="Default"/>
      </w:pPr>
      <w:r w:rsidRPr="008A7297">
        <w:t xml:space="preserve">- to help students identify the general effects on the economy of one or another public policy, </w:t>
      </w:r>
    </w:p>
    <w:p w:rsidR="008A7297" w:rsidRDefault="008A7297" w:rsidP="008A7297">
      <w:pPr>
        <w:rPr>
          <w:rFonts w:ascii="Times New Roman" w:hAnsi="Times New Roman" w:cs="Times New Roman"/>
          <w:sz w:val="24"/>
          <w:szCs w:val="24"/>
        </w:rPr>
      </w:pPr>
      <w:r w:rsidRPr="008A7297">
        <w:rPr>
          <w:rFonts w:ascii="Times New Roman" w:hAnsi="Times New Roman" w:cs="Times New Roman"/>
          <w:sz w:val="24"/>
          <w:szCs w:val="24"/>
        </w:rPr>
        <w:t>- to enable students interpret correctly the short-run deviations of the macroeconomic variables from their long-run trends.</w:t>
      </w:r>
    </w:p>
    <w:p w:rsidR="008A7297" w:rsidRPr="008A7297" w:rsidRDefault="008A7297" w:rsidP="008A7297">
      <w:pPr>
        <w:pStyle w:val="Default"/>
      </w:pPr>
      <w:r w:rsidRPr="008A7297">
        <w:rPr>
          <w:b/>
        </w:rPr>
        <w:t xml:space="preserve"> </w:t>
      </w:r>
      <w:r w:rsidRPr="008A7297">
        <w:rPr>
          <w:b/>
          <w:sz w:val="23"/>
          <w:szCs w:val="23"/>
        </w:rPr>
        <w:t>Grading</w:t>
      </w:r>
      <w:r>
        <w:rPr>
          <w:sz w:val="23"/>
          <w:szCs w:val="23"/>
        </w:rPr>
        <w:t xml:space="preserve">: </w:t>
      </w:r>
      <w:r w:rsidRPr="008A7297">
        <w:t xml:space="preserve">The overall course grade will be computed by converting into a grade-point score the total number of points gained from participation in class (10%), doing two homework assignments (10%), midterm (30%) and final (50%) written exams. </w:t>
      </w:r>
    </w:p>
    <w:p w:rsidR="008A7297" w:rsidRDefault="008A7297" w:rsidP="008A7297">
      <w:pPr>
        <w:pStyle w:val="Default"/>
      </w:pPr>
    </w:p>
    <w:p w:rsidR="008A7297" w:rsidRDefault="008A7297" w:rsidP="008A7297">
      <w:pPr>
        <w:pStyle w:val="Default"/>
      </w:pPr>
      <w:r w:rsidRPr="008A7297">
        <w:rPr>
          <w:b/>
        </w:rPr>
        <w:t>Teaching Strategy</w:t>
      </w:r>
      <w:r w:rsidRPr="008A7297">
        <w:t xml:space="preserve">: The course is taught in English and is based on English-language academic sources. Each lecture session involves slide-presentation via digital projector. They closely follow the structure of the chapters in the textbooks suggested for the course. This helps students organize their notes in a consistent way that makes out-of-class reading more efficient. </w:t>
      </w:r>
    </w:p>
    <w:p w:rsidR="008A7297" w:rsidRPr="008A7297" w:rsidRDefault="008A7297" w:rsidP="008A7297">
      <w:pPr>
        <w:pStyle w:val="Default"/>
      </w:pPr>
    </w:p>
    <w:p w:rsidR="008A7297" w:rsidRPr="008A7297" w:rsidRDefault="008A7297" w:rsidP="008A7297">
      <w:pPr>
        <w:pStyle w:val="Default"/>
      </w:pPr>
      <w:r w:rsidRPr="008A7297">
        <w:rPr>
          <w:b/>
        </w:rPr>
        <w:t>Textbooks</w:t>
      </w:r>
      <w:r w:rsidRPr="008A7297">
        <w:t xml:space="preserve">: </w:t>
      </w:r>
    </w:p>
    <w:p w:rsidR="008A7297" w:rsidRPr="008A7297" w:rsidRDefault="008A7297" w:rsidP="008A7297">
      <w:pPr>
        <w:pStyle w:val="Default"/>
      </w:pPr>
      <w:r w:rsidRPr="008A7297">
        <w:t xml:space="preserve">1. Mankiw, N.G., and Taylor, M.P. (2010), Economics: Special Edition with coverage of the world financial crisis, 1e, South-Western Cengage Learning EMEA, pp. 3-916. </w:t>
      </w:r>
    </w:p>
    <w:p w:rsidR="008A7297" w:rsidRDefault="008A7297" w:rsidP="008A7297">
      <w:pPr>
        <w:rPr>
          <w:rFonts w:ascii="Times New Roman" w:hAnsi="Times New Roman" w:cs="Times New Roman"/>
          <w:sz w:val="24"/>
          <w:szCs w:val="24"/>
        </w:rPr>
      </w:pPr>
    </w:p>
    <w:p w:rsidR="008A7297" w:rsidRDefault="008A7297" w:rsidP="008A7297">
      <w:pPr>
        <w:rPr>
          <w:rFonts w:ascii="Times New Roman" w:hAnsi="Times New Roman" w:cs="Times New Roman"/>
          <w:sz w:val="24"/>
          <w:szCs w:val="24"/>
        </w:rPr>
      </w:pPr>
    </w:p>
    <w:p w:rsidR="008A7297" w:rsidRDefault="008A7297" w:rsidP="008A7297">
      <w:pPr>
        <w:rPr>
          <w:rFonts w:ascii="Times New Roman" w:hAnsi="Times New Roman" w:cs="Times New Roman"/>
          <w:sz w:val="24"/>
          <w:szCs w:val="24"/>
        </w:rPr>
      </w:pPr>
    </w:p>
    <w:p w:rsidR="008A7297" w:rsidRDefault="008A7297" w:rsidP="008A7297">
      <w:pPr>
        <w:pStyle w:val="Default"/>
      </w:pPr>
    </w:p>
    <w:p w:rsidR="008A7297" w:rsidRPr="00CD54D9" w:rsidRDefault="008A7297" w:rsidP="008A7297">
      <w:pPr>
        <w:pStyle w:val="Default"/>
        <w:rPr>
          <w:b/>
          <w:sz w:val="32"/>
          <w:szCs w:val="32"/>
        </w:rPr>
      </w:pPr>
      <w:r w:rsidRPr="00CD54D9">
        <w:rPr>
          <w:b/>
          <w:sz w:val="32"/>
          <w:szCs w:val="32"/>
        </w:rPr>
        <w:t xml:space="preserve"> Course Content</w:t>
      </w:r>
    </w:p>
    <w:p w:rsidR="008A7297" w:rsidRDefault="008A7297" w:rsidP="008A7297">
      <w:pPr>
        <w:pStyle w:val="Default"/>
        <w:rPr>
          <w:sz w:val="28"/>
          <w:szCs w:val="28"/>
        </w:rPr>
      </w:pPr>
    </w:p>
    <w:p w:rsidR="001111F3" w:rsidRPr="001111F3" w:rsidRDefault="008A7297" w:rsidP="001111F3">
      <w:pPr>
        <w:pStyle w:val="Default"/>
        <w:numPr>
          <w:ilvl w:val="0"/>
          <w:numId w:val="2"/>
        </w:numPr>
        <w:rPr>
          <w:sz w:val="26"/>
          <w:szCs w:val="26"/>
        </w:rPr>
      </w:pPr>
      <w:r>
        <w:rPr>
          <w:sz w:val="28"/>
          <w:szCs w:val="28"/>
        </w:rPr>
        <w:t xml:space="preserve"> </w:t>
      </w:r>
      <w:r w:rsidRPr="001111F3">
        <w:rPr>
          <w:sz w:val="26"/>
          <w:szCs w:val="26"/>
        </w:rPr>
        <w:t>Lecture 1: Introduction to Macroeconomics (Mankiw, Ch. 23-24</w:t>
      </w:r>
      <w:r w:rsidR="001111F3" w:rsidRPr="001111F3">
        <w:rPr>
          <w:sz w:val="26"/>
          <w:szCs w:val="26"/>
        </w:rPr>
        <w:t>)</w:t>
      </w:r>
    </w:p>
    <w:p w:rsidR="001111F3" w:rsidRPr="001111F3" w:rsidRDefault="001111F3" w:rsidP="001111F3">
      <w:pPr>
        <w:pStyle w:val="Default"/>
        <w:numPr>
          <w:ilvl w:val="0"/>
          <w:numId w:val="2"/>
        </w:numPr>
        <w:rPr>
          <w:sz w:val="26"/>
          <w:szCs w:val="26"/>
        </w:rPr>
      </w:pPr>
      <w:r w:rsidRPr="001111F3">
        <w:rPr>
          <w:sz w:val="26"/>
          <w:szCs w:val="26"/>
        </w:rPr>
        <w:t xml:space="preserve">Lecture 2: Production and Growth (Mankiw, Ch. 25) </w:t>
      </w:r>
    </w:p>
    <w:p w:rsidR="001111F3" w:rsidRPr="001111F3" w:rsidRDefault="001111F3" w:rsidP="001111F3">
      <w:pPr>
        <w:pStyle w:val="Default"/>
        <w:numPr>
          <w:ilvl w:val="0"/>
          <w:numId w:val="2"/>
        </w:numPr>
        <w:rPr>
          <w:sz w:val="26"/>
          <w:szCs w:val="26"/>
        </w:rPr>
      </w:pPr>
      <w:r w:rsidRPr="001111F3">
        <w:rPr>
          <w:sz w:val="26"/>
          <w:szCs w:val="26"/>
        </w:rPr>
        <w:t xml:space="preserve">Lecture 3: Saving, Investment and the Financial System (Mankiw, Ch. 26-27) </w:t>
      </w:r>
    </w:p>
    <w:p w:rsidR="001111F3" w:rsidRPr="001111F3" w:rsidRDefault="001111F3" w:rsidP="001111F3">
      <w:pPr>
        <w:pStyle w:val="Default"/>
        <w:numPr>
          <w:ilvl w:val="0"/>
          <w:numId w:val="2"/>
        </w:numPr>
        <w:rPr>
          <w:sz w:val="26"/>
          <w:szCs w:val="26"/>
        </w:rPr>
      </w:pPr>
      <w:r w:rsidRPr="001111F3">
        <w:rPr>
          <w:sz w:val="26"/>
          <w:szCs w:val="26"/>
        </w:rPr>
        <w:t xml:space="preserve">Lecture 4: Unemployment (Mankiw, Ch. 28) </w:t>
      </w:r>
    </w:p>
    <w:p w:rsidR="001111F3" w:rsidRPr="001111F3" w:rsidRDefault="001111F3" w:rsidP="001111F3">
      <w:pPr>
        <w:pStyle w:val="Default"/>
        <w:numPr>
          <w:ilvl w:val="0"/>
          <w:numId w:val="2"/>
        </w:numPr>
        <w:rPr>
          <w:sz w:val="26"/>
          <w:szCs w:val="26"/>
        </w:rPr>
      </w:pPr>
      <w:r w:rsidRPr="001111F3">
        <w:rPr>
          <w:sz w:val="26"/>
          <w:szCs w:val="26"/>
        </w:rPr>
        <w:t xml:space="preserve">The Monetary System (Mankiw, Ch. 29, 30) </w:t>
      </w:r>
    </w:p>
    <w:p w:rsidR="001111F3" w:rsidRPr="001111F3" w:rsidRDefault="001111F3" w:rsidP="001111F3">
      <w:pPr>
        <w:pStyle w:val="Default"/>
        <w:numPr>
          <w:ilvl w:val="0"/>
          <w:numId w:val="2"/>
        </w:numPr>
        <w:rPr>
          <w:sz w:val="26"/>
          <w:szCs w:val="26"/>
        </w:rPr>
      </w:pPr>
      <w:r w:rsidRPr="001111F3">
        <w:rPr>
          <w:sz w:val="26"/>
          <w:szCs w:val="26"/>
        </w:rPr>
        <w:t xml:space="preserve">The Macroeconomics of Open Economies (Mankiw, Ch. 31, 32) </w:t>
      </w:r>
    </w:p>
    <w:p w:rsidR="001111F3" w:rsidRPr="001111F3" w:rsidRDefault="001111F3" w:rsidP="001111F3">
      <w:pPr>
        <w:pStyle w:val="Default"/>
        <w:numPr>
          <w:ilvl w:val="0"/>
          <w:numId w:val="2"/>
        </w:numPr>
        <w:rPr>
          <w:sz w:val="26"/>
          <w:szCs w:val="26"/>
        </w:rPr>
      </w:pPr>
      <w:r w:rsidRPr="001111F3">
        <w:rPr>
          <w:sz w:val="26"/>
          <w:szCs w:val="26"/>
        </w:rPr>
        <w:t xml:space="preserve">The Financial Crisis of 2007-2009 (Mankiw, Ch. 36-37) </w:t>
      </w:r>
    </w:p>
    <w:p w:rsidR="001111F3" w:rsidRPr="001111F3" w:rsidRDefault="001111F3" w:rsidP="001111F3">
      <w:pPr>
        <w:pStyle w:val="Default"/>
        <w:numPr>
          <w:ilvl w:val="0"/>
          <w:numId w:val="2"/>
        </w:numPr>
        <w:rPr>
          <w:sz w:val="26"/>
          <w:szCs w:val="26"/>
        </w:rPr>
      </w:pPr>
      <w:r w:rsidRPr="001111F3">
        <w:rPr>
          <w:sz w:val="26"/>
          <w:szCs w:val="26"/>
        </w:rPr>
        <w:t xml:space="preserve">Aggregate Demand and Aggregate Supply (Mankiw, Ch. 33) </w:t>
      </w:r>
    </w:p>
    <w:p w:rsidR="001111F3" w:rsidRPr="001111F3" w:rsidRDefault="001111F3" w:rsidP="001111F3">
      <w:pPr>
        <w:pStyle w:val="Default"/>
        <w:numPr>
          <w:ilvl w:val="0"/>
          <w:numId w:val="2"/>
        </w:numPr>
        <w:rPr>
          <w:sz w:val="26"/>
          <w:szCs w:val="26"/>
        </w:rPr>
      </w:pPr>
      <w:r w:rsidRPr="001111F3">
        <w:rPr>
          <w:sz w:val="26"/>
          <w:szCs w:val="26"/>
        </w:rPr>
        <w:t xml:space="preserve"> The Influence of Monetary and Fiscal Policy on Aggregate Demand (Mankiw, Ch. 34) </w:t>
      </w:r>
    </w:p>
    <w:p w:rsidR="001111F3" w:rsidRPr="001111F3" w:rsidRDefault="001111F3" w:rsidP="001111F3">
      <w:pPr>
        <w:pStyle w:val="Default"/>
        <w:numPr>
          <w:ilvl w:val="0"/>
          <w:numId w:val="2"/>
        </w:numPr>
        <w:rPr>
          <w:sz w:val="26"/>
          <w:szCs w:val="26"/>
        </w:rPr>
      </w:pPr>
      <w:r w:rsidRPr="001111F3">
        <w:rPr>
          <w:sz w:val="26"/>
          <w:szCs w:val="26"/>
        </w:rPr>
        <w:t xml:space="preserve">  The short-run Trade-off Between Inflation and unemployment (Mankiw, Ch.35)</w:t>
      </w:r>
    </w:p>
    <w:p w:rsidR="001111F3" w:rsidRPr="001111F3" w:rsidRDefault="001111F3" w:rsidP="001111F3">
      <w:pPr>
        <w:pStyle w:val="Default"/>
        <w:numPr>
          <w:ilvl w:val="0"/>
          <w:numId w:val="2"/>
        </w:numPr>
        <w:rPr>
          <w:sz w:val="26"/>
          <w:szCs w:val="26"/>
        </w:rPr>
      </w:pPr>
      <w:r w:rsidRPr="001111F3">
        <w:rPr>
          <w:sz w:val="26"/>
          <w:szCs w:val="26"/>
        </w:rPr>
        <w:t xml:space="preserve"> European Monetary Union (Mankiw, Ch. 38)</w:t>
      </w:r>
    </w:p>
    <w:p w:rsidR="001111F3" w:rsidRPr="001111F3" w:rsidRDefault="001111F3" w:rsidP="001111F3">
      <w:pPr>
        <w:pStyle w:val="Default"/>
        <w:numPr>
          <w:ilvl w:val="0"/>
          <w:numId w:val="2"/>
        </w:numPr>
        <w:rPr>
          <w:sz w:val="26"/>
          <w:szCs w:val="26"/>
        </w:rPr>
      </w:pPr>
      <w:r w:rsidRPr="001111F3">
        <w:rPr>
          <w:sz w:val="26"/>
          <w:szCs w:val="26"/>
        </w:rPr>
        <w:t xml:space="preserve">  Five Debates over Macroeconomic Policy (Mankiw, Ch.39)</w:t>
      </w:r>
    </w:p>
    <w:p w:rsidR="001111F3" w:rsidRPr="001111F3" w:rsidRDefault="001111F3" w:rsidP="001111F3">
      <w:pPr>
        <w:pStyle w:val="Default"/>
        <w:ind w:left="360"/>
        <w:rPr>
          <w:sz w:val="26"/>
          <w:szCs w:val="26"/>
        </w:rPr>
      </w:pPr>
    </w:p>
    <w:p w:rsidR="008A7297" w:rsidRDefault="008A7297" w:rsidP="008A7297">
      <w:pPr>
        <w:rPr>
          <w:rFonts w:ascii="Times New Roman" w:hAnsi="Times New Roman" w:cs="Times New Roman"/>
          <w:sz w:val="24"/>
          <w:szCs w:val="24"/>
        </w:rPr>
      </w:pPr>
    </w:p>
    <w:p w:rsidR="008A7297" w:rsidRPr="008A7297" w:rsidRDefault="008A7297" w:rsidP="008A7297">
      <w:pPr>
        <w:rPr>
          <w:rFonts w:ascii="Times New Roman" w:hAnsi="Times New Roman" w:cs="Times New Roman"/>
          <w:sz w:val="24"/>
          <w:szCs w:val="24"/>
        </w:rPr>
      </w:pPr>
    </w:p>
    <w:sectPr w:rsidR="008A7297" w:rsidRPr="008A7297" w:rsidSect="008429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302A"/>
    <w:multiLevelType w:val="hybridMultilevel"/>
    <w:tmpl w:val="A614D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0340F6"/>
    <w:multiLevelType w:val="hybridMultilevel"/>
    <w:tmpl w:val="518E3E36"/>
    <w:lvl w:ilvl="0" w:tplc="4D9AA638">
      <w:start w:val="10"/>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2">
    <w:nsid w:val="3EF203C5"/>
    <w:multiLevelType w:val="hybridMultilevel"/>
    <w:tmpl w:val="F41A17B6"/>
    <w:lvl w:ilvl="0" w:tplc="CB08A4BA">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7297"/>
    <w:rsid w:val="00075A28"/>
    <w:rsid w:val="001111F3"/>
    <w:rsid w:val="00842987"/>
    <w:rsid w:val="008A7297"/>
    <w:rsid w:val="00A27D0A"/>
    <w:rsid w:val="00CD54D9"/>
    <w:rsid w:val="00CD66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2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ashot</dc:creator>
  <cp:lastModifiedBy>ashot</cp:lastModifiedBy>
  <cp:revision>3</cp:revision>
  <dcterms:created xsi:type="dcterms:W3CDTF">2012-02-24T05:11:00Z</dcterms:created>
  <dcterms:modified xsi:type="dcterms:W3CDTF">2012-02-24T05:33:00Z</dcterms:modified>
</cp:coreProperties>
</file>