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A3" w:rsidRDefault="003B51A3" w:rsidP="00DC466E">
      <w:pPr>
        <w:pStyle w:val="Nadpis1"/>
      </w:pPr>
      <w:r w:rsidRPr="003B51A3">
        <w:t>Analýza nákladů a přínosů</w:t>
      </w:r>
      <w:r w:rsidR="008C0E98">
        <w:t xml:space="preserve"> – případová studie</w:t>
      </w:r>
    </w:p>
    <w:p w:rsidR="00745AD4" w:rsidRDefault="00745AD4" w:rsidP="008C0E98">
      <w:pPr>
        <w:pStyle w:val="Nadpis2"/>
      </w:pPr>
      <w:r>
        <w:t>Zadání studie</w:t>
      </w:r>
      <w:r w:rsidR="00055410">
        <w:t xml:space="preserve"> CBA</w:t>
      </w:r>
    </w:p>
    <w:p w:rsidR="00745AD4" w:rsidRDefault="00745AD4" w:rsidP="00DC466E">
      <w:r>
        <w:t>Proveďte vyhodnocení projektu pomocí metody CBA</w:t>
      </w:r>
      <w:r w:rsidR="00055410">
        <w:t>, kdy využijete metodiku stanovenou výše:</w:t>
      </w:r>
    </w:p>
    <w:p w:rsidR="00055410" w:rsidRPr="00745AD4" w:rsidRDefault="00055410" w:rsidP="00055410">
      <w:pPr>
        <w:ind w:left="1418" w:hanging="1418"/>
      </w:pPr>
      <w:r w:rsidRPr="00745AD4">
        <w:rPr>
          <w:b/>
          <w:bCs/>
        </w:rPr>
        <w:t xml:space="preserve">Krok 1 </w:t>
      </w:r>
      <w:r>
        <w:rPr>
          <w:b/>
        </w:rPr>
        <w:tab/>
      </w:r>
      <w:r w:rsidRPr="00745AD4">
        <w:t xml:space="preserve">Identifikace nákladů a přínosů </w:t>
      </w:r>
      <w:r>
        <w:t xml:space="preserve">(výnosů). </w:t>
      </w:r>
    </w:p>
    <w:p w:rsidR="00055410" w:rsidRPr="00745AD4" w:rsidRDefault="00055410" w:rsidP="00055410">
      <w:pPr>
        <w:ind w:left="1418" w:hanging="1418"/>
      </w:pPr>
      <w:r w:rsidRPr="00745AD4">
        <w:rPr>
          <w:b/>
          <w:bCs/>
        </w:rPr>
        <w:t>Krok 2</w:t>
      </w:r>
      <w:r w:rsidRPr="00745AD4">
        <w:rPr>
          <w:b/>
        </w:rPr>
        <w:tab/>
      </w:r>
      <w:r w:rsidRPr="00745AD4">
        <w:t xml:space="preserve">Ocenění nákladů a přínosů v peněžních jednotkách za použití různých metod podle zaměření projektu </w:t>
      </w:r>
    </w:p>
    <w:p w:rsidR="00055410" w:rsidRDefault="00055410" w:rsidP="00055410">
      <w:pPr>
        <w:ind w:left="1418" w:hanging="1418"/>
      </w:pPr>
      <w:r w:rsidRPr="00745AD4">
        <w:rPr>
          <w:b/>
          <w:bCs/>
        </w:rPr>
        <w:t>Krok 3</w:t>
      </w:r>
      <w:r w:rsidRPr="00745AD4">
        <w:rPr>
          <w:b/>
          <w:bCs/>
        </w:rPr>
        <w:tab/>
      </w:r>
      <w:r>
        <w:rPr>
          <w:b/>
          <w:bCs/>
        </w:rPr>
        <w:t xml:space="preserve">Finanční analýza </w:t>
      </w:r>
      <w:r w:rsidRPr="0067178B">
        <w:t>–</w:t>
      </w:r>
      <w:r>
        <w:rPr>
          <w:b/>
          <w:bCs/>
        </w:rPr>
        <w:t xml:space="preserve"> </w:t>
      </w:r>
      <w:r w:rsidRPr="0067178B">
        <w:rPr>
          <w:bCs/>
        </w:rPr>
        <w:t>p</w:t>
      </w:r>
      <w:r w:rsidRPr="00745AD4">
        <w:t xml:space="preserve">orovnání nákladů a </w:t>
      </w:r>
      <w:r>
        <w:t>výnosů projektu</w:t>
      </w:r>
      <w:r w:rsidRPr="00745AD4">
        <w:t xml:space="preserve"> s </w:t>
      </w:r>
      <w:proofErr w:type="gramStart"/>
      <w:r w:rsidRPr="00745AD4">
        <w:t xml:space="preserve">investicí  </w:t>
      </w:r>
      <w:r>
        <w:t>(pomocí</w:t>
      </w:r>
      <w:proofErr w:type="gramEnd"/>
      <w:r>
        <w:t xml:space="preserve"> metody čisté současné hodnoty a reálné doby návratnosti)</w:t>
      </w:r>
    </w:p>
    <w:p w:rsidR="00055410" w:rsidRDefault="00055410" w:rsidP="00055410">
      <w:pPr>
        <w:ind w:left="1418" w:hanging="1418"/>
      </w:pPr>
      <w:r w:rsidRPr="00745AD4">
        <w:rPr>
          <w:b/>
          <w:bCs/>
        </w:rPr>
        <w:t>Krok 4</w:t>
      </w:r>
      <w:r w:rsidRPr="00745AD4">
        <w:rPr>
          <w:b/>
          <w:bCs/>
        </w:rPr>
        <w:tab/>
      </w:r>
      <w:r w:rsidRPr="00745AD4">
        <w:rPr>
          <w:b/>
        </w:rPr>
        <w:t>Ekonomická analýza</w:t>
      </w:r>
      <w:r>
        <w:rPr>
          <w:b/>
        </w:rPr>
        <w:t xml:space="preserve"> </w:t>
      </w:r>
      <w:r w:rsidRPr="0067178B">
        <w:t>–</w:t>
      </w:r>
      <w:r>
        <w:rPr>
          <w:b/>
        </w:rPr>
        <w:t xml:space="preserve"> </w:t>
      </w:r>
      <w:r>
        <w:t>porovnání společenský nákladů a přínosů projektu s investicí (pomocí metody čisté současné hodnoty a reálné doby návratnosti)</w:t>
      </w:r>
    </w:p>
    <w:p w:rsidR="00055410" w:rsidRDefault="00055410" w:rsidP="00055410">
      <w:pPr>
        <w:ind w:left="1418" w:hanging="1418"/>
      </w:pPr>
      <w:r>
        <w:rPr>
          <w:b/>
          <w:bCs/>
        </w:rPr>
        <w:t>Krok 5</w:t>
      </w:r>
      <w:r>
        <w:rPr>
          <w:b/>
          <w:bCs/>
        </w:rPr>
        <w:tab/>
        <w:t>Vyhodnocené projektu a zhodnocení jeho přijatelnosti</w:t>
      </w:r>
      <w:r w:rsidRPr="00055410">
        <w:t>.</w:t>
      </w:r>
    </w:p>
    <w:p w:rsidR="00055410" w:rsidRPr="00745AD4" w:rsidRDefault="00055410" w:rsidP="00DC466E"/>
    <w:p w:rsidR="00B4520E" w:rsidRDefault="00620577" w:rsidP="00DC466E">
      <w:pPr>
        <w:pStyle w:val="Nadpis1"/>
      </w:pPr>
      <w:r>
        <w:t>Informace o projektu</w:t>
      </w:r>
    </w:p>
    <w:p w:rsidR="00802919" w:rsidRDefault="00802919" w:rsidP="00DC466E">
      <w:pPr>
        <w:pStyle w:val="Nadpis2"/>
      </w:pPr>
      <w:bookmarkStart w:id="0" w:name="_Toc261423667"/>
      <w:r>
        <w:t>Definice cílů projektu</w:t>
      </w:r>
      <w:bookmarkEnd w:id="0"/>
      <w:r w:rsidR="00380394">
        <w:t xml:space="preserve"> </w:t>
      </w:r>
    </w:p>
    <w:p w:rsidR="00802919" w:rsidRDefault="00802919" w:rsidP="00802919">
      <w:pPr>
        <w:pStyle w:val="Bezmezer"/>
      </w:pPr>
    </w:p>
    <w:p w:rsidR="00802919" w:rsidRDefault="00802919" w:rsidP="007F2A1D">
      <w:pPr>
        <w:pStyle w:val="Bezmezer"/>
        <w:spacing w:after="120"/>
        <w:jc w:val="both"/>
      </w:pPr>
      <w:r>
        <w:rPr>
          <w:bCs/>
        </w:rPr>
        <w:t xml:space="preserve">Záměrem města Znojmo je </w:t>
      </w:r>
      <w:r w:rsidR="008C0E98">
        <w:rPr>
          <w:bCs/>
        </w:rPr>
        <w:t xml:space="preserve">v roce 2013 </w:t>
      </w:r>
      <w:r>
        <w:rPr>
          <w:bCs/>
        </w:rPr>
        <w:t>vybudovat Regionální odpadové centrum, které se stane nejdůležitější součástí integrovaného systému nakládání s komunálními odpady v regionu. V současné době má město Znojmo ve vlastnictví areál vyhrazený pro nakládání s odpady, avšak tento areál je v současné době technicky i kapacitně nedostačující. Předkládaný projekt tak řeší doplnění a rozšíření stávajícího areálu.</w:t>
      </w:r>
      <w:r w:rsidR="007F2A1D">
        <w:rPr>
          <w:bCs/>
        </w:rPr>
        <w:t xml:space="preserve"> Záměrem města Znojmo je také rozšíření stávajícího sběrného dvora odpadů.</w:t>
      </w:r>
    </w:p>
    <w:p w:rsidR="007F2A1D" w:rsidRDefault="007F2A1D" w:rsidP="007F2A1D">
      <w:pPr>
        <w:pStyle w:val="Bezmezer"/>
        <w:spacing w:after="120"/>
        <w:jc w:val="both"/>
        <w:rPr>
          <w:bCs/>
        </w:rPr>
      </w:pPr>
      <w:r>
        <w:rPr>
          <w:bCs/>
        </w:rPr>
        <w:t>Dlouhodobou strategií České republiky a Jihomoravského kraje vyjádřenou v Plánech odpadového hospodářství České republiky a Jihomoravského kraje je zvýšení materiálového využití komunálních odpadů na 50% do roku 2015. K realizaci tohoto ambiciózního cíle je dle Plánu odpadového hospodářství Jihomoravského kraje nutné zavést a zintensivnit oddělený sběr využitelných složek komunálních odpadů ve všech obcích a v regionech vybudovat „centra pro nakládání s odpady“, jejichž součástí budou linky pro dotřídění odděleně sbíraných odpadů na potřebnou čistotu a druhovou skladbu. Bývalý okres Znojmo je takovým přirozeným regionem. Předkládaný projekt je tak plně v souladu s Plánem odpadového hospodářství České republiky a Jihomoravského kraje.</w:t>
      </w:r>
    </w:p>
    <w:p w:rsidR="00802919" w:rsidRDefault="00802919" w:rsidP="007F2A1D">
      <w:pPr>
        <w:pStyle w:val="Bezmezer"/>
        <w:spacing w:after="120"/>
        <w:jc w:val="both"/>
        <w:rPr>
          <w:bCs/>
        </w:rPr>
      </w:pPr>
      <w:r>
        <w:rPr>
          <w:bCs/>
        </w:rPr>
        <w:t xml:space="preserve">Realizace projektu bude mít výrazné </w:t>
      </w:r>
      <w:r w:rsidRPr="00055410">
        <w:rPr>
          <w:b/>
          <w:bCs/>
        </w:rPr>
        <w:t>pozitivní dopady na životní prostředí, přesahující hranice Jihomoravského kraje</w:t>
      </w:r>
      <w:r>
        <w:rPr>
          <w:bCs/>
        </w:rPr>
        <w:t xml:space="preserve">. Odděleně sebrané odpady se v současnosti musí odvážet na dotřídění do jiného kraje. S odpady se tak nenakládá v místě vzniku a je dopravou zbytečně zatěžováno životní prostředí. </w:t>
      </w:r>
    </w:p>
    <w:p w:rsidR="007F2A1D" w:rsidRDefault="007F2A1D" w:rsidP="006D4854">
      <w:pPr>
        <w:pStyle w:val="Bezmezer"/>
        <w:jc w:val="both"/>
        <w:rPr>
          <w:bCs/>
        </w:rPr>
      </w:pPr>
      <w:r>
        <w:rPr>
          <w:bCs/>
        </w:rPr>
        <w:t xml:space="preserve">Přínosem realizace projektu „Regionální odpadové centrum Znojmo“ je však také </w:t>
      </w:r>
      <w:r w:rsidRPr="00055410">
        <w:rPr>
          <w:b/>
          <w:bCs/>
        </w:rPr>
        <w:t>vznik několika nových pracovních míst</w:t>
      </w:r>
      <w:r>
        <w:rPr>
          <w:bCs/>
        </w:rPr>
        <w:t>.</w:t>
      </w:r>
    </w:p>
    <w:p w:rsidR="007F2A1D" w:rsidRDefault="007F2A1D" w:rsidP="00FB532E">
      <w:pPr>
        <w:pStyle w:val="Bezmezer"/>
      </w:pPr>
    </w:p>
    <w:p w:rsidR="008B478E" w:rsidRDefault="008B478E" w:rsidP="00380394">
      <w:pPr>
        <w:pStyle w:val="Nadpis2"/>
      </w:pPr>
      <w:bookmarkStart w:id="1" w:name="_Toc261423669"/>
      <w:r>
        <w:t>Identifikace projektu</w:t>
      </w:r>
      <w:bookmarkEnd w:id="1"/>
    </w:p>
    <w:p w:rsidR="00C67FCD" w:rsidRDefault="00C67FCD" w:rsidP="00CD3CDC">
      <w:pPr>
        <w:pStyle w:val="Bezmezer"/>
      </w:pPr>
    </w:p>
    <w:p w:rsidR="008B478E" w:rsidRDefault="008B478E" w:rsidP="00CD3CDC">
      <w:pPr>
        <w:pStyle w:val="Bezmezer"/>
        <w:jc w:val="both"/>
      </w:pPr>
      <w:r>
        <w:rPr>
          <w:bCs/>
        </w:rPr>
        <w:t>Záměrem města Znojma je vybudovat Regionální odpadové centrum</w:t>
      </w:r>
      <w:r w:rsidR="00380394">
        <w:rPr>
          <w:bCs/>
        </w:rPr>
        <w:t>.</w:t>
      </w:r>
      <w:r>
        <w:rPr>
          <w:bCs/>
        </w:rPr>
        <w:t xml:space="preserve"> Jedná se zejména o výstavbu haly s technologií třídící linky odděleně sebraných odpadů (předevš</w:t>
      </w:r>
      <w:r w:rsidR="00C67FCD">
        <w:rPr>
          <w:bCs/>
        </w:rPr>
        <w:t>ím plastů a </w:t>
      </w:r>
      <w:r>
        <w:rPr>
          <w:bCs/>
        </w:rPr>
        <w:t>papí</w:t>
      </w:r>
      <w:r w:rsidR="00C67FCD">
        <w:rPr>
          <w:bCs/>
        </w:rPr>
        <w:t xml:space="preserve">ru) pro svozovou oblast cca 120 </w:t>
      </w:r>
      <w:r>
        <w:rPr>
          <w:bCs/>
        </w:rPr>
        <w:t xml:space="preserve">000 obyvatel. Třídící </w:t>
      </w:r>
      <w:r w:rsidR="002C19CE">
        <w:rPr>
          <w:bCs/>
        </w:rPr>
        <w:t>linka v důsledku umožní zintenzi</w:t>
      </w:r>
      <w:r>
        <w:rPr>
          <w:bCs/>
        </w:rPr>
        <w:t xml:space="preserve">vnit oddělený sběr využitelných </w:t>
      </w:r>
      <w:r>
        <w:rPr>
          <w:bCs/>
        </w:rPr>
        <w:lastRenderedPageBreak/>
        <w:t xml:space="preserve">složek komunálních odpadů v regionu. </w:t>
      </w:r>
      <w:r>
        <w:t xml:space="preserve">Celkové využití kapacit třídící linky je odhadováno v objemu </w:t>
      </w:r>
      <w:r w:rsidR="005214CF">
        <w:t>2 120</w:t>
      </w:r>
      <w:r>
        <w:t xml:space="preserve"> t </w:t>
      </w:r>
      <w:r w:rsidR="006A0145">
        <w:t>na</w:t>
      </w:r>
      <w:r>
        <w:t xml:space="preserve"> rok. </w:t>
      </w:r>
    </w:p>
    <w:p w:rsidR="00B408D3" w:rsidRDefault="00B408D3" w:rsidP="00CD3CDC">
      <w:pPr>
        <w:pStyle w:val="Bezmezer"/>
        <w:jc w:val="both"/>
      </w:pPr>
    </w:p>
    <w:p w:rsidR="008B478E" w:rsidRDefault="008B478E" w:rsidP="00096603">
      <w:pPr>
        <w:pStyle w:val="Bezmezer"/>
        <w:spacing w:after="120"/>
        <w:jc w:val="both"/>
        <w:rPr>
          <w:bCs/>
        </w:rPr>
      </w:pPr>
      <w:r>
        <w:rPr>
          <w:bCs/>
        </w:rPr>
        <w:t xml:space="preserve">Nezbytnou součástí komplexního řešení projektu je silniční mostová váha a příjezdová komunikace do areálu. Stávající účelová panelová komunikace je nevyhovující. Vzhledem k tomu, že současný areál není vybaven silniční váhou, je znemožněna přesná evidence přivážených a odvážených odpadů. Instalací váhy bude dále zajištěno zvýšení produktivity práce a dojde ke zlepšení pracovních podmínek. </w:t>
      </w:r>
    </w:p>
    <w:p w:rsidR="008B478E" w:rsidRDefault="008B478E" w:rsidP="006D4854">
      <w:pPr>
        <w:pStyle w:val="Bezmezer"/>
        <w:jc w:val="both"/>
        <w:rPr>
          <w:bCs/>
        </w:rPr>
      </w:pPr>
      <w:r>
        <w:rPr>
          <w:bCs/>
        </w:rPr>
        <w:t xml:space="preserve">Dalším záměrem je rozšíření stávajícího sběrného dvora odpadů. Spádová oblast sběrného dvora je cca 40 000 </w:t>
      </w:r>
      <w:r w:rsidR="00C67FCD">
        <w:rPr>
          <w:bCs/>
        </w:rPr>
        <w:t>obyvatel (Znojmo</w:t>
      </w:r>
      <w:r>
        <w:rPr>
          <w:bCs/>
        </w:rPr>
        <w:t xml:space="preserve"> a okolní obce). Dále jsou součástí projektu zpevněné plochy a plocha na autovraky. Na ploše pro autovraky budou dočasně umístěna opuštěná vozidla. Plocha pro autovraky bude </w:t>
      </w:r>
      <w:r w:rsidR="006D4854">
        <w:rPr>
          <w:bCs/>
        </w:rPr>
        <w:t xml:space="preserve">odkanalizována přes </w:t>
      </w:r>
      <w:proofErr w:type="spellStart"/>
      <w:r w:rsidR="006D4854">
        <w:rPr>
          <w:bCs/>
        </w:rPr>
        <w:t>lapol</w:t>
      </w:r>
      <w:proofErr w:type="spellEnd"/>
      <w:r w:rsidR="006D4854">
        <w:rPr>
          <w:bCs/>
        </w:rPr>
        <w:t>.</w:t>
      </w:r>
    </w:p>
    <w:p w:rsidR="008C0E98" w:rsidRDefault="008C0E98" w:rsidP="006D4854">
      <w:pPr>
        <w:pStyle w:val="Bezmezer"/>
        <w:jc w:val="both"/>
        <w:rPr>
          <w:bCs/>
        </w:rPr>
      </w:pPr>
    </w:p>
    <w:p w:rsidR="008C0E98" w:rsidRDefault="008C0E98" w:rsidP="006D4854">
      <w:pPr>
        <w:pStyle w:val="Bezmezer"/>
        <w:jc w:val="both"/>
        <w:rPr>
          <w:bCs/>
        </w:rPr>
      </w:pPr>
      <w:r>
        <w:rPr>
          <w:bCs/>
        </w:rPr>
        <w:t>Doba životnosti je 5 let.</w:t>
      </w:r>
    </w:p>
    <w:p w:rsidR="006D4854" w:rsidRDefault="006D4854" w:rsidP="006D4854">
      <w:pPr>
        <w:pStyle w:val="Bezmezer"/>
        <w:jc w:val="both"/>
        <w:rPr>
          <w:bCs/>
        </w:rPr>
      </w:pPr>
    </w:p>
    <w:p w:rsidR="008C0E98" w:rsidRDefault="008C0E98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72A376" w:themeColor="accent1"/>
          <w:sz w:val="26"/>
          <w:szCs w:val="26"/>
        </w:rPr>
      </w:pPr>
      <w:r>
        <w:br w:type="page"/>
      </w:r>
    </w:p>
    <w:p w:rsidR="00C67FCD" w:rsidRDefault="00380394" w:rsidP="00380394">
      <w:pPr>
        <w:pStyle w:val="Nadpis2"/>
      </w:pPr>
      <w:r>
        <w:lastRenderedPageBreak/>
        <w:t xml:space="preserve">Podklady pro finanční a </w:t>
      </w:r>
      <w:proofErr w:type="gramStart"/>
      <w:r>
        <w:t>ekonomickou  analýzu</w:t>
      </w:r>
      <w:proofErr w:type="gramEnd"/>
      <w:r>
        <w:t xml:space="preserve"> projektu</w:t>
      </w:r>
    </w:p>
    <w:p w:rsidR="006F5C3D" w:rsidRDefault="006F5C3D" w:rsidP="006D4854">
      <w:pPr>
        <w:pStyle w:val="Bezmezer"/>
      </w:pPr>
    </w:p>
    <w:p w:rsidR="00543D54" w:rsidRDefault="00543D54" w:rsidP="00380394">
      <w:pPr>
        <w:pStyle w:val="Nadpis3"/>
      </w:pPr>
      <w:bookmarkStart w:id="2" w:name="_Toc261423671"/>
      <w:r>
        <w:t>Investiční náklady</w:t>
      </w:r>
      <w:bookmarkEnd w:id="2"/>
    </w:p>
    <w:p w:rsidR="00543D54" w:rsidRDefault="00543D54" w:rsidP="00BF101D">
      <w:pPr>
        <w:pStyle w:val="Bezmezer"/>
        <w:jc w:val="both"/>
      </w:pPr>
    </w:p>
    <w:p w:rsidR="00BF101D" w:rsidRDefault="00BF101D" w:rsidP="00360320">
      <w:pPr>
        <w:pStyle w:val="Bezmezer"/>
        <w:spacing w:after="120"/>
        <w:jc w:val="both"/>
      </w:pPr>
      <w:r>
        <w:t>Investiční náklady vychází z technické projektové dokumentace, která je součástí projektového návrhu. Město Znojmo žádá na realizaci projektu o dotaci v rámci Operačního programu Životní prostředí. Předkládaný projekt je oproti projektové dokumentaci (pro územní řízení) zúžen na objekty a technologie uznatelné pro Operační program Životní prostředí, ostatní objekty (SO 4 – SO 6 a SO 8 – SO 9) uvedené v projektové dokumentaci nebudou zatím realizovány.</w:t>
      </w:r>
    </w:p>
    <w:p w:rsidR="00360320" w:rsidRDefault="00360320" w:rsidP="006D4854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Město Znojmo </w:t>
      </w:r>
      <w:r w:rsidRPr="00380394">
        <w:rPr>
          <w:rFonts w:cstheme="minorHAnsi"/>
          <w:b/>
        </w:rPr>
        <w:t>je plátcem daně z přidané hodnoty</w:t>
      </w:r>
      <w:r w:rsidR="00380394">
        <w:rPr>
          <w:rStyle w:val="Znakapoznpodarou"/>
          <w:rFonts w:cstheme="minorHAnsi"/>
          <w:b/>
        </w:rPr>
        <w:footnoteReference w:id="1"/>
      </w:r>
      <w:r>
        <w:rPr>
          <w:rFonts w:cstheme="minorHAnsi"/>
        </w:rPr>
        <w:t>.</w:t>
      </w:r>
    </w:p>
    <w:p w:rsidR="00620577" w:rsidRDefault="00620577" w:rsidP="006D4854">
      <w:pPr>
        <w:pStyle w:val="Bezmezer"/>
        <w:jc w:val="both"/>
      </w:pPr>
    </w:p>
    <w:p w:rsidR="00BF101D" w:rsidRPr="0056364E" w:rsidRDefault="00BF101D" w:rsidP="00BF101D">
      <w:pPr>
        <w:pStyle w:val="Bezmezer"/>
        <w:rPr>
          <w:rFonts w:cstheme="minorHAnsi"/>
        </w:rPr>
      </w:pPr>
      <w:r w:rsidRPr="0056364E">
        <w:rPr>
          <w:rFonts w:cstheme="minorHAnsi"/>
          <w:b/>
          <w:i/>
        </w:rPr>
        <w:t>Tabulka č.</w:t>
      </w:r>
      <w:r w:rsidR="00BF5DFB">
        <w:rPr>
          <w:rFonts w:cstheme="minorHAnsi"/>
          <w:b/>
          <w:i/>
        </w:rPr>
        <w:t xml:space="preserve"> </w:t>
      </w:r>
      <w:r w:rsidRPr="0056364E">
        <w:rPr>
          <w:rFonts w:cstheme="minorHAnsi"/>
          <w:b/>
          <w:i/>
        </w:rPr>
        <w:t>1:</w:t>
      </w:r>
      <w:r w:rsidRPr="0056364E">
        <w:rPr>
          <w:rFonts w:cstheme="minorHAnsi"/>
        </w:rPr>
        <w:t xml:space="preserve"> </w:t>
      </w:r>
      <w:r w:rsidR="007F24DD">
        <w:rPr>
          <w:rFonts w:cstheme="minorHAnsi"/>
        </w:rPr>
        <w:t>Investiční náklady projektu</w:t>
      </w:r>
    </w:p>
    <w:tbl>
      <w:tblPr>
        <w:tblStyle w:val="Svtlmkazvraznn11"/>
        <w:tblW w:w="9210" w:type="dxa"/>
        <w:tblInd w:w="108" w:type="dxa"/>
        <w:tblLook w:val="04A0" w:firstRow="1" w:lastRow="0" w:firstColumn="1" w:lastColumn="0" w:noHBand="0" w:noVBand="1"/>
      </w:tblPr>
      <w:tblGrid>
        <w:gridCol w:w="1842"/>
        <w:gridCol w:w="5526"/>
        <w:gridCol w:w="1842"/>
      </w:tblGrid>
      <w:tr w:rsidR="00BF101D" w:rsidRPr="0056364E" w:rsidTr="007D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F101D" w:rsidRPr="0056364E" w:rsidRDefault="00BF101D" w:rsidP="00BF10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56364E">
              <w:rPr>
                <w:rFonts w:asciiTheme="minorHAnsi" w:hAnsiTheme="minorHAnsi" w:cstheme="minorHAnsi"/>
              </w:rPr>
              <w:t>Objekt</w:t>
            </w:r>
          </w:p>
        </w:tc>
        <w:tc>
          <w:tcPr>
            <w:tcW w:w="5526" w:type="dxa"/>
          </w:tcPr>
          <w:p w:rsidR="00BF101D" w:rsidRPr="0056364E" w:rsidRDefault="00BF101D" w:rsidP="00BF101D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6364E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1842" w:type="dxa"/>
          </w:tcPr>
          <w:p w:rsidR="00BF101D" w:rsidRPr="0056364E" w:rsidRDefault="00BF101D" w:rsidP="00BF5DF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6364E">
              <w:rPr>
                <w:rFonts w:asciiTheme="minorHAnsi" w:hAnsiTheme="minorHAnsi" w:cstheme="minorHAnsi"/>
              </w:rPr>
              <w:t xml:space="preserve">Náklady </w:t>
            </w:r>
            <w:r w:rsidR="00BF5DFB"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 w:rsidR="00BF5DFB"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 w:rsidR="00BF5DFB"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01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Sběrný dvůr odpadů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71 000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02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Hala třídění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24 600 000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03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Mostová váha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596 000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07</w:t>
            </w:r>
          </w:p>
        </w:tc>
        <w:tc>
          <w:tcPr>
            <w:tcW w:w="5526" w:type="dxa"/>
          </w:tcPr>
          <w:p w:rsidR="002F4A94" w:rsidRPr="0056364E" w:rsidRDefault="002F4A94" w:rsidP="00462F0E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Plocha na auto</w:t>
            </w:r>
            <w:r w:rsidR="00462F0E">
              <w:rPr>
                <w:rFonts w:cstheme="minorHAnsi"/>
              </w:rPr>
              <w:t>vraky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1 056 000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10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Příjezdová komunikace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2 056 000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11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Zpevněné plochy</w:t>
            </w:r>
          </w:p>
        </w:tc>
        <w:tc>
          <w:tcPr>
            <w:tcW w:w="1842" w:type="dxa"/>
          </w:tcPr>
          <w:p w:rsidR="002F4A94" w:rsidRPr="0056364E" w:rsidRDefault="002F4A94" w:rsidP="002B7BE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 xml:space="preserve">10 000 </w:t>
            </w:r>
            <w:r w:rsidR="002B7BED">
              <w:rPr>
                <w:rFonts w:cstheme="minorHAnsi"/>
              </w:rPr>
              <w:t>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12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Zelené plochy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482 000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13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Kanalizace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700 000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14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Elektrorozvody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143 000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15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Venkovní osvětlení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469 000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16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Telefonní rozvody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71 000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17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Vodovod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169 000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SO 18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HTÚ</w:t>
            </w:r>
            <w:r w:rsidR="002B7BED">
              <w:rPr>
                <w:rFonts w:cstheme="minorHAnsi"/>
              </w:rPr>
              <w:t xml:space="preserve"> (Hrubé teré</w:t>
            </w:r>
            <w:r w:rsidR="006E557C">
              <w:rPr>
                <w:rFonts w:cstheme="minorHAnsi"/>
              </w:rPr>
              <w:t>nní úpravy)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690 000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  <w:b w:val="0"/>
                <w:i/>
              </w:rPr>
            </w:pPr>
            <w:r w:rsidRPr="001D7834">
              <w:rPr>
                <w:rFonts w:asciiTheme="minorHAnsi" w:hAnsiTheme="minorHAnsi" w:cstheme="minorHAnsi"/>
                <w:b w:val="0"/>
                <w:i/>
              </w:rPr>
              <w:t>Celkem SO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56364E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842" w:type="dxa"/>
          </w:tcPr>
          <w:p w:rsidR="002F4A94" w:rsidRPr="009B48EC" w:rsidRDefault="002F4A94" w:rsidP="00BF5DFB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9B48EC">
              <w:rPr>
                <w:rFonts w:cstheme="minorHAnsi"/>
                <w:i/>
              </w:rPr>
              <w:t xml:space="preserve">41 </w:t>
            </w:r>
            <w:r w:rsidR="00BF5DFB">
              <w:rPr>
                <w:rFonts w:cstheme="minorHAnsi"/>
                <w:i/>
              </w:rPr>
              <w:t>1</w:t>
            </w:r>
            <w:r w:rsidRPr="009B48EC">
              <w:rPr>
                <w:rFonts w:cstheme="minorHAnsi"/>
                <w:i/>
              </w:rPr>
              <w:t>03 000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PS 02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Třídění druhotných surovin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technologie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11 300 000</w:t>
            </w:r>
          </w:p>
        </w:tc>
      </w:tr>
      <w:tr w:rsidR="002F4A94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kontinuální lis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5</w:t>
            </w:r>
            <w:r w:rsidR="00F825E4">
              <w:rPr>
                <w:rFonts w:cstheme="minorHAnsi"/>
              </w:rPr>
              <w:t> </w:t>
            </w:r>
            <w:r w:rsidRPr="0056364E">
              <w:rPr>
                <w:rFonts w:cstheme="minorHAnsi"/>
              </w:rPr>
              <w:t>000</w:t>
            </w:r>
            <w:r w:rsidR="00F825E4">
              <w:rPr>
                <w:rFonts w:cstheme="minorHAnsi"/>
              </w:rPr>
              <w:t xml:space="preserve"> 000</w:t>
            </w:r>
          </w:p>
        </w:tc>
      </w:tr>
      <w:tr w:rsidR="002F4A94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2F4A94" w:rsidRPr="001D7834" w:rsidRDefault="002F4A94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1D7834">
              <w:rPr>
                <w:rFonts w:asciiTheme="minorHAnsi" w:hAnsiTheme="minorHAnsi" w:cstheme="minorHAnsi"/>
              </w:rPr>
              <w:t>PS 03</w:t>
            </w:r>
          </w:p>
        </w:tc>
        <w:tc>
          <w:tcPr>
            <w:tcW w:w="5526" w:type="dxa"/>
          </w:tcPr>
          <w:p w:rsidR="002F4A94" w:rsidRPr="0056364E" w:rsidRDefault="002F4A94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Mostová váha</w:t>
            </w:r>
          </w:p>
        </w:tc>
        <w:tc>
          <w:tcPr>
            <w:tcW w:w="1842" w:type="dxa"/>
          </w:tcPr>
          <w:p w:rsidR="002F4A94" w:rsidRPr="0056364E" w:rsidRDefault="002F4A94" w:rsidP="00BF101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>549 941</w:t>
            </w:r>
          </w:p>
        </w:tc>
      </w:tr>
      <w:tr w:rsidR="00BF5DFB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F5DFB" w:rsidRPr="00BF5DFB" w:rsidRDefault="00BF5DFB" w:rsidP="00BF101D">
            <w:pPr>
              <w:pStyle w:val="Bezmezer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PS 04</w:t>
            </w:r>
          </w:p>
        </w:tc>
        <w:tc>
          <w:tcPr>
            <w:tcW w:w="5526" w:type="dxa"/>
          </w:tcPr>
          <w:p w:rsidR="00BF5DFB" w:rsidRPr="001D7834" w:rsidRDefault="00BF5DFB" w:rsidP="00210A64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Nákladní automobil</w:t>
            </w:r>
          </w:p>
        </w:tc>
        <w:tc>
          <w:tcPr>
            <w:tcW w:w="1842" w:type="dxa"/>
          </w:tcPr>
          <w:p w:rsidR="00BF5DFB" w:rsidRPr="001D7834" w:rsidRDefault="00BF5DFB" w:rsidP="00EF2156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F21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0 000</w:t>
            </w:r>
          </w:p>
        </w:tc>
      </w:tr>
      <w:tr w:rsidR="00BF5DFB" w:rsidRPr="0056364E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F5DFB" w:rsidRPr="001D7834" w:rsidRDefault="00BF5DFB" w:rsidP="00BF101D">
            <w:pPr>
              <w:pStyle w:val="Bezmezer"/>
              <w:rPr>
                <w:rFonts w:asciiTheme="minorHAnsi" w:hAnsiTheme="minorHAnsi" w:cstheme="minorHAnsi"/>
                <w:b w:val="0"/>
                <w:i/>
              </w:rPr>
            </w:pPr>
            <w:r w:rsidRPr="001D7834">
              <w:rPr>
                <w:rFonts w:asciiTheme="minorHAnsi" w:hAnsiTheme="minorHAnsi" w:cstheme="minorHAnsi"/>
                <w:b w:val="0"/>
                <w:i/>
              </w:rPr>
              <w:t>Celkem PS</w:t>
            </w:r>
          </w:p>
        </w:tc>
        <w:tc>
          <w:tcPr>
            <w:tcW w:w="5526" w:type="dxa"/>
          </w:tcPr>
          <w:p w:rsidR="00BF5DFB" w:rsidRPr="0056364E" w:rsidRDefault="00BF5DFB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6364E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842" w:type="dxa"/>
          </w:tcPr>
          <w:p w:rsidR="00BF5DFB" w:rsidRPr="00380394" w:rsidRDefault="00EF2156" w:rsidP="003803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80394">
              <w:rPr>
                <w:i/>
              </w:rPr>
              <w:t>17 569 941</w:t>
            </w:r>
          </w:p>
        </w:tc>
      </w:tr>
      <w:tr w:rsidR="00BF5DFB" w:rsidRPr="0056364E" w:rsidTr="007D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F5DFB" w:rsidRPr="001D7834" w:rsidRDefault="00BF5DFB" w:rsidP="00BF101D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5526" w:type="dxa"/>
          </w:tcPr>
          <w:p w:rsidR="00BF5DFB" w:rsidRPr="0056364E" w:rsidRDefault="00BF5DFB" w:rsidP="00BF101D">
            <w:pPr>
              <w:pStyle w:val="Bezmez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</w:tcPr>
          <w:p w:rsidR="00BF5DFB" w:rsidRPr="0056364E" w:rsidRDefault="00BF5DFB" w:rsidP="00BF101D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6364E">
              <w:rPr>
                <w:rFonts w:cstheme="minorHAnsi"/>
              </w:rPr>
              <w:t xml:space="preserve"> </w:t>
            </w:r>
          </w:p>
        </w:tc>
      </w:tr>
      <w:tr w:rsidR="00BF5DFB" w:rsidRPr="00380394" w:rsidTr="007D4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BF5DFB" w:rsidRPr="001D7834" w:rsidRDefault="00E05862" w:rsidP="00BF101D">
            <w:pPr>
              <w:pStyle w:val="Bezmez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CELKEM</w:t>
            </w:r>
          </w:p>
        </w:tc>
        <w:tc>
          <w:tcPr>
            <w:tcW w:w="5526" w:type="dxa"/>
          </w:tcPr>
          <w:p w:rsidR="00BF5DFB" w:rsidRPr="0056364E" w:rsidRDefault="00BF5DFB" w:rsidP="00BF101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6364E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842" w:type="dxa"/>
          </w:tcPr>
          <w:p w:rsidR="00BF5DFB" w:rsidRPr="00380394" w:rsidRDefault="00380394" w:rsidP="003803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442A62">
              <w:rPr>
                <w:rFonts w:cstheme="minorHAnsi"/>
                <w:b/>
                <w:bCs/>
                <w:i/>
                <w:iCs/>
                <w:color w:val="FF0000"/>
              </w:rPr>
              <w:t>58 672 941</w:t>
            </w:r>
          </w:p>
        </w:tc>
      </w:tr>
    </w:tbl>
    <w:p w:rsidR="00543D54" w:rsidRDefault="00543D54" w:rsidP="00BF101D">
      <w:pPr>
        <w:pStyle w:val="Bezmezer"/>
        <w:rPr>
          <w:rFonts w:cstheme="minorHAnsi"/>
        </w:rPr>
      </w:pPr>
    </w:p>
    <w:p w:rsidR="007F24DD" w:rsidRDefault="007F24DD" w:rsidP="00CA011A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V souladu s metodikou zpracování analýzy nákladů a přínosů publikovanou Evropskou komisí</w:t>
      </w:r>
      <w:r w:rsidR="00952034">
        <w:rPr>
          <w:rStyle w:val="Znakapoznpodarou"/>
          <w:rFonts w:cstheme="minorHAnsi"/>
        </w:rPr>
        <w:footnoteReference w:id="2"/>
      </w:r>
      <w:r>
        <w:rPr>
          <w:rFonts w:cstheme="minorHAnsi"/>
        </w:rPr>
        <w:t xml:space="preserve"> a </w:t>
      </w:r>
      <w:r w:rsidR="00DC47BF">
        <w:rPr>
          <w:rFonts w:cstheme="minorHAnsi"/>
        </w:rPr>
        <w:t>Metodickou příručkou</w:t>
      </w:r>
      <w:r>
        <w:rPr>
          <w:rFonts w:cstheme="minorHAnsi"/>
        </w:rPr>
        <w:t xml:space="preserve"> způsobilých výdajů pro programy spolufinancované ze strukturálních fondů a Fondu soudržnosti na programové období 2007-2013 </w:t>
      </w:r>
      <w:r w:rsidR="00952034">
        <w:rPr>
          <w:rFonts w:cstheme="minorHAnsi"/>
        </w:rPr>
        <w:t xml:space="preserve">vydanou </w:t>
      </w:r>
      <w:r>
        <w:rPr>
          <w:rFonts w:cstheme="minorHAnsi"/>
        </w:rPr>
        <w:t>Ministerstv</w:t>
      </w:r>
      <w:r w:rsidR="00952034">
        <w:rPr>
          <w:rFonts w:cstheme="minorHAnsi"/>
        </w:rPr>
        <w:t>em</w:t>
      </w:r>
      <w:r>
        <w:rPr>
          <w:rFonts w:cstheme="minorHAnsi"/>
        </w:rPr>
        <w:t xml:space="preserve"> pr</w:t>
      </w:r>
      <w:r w:rsidR="00952034">
        <w:rPr>
          <w:rFonts w:cstheme="minorHAnsi"/>
        </w:rPr>
        <w:t xml:space="preserve">o místní rozvoj České republiky </w:t>
      </w:r>
      <w:r>
        <w:rPr>
          <w:rFonts w:cstheme="minorHAnsi"/>
        </w:rPr>
        <w:t xml:space="preserve">jsou způsobilými a přijatelnými výdaji také výdaje vynaložené na projektovou dokumentaci. </w:t>
      </w:r>
      <w:r w:rsidR="008C0E98">
        <w:rPr>
          <w:rFonts w:cstheme="minorHAnsi"/>
        </w:rPr>
        <w:t>N</w:t>
      </w:r>
      <w:r>
        <w:rPr>
          <w:rFonts w:cstheme="minorHAnsi"/>
        </w:rPr>
        <w:t>áklady na projektovou dokumentaci činí 1 000 000 Kč</w:t>
      </w:r>
      <w:r w:rsidR="008C0E98">
        <w:rPr>
          <w:rFonts w:cstheme="minorHAnsi"/>
        </w:rPr>
        <w:t xml:space="preserve"> a tyto náklady byly vynaloženy </w:t>
      </w:r>
      <w:r w:rsidR="008C0E98">
        <w:rPr>
          <w:rFonts w:cstheme="minorHAnsi"/>
        </w:rPr>
        <w:lastRenderedPageBreak/>
        <w:t>v roce 2012</w:t>
      </w:r>
      <w:r>
        <w:rPr>
          <w:rFonts w:cstheme="minorHAnsi"/>
        </w:rPr>
        <w:t>. Město Znojmo financuje náklady na vypracování projektové dokumentace v plné výši z vlastních zdrojů.</w:t>
      </w:r>
    </w:p>
    <w:p w:rsidR="00C12451" w:rsidRDefault="009B48EC" w:rsidP="00CA011A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Následující tabulka zachycuje rekapitulaci </w:t>
      </w:r>
      <w:r w:rsidR="00372BE3">
        <w:rPr>
          <w:rFonts w:cstheme="minorHAnsi"/>
        </w:rPr>
        <w:t xml:space="preserve">celkových </w:t>
      </w:r>
      <w:r>
        <w:rPr>
          <w:rFonts w:cstheme="minorHAnsi"/>
        </w:rPr>
        <w:t xml:space="preserve">nákladů v investiční fázi </w:t>
      </w:r>
      <w:r w:rsidR="00372BE3">
        <w:rPr>
          <w:rFonts w:cstheme="minorHAnsi"/>
        </w:rPr>
        <w:t>v souvislosti se zahájením realizace</w:t>
      </w:r>
      <w:r>
        <w:rPr>
          <w:rFonts w:cstheme="minorHAnsi"/>
        </w:rPr>
        <w:t xml:space="preserve"> projektu, tedy výstavb</w:t>
      </w:r>
      <w:r w:rsidR="00372BE3">
        <w:rPr>
          <w:rFonts w:cstheme="minorHAnsi"/>
        </w:rPr>
        <w:t>ou</w:t>
      </w:r>
      <w:r>
        <w:rPr>
          <w:rFonts w:cstheme="minorHAnsi"/>
        </w:rPr>
        <w:t xml:space="preserve"> Regionálního odpadového centra</w:t>
      </w:r>
      <w:r w:rsidR="002F4A94">
        <w:rPr>
          <w:rFonts w:cstheme="minorHAnsi"/>
        </w:rPr>
        <w:t>,</w:t>
      </w:r>
      <w:r>
        <w:rPr>
          <w:rFonts w:cstheme="minorHAnsi"/>
        </w:rPr>
        <w:t xml:space="preserve"> k </w:t>
      </w:r>
      <w:r w:rsidR="002F4A94">
        <w:rPr>
          <w:rFonts w:cstheme="minorHAnsi"/>
        </w:rPr>
        <w:t>1. 1. 201</w:t>
      </w:r>
      <w:r w:rsidR="008C0E98">
        <w:rPr>
          <w:rFonts w:cstheme="minorHAnsi"/>
        </w:rPr>
        <w:t>3</w:t>
      </w:r>
      <w:r w:rsidR="002F4A94">
        <w:rPr>
          <w:rFonts w:cstheme="minorHAnsi"/>
        </w:rPr>
        <w:t xml:space="preserve"> a </w:t>
      </w:r>
      <w:r w:rsidR="00E05862">
        <w:rPr>
          <w:rFonts w:cstheme="minorHAnsi"/>
        </w:rPr>
        <w:t xml:space="preserve">jeho </w:t>
      </w:r>
      <w:r w:rsidR="002F4A94">
        <w:rPr>
          <w:rFonts w:cstheme="minorHAnsi"/>
        </w:rPr>
        <w:t>dokončení</w:t>
      </w:r>
      <w:r w:rsidR="00372BE3">
        <w:rPr>
          <w:rFonts w:cstheme="minorHAnsi"/>
        </w:rPr>
        <w:t>m</w:t>
      </w:r>
      <w:r w:rsidR="002F4A94">
        <w:rPr>
          <w:rFonts w:cstheme="minorHAnsi"/>
        </w:rPr>
        <w:t xml:space="preserve"> k 31. 12. 201</w:t>
      </w:r>
      <w:r w:rsidR="008C0E98">
        <w:rPr>
          <w:rFonts w:cstheme="minorHAnsi"/>
        </w:rPr>
        <w:t>3</w:t>
      </w:r>
      <w:r w:rsidR="002F4A94">
        <w:rPr>
          <w:rFonts w:cstheme="minorHAnsi"/>
        </w:rPr>
        <w:t>.</w:t>
      </w:r>
    </w:p>
    <w:p w:rsidR="0007126C" w:rsidRDefault="0007126C" w:rsidP="00CA011A">
      <w:pPr>
        <w:pStyle w:val="Bezmezer"/>
        <w:jc w:val="both"/>
        <w:rPr>
          <w:rFonts w:cstheme="minorHAnsi"/>
          <w:color w:val="FF0000"/>
        </w:rPr>
      </w:pPr>
    </w:p>
    <w:p w:rsidR="002F4A94" w:rsidRDefault="002F4A94" w:rsidP="00BF101D">
      <w:pPr>
        <w:pStyle w:val="Bezmezer"/>
        <w:rPr>
          <w:rFonts w:cstheme="minorHAnsi"/>
        </w:rPr>
      </w:pPr>
      <w:r w:rsidRPr="001E527B">
        <w:rPr>
          <w:rFonts w:cstheme="minorHAnsi"/>
          <w:b/>
          <w:i/>
        </w:rPr>
        <w:t>Tabulka č. 2:</w:t>
      </w:r>
      <w:r>
        <w:rPr>
          <w:rFonts w:cstheme="minorHAnsi"/>
        </w:rPr>
        <w:t xml:space="preserve"> Rekapitulace nákladů v investiční fázi</w:t>
      </w:r>
    </w:p>
    <w:tbl>
      <w:tblPr>
        <w:tblStyle w:val="Svtlmkazvraznn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542"/>
        <w:gridCol w:w="1541"/>
        <w:gridCol w:w="1542"/>
      </w:tblGrid>
      <w:tr w:rsidR="007C64AC" w:rsidTr="00801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2F4A94" w:rsidRPr="00BF5DFB" w:rsidRDefault="002F4A94" w:rsidP="00BF5DF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Rozpočtová položka</w:t>
            </w:r>
          </w:p>
        </w:tc>
        <w:tc>
          <w:tcPr>
            <w:tcW w:w="1542" w:type="dxa"/>
            <w:vAlign w:val="center"/>
          </w:tcPr>
          <w:p w:rsidR="008015BF" w:rsidRDefault="007D444C" w:rsidP="008015B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Náklady </w:t>
            </w:r>
            <w:r w:rsidR="002F4A94" w:rsidRPr="00BF5DFB">
              <w:rPr>
                <w:rFonts w:asciiTheme="minorHAnsi" w:hAnsiTheme="minorHAnsi" w:cstheme="minorHAnsi"/>
              </w:rPr>
              <w:t>201</w:t>
            </w:r>
            <w:r w:rsidR="008C0E98">
              <w:rPr>
                <w:rFonts w:asciiTheme="minorHAnsi" w:hAnsiTheme="minorHAnsi" w:cstheme="minorHAnsi"/>
              </w:rPr>
              <w:t>2</w:t>
            </w:r>
          </w:p>
          <w:p w:rsidR="007D444C" w:rsidRPr="007D444C" w:rsidRDefault="007D444C" w:rsidP="008015B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541" w:type="dxa"/>
            <w:vAlign w:val="center"/>
          </w:tcPr>
          <w:p w:rsidR="002F4A94" w:rsidRDefault="007D444C" w:rsidP="00BF5DF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Náklady </w:t>
            </w:r>
            <w:r w:rsidR="002F4A94" w:rsidRPr="00BF5DFB">
              <w:rPr>
                <w:rFonts w:asciiTheme="minorHAnsi" w:hAnsiTheme="minorHAnsi" w:cstheme="minorHAnsi"/>
              </w:rPr>
              <w:t>201</w:t>
            </w:r>
            <w:r w:rsidR="008C0E98">
              <w:rPr>
                <w:rFonts w:asciiTheme="minorHAnsi" w:hAnsiTheme="minorHAnsi" w:cstheme="minorHAnsi"/>
              </w:rPr>
              <w:t>3</w:t>
            </w:r>
          </w:p>
          <w:p w:rsidR="007D444C" w:rsidRPr="007D444C" w:rsidRDefault="007D444C" w:rsidP="00BF5DF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542" w:type="dxa"/>
            <w:vAlign w:val="center"/>
          </w:tcPr>
          <w:p w:rsidR="002F4A94" w:rsidRDefault="007D444C" w:rsidP="00BF5DF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Náklady </w:t>
            </w:r>
            <w:r w:rsidR="002F4A94" w:rsidRPr="00BF5DFB">
              <w:rPr>
                <w:rFonts w:asciiTheme="minorHAnsi" w:hAnsiTheme="minorHAnsi" w:cstheme="minorHAnsi"/>
              </w:rPr>
              <w:t>celkem</w:t>
            </w:r>
          </w:p>
          <w:p w:rsidR="007D444C" w:rsidRPr="007D444C" w:rsidRDefault="007D444C" w:rsidP="00BF5DF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  <w:tr w:rsidR="00442A62" w:rsidTr="0080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442A62" w:rsidRPr="00BF5DFB" w:rsidRDefault="00442A62" w:rsidP="00BF5DFB">
            <w:pPr>
              <w:pStyle w:val="Bezmezer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Projektová dokumentace</w:t>
            </w:r>
          </w:p>
        </w:tc>
        <w:tc>
          <w:tcPr>
            <w:tcW w:w="1542" w:type="dxa"/>
            <w:vAlign w:val="center"/>
          </w:tcPr>
          <w:p w:rsidR="00442A62" w:rsidRDefault="00442A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1 000 000</w:t>
            </w:r>
          </w:p>
        </w:tc>
        <w:tc>
          <w:tcPr>
            <w:tcW w:w="1541" w:type="dxa"/>
            <w:vAlign w:val="center"/>
          </w:tcPr>
          <w:p w:rsidR="00442A62" w:rsidRDefault="00442A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0</w:t>
            </w:r>
          </w:p>
        </w:tc>
        <w:tc>
          <w:tcPr>
            <w:tcW w:w="1542" w:type="dxa"/>
            <w:vAlign w:val="center"/>
          </w:tcPr>
          <w:p w:rsidR="00442A62" w:rsidRPr="00442A62" w:rsidRDefault="00442A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442A62">
              <w:rPr>
                <w:rFonts w:ascii="Calibri" w:hAnsi="Calibri" w:cs="Calibri"/>
                <w:color w:val="FF0000"/>
              </w:rPr>
              <w:t>1 000 000</w:t>
            </w:r>
          </w:p>
        </w:tc>
      </w:tr>
      <w:tr w:rsidR="00442A62" w:rsidTr="00801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442A62" w:rsidRPr="00BF5DFB" w:rsidRDefault="00442A62" w:rsidP="00BF5DFB">
            <w:pPr>
              <w:pStyle w:val="Bezmezer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Náklady na výstavbu a pořízení technologie</w:t>
            </w:r>
          </w:p>
        </w:tc>
        <w:tc>
          <w:tcPr>
            <w:tcW w:w="1542" w:type="dxa"/>
            <w:vAlign w:val="center"/>
          </w:tcPr>
          <w:p w:rsidR="00442A62" w:rsidRPr="00442A62" w:rsidRDefault="00442A6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442A62">
              <w:rPr>
                <w:rFonts w:ascii="Calibri" w:hAnsi="Calibri" w:cs="Calibri"/>
                <w:color w:val="FF0000"/>
              </w:rPr>
              <w:t>0</w:t>
            </w:r>
          </w:p>
        </w:tc>
        <w:tc>
          <w:tcPr>
            <w:tcW w:w="1541" w:type="dxa"/>
            <w:vAlign w:val="center"/>
          </w:tcPr>
          <w:p w:rsidR="00442A62" w:rsidRPr="00442A62" w:rsidRDefault="00442A6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442A62">
              <w:rPr>
                <w:rFonts w:ascii="Calibri" w:hAnsi="Calibri" w:cstheme="minorHAnsi"/>
                <w:color w:val="FF0000"/>
              </w:rPr>
              <w:t>58 672 941</w:t>
            </w:r>
          </w:p>
        </w:tc>
        <w:tc>
          <w:tcPr>
            <w:tcW w:w="1542" w:type="dxa"/>
            <w:vAlign w:val="center"/>
          </w:tcPr>
          <w:p w:rsidR="00442A62" w:rsidRPr="00442A62" w:rsidRDefault="00442A6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442A62">
              <w:rPr>
                <w:rFonts w:ascii="Calibri" w:hAnsi="Calibri" w:cs="Calibri"/>
                <w:color w:val="FF0000"/>
              </w:rPr>
              <w:t>58 672 941</w:t>
            </w:r>
          </w:p>
        </w:tc>
      </w:tr>
      <w:tr w:rsidR="00442A62" w:rsidTr="0080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442A62" w:rsidRPr="00BF5DFB" w:rsidRDefault="00442A62" w:rsidP="00BF5DFB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1542" w:type="dxa"/>
            <w:vAlign w:val="center"/>
          </w:tcPr>
          <w:p w:rsidR="00442A62" w:rsidRPr="00442A62" w:rsidRDefault="00442A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</w:rPr>
            </w:pPr>
            <w:r w:rsidRPr="00442A62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541" w:type="dxa"/>
            <w:vAlign w:val="center"/>
          </w:tcPr>
          <w:p w:rsidR="00442A62" w:rsidRPr="00442A62" w:rsidRDefault="00442A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442A62">
              <w:rPr>
                <w:rFonts w:ascii="Calibri" w:hAnsi="Calibri" w:cstheme="minorHAnsi"/>
                <w:color w:val="FF0000"/>
              </w:rPr>
              <w:t> </w:t>
            </w:r>
          </w:p>
        </w:tc>
        <w:tc>
          <w:tcPr>
            <w:tcW w:w="1542" w:type="dxa"/>
            <w:vAlign w:val="center"/>
          </w:tcPr>
          <w:p w:rsidR="00442A62" w:rsidRPr="00442A62" w:rsidRDefault="00442A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442A62">
              <w:rPr>
                <w:rFonts w:ascii="Calibri" w:hAnsi="Calibri" w:cstheme="minorHAnsi"/>
                <w:color w:val="FF0000"/>
              </w:rPr>
              <w:t> </w:t>
            </w:r>
          </w:p>
        </w:tc>
      </w:tr>
      <w:tr w:rsidR="00442A62" w:rsidTr="00801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442A62" w:rsidRPr="00BF5DFB" w:rsidRDefault="0007126C" w:rsidP="0007126C">
            <w:pPr>
              <w:pStyle w:val="Bezmez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="00442A62">
              <w:rPr>
                <w:rFonts w:asciiTheme="minorHAnsi" w:hAnsiTheme="minorHAnsi" w:cstheme="minorHAnsi"/>
              </w:rPr>
              <w:t>vestiční</w:t>
            </w:r>
            <w:proofErr w:type="spellEnd"/>
            <w:r w:rsidR="00442A62" w:rsidRPr="00BF5DFB">
              <w:rPr>
                <w:rFonts w:asciiTheme="minorHAnsi" w:hAnsiTheme="minorHAnsi" w:cstheme="minorHAnsi"/>
              </w:rPr>
              <w:t xml:space="preserve"> náklady</w:t>
            </w:r>
            <w:r w:rsidR="00442A62">
              <w:rPr>
                <w:rFonts w:asciiTheme="minorHAnsi" w:hAnsiTheme="minorHAnsi" w:cstheme="minorHAnsi"/>
              </w:rPr>
              <w:t xml:space="preserve"> celkem</w:t>
            </w:r>
          </w:p>
        </w:tc>
        <w:tc>
          <w:tcPr>
            <w:tcW w:w="1542" w:type="dxa"/>
            <w:vAlign w:val="center"/>
          </w:tcPr>
          <w:p w:rsidR="00442A62" w:rsidRPr="00442A62" w:rsidRDefault="00442A6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FF0000"/>
              </w:rPr>
            </w:pPr>
            <w:r w:rsidRPr="00442A62">
              <w:rPr>
                <w:rFonts w:ascii="Calibri" w:hAnsi="Calibri" w:cs="Calibri"/>
                <w:bCs/>
                <w:i/>
                <w:iCs/>
                <w:color w:val="FF0000"/>
              </w:rPr>
              <w:t>1 000 000</w:t>
            </w:r>
          </w:p>
        </w:tc>
        <w:tc>
          <w:tcPr>
            <w:tcW w:w="1541" w:type="dxa"/>
            <w:vAlign w:val="center"/>
          </w:tcPr>
          <w:p w:rsidR="00442A62" w:rsidRPr="00442A62" w:rsidRDefault="00442A6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FF0000"/>
              </w:rPr>
            </w:pPr>
            <w:r w:rsidRPr="00442A62">
              <w:rPr>
                <w:rFonts w:ascii="Calibri" w:hAnsi="Calibri" w:cstheme="minorHAnsi"/>
                <w:i/>
                <w:iCs/>
                <w:color w:val="FF0000"/>
              </w:rPr>
              <w:t>58 672 941</w:t>
            </w:r>
          </w:p>
        </w:tc>
        <w:tc>
          <w:tcPr>
            <w:tcW w:w="1542" w:type="dxa"/>
            <w:vAlign w:val="center"/>
          </w:tcPr>
          <w:p w:rsidR="00442A62" w:rsidRPr="00442A62" w:rsidRDefault="00442A6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FF0000"/>
              </w:rPr>
            </w:pPr>
            <w:r w:rsidRPr="00442A62">
              <w:rPr>
                <w:rFonts w:ascii="Calibri" w:hAnsi="Calibri" w:cstheme="minorHAnsi"/>
                <w:b/>
                <w:bCs/>
                <w:i/>
                <w:iCs/>
                <w:color w:val="FF0000"/>
              </w:rPr>
              <w:t>59 672 941</w:t>
            </w:r>
          </w:p>
        </w:tc>
      </w:tr>
    </w:tbl>
    <w:p w:rsidR="00EF68AA" w:rsidRDefault="00EF68AA" w:rsidP="00EF68AA">
      <w:pPr>
        <w:pStyle w:val="Bezmezer"/>
      </w:pPr>
    </w:p>
    <w:p w:rsidR="0071475F" w:rsidRDefault="004052A8" w:rsidP="00380394">
      <w:pPr>
        <w:pStyle w:val="Nadpis3"/>
      </w:pPr>
      <w:bookmarkStart w:id="3" w:name="_Toc261423672"/>
      <w:r>
        <w:t>Provozn</w:t>
      </w:r>
      <w:r w:rsidR="0071475F">
        <w:t>í náklady</w:t>
      </w:r>
      <w:bookmarkEnd w:id="3"/>
    </w:p>
    <w:p w:rsidR="004052A8" w:rsidRDefault="004052A8" w:rsidP="004052A8">
      <w:pPr>
        <w:pStyle w:val="Bezmezer"/>
        <w:jc w:val="both"/>
      </w:pPr>
    </w:p>
    <w:p w:rsidR="00CA011A" w:rsidRDefault="004052A8" w:rsidP="00DC466E">
      <w:r>
        <w:t xml:space="preserve">Provozovatelem </w:t>
      </w:r>
      <w:r w:rsidR="007F24DD">
        <w:t xml:space="preserve">Regionálního odpadového centra je město Znojmo, které </w:t>
      </w:r>
      <w:r>
        <w:t>je tedy odpovědné za zajištění provozu</w:t>
      </w:r>
      <w:r w:rsidR="00EF6228">
        <w:t xml:space="preserve"> třídící linky.</w:t>
      </w:r>
      <w:r w:rsidR="00EF6228" w:rsidRPr="00EF6228">
        <w:t xml:space="preserve"> </w:t>
      </w:r>
      <w:r w:rsidR="00EF6228">
        <w:t xml:space="preserve">Celkové využití kapacit třídící linky je odhadováno </w:t>
      </w:r>
      <w:r w:rsidR="00EF6228" w:rsidRPr="00380394">
        <w:rPr>
          <w:b/>
        </w:rPr>
        <w:t xml:space="preserve">v objemu </w:t>
      </w:r>
      <w:r w:rsidR="007D5AAB" w:rsidRPr="00380394">
        <w:rPr>
          <w:b/>
        </w:rPr>
        <w:t>2 120</w:t>
      </w:r>
      <w:r w:rsidR="00194B3D" w:rsidRPr="00380394">
        <w:rPr>
          <w:b/>
        </w:rPr>
        <w:t> t za</w:t>
      </w:r>
      <w:r w:rsidR="007F24DD" w:rsidRPr="00380394">
        <w:rPr>
          <w:b/>
        </w:rPr>
        <w:t xml:space="preserve"> rok</w:t>
      </w:r>
      <w:r w:rsidR="00EF6228">
        <w:t xml:space="preserve">. </w:t>
      </w:r>
    </w:p>
    <w:p w:rsidR="00EF6228" w:rsidRDefault="008E4C4E" w:rsidP="00380394">
      <w:pPr>
        <w:pStyle w:val="Nadpis4"/>
      </w:pPr>
      <w:bookmarkStart w:id="4" w:name="_Toc261423673"/>
      <w:r>
        <w:t>Fixní náklady</w:t>
      </w:r>
      <w:bookmarkEnd w:id="4"/>
    </w:p>
    <w:p w:rsidR="00EF68AA" w:rsidRDefault="00EF68AA" w:rsidP="00741C40">
      <w:pPr>
        <w:pStyle w:val="Bezmezer"/>
        <w:jc w:val="both"/>
      </w:pPr>
    </w:p>
    <w:p w:rsidR="0062352C" w:rsidRDefault="00741C40" w:rsidP="00A14A83">
      <w:pPr>
        <w:pStyle w:val="Bezmezer"/>
        <w:spacing w:after="120"/>
        <w:jc w:val="both"/>
      </w:pPr>
      <w:r>
        <w:t xml:space="preserve">Za fixní náklady jsou považovány náklady, které s měnícím se objemem </w:t>
      </w:r>
      <w:r w:rsidR="00C457DD">
        <w:t>produkce, resp. zpracovaného odpadu,</w:t>
      </w:r>
      <w:r>
        <w:t xml:space="preserve"> zůstávají konstantní. </w:t>
      </w:r>
      <w:r w:rsidR="00A14A83">
        <w:t xml:space="preserve">Jedná se tedy o náklady, které </w:t>
      </w:r>
      <w:r>
        <w:t>budou vynaloženy</w:t>
      </w:r>
      <w:r w:rsidR="00C457DD">
        <w:t xml:space="preserve"> bez ohledu na plánovaný objem zpracovaného odpadu</w:t>
      </w:r>
      <w:r>
        <w:t>.</w:t>
      </w:r>
      <w:r w:rsidR="00A14A83">
        <w:t xml:space="preserve"> Fixní náklady tak zahrnují</w:t>
      </w:r>
      <w:r w:rsidR="0062352C">
        <w:t>:</w:t>
      </w:r>
      <w:r w:rsidR="00A14A83">
        <w:t xml:space="preserve"> </w:t>
      </w:r>
    </w:p>
    <w:p w:rsidR="0062352C" w:rsidRDefault="00A14A83" w:rsidP="0062352C">
      <w:pPr>
        <w:pStyle w:val="Bezmezer"/>
        <w:numPr>
          <w:ilvl w:val="0"/>
          <w:numId w:val="30"/>
        </w:numPr>
        <w:spacing w:after="120"/>
        <w:jc w:val="both"/>
      </w:pPr>
      <w:r>
        <w:t xml:space="preserve">náklady na údržbu a opravy, </w:t>
      </w:r>
    </w:p>
    <w:p w:rsidR="0062352C" w:rsidRDefault="0062352C" w:rsidP="0062352C">
      <w:pPr>
        <w:pStyle w:val="Bezmezer"/>
        <w:numPr>
          <w:ilvl w:val="0"/>
          <w:numId w:val="30"/>
        </w:numPr>
        <w:spacing w:after="120"/>
        <w:jc w:val="both"/>
      </w:pPr>
      <w:r>
        <w:t>mzdové náklady,</w:t>
      </w:r>
    </w:p>
    <w:p w:rsidR="0062352C" w:rsidRDefault="00A14A83" w:rsidP="0062352C">
      <w:pPr>
        <w:pStyle w:val="Bezmezer"/>
        <w:numPr>
          <w:ilvl w:val="0"/>
          <w:numId w:val="30"/>
        </w:numPr>
        <w:spacing w:after="120"/>
        <w:jc w:val="both"/>
      </w:pPr>
      <w:r>
        <w:t xml:space="preserve">náklady na </w:t>
      </w:r>
      <w:r w:rsidR="00C457DD">
        <w:t xml:space="preserve">pojištění budov a technologií </w:t>
      </w:r>
      <w:r w:rsidR="0062352C">
        <w:t xml:space="preserve">a </w:t>
      </w:r>
    </w:p>
    <w:p w:rsidR="0062352C" w:rsidRDefault="0062352C" w:rsidP="0062352C">
      <w:pPr>
        <w:pStyle w:val="Bezmezer"/>
        <w:numPr>
          <w:ilvl w:val="0"/>
          <w:numId w:val="30"/>
        </w:numPr>
        <w:spacing w:after="120"/>
        <w:jc w:val="both"/>
      </w:pPr>
      <w:r>
        <w:t>ostatní náklady.</w:t>
      </w:r>
    </w:p>
    <w:p w:rsidR="00EF68AA" w:rsidRDefault="0007126C" w:rsidP="0062352C">
      <w:pPr>
        <w:pStyle w:val="Bezmezer"/>
        <w:spacing w:after="120"/>
        <w:jc w:val="both"/>
      </w:pPr>
      <w:r>
        <w:t>Tyto náklady budou vynakládání až od roku 2012.</w:t>
      </w:r>
    </w:p>
    <w:p w:rsidR="00A14A83" w:rsidRDefault="00A14A83" w:rsidP="00A14A83">
      <w:pPr>
        <w:pStyle w:val="Bezmezer"/>
        <w:jc w:val="both"/>
      </w:pPr>
    </w:p>
    <w:p w:rsidR="00EF68AA" w:rsidRDefault="000368E0" w:rsidP="00DC47BF">
      <w:pPr>
        <w:pStyle w:val="Bezmezer"/>
        <w:spacing w:after="120"/>
        <w:jc w:val="both"/>
      </w:pPr>
      <w:r w:rsidRPr="0062352C">
        <w:rPr>
          <w:b/>
        </w:rPr>
        <w:t>Náklady na údržbu a opravy</w:t>
      </w:r>
      <w:r>
        <w:t xml:space="preserve"> jsou kalkulovány ve vztahu k zajištění provozu třídící linky. </w:t>
      </w:r>
      <w:r w:rsidR="00A14A83">
        <w:t xml:space="preserve">Položka náklady na údržbu a opravy </w:t>
      </w:r>
      <w:r>
        <w:t xml:space="preserve">tak </w:t>
      </w:r>
      <w:r w:rsidR="00A14A83">
        <w:t xml:space="preserve">v sobě zahrnuje částku 47 000 Kč ročně na údržbu lisu a 60 000 Kč ročně </w:t>
      </w:r>
      <w:r>
        <w:t xml:space="preserve">na </w:t>
      </w:r>
      <w:r w:rsidR="00A14A83">
        <w:t>údržbu ostatních částí třídící linky.</w:t>
      </w:r>
    </w:p>
    <w:p w:rsidR="00A14A83" w:rsidRDefault="00A14A83" w:rsidP="00DC47BF">
      <w:pPr>
        <w:pStyle w:val="Bezmezer"/>
        <w:jc w:val="both"/>
      </w:pPr>
      <w:r w:rsidRPr="0062352C">
        <w:rPr>
          <w:b/>
        </w:rPr>
        <w:t>Mzdové náklady</w:t>
      </w:r>
      <w:r>
        <w:t xml:space="preserve"> jsou kalkulovány za předpokladu vzniku 14 nových pracovních míst ve složení:</w:t>
      </w:r>
    </w:p>
    <w:p w:rsidR="00A14A83" w:rsidRDefault="00481890" w:rsidP="00DC47BF">
      <w:pPr>
        <w:pStyle w:val="Bezmezer"/>
        <w:numPr>
          <w:ilvl w:val="0"/>
          <w:numId w:val="9"/>
        </w:numPr>
        <w:jc w:val="both"/>
      </w:pPr>
      <w:r>
        <w:t>1 mistr (operátor lisu),</w:t>
      </w:r>
    </w:p>
    <w:p w:rsidR="00A14A83" w:rsidRDefault="00A14A83" w:rsidP="00DC47BF">
      <w:pPr>
        <w:pStyle w:val="Bezmezer"/>
        <w:numPr>
          <w:ilvl w:val="0"/>
          <w:numId w:val="9"/>
        </w:numPr>
        <w:jc w:val="both"/>
      </w:pPr>
      <w:r>
        <w:t>2 řidiči,</w:t>
      </w:r>
    </w:p>
    <w:p w:rsidR="00A14A83" w:rsidRDefault="00A14A83" w:rsidP="00DC47BF">
      <w:pPr>
        <w:pStyle w:val="Bezmezer"/>
        <w:numPr>
          <w:ilvl w:val="0"/>
          <w:numId w:val="9"/>
        </w:numPr>
        <w:jc w:val="both"/>
      </w:pPr>
      <w:r>
        <w:t>9 pracovníků na lince ručního třídění,</w:t>
      </w:r>
    </w:p>
    <w:p w:rsidR="00A14A83" w:rsidRDefault="00A14A83" w:rsidP="00CA011A">
      <w:pPr>
        <w:pStyle w:val="Bezmezer"/>
        <w:numPr>
          <w:ilvl w:val="0"/>
          <w:numId w:val="9"/>
        </w:numPr>
        <w:spacing w:after="120"/>
        <w:jc w:val="both"/>
      </w:pPr>
      <w:r>
        <w:t>2 pracovníc</w:t>
      </w:r>
      <w:r w:rsidR="000368E0">
        <w:t>i</w:t>
      </w:r>
      <w:r>
        <w:t xml:space="preserve"> pro zajištění provozu sběrného dvor</w:t>
      </w:r>
      <w:r w:rsidR="000368E0">
        <w:t>a</w:t>
      </w:r>
      <w:r>
        <w:t>.</w:t>
      </w:r>
    </w:p>
    <w:p w:rsidR="00481890" w:rsidRDefault="00481890" w:rsidP="00CA011A">
      <w:pPr>
        <w:pStyle w:val="Bezmezer"/>
        <w:jc w:val="both"/>
      </w:pPr>
      <w:r>
        <w:t xml:space="preserve">Výše hrubé mzdy připadající na danou pracovní pozici je kalkulována v závislosti na informacích dostupných v rámci Informačního systému o průměrném výdělku (dokument Regionální statistika </w:t>
      </w:r>
      <w:r w:rsidR="00584A7E">
        <w:t>ceny</w:t>
      </w:r>
      <w:r>
        <w:t xml:space="preserve"> práce pro Jihomoravský kraj) a Integrovaného portálu Ministerstva práce a sociálních věcí České republiky</w:t>
      </w:r>
      <w:r w:rsidR="00DC47BF">
        <w:t xml:space="preserve"> (sekce Hledání volných pracovních míst dle oboru zaměstnání</w:t>
      </w:r>
      <w:r w:rsidR="008B78F5">
        <w:t xml:space="preserve"> v okrese Znojmo</w:t>
      </w:r>
      <w:r w:rsidR="00DC47BF">
        <w:t>).</w:t>
      </w:r>
    </w:p>
    <w:p w:rsidR="00CA011A" w:rsidRDefault="00CA011A" w:rsidP="00CA011A">
      <w:pPr>
        <w:pStyle w:val="Bezmezer"/>
        <w:jc w:val="both"/>
      </w:pPr>
    </w:p>
    <w:p w:rsidR="008C0E98" w:rsidRDefault="008C0E98">
      <w:pPr>
        <w:spacing w:after="200" w:line="276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DC47BF" w:rsidRDefault="00DC47BF" w:rsidP="00DC47BF">
      <w:pPr>
        <w:pStyle w:val="Bezmezer"/>
        <w:rPr>
          <w:rFonts w:cstheme="minorHAnsi"/>
        </w:rPr>
      </w:pPr>
      <w:r w:rsidRPr="000368E0">
        <w:rPr>
          <w:b/>
          <w:i/>
        </w:rPr>
        <w:lastRenderedPageBreak/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4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Výše hrubé mzdy</w:t>
      </w:r>
      <w:r w:rsidR="00463D2C">
        <w:rPr>
          <w:rFonts w:cstheme="minorHAnsi"/>
        </w:rPr>
        <w:t xml:space="preserve"> připadající na jednotlivé pracovní pozice</w:t>
      </w:r>
    </w:p>
    <w:tbl>
      <w:tblPr>
        <w:tblStyle w:val="Svtlmkazvraznn11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2268"/>
      </w:tblGrid>
      <w:tr w:rsidR="00DC47BF" w:rsidRPr="008E4C4E" w:rsidTr="00801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DC47BF" w:rsidRPr="008E4C4E" w:rsidRDefault="00DC47BF" w:rsidP="008015BF">
            <w:pPr>
              <w:pStyle w:val="Bezmezer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Pracovní pozice</w:t>
            </w:r>
          </w:p>
        </w:tc>
        <w:tc>
          <w:tcPr>
            <w:tcW w:w="2268" w:type="dxa"/>
            <w:vAlign w:val="center"/>
          </w:tcPr>
          <w:p w:rsidR="00DC47BF" w:rsidRPr="008E4C4E" w:rsidRDefault="00DC47BF" w:rsidP="008015B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Hrubá mzda</w:t>
            </w:r>
          </w:p>
          <w:p w:rsidR="00DC47BF" w:rsidRPr="008E4C4E" w:rsidRDefault="00DC47BF" w:rsidP="008015BF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  <w:lang w:val="en-US"/>
              </w:rPr>
              <w:t>[</w:t>
            </w:r>
            <w:r w:rsidRPr="00CC7E1E">
              <w:rPr>
                <w:rFonts w:asciiTheme="minorHAnsi" w:hAnsiTheme="minorHAnsi" w:cstheme="minorHAnsi"/>
                <w:bCs w:val="0"/>
              </w:rPr>
              <w:t xml:space="preserve">Kč / </w:t>
            </w:r>
            <w:r>
              <w:rPr>
                <w:rFonts w:asciiTheme="minorHAnsi" w:hAnsiTheme="minorHAnsi" w:cstheme="minorHAnsi"/>
                <w:bCs w:val="0"/>
              </w:rPr>
              <w:t>měsíc</w:t>
            </w:r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]</w:t>
            </w:r>
          </w:p>
        </w:tc>
      </w:tr>
      <w:tr w:rsidR="00DC47BF" w:rsidRPr="008E4C4E" w:rsidTr="00A1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DC47BF" w:rsidRPr="008E4C4E" w:rsidRDefault="00DC47BF" w:rsidP="00A1247A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Mistr</w:t>
            </w:r>
          </w:p>
        </w:tc>
        <w:tc>
          <w:tcPr>
            <w:tcW w:w="2268" w:type="dxa"/>
            <w:vAlign w:val="center"/>
          </w:tcPr>
          <w:p w:rsidR="00DC47BF" w:rsidRPr="008E4C4E" w:rsidRDefault="00DC47BF" w:rsidP="00A1247A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15 000</w:t>
            </w:r>
          </w:p>
        </w:tc>
      </w:tr>
      <w:tr w:rsidR="00DC47BF" w:rsidRPr="008E4C4E" w:rsidTr="00A12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DC47BF" w:rsidRPr="008E4C4E" w:rsidRDefault="00DC47BF" w:rsidP="00A1247A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Řidič</w:t>
            </w:r>
          </w:p>
        </w:tc>
        <w:tc>
          <w:tcPr>
            <w:tcW w:w="2268" w:type="dxa"/>
            <w:vAlign w:val="center"/>
          </w:tcPr>
          <w:p w:rsidR="00DC47BF" w:rsidRPr="008E4C4E" w:rsidRDefault="00DC47BF" w:rsidP="00A1247A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15 000</w:t>
            </w:r>
          </w:p>
        </w:tc>
      </w:tr>
      <w:tr w:rsidR="00DC47BF" w:rsidRPr="008E4C4E" w:rsidTr="00A1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DC47BF" w:rsidRPr="008E4C4E" w:rsidRDefault="00DC47BF" w:rsidP="00A1247A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Pracovník na lince ručního třídění</w:t>
            </w:r>
          </w:p>
        </w:tc>
        <w:tc>
          <w:tcPr>
            <w:tcW w:w="2268" w:type="dxa"/>
            <w:vAlign w:val="center"/>
          </w:tcPr>
          <w:p w:rsidR="00DC47BF" w:rsidRPr="008E4C4E" w:rsidRDefault="00DC47BF" w:rsidP="00A1247A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8 000</w:t>
            </w:r>
          </w:p>
        </w:tc>
      </w:tr>
      <w:tr w:rsidR="00DC47BF" w:rsidRPr="008E4C4E" w:rsidTr="00A12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DC47BF" w:rsidRPr="008E4C4E" w:rsidRDefault="00DC47BF" w:rsidP="00A1247A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Pracovník pro zajištění provozu sběrného dvora</w:t>
            </w:r>
          </w:p>
        </w:tc>
        <w:tc>
          <w:tcPr>
            <w:tcW w:w="2268" w:type="dxa"/>
            <w:vAlign w:val="center"/>
          </w:tcPr>
          <w:p w:rsidR="00DC47BF" w:rsidRPr="008E4C4E" w:rsidRDefault="00DC47BF" w:rsidP="00A1247A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11 000</w:t>
            </w:r>
          </w:p>
        </w:tc>
      </w:tr>
    </w:tbl>
    <w:p w:rsidR="00DC47BF" w:rsidRDefault="00DC47BF" w:rsidP="00DC47BF">
      <w:pPr>
        <w:pStyle w:val="Bezmezer"/>
        <w:rPr>
          <w:rFonts w:cstheme="minorHAnsi"/>
        </w:rPr>
      </w:pPr>
      <w:r w:rsidRPr="001E527B">
        <w:rPr>
          <w:rFonts w:cstheme="minorHAnsi"/>
          <w:b/>
          <w:i/>
        </w:rPr>
        <w:t>Zdroj:</w:t>
      </w:r>
      <w:r>
        <w:rPr>
          <w:rFonts w:cstheme="minorHAnsi"/>
        </w:rPr>
        <w:t xml:space="preserve"> Vlastní zpracování</w:t>
      </w:r>
    </w:p>
    <w:p w:rsidR="00CC7E1E" w:rsidRDefault="00CC7E1E" w:rsidP="000368E0">
      <w:pPr>
        <w:pStyle w:val="Bezmezer"/>
        <w:jc w:val="both"/>
      </w:pPr>
    </w:p>
    <w:p w:rsidR="00AE7C0D" w:rsidRDefault="00DC47BF" w:rsidP="00A1247A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Dle Metodické příručky způsobilých výdajů pro programy spolufinancované ze strukturálních fondů a Fondu soudržnosti na programové období 2007-2013 </w:t>
      </w:r>
      <w:r w:rsidR="003E6FAC">
        <w:rPr>
          <w:rFonts w:cstheme="minorHAnsi"/>
        </w:rPr>
        <w:t>vydané</w:t>
      </w:r>
      <w:r w:rsidR="00952034">
        <w:rPr>
          <w:rFonts w:cstheme="minorHAnsi"/>
        </w:rPr>
        <w:t xml:space="preserve"> </w:t>
      </w:r>
      <w:r>
        <w:rPr>
          <w:rFonts w:cstheme="minorHAnsi"/>
        </w:rPr>
        <w:t>Ministerstv</w:t>
      </w:r>
      <w:r w:rsidR="00952034">
        <w:rPr>
          <w:rFonts w:cstheme="minorHAnsi"/>
        </w:rPr>
        <w:t>em</w:t>
      </w:r>
      <w:r>
        <w:rPr>
          <w:rFonts w:cstheme="minorHAnsi"/>
        </w:rPr>
        <w:t xml:space="preserve"> pro místní rozvoj České republiky </w:t>
      </w:r>
      <w:r w:rsidR="00952034">
        <w:rPr>
          <w:rFonts w:cstheme="minorHAnsi"/>
        </w:rPr>
        <w:t xml:space="preserve">jsou způsobilými výdaji základní mzdové nároky zaměstnanců pracujících na projektu včetně ze zákona obligatorních výdajů zaměstnavatele souvisejících se mzdou či platem zaměstnance. </w:t>
      </w:r>
      <w:r w:rsidR="00952034" w:rsidRPr="0062352C">
        <w:rPr>
          <w:rFonts w:cstheme="minorHAnsi"/>
          <w:b/>
        </w:rPr>
        <w:t xml:space="preserve">Způsobilým výdajem je tak také pojistné na sociální a zdravotní </w:t>
      </w:r>
      <w:r w:rsidR="00AE7C0D" w:rsidRPr="0062352C">
        <w:rPr>
          <w:rFonts w:cstheme="minorHAnsi"/>
          <w:b/>
        </w:rPr>
        <w:t>pojištění hrazené zaměstnavatelem za zaměstnance</w:t>
      </w:r>
      <w:r w:rsidR="00AE7C0D">
        <w:rPr>
          <w:rFonts w:cstheme="minorHAnsi"/>
        </w:rPr>
        <w:t>.</w:t>
      </w:r>
    </w:p>
    <w:p w:rsidR="00CA011A" w:rsidRDefault="000368E0" w:rsidP="00CA011A">
      <w:pPr>
        <w:pStyle w:val="Bezmezer"/>
        <w:jc w:val="both"/>
      </w:pPr>
      <w:r w:rsidRPr="000368E0">
        <w:t>Ostatní náklady jsou považovány za standardní vzhledem k finančnímu</w:t>
      </w:r>
      <w:r>
        <w:t xml:space="preserve"> objemu investice</w:t>
      </w:r>
      <w:r w:rsidR="0062352C">
        <w:t xml:space="preserve"> a </w:t>
      </w:r>
      <w:r w:rsidR="0062352C" w:rsidRPr="000368E0">
        <w:t>rozsahu zpracovávaného odpadu</w:t>
      </w:r>
      <w:r w:rsidR="0062352C">
        <w:t>.</w:t>
      </w:r>
      <w:r>
        <w:t xml:space="preserve"> </w:t>
      </w:r>
      <w:r w:rsidR="0062352C" w:rsidRPr="0062352C">
        <w:rPr>
          <w:b/>
        </w:rPr>
        <w:t>P</w:t>
      </w:r>
      <w:r w:rsidRPr="0062352C">
        <w:rPr>
          <w:b/>
        </w:rPr>
        <w:t>ojištění</w:t>
      </w:r>
      <w:r w:rsidR="00620577">
        <w:t xml:space="preserve"> je kalkulováno ve výši 360 tis. Kč</w:t>
      </w:r>
      <w:r w:rsidR="0062352C">
        <w:t xml:space="preserve"> za rok</w:t>
      </w:r>
      <w:r w:rsidRPr="000368E0">
        <w:t xml:space="preserve">. </w:t>
      </w:r>
      <w:r>
        <w:t xml:space="preserve">Přičemž položka </w:t>
      </w:r>
      <w:r w:rsidRPr="0062352C">
        <w:rPr>
          <w:b/>
        </w:rPr>
        <w:t>ostatní provozní náklady</w:t>
      </w:r>
      <w:r>
        <w:t xml:space="preserve"> v sobě zahrnuje zejména </w:t>
      </w:r>
      <w:r w:rsidR="0062352C">
        <w:t xml:space="preserve">výdaje na </w:t>
      </w:r>
      <w:r>
        <w:t>oděvy, ochranné p</w:t>
      </w:r>
      <w:r w:rsidR="0062352C">
        <w:t>omůcky, hygienické potřeby (35 tis. Kč ročně)</w:t>
      </w:r>
      <w:r w:rsidR="00B339BC">
        <w:t xml:space="preserve"> </w:t>
      </w:r>
      <w:r w:rsidR="0062352C">
        <w:t xml:space="preserve">a </w:t>
      </w:r>
      <w:r w:rsidR="00B339BC">
        <w:t>rozb</w:t>
      </w:r>
      <w:r>
        <w:t xml:space="preserve">ory a analýzy </w:t>
      </w:r>
      <w:r w:rsidR="00620577">
        <w:t xml:space="preserve">(je kalkulováno ve výši </w:t>
      </w:r>
      <w:r w:rsidR="0062352C">
        <w:t>60</w:t>
      </w:r>
      <w:r w:rsidR="00620577">
        <w:t xml:space="preserve"> tis. Kč</w:t>
      </w:r>
      <w:r w:rsidR="0062352C">
        <w:t xml:space="preserve"> ročně</w:t>
      </w:r>
      <w:r w:rsidR="00620577">
        <w:t>).</w:t>
      </w:r>
    </w:p>
    <w:p w:rsidR="00620577" w:rsidRDefault="00620577" w:rsidP="00CA011A">
      <w:pPr>
        <w:pStyle w:val="Bezmezer"/>
        <w:jc w:val="both"/>
      </w:pPr>
    </w:p>
    <w:p w:rsidR="0062352C" w:rsidRPr="00C104AE" w:rsidRDefault="00C104AE" w:rsidP="0062352C">
      <w:pPr>
        <w:pStyle w:val="Bezmezer"/>
        <w:jc w:val="both"/>
        <w:rPr>
          <w:color w:val="FF0000"/>
        </w:rPr>
      </w:pPr>
      <w:r>
        <w:t xml:space="preserve">Doplňte </w:t>
      </w:r>
      <w:r w:rsidR="0062352C">
        <w:t>celkové fixní náklady projektu.</w:t>
      </w:r>
      <w:r>
        <w:t xml:space="preserve"> </w:t>
      </w:r>
      <w:r w:rsidRPr="00C104AE">
        <w:rPr>
          <w:color w:val="FF0000"/>
        </w:rPr>
        <w:t>Tuto tabulku studenti doplní podle výše stanovených informací.</w:t>
      </w:r>
    </w:p>
    <w:p w:rsidR="0062352C" w:rsidRDefault="0062352C" w:rsidP="0062352C">
      <w:pPr>
        <w:pStyle w:val="Bezmezer"/>
        <w:rPr>
          <w:b/>
          <w:i/>
        </w:rPr>
      </w:pPr>
    </w:p>
    <w:p w:rsidR="0062352C" w:rsidRDefault="0062352C" w:rsidP="0062352C">
      <w:pPr>
        <w:pStyle w:val="Bezmezer"/>
        <w:rPr>
          <w:rFonts w:cstheme="minorHAnsi"/>
        </w:rPr>
      </w:pPr>
      <w:r w:rsidRPr="000368E0">
        <w:rPr>
          <w:b/>
          <w:i/>
        </w:rPr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3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Fixní náklady projektu</w:t>
      </w:r>
    </w:p>
    <w:tbl>
      <w:tblPr>
        <w:tblStyle w:val="Svtlmkazvraznn11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2268"/>
      </w:tblGrid>
      <w:tr w:rsidR="0062352C" w:rsidRPr="008E4C4E" w:rsidTr="0071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:rsidR="0062352C" w:rsidRPr="008E4C4E" w:rsidRDefault="0062352C" w:rsidP="00714B4B">
            <w:pPr>
              <w:pStyle w:val="Bezmezer"/>
              <w:jc w:val="center"/>
              <w:rPr>
                <w:rFonts w:asciiTheme="minorHAnsi" w:hAnsiTheme="minorHAnsi" w:cstheme="minorHAnsi"/>
                <w:bCs w:val="0"/>
              </w:rPr>
            </w:pPr>
            <w:r w:rsidRPr="008E4C4E">
              <w:rPr>
                <w:rFonts w:asciiTheme="minorHAnsi" w:hAnsiTheme="minorHAnsi" w:cstheme="minorHAnsi"/>
                <w:bCs w:val="0"/>
              </w:rPr>
              <w:t>Položka</w:t>
            </w:r>
          </w:p>
        </w:tc>
        <w:tc>
          <w:tcPr>
            <w:tcW w:w="2268" w:type="dxa"/>
            <w:vAlign w:val="center"/>
          </w:tcPr>
          <w:p w:rsidR="0062352C" w:rsidRPr="008E4C4E" w:rsidRDefault="0062352C" w:rsidP="00714B4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8E4C4E">
              <w:rPr>
                <w:rFonts w:asciiTheme="minorHAnsi" w:hAnsiTheme="minorHAnsi" w:cstheme="minorHAnsi"/>
                <w:bCs w:val="0"/>
              </w:rPr>
              <w:t>Náklady celkem</w:t>
            </w:r>
          </w:p>
          <w:p w:rsidR="0062352C" w:rsidRPr="008E4C4E" w:rsidRDefault="0062352C" w:rsidP="00714B4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C104AE">
              <w:rPr>
                <w:rFonts w:asciiTheme="minorHAnsi" w:hAnsiTheme="minorHAnsi" w:cstheme="minorHAnsi"/>
                <w:bCs w:val="0"/>
              </w:rPr>
              <w:t>[</w:t>
            </w:r>
            <w:r w:rsidRPr="00CC7E1E">
              <w:rPr>
                <w:rFonts w:asciiTheme="minorHAnsi" w:hAnsiTheme="minorHAnsi" w:cstheme="minorHAnsi"/>
                <w:bCs w:val="0"/>
              </w:rPr>
              <w:t>Kč / rok</w:t>
            </w:r>
            <w:r w:rsidRPr="00C104AE">
              <w:rPr>
                <w:rFonts w:asciiTheme="minorHAnsi" w:hAnsiTheme="minorHAnsi" w:cstheme="minorHAnsi"/>
                <w:bCs w:val="0"/>
              </w:rPr>
              <w:t>]</w:t>
            </w:r>
          </w:p>
        </w:tc>
      </w:tr>
      <w:tr w:rsidR="00C104AE" w:rsidRPr="008E4C4E" w:rsidTr="0071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C104AE" w:rsidRPr="008E4C4E" w:rsidRDefault="00C104AE" w:rsidP="00714B4B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</w:t>
            </w:r>
            <w:r w:rsidRPr="008E4C4E">
              <w:rPr>
                <w:rFonts w:asciiTheme="minorHAnsi" w:hAnsiTheme="minorHAnsi" w:cstheme="minorHAnsi"/>
                <w:b w:val="0"/>
              </w:rPr>
              <w:t>áklady na údržbu a opravy</w:t>
            </w:r>
          </w:p>
        </w:tc>
        <w:tc>
          <w:tcPr>
            <w:tcW w:w="2268" w:type="dxa"/>
          </w:tcPr>
          <w:p w:rsidR="00C104AE" w:rsidRPr="00C104AE" w:rsidRDefault="00C104AE" w:rsidP="00714B4B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104AE">
              <w:rPr>
                <w:rFonts w:cstheme="minorHAnsi"/>
                <w:color w:val="FF0000"/>
              </w:rPr>
              <w:t>107 000</w:t>
            </w:r>
          </w:p>
        </w:tc>
      </w:tr>
      <w:tr w:rsidR="00C104AE" w:rsidRPr="008E4C4E" w:rsidTr="00714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C104AE" w:rsidRPr="008E4C4E" w:rsidRDefault="00C104AE" w:rsidP="00714B4B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</w:t>
            </w:r>
            <w:r w:rsidRPr="008E4C4E">
              <w:rPr>
                <w:rFonts w:asciiTheme="minorHAnsi" w:hAnsiTheme="minorHAnsi" w:cstheme="minorHAnsi"/>
                <w:b w:val="0"/>
              </w:rPr>
              <w:t>zdové náklady</w:t>
            </w:r>
          </w:p>
        </w:tc>
        <w:tc>
          <w:tcPr>
            <w:tcW w:w="2268" w:type="dxa"/>
          </w:tcPr>
          <w:p w:rsidR="00C104AE" w:rsidRPr="00C104AE" w:rsidRDefault="00C104AE" w:rsidP="00714B4B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104AE">
              <w:rPr>
                <w:rFonts w:cstheme="minorHAnsi"/>
                <w:color w:val="FF0000"/>
              </w:rPr>
              <w:t>2 235 120</w:t>
            </w:r>
          </w:p>
        </w:tc>
      </w:tr>
      <w:tr w:rsidR="00C104AE" w:rsidRPr="008E4C4E" w:rsidTr="0071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C104AE" w:rsidRPr="008E4C4E" w:rsidRDefault="00C104AE" w:rsidP="00714B4B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</w:t>
            </w:r>
            <w:r w:rsidRPr="008E4C4E">
              <w:rPr>
                <w:rFonts w:asciiTheme="minorHAnsi" w:hAnsiTheme="minorHAnsi" w:cstheme="minorHAnsi"/>
                <w:b w:val="0"/>
              </w:rPr>
              <w:t>ojištění technologie a budov</w:t>
            </w:r>
          </w:p>
        </w:tc>
        <w:tc>
          <w:tcPr>
            <w:tcW w:w="2268" w:type="dxa"/>
          </w:tcPr>
          <w:p w:rsidR="00C104AE" w:rsidRPr="00C104AE" w:rsidRDefault="00C104AE" w:rsidP="00714B4B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104AE">
              <w:rPr>
                <w:rFonts w:cstheme="minorHAnsi"/>
                <w:color w:val="FF0000"/>
              </w:rPr>
              <w:t>360 000</w:t>
            </w:r>
          </w:p>
        </w:tc>
      </w:tr>
      <w:tr w:rsidR="00C104AE" w:rsidRPr="008E4C4E" w:rsidTr="00714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C104AE" w:rsidRPr="008E4C4E" w:rsidRDefault="00C104AE" w:rsidP="00714B4B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</w:t>
            </w:r>
            <w:r w:rsidRPr="008E4C4E">
              <w:rPr>
                <w:rFonts w:asciiTheme="minorHAnsi" w:hAnsiTheme="minorHAnsi" w:cstheme="minorHAnsi"/>
                <w:b w:val="0"/>
              </w:rPr>
              <w:t>statní provozní náklad</w:t>
            </w:r>
            <w:r>
              <w:rPr>
                <w:rFonts w:asciiTheme="minorHAnsi" w:hAnsiTheme="minorHAnsi" w:cstheme="minorHAnsi"/>
                <w:b w:val="0"/>
              </w:rPr>
              <w:t>y</w:t>
            </w:r>
          </w:p>
        </w:tc>
        <w:tc>
          <w:tcPr>
            <w:tcW w:w="2268" w:type="dxa"/>
          </w:tcPr>
          <w:p w:rsidR="00C104AE" w:rsidRPr="00C104AE" w:rsidRDefault="00C104AE" w:rsidP="00714B4B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C104AE">
              <w:rPr>
                <w:rFonts w:cstheme="minorHAnsi"/>
                <w:color w:val="FF0000"/>
              </w:rPr>
              <w:t>95 000</w:t>
            </w:r>
          </w:p>
        </w:tc>
      </w:tr>
      <w:tr w:rsidR="00C104AE" w:rsidRPr="008E4C4E" w:rsidTr="0071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C104AE" w:rsidRDefault="00C104AE" w:rsidP="00714B4B">
            <w:pPr>
              <w:pStyle w:val="Bezmezer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104AE" w:rsidRPr="00C104AE" w:rsidRDefault="00C104AE" w:rsidP="00714B4B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C104AE" w:rsidRPr="008E4C4E" w:rsidTr="00714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C104AE" w:rsidRPr="008E4C4E" w:rsidRDefault="00C104AE" w:rsidP="00714B4B">
            <w:pPr>
              <w:pStyle w:val="Bezmezer"/>
              <w:rPr>
                <w:rFonts w:asciiTheme="minorHAnsi" w:hAnsiTheme="minorHAnsi" w:cstheme="minorHAnsi"/>
              </w:rPr>
            </w:pPr>
            <w:r w:rsidRPr="008E4C4E">
              <w:rPr>
                <w:rFonts w:asciiTheme="minorHAnsi" w:hAnsiTheme="minorHAnsi" w:cstheme="minorHAnsi"/>
              </w:rPr>
              <w:t>Fixní náklady celkem</w:t>
            </w:r>
          </w:p>
        </w:tc>
        <w:tc>
          <w:tcPr>
            <w:tcW w:w="2268" w:type="dxa"/>
          </w:tcPr>
          <w:p w:rsidR="00C104AE" w:rsidRPr="00C104AE" w:rsidRDefault="00C104AE" w:rsidP="0001496A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C104AE">
              <w:rPr>
                <w:rFonts w:cstheme="minorHAnsi"/>
                <w:b/>
                <w:color w:val="FF0000"/>
              </w:rPr>
              <w:t>2 7</w:t>
            </w:r>
            <w:r w:rsidR="0001496A">
              <w:rPr>
                <w:rFonts w:cstheme="minorHAnsi"/>
                <w:b/>
                <w:color w:val="FF0000"/>
              </w:rPr>
              <w:t>97</w:t>
            </w:r>
            <w:r w:rsidRPr="00C104AE">
              <w:rPr>
                <w:rFonts w:cstheme="minorHAnsi"/>
                <w:b/>
                <w:color w:val="FF0000"/>
              </w:rPr>
              <w:t xml:space="preserve"> </w:t>
            </w:r>
            <w:r w:rsidR="0001496A">
              <w:rPr>
                <w:rFonts w:cstheme="minorHAnsi"/>
                <w:b/>
                <w:color w:val="FF0000"/>
              </w:rPr>
              <w:t>120</w:t>
            </w:r>
          </w:p>
        </w:tc>
      </w:tr>
    </w:tbl>
    <w:p w:rsidR="00620577" w:rsidRDefault="00620577" w:rsidP="00CA011A">
      <w:pPr>
        <w:pStyle w:val="Bezmezer"/>
        <w:jc w:val="both"/>
      </w:pPr>
    </w:p>
    <w:p w:rsidR="00EF68AA" w:rsidRDefault="00EF68AA" w:rsidP="00C104AE">
      <w:pPr>
        <w:pStyle w:val="Nadpis4"/>
      </w:pPr>
      <w:bookmarkStart w:id="5" w:name="_Toc261423674"/>
      <w:r>
        <w:t>Variabilní náklady</w:t>
      </w:r>
      <w:bookmarkEnd w:id="5"/>
    </w:p>
    <w:p w:rsidR="00EF68AA" w:rsidRDefault="00EF68AA" w:rsidP="00CC7E1E">
      <w:pPr>
        <w:pStyle w:val="Bezmezer"/>
        <w:jc w:val="both"/>
      </w:pPr>
    </w:p>
    <w:p w:rsidR="00C104AE" w:rsidRDefault="00CC7E1E" w:rsidP="00CA011A">
      <w:pPr>
        <w:pStyle w:val="Bezmezer"/>
        <w:spacing w:after="120"/>
        <w:jc w:val="both"/>
      </w:pPr>
      <w:r>
        <w:t>Variabilní náklady jsou náklady</w:t>
      </w:r>
      <w:r w:rsidR="00C104AE">
        <w:t xml:space="preserve"> závislé</w:t>
      </w:r>
      <w:r>
        <w:t xml:space="preserve"> na objemu předpokládané produkce</w:t>
      </w:r>
      <w:r w:rsidR="00CA011A">
        <w:t>, resp. objemu zpracovaného odpadu</w:t>
      </w:r>
      <w:r>
        <w:t xml:space="preserve">. Jsou kalkulovány především v souvislosti s vlastním provozem třídící linky. </w:t>
      </w:r>
    </w:p>
    <w:p w:rsidR="00C104AE" w:rsidRDefault="00CC7E1E" w:rsidP="00CA011A">
      <w:pPr>
        <w:pStyle w:val="Bezmezer"/>
        <w:spacing w:after="120"/>
        <w:jc w:val="both"/>
      </w:pPr>
      <w:r>
        <w:t>Mezi položky variabilních nákladů spadají</w:t>
      </w:r>
      <w:r w:rsidR="00C104AE">
        <w:t>:</w:t>
      </w:r>
      <w:r>
        <w:t xml:space="preserve"> </w:t>
      </w:r>
    </w:p>
    <w:p w:rsidR="00C104AE" w:rsidRDefault="00CC7E1E" w:rsidP="00C104AE">
      <w:pPr>
        <w:pStyle w:val="Bezmezer"/>
        <w:numPr>
          <w:ilvl w:val="0"/>
          <w:numId w:val="32"/>
        </w:numPr>
        <w:spacing w:after="120"/>
        <w:jc w:val="both"/>
      </w:pPr>
      <w:r>
        <w:t xml:space="preserve">náklady na </w:t>
      </w:r>
      <w:r w:rsidR="00BE5153">
        <w:t xml:space="preserve">spotřebu </w:t>
      </w:r>
      <w:r>
        <w:t xml:space="preserve">energie, </w:t>
      </w:r>
    </w:p>
    <w:p w:rsidR="00C104AE" w:rsidRDefault="00CC7E1E" w:rsidP="00C104AE">
      <w:pPr>
        <w:pStyle w:val="Bezmezer"/>
        <w:numPr>
          <w:ilvl w:val="0"/>
          <w:numId w:val="32"/>
        </w:numPr>
        <w:spacing w:after="120"/>
        <w:jc w:val="both"/>
      </w:pPr>
      <w:r>
        <w:t>náklady na</w:t>
      </w:r>
      <w:r w:rsidR="00BE5153">
        <w:t xml:space="preserve"> nákup</w:t>
      </w:r>
      <w:r>
        <w:t xml:space="preserve"> materiál</w:t>
      </w:r>
      <w:r w:rsidR="00BE5153">
        <w:t>u</w:t>
      </w:r>
      <w:r w:rsidR="00CA011A">
        <w:t xml:space="preserve"> a </w:t>
      </w:r>
    </w:p>
    <w:p w:rsidR="00C104AE" w:rsidRDefault="00CC7E1E" w:rsidP="00C104AE">
      <w:pPr>
        <w:pStyle w:val="Bezmezer"/>
        <w:numPr>
          <w:ilvl w:val="0"/>
          <w:numId w:val="32"/>
        </w:numPr>
        <w:spacing w:after="120"/>
        <w:jc w:val="both"/>
      </w:pPr>
      <w:r>
        <w:t xml:space="preserve">náklady na dopravu a manipulaci s odpady. </w:t>
      </w:r>
    </w:p>
    <w:p w:rsidR="00CC7E1E" w:rsidRDefault="00CC7E1E" w:rsidP="00C104AE">
      <w:pPr>
        <w:pStyle w:val="Bezmezer"/>
        <w:spacing w:after="120"/>
        <w:jc w:val="both"/>
      </w:pPr>
      <w:r>
        <w:t>Nákladové položky variabilních nákladů jsou kalkulovány v závislosti na</w:t>
      </w:r>
      <w:r w:rsidR="00BE5153">
        <w:t xml:space="preserve"> odhado</w:t>
      </w:r>
      <w:r w:rsidR="00375645">
        <w:t>vaném objemu zpracovaného odpadu</w:t>
      </w:r>
      <w:r w:rsidR="00BE5153">
        <w:t xml:space="preserve">, konkrétně 2 120 t </w:t>
      </w:r>
      <w:r w:rsidR="00054263">
        <w:t>z</w:t>
      </w:r>
      <w:r w:rsidR="00CA011A">
        <w:t>a</w:t>
      </w:r>
      <w:r w:rsidR="00BE5153">
        <w:t xml:space="preserve"> rok.</w:t>
      </w:r>
    </w:p>
    <w:p w:rsidR="00714B4B" w:rsidRDefault="00E334E2" w:rsidP="0083238B">
      <w:pPr>
        <w:pStyle w:val="Bezmezer"/>
        <w:spacing w:after="120"/>
        <w:jc w:val="both"/>
        <w:rPr>
          <w:rFonts w:cstheme="minorHAnsi"/>
        </w:rPr>
      </w:pPr>
      <w:r w:rsidRPr="00714B4B">
        <w:rPr>
          <w:rFonts w:cstheme="minorHAnsi"/>
          <w:b/>
        </w:rPr>
        <w:t xml:space="preserve">Náklady na </w:t>
      </w:r>
      <w:r w:rsidR="00C104AE" w:rsidRPr="00714B4B">
        <w:rPr>
          <w:rFonts w:cstheme="minorHAnsi"/>
          <w:b/>
        </w:rPr>
        <w:t xml:space="preserve">spotřebu </w:t>
      </w:r>
      <w:r w:rsidRPr="00714B4B">
        <w:rPr>
          <w:rFonts w:cstheme="minorHAnsi"/>
          <w:b/>
        </w:rPr>
        <w:t>energie</w:t>
      </w:r>
      <w:r>
        <w:rPr>
          <w:rFonts w:cstheme="minorHAnsi"/>
        </w:rPr>
        <w:t xml:space="preserve"> </w:t>
      </w:r>
      <w:r w:rsidR="002B3228">
        <w:rPr>
          <w:rFonts w:cstheme="minorHAnsi"/>
        </w:rPr>
        <w:t>jsou kalkulovány ve vztahu k energetické spotřebě třídící linky</w:t>
      </w:r>
      <w:r w:rsidR="009B79F1">
        <w:rPr>
          <w:rFonts w:cstheme="minorHAnsi"/>
        </w:rPr>
        <w:t xml:space="preserve"> a lisu</w:t>
      </w:r>
      <w:r w:rsidR="002B3228">
        <w:rPr>
          <w:rFonts w:cstheme="minorHAnsi"/>
        </w:rPr>
        <w:t> a v souvislosti s aktuálními ceníky elektrických energií</w:t>
      </w:r>
      <w:r w:rsidR="0084393D">
        <w:rPr>
          <w:rFonts w:cstheme="minorHAnsi"/>
        </w:rPr>
        <w:t xml:space="preserve"> (sazba 5</w:t>
      </w:r>
      <w:r w:rsidR="00F97BF2">
        <w:rPr>
          <w:rFonts w:cstheme="minorHAnsi"/>
        </w:rPr>
        <w:t>,00</w:t>
      </w:r>
      <w:r w:rsidR="0084393D">
        <w:rPr>
          <w:rFonts w:cstheme="minorHAnsi"/>
        </w:rPr>
        <w:t xml:space="preserve"> Kč/KWh</w:t>
      </w:r>
      <w:r w:rsidR="00F97BF2">
        <w:rPr>
          <w:rFonts w:cstheme="minorHAnsi"/>
        </w:rPr>
        <w:t xml:space="preserve"> bez DPH</w:t>
      </w:r>
      <w:r w:rsidR="0084393D">
        <w:rPr>
          <w:rFonts w:cstheme="minorHAnsi"/>
        </w:rPr>
        <w:t>).</w:t>
      </w:r>
      <w:r w:rsidR="00463D2C">
        <w:rPr>
          <w:rFonts w:cstheme="minorHAnsi"/>
        </w:rPr>
        <w:t xml:space="preserve"> </w:t>
      </w:r>
      <w:r w:rsidR="00714B4B">
        <w:rPr>
          <w:rFonts w:cstheme="minorHAnsi"/>
        </w:rPr>
        <w:t xml:space="preserve"> </w:t>
      </w:r>
    </w:p>
    <w:p w:rsidR="00463D2C" w:rsidRDefault="00714B4B" w:rsidP="0083238B">
      <w:pPr>
        <w:pStyle w:val="Bezmezer"/>
        <w:spacing w:after="120"/>
        <w:jc w:val="both"/>
      </w:pPr>
      <w:r>
        <w:lastRenderedPageBreak/>
        <w:t xml:space="preserve">Příkon třídící linky je 30kW, využití 90%, výkon lis je 1t/h a příkon lisu 70kW, využití 30%, průměrné náklady na ostatní u elektřiny (osvětlení, budovy aj.) je 5,2 MWh ročně. </w:t>
      </w:r>
    </w:p>
    <w:p w:rsidR="00714B4B" w:rsidRPr="00714B4B" w:rsidRDefault="00714B4B" w:rsidP="00714B4B">
      <w:pPr>
        <w:pStyle w:val="Bezmezer"/>
        <w:spacing w:after="120"/>
        <w:jc w:val="both"/>
        <w:rPr>
          <w:color w:val="FF0000"/>
        </w:rPr>
      </w:pPr>
      <w:r w:rsidRPr="00714B4B">
        <w:rPr>
          <w:color w:val="FF0000"/>
        </w:rPr>
        <w:t>Výpočet je: Celkové náklady na energie: ((30 x 0,9 x 5) + (70 x 0,3 x 5)) x 2 120 + (5 200 x 5)</w:t>
      </w:r>
    </w:p>
    <w:p w:rsidR="00E334E2" w:rsidRDefault="00F97BF2" w:rsidP="0083238B">
      <w:pPr>
        <w:pStyle w:val="Bezmezer"/>
        <w:spacing w:after="120"/>
        <w:jc w:val="both"/>
        <w:rPr>
          <w:rFonts w:cstheme="minorHAnsi"/>
        </w:rPr>
      </w:pPr>
      <w:r w:rsidRPr="00714B4B">
        <w:rPr>
          <w:rFonts w:cstheme="minorHAnsi"/>
          <w:b/>
        </w:rPr>
        <w:t>Náklady na materiál</w:t>
      </w:r>
      <w:r>
        <w:rPr>
          <w:rFonts w:cstheme="minorHAnsi"/>
        </w:rPr>
        <w:t xml:space="preserve"> zahrnuj</w:t>
      </w:r>
      <w:r w:rsidR="006F26F9">
        <w:rPr>
          <w:rFonts w:cstheme="minorHAnsi"/>
        </w:rPr>
        <w:t>í náklady na nákup vázacího drát</w:t>
      </w:r>
      <w:r>
        <w:rPr>
          <w:rFonts w:cstheme="minorHAnsi"/>
        </w:rPr>
        <w:t xml:space="preserve">u. Předpokládaná spotřeba tohoto drátu činí 2,5 kg na tunu zpracovaného odpadu. Cena drátu je stanovena v souladu </w:t>
      </w:r>
      <w:r w:rsidR="00096E3D">
        <w:rPr>
          <w:rFonts w:cstheme="minorHAnsi"/>
        </w:rPr>
        <w:t xml:space="preserve">s </w:t>
      </w:r>
      <w:r>
        <w:rPr>
          <w:rFonts w:cstheme="minorHAnsi"/>
        </w:rPr>
        <w:t xml:space="preserve">aktuálními ceníky a činí 18 Kč/kg bez DPH. </w:t>
      </w:r>
    </w:p>
    <w:p w:rsidR="00714B4B" w:rsidRDefault="00E334E2" w:rsidP="00714B4B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N</w:t>
      </w:r>
      <w:r w:rsidR="0083238B">
        <w:rPr>
          <w:rFonts w:cstheme="minorHAnsi"/>
        </w:rPr>
        <w:t>áklady na dopravu a manipulaci zahrnují náklady na provoz nakladače a vysokozdvižného vozíku a</w:t>
      </w:r>
      <w:r w:rsidR="00653498">
        <w:rPr>
          <w:rFonts w:cstheme="minorHAnsi"/>
        </w:rPr>
        <w:t> </w:t>
      </w:r>
      <w:r w:rsidR="0083238B">
        <w:rPr>
          <w:rFonts w:cstheme="minorHAnsi"/>
        </w:rPr>
        <w:t>také náklady na provoz nákladního automobilu.</w:t>
      </w:r>
      <w:r w:rsidR="00653498">
        <w:rPr>
          <w:rFonts w:cstheme="minorHAnsi"/>
        </w:rPr>
        <w:t xml:space="preserve"> Pohonnou hmotou nakladače, vysokozdvižného vozíku i nákladního automobilu je motorová nafta, jejíž průměrná cena je stanovena </w:t>
      </w:r>
      <w:r w:rsidR="00653498" w:rsidRPr="00653498">
        <w:rPr>
          <w:rFonts w:cstheme="minorHAnsi"/>
        </w:rPr>
        <w:t>vyhlášk</w:t>
      </w:r>
      <w:r w:rsidR="00653498">
        <w:rPr>
          <w:rFonts w:cstheme="minorHAnsi"/>
        </w:rPr>
        <w:t>o</w:t>
      </w:r>
      <w:r w:rsidR="00653498" w:rsidRPr="00653498">
        <w:rPr>
          <w:rFonts w:cstheme="minorHAnsi"/>
        </w:rPr>
        <w:t>u M</w:t>
      </w:r>
      <w:r w:rsidR="00653498">
        <w:rPr>
          <w:rFonts w:cstheme="minorHAnsi"/>
        </w:rPr>
        <w:t>inisterstva práce a sociálních věcí</w:t>
      </w:r>
      <w:r w:rsidR="00653498" w:rsidRPr="00653498">
        <w:rPr>
          <w:rFonts w:cstheme="minorHAnsi"/>
        </w:rPr>
        <w:t xml:space="preserve"> č. 462/2009 Sb., kterou se pro účely poskytování cestovních náhrad mění sazba základní náhrady za používání silničních motorových vozidel a stravné a stano</w:t>
      </w:r>
      <w:r w:rsidR="00653498">
        <w:rPr>
          <w:rFonts w:cstheme="minorHAnsi"/>
        </w:rPr>
        <w:t xml:space="preserve">ví průměrná cena pohonných hmot. Průměrná cena motorové nafty </w:t>
      </w:r>
      <w:r w:rsidR="00CF5590">
        <w:rPr>
          <w:rFonts w:cstheme="minorHAnsi"/>
        </w:rPr>
        <w:t xml:space="preserve">tedy </w:t>
      </w:r>
      <w:r w:rsidR="00653498">
        <w:rPr>
          <w:rFonts w:cstheme="minorHAnsi"/>
        </w:rPr>
        <w:t>činí 27,20 Kč.</w:t>
      </w:r>
      <w:r w:rsidR="00714B4B">
        <w:rPr>
          <w:rFonts w:cstheme="minorHAnsi"/>
        </w:rPr>
        <w:t xml:space="preserve"> </w:t>
      </w:r>
    </w:p>
    <w:p w:rsidR="00714B4B" w:rsidRPr="00714B4B" w:rsidRDefault="00714B4B" w:rsidP="00714B4B">
      <w:pPr>
        <w:pStyle w:val="Bezmezer"/>
        <w:spacing w:after="120"/>
        <w:jc w:val="both"/>
        <w:rPr>
          <w:rFonts w:cstheme="minorHAnsi"/>
        </w:rPr>
      </w:pPr>
      <w:r>
        <w:t xml:space="preserve">Nakladač: </w:t>
      </w:r>
      <w:r w:rsidRPr="00714B4B">
        <w:rPr>
          <w:rFonts w:cstheme="minorHAnsi"/>
        </w:rPr>
        <w:t>spotřeba paliva 2,5 l/h, využití 705h a náklady na údržbu 60 000 Kč/rok.</w:t>
      </w:r>
    </w:p>
    <w:p w:rsidR="00714B4B" w:rsidRDefault="00714B4B" w:rsidP="00714B4B">
      <w:pPr>
        <w:pStyle w:val="Bezmezer"/>
        <w:spacing w:after="120"/>
        <w:jc w:val="both"/>
        <w:rPr>
          <w:rFonts w:cstheme="minorHAnsi"/>
        </w:rPr>
      </w:pPr>
      <w:r w:rsidRPr="00714B4B">
        <w:rPr>
          <w:rFonts w:cstheme="minorHAnsi"/>
        </w:rPr>
        <w:t>Vysokozdvižný vozík: spotřeba paliva 2 l/h, využití 661 h a náklady na údržbu 50 000 Kč/rok.</w:t>
      </w:r>
      <w:r>
        <w:rPr>
          <w:rFonts w:cstheme="minorHAnsi"/>
        </w:rPr>
        <w:t xml:space="preserve"> </w:t>
      </w:r>
      <w:r w:rsidRPr="00714B4B">
        <w:rPr>
          <w:rFonts w:cstheme="minorHAnsi"/>
        </w:rPr>
        <w:t xml:space="preserve">   </w:t>
      </w:r>
    </w:p>
    <w:p w:rsidR="00714B4B" w:rsidRPr="00714B4B" w:rsidRDefault="00714B4B" w:rsidP="00714B4B">
      <w:pPr>
        <w:pStyle w:val="Bezmezer"/>
        <w:spacing w:after="120"/>
        <w:jc w:val="both"/>
        <w:rPr>
          <w:rFonts w:cstheme="minorHAnsi"/>
        </w:rPr>
      </w:pPr>
      <w:r w:rsidRPr="00714B4B">
        <w:rPr>
          <w:rFonts w:cstheme="minorHAnsi"/>
        </w:rPr>
        <w:t>Nákladní automobil (Tatra 815 S1 6x6): potřeba 10 000 km.</w:t>
      </w:r>
    </w:p>
    <w:p w:rsidR="00714B4B" w:rsidRPr="00714B4B" w:rsidRDefault="00714B4B" w:rsidP="008C0E98">
      <w:pPr>
        <w:pStyle w:val="Bezmezer"/>
        <w:spacing w:after="120"/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Výpočet: </w:t>
      </w:r>
      <w:r w:rsidRPr="00714B4B">
        <w:rPr>
          <w:rFonts w:cstheme="minorHAnsi"/>
        </w:rPr>
        <w:t>(705 x 2,5 x 27,2 + 60 000) + (661 x 2 x 27,2 + 50 000) + (100 x 32,5 x 27,2) = 107 940 + 85 958,40 + 88</w:t>
      </w:r>
      <w:r w:rsidR="008C0E98">
        <w:rPr>
          <w:rFonts w:cstheme="minorHAnsi"/>
        </w:rPr>
        <w:t> </w:t>
      </w:r>
      <w:r w:rsidRPr="00714B4B">
        <w:rPr>
          <w:rFonts w:cstheme="minorHAnsi"/>
        </w:rPr>
        <w:t>400</w:t>
      </w:r>
      <w:r w:rsidR="008C0E98">
        <w:rPr>
          <w:rFonts w:cstheme="minorHAnsi"/>
        </w:rPr>
        <w:t xml:space="preserve"> </w:t>
      </w:r>
      <w:r w:rsidR="008C0E98">
        <w:rPr>
          <w:rFonts w:cstheme="minorHAnsi"/>
          <w:color w:val="FF0000"/>
        </w:rPr>
        <w:t>(</w:t>
      </w:r>
      <w:r w:rsidRPr="00714B4B">
        <w:rPr>
          <w:rFonts w:cstheme="minorHAnsi"/>
          <w:color w:val="FF0000"/>
        </w:rPr>
        <w:t>vzorec svozové společnosti SITA</w:t>
      </w:r>
      <w:r w:rsidR="008C0E98">
        <w:rPr>
          <w:rFonts w:cstheme="minorHAnsi"/>
          <w:color w:val="FF0000"/>
        </w:rPr>
        <w:t>)</w:t>
      </w:r>
    </w:p>
    <w:p w:rsidR="00612844" w:rsidRDefault="00612844" w:rsidP="00612844">
      <w:pPr>
        <w:pStyle w:val="Bezmezer"/>
        <w:jc w:val="both"/>
        <w:rPr>
          <w:rFonts w:cstheme="minorHAnsi"/>
        </w:rPr>
      </w:pPr>
    </w:p>
    <w:p w:rsidR="00C104AE" w:rsidRDefault="00C104AE" w:rsidP="00C104AE">
      <w:pPr>
        <w:pStyle w:val="Bezmezer"/>
      </w:pPr>
      <w:r>
        <w:t>Tabulka uvedena níže zachycuje celkové roční variabilní náklady.</w:t>
      </w:r>
      <w:r w:rsidR="00714B4B">
        <w:t xml:space="preserve"> </w:t>
      </w:r>
      <w:r w:rsidR="00714B4B" w:rsidRPr="00714B4B">
        <w:rPr>
          <w:color w:val="FF0000"/>
        </w:rPr>
        <w:t>Zde studenti doplní sumu nákladů.</w:t>
      </w:r>
    </w:p>
    <w:p w:rsidR="00C104AE" w:rsidRDefault="00C104AE" w:rsidP="00C104AE">
      <w:pPr>
        <w:pStyle w:val="Bezmezer"/>
      </w:pPr>
    </w:p>
    <w:p w:rsidR="00C104AE" w:rsidRDefault="00C104AE" w:rsidP="00C104AE">
      <w:pPr>
        <w:pStyle w:val="Bezmezer"/>
        <w:rPr>
          <w:rFonts w:cstheme="minorHAnsi"/>
        </w:rPr>
      </w:pPr>
      <w:r w:rsidRPr="000368E0">
        <w:rPr>
          <w:b/>
          <w:i/>
        </w:rPr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6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Variabilní náklady projektu</w:t>
      </w:r>
    </w:p>
    <w:tbl>
      <w:tblPr>
        <w:tblStyle w:val="Svtlmkazvraznn11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268"/>
      </w:tblGrid>
      <w:tr w:rsidR="00C104AE" w:rsidRPr="008E4C4E" w:rsidTr="0071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C104AE" w:rsidRPr="008E4C4E" w:rsidRDefault="00C104AE" w:rsidP="00714B4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E4C4E">
              <w:rPr>
                <w:rFonts w:asciiTheme="minorHAnsi" w:hAnsiTheme="minorHAnsi" w:cstheme="minorHAnsi"/>
              </w:rPr>
              <w:t>Položka</w:t>
            </w:r>
          </w:p>
        </w:tc>
        <w:tc>
          <w:tcPr>
            <w:tcW w:w="2268" w:type="dxa"/>
            <w:vAlign w:val="center"/>
          </w:tcPr>
          <w:p w:rsidR="00C104AE" w:rsidRPr="008E4C4E" w:rsidRDefault="00C104AE" w:rsidP="00714B4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Náklady celkem</w:t>
            </w:r>
          </w:p>
          <w:p w:rsidR="00C104AE" w:rsidRPr="008E4C4E" w:rsidRDefault="00C104AE" w:rsidP="00714B4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[</w:t>
            </w:r>
            <w:proofErr w:type="spellStart"/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bCs w:val="0"/>
                <w:lang w:val="en-US"/>
              </w:rPr>
              <w:t xml:space="preserve"> </w:t>
            </w:r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/</w:t>
            </w:r>
            <w:r>
              <w:rPr>
                <w:rFonts w:ascii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  <w:lang w:val="en-US"/>
              </w:rPr>
              <w:t>rok</w:t>
            </w:r>
            <w:proofErr w:type="spellEnd"/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]</w:t>
            </w:r>
          </w:p>
        </w:tc>
      </w:tr>
      <w:tr w:rsidR="00714B4B" w:rsidRPr="008E4C4E" w:rsidTr="0071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714B4B" w:rsidRPr="008E4C4E" w:rsidRDefault="00714B4B" w:rsidP="00714B4B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8E4C4E">
              <w:rPr>
                <w:rFonts w:asciiTheme="minorHAnsi" w:hAnsiTheme="minorHAnsi" w:cstheme="minorHAnsi"/>
                <w:b w:val="0"/>
              </w:rPr>
              <w:t>Náklady na energie</w:t>
            </w:r>
          </w:p>
        </w:tc>
        <w:tc>
          <w:tcPr>
            <w:tcW w:w="2268" w:type="dxa"/>
          </w:tcPr>
          <w:p w:rsidR="00714B4B" w:rsidRPr="00714B4B" w:rsidRDefault="00714B4B" w:rsidP="00714B4B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534 800</w:t>
            </w:r>
          </w:p>
        </w:tc>
      </w:tr>
      <w:tr w:rsidR="00714B4B" w:rsidRPr="008E4C4E" w:rsidTr="00714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714B4B" w:rsidRPr="008E4C4E" w:rsidRDefault="00714B4B" w:rsidP="00714B4B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8E4C4E">
              <w:rPr>
                <w:rFonts w:asciiTheme="minorHAnsi" w:hAnsiTheme="minorHAnsi" w:cstheme="minorHAnsi"/>
                <w:b w:val="0"/>
              </w:rPr>
              <w:t>Náklady na materiál</w:t>
            </w:r>
          </w:p>
        </w:tc>
        <w:tc>
          <w:tcPr>
            <w:tcW w:w="2268" w:type="dxa"/>
          </w:tcPr>
          <w:p w:rsidR="00714B4B" w:rsidRPr="00714B4B" w:rsidRDefault="00714B4B" w:rsidP="00714B4B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95 400</w:t>
            </w:r>
          </w:p>
        </w:tc>
      </w:tr>
      <w:tr w:rsidR="00714B4B" w:rsidRPr="008E4C4E" w:rsidTr="0071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714B4B" w:rsidRPr="008E4C4E" w:rsidRDefault="00714B4B" w:rsidP="00714B4B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8E4C4E">
              <w:rPr>
                <w:rFonts w:asciiTheme="minorHAnsi" w:hAnsiTheme="minorHAnsi" w:cstheme="minorHAnsi"/>
                <w:b w:val="0"/>
              </w:rPr>
              <w:t>Náklady na dopravu a manipulaci</w:t>
            </w:r>
          </w:p>
        </w:tc>
        <w:tc>
          <w:tcPr>
            <w:tcW w:w="2268" w:type="dxa"/>
          </w:tcPr>
          <w:p w:rsidR="00714B4B" w:rsidRPr="00714B4B" w:rsidRDefault="00714B4B" w:rsidP="00714B4B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282 298</w:t>
            </w:r>
          </w:p>
        </w:tc>
      </w:tr>
      <w:tr w:rsidR="00714B4B" w:rsidRPr="008E4C4E" w:rsidTr="00714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714B4B" w:rsidRPr="008E4C4E" w:rsidRDefault="00714B4B" w:rsidP="00714B4B">
            <w:pPr>
              <w:pStyle w:val="Bezmezer"/>
              <w:rPr>
                <w:rFonts w:cstheme="minorHAnsi"/>
                <w:b w:val="0"/>
              </w:rPr>
            </w:pPr>
          </w:p>
        </w:tc>
        <w:tc>
          <w:tcPr>
            <w:tcW w:w="2268" w:type="dxa"/>
          </w:tcPr>
          <w:p w:rsidR="00714B4B" w:rsidRPr="00714B4B" w:rsidRDefault="00714B4B" w:rsidP="00714B4B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714B4B" w:rsidRPr="008E4C4E" w:rsidTr="00714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714B4B" w:rsidRPr="008E4C4E" w:rsidRDefault="00714B4B" w:rsidP="00714B4B">
            <w:pPr>
              <w:pStyle w:val="Bezmezer"/>
              <w:rPr>
                <w:rFonts w:asciiTheme="minorHAnsi" w:hAnsiTheme="minorHAnsi" w:cstheme="minorHAnsi"/>
              </w:rPr>
            </w:pPr>
            <w:r w:rsidRPr="008E4C4E">
              <w:rPr>
                <w:rFonts w:asciiTheme="minorHAnsi" w:hAnsiTheme="minorHAnsi" w:cstheme="minorHAnsi"/>
              </w:rPr>
              <w:t>Variabilní náklady celkem</w:t>
            </w:r>
          </w:p>
        </w:tc>
        <w:tc>
          <w:tcPr>
            <w:tcW w:w="2268" w:type="dxa"/>
          </w:tcPr>
          <w:p w:rsidR="00714B4B" w:rsidRPr="00714B4B" w:rsidRDefault="00714B4B" w:rsidP="00714B4B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714B4B">
              <w:rPr>
                <w:rFonts w:cstheme="minorHAnsi"/>
                <w:b/>
                <w:color w:val="FF0000"/>
              </w:rPr>
              <w:t>912 498</w:t>
            </w:r>
          </w:p>
        </w:tc>
      </w:tr>
    </w:tbl>
    <w:p w:rsidR="00C104AE" w:rsidRDefault="00C104AE" w:rsidP="00612844">
      <w:pPr>
        <w:pStyle w:val="Bezmezer"/>
        <w:jc w:val="both"/>
        <w:rPr>
          <w:rFonts w:cstheme="minorHAnsi"/>
        </w:rPr>
      </w:pPr>
    </w:p>
    <w:p w:rsidR="006B46D3" w:rsidRDefault="006B46D3" w:rsidP="00612844">
      <w:pPr>
        <w:pStyle w:val="Bezmezer"/>
        <w:jc w:val="both"/>
        <w:rPr>
          <w:rFonts w:cstheme="minorHAnsi"/>
        </w:rPr>
      </w:pPr>
    </w:p>
    <w:p w:rsidR="006B46D3" w:rsidRPr="00653498" w:rsidRDefault="006B46D3" w:rsidP="006128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Celkové provozní náklady jsou pak součtem fixních a variabilních nákladů a jsou </w:t>
      </w:r>
      <w:r w:rsidRPr="006B46D3">
        <w:rPr>
          <w:rFonts w:cstheme="minorHAnsi"/>
          <w:b/>
          <w:color w:val="FF0000"/>
        </w:rPr>
        <w:t>3</w:t>
      </w:r>
      <w:r w:rsidR="0001496A">
        <w:rPr>
          <w:rFonts w:cstheme="minorHAnsi"/>
          <w:b/>
          <w:color w:val="FF0000"/>
        </w:rPr>
        <w:t> 709 618</w:t>
      </w:r>
      <w:r w:rsidRPr="006B46D3">
        <w:rPr>
          <w:rFonts w:cstheme="minorHAnsi"/>
          <w:b/>
          <w:color w:val="FF0000"/>
        </w:rPr>
        <w:t xml:space="preserve"> Kč ročně</w:t>
      </w:r>
      <w:r>
        <w:rPr>
          <w:rFonts w:cstheme="minorHAnsi"/>
          <w:b/>
          <w:color w:val="FF0000"/>
        </w:rPr>
        <w:t xml:space="preserve">. </w:t>
      </w:r>
    </w:p>
    <w:p w:rsidR="00E334E2" w:rsidRDefault="00E334E2" w:rsidP="00714B4B">
      <w:pPr>
        <w:pStyle w:val="Nadpis3"/>
      </w:pPr>
      <w:bookmarkStart w:id="6" w:name="_Toc261423675"/>
      <w:r>
        <w:t>Příjmy</w:t>
      </w:r>
      <w:bookmarkEnd w:id="6"/>
    </w:p>
    <w:p w:rsidR="00E334E2" w:rsidRDefault="00E334E2" w:rsidP="00E334E2">
      <w:pPr>
        <w:pStyle w:val="Bezmezer"/>
      </w:pPr>
    </w:p>
    <w:p w:rsidR="00714B4B" w:rsidRDefault="00717721" w:rsidP="008015BF">
      <w:pPr>
        <w:pStyle w:val="Bezmezer"/>
        <w:spacing w:after="120"/>
        <w:jc w:val="both"/>
      </w:pPr>
      <w:r>
        <w:t>Základními příjmy plynoucími z realizace projektu „Regionální odpadové centrum Znojmo“ jsou příjmy související s produkty z </w:t>
      </w:r>
      <w:proofErr w:type="spellStart"/>
      <w:r>
        <w:t>dotřiďovací</w:t>
      </w:r>
      <w:proofErr w:type="spellEnd"/>
      <w:r>
        <w:t xml:space="preserve"> linky na papír a plast. Jako hlavní výstupní kategorie jsou uvažovány zejména</w:t>
      </w:r>
      <w:r w:rsidR="00714B4B">
        <w:t>:</w:t>
      </w:r>
    </w:p>
    <w:p w:rsidR="00714B4B" w:rsidRDefault="00717721" w:rsidP="00714B4B">
      <w:pPr>
        <w:pStyle w:val="Bezmezer"/>
        <w:numPr>
          <w:ilvl w:val="0"/>
          <w:numId w:val="34"/>
        </w:numPr>
        <w:spacing w:after="120"/>
        <w:jc w:val="both"/>
      </w:pPr>
      <w:r>
        <w:t xml:space="preserve">PET láhve (bílé a barevné), </w:t>
      </w:r>
    </w:p>
    <w:p w:rsidR="00714B4B" w:rsidRDefault="00717721" w:rsidP="00714B4B">
      <w:pPr>
        <w:pStyle w:val="Bezmezer"/>
        <w:numPr>
          <w:ilvl w:val="0"/>
          <w:numId w:val="34"/>
        </w:numPr>
        <w:spacing w:after="120"/>
        <w:jc w:val="both"/>
      </w:pPr>
      <w:r>
        <w:t xml:space="preserve">PE fólie, </w:t>
      </w:r>
    </w:p>
    <w:p w:rsidR="00714B4B" w:rsidRDefault="00717721" w:rsidP="00714B4B">
      <w:pPr>
        <w:pStyle w:val="Bezmezer"/>
        <w:numPr>
          <w:ilvl w:val="0"/>
          <w:numId w:val="34"/>
        </w:numPr>
        <w:spacing w:after="120"/>
        <w:jc w:val="both"/>
      </w:pPr>
      <w:r>
        <w:t xml:space="preserve">karton a </w:t>
      </w:r>
    </w:p>
    <w:p w:rsidR="00714B4B" w:rsidRDefault="00717721" w:rsidP="00714B4B">
      <w:pPr>
        <w:pStyle w:val="Bezmezer"/>
        <w:numPr>
          <w:ilvl w:val="0"/>
          <w:numId w:val="34"/>
        </w:numPr>
        <w:spacing w:after="120"/>
        <w:jc w:val="both"/>
      </w:pPr>
      <w:r>
        <w:t xml:space="preserve">směsný papír. </w:t>
      </w:r>
    </w:p>
    <w:p w:rsidR="00CF5590" w:rsidRDefault="00717721" w:rsidP="00714B4B">
      <w:pPr>
        <w:pStyle w:val="Bezmezer"/>
        <w:spacing w:after="120"/>
        <w:jc w:val="both"/>
      </w:pPr>
      <w:r>
        <w:t>Kalkulace příjmů se odvíjí od předpokládaného objemu zpracovaného odpadu.</w:t>
      </w:r>
    </w:p>
    <w:p w:rsidR="00717721" w:rsidRDefault="00717721" w:rsidP="00717721">
      <w:pPr>
        <w:pStyle w:val="Bezmezer"/>
        <w:jc w:val="both"/>
      </w:pPr>
      <w:r>
        <w:t>Ceny jsou kalkulovány v závislosti na aktuálních</w:t>
      </w:r>
      <w:r w:rsidR="008015BF">
        <w:t xml:space="preserve"> cenících a jsou zachyceny v následující tabulce</w:t>
      </w:r>
      <w:r w:rsidR="00C6760C">
        <w:t xml:space="preserve"> spolu s kalkulací příjmů projektu</w:t>
      </w:r>
      <w:r w:rsidR="008015BF">
        <w:t>.</w:t>
      </w:r>
      <w:r w:rsidR="00B408D3">
        <w:t xml:space="preserve"> Zpracované množství činí 690 t/rok (PET), 30 t/rok (PE), 550 t/rok (karton), 750 t/rok (papír směsný) a 100 t/rok zbytková frakce </w:t>
      </w:r>
    </w:p>
    <w:p w:rsidR="00714B4B" w:rsidRDefault="00714B4B" w:rsidP="00717721">
      <w:pPr>
        <w:pStyle w:val="Bezmezer"/>
        <w:jc w:val="both"/>
      </w:pPr>
      <w:r w:rsidRPr="00714B4B">
        <w:rPr>
          <w:rFonts w:cstheme="minorHAnsi"/>
          <w:color w:val="FF0000"/>
        </w:rPr>
        <w:lastRenderedPageBreak/>
        <w:t>Zde studenti doplní z odstavce výše zpracované množství a celkový příjem.</w:t>
      </w:r>
    </w:p>
    <w:p w:rsidR="00714B4B" w:rsidRDefault="008015BF" w:rsidP="008015BF">
      <w:pPr>
        <w:pStyle w:val="Bezmezer"/>
        <w:rPr>
          <w:rFonts w:cstheme="minorHAnsi"/>
        </w:rPr>
      </w:pPr>
      <w:r w:rsidRPr="000368E0">
        <w:rPr>
          <w:b/>
          <w:i/>
        </w:rPr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7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Příjmy projektu</w:t>
      </w:r>
      <w:r w:rsidR="00714B4B">
        <w:rPr>
          <w:rFonts w:cstheme="minorHAnsi"/>
        </w:rPr>
        <w:t xml:space="preserve">. </w:t>
      </w:r>
    </w:p>
    <w:tbl>
      <w:tblPr>
        <w:tblStyle w:val="Svtlmkazvraznn11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835"/>
        <w:gridCol w:w="1542"/>
        <w:gridCol w:w="1542"/>
        <w:gridCol w:w="1542"/>
      </w:tblGrid>
      <w:tr w:rsidR="008015BF" w:rsidRPr="00A73B73" w:rsidTr="00801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vAlign w:val="center"/>
          </w:tcPr>
          <w:p w:rsidR="008015BF" w:rsidRPr="00A73B73" w:rsidRDefault="008015BF" w:rsidP="008015BF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73B73">
              <w:rPr>
                <w:rFonts w:asciiTheme="minorHAnsi" w:hAnsiTheme="minorHAnsi" w:cstheme="minorHAnsi"/>
              </w:rPr>
              <w:t>Položka</w:t>
            </w:r>
          </w:p>
        </w:tc>
        <w:tc>
          <w:tcPr>
            <w:tcW w:w="1542" w:type="dxa"/>
            <w:vAlign w:val="center"/>
          </w:tcPr>
          <w:p w:rsidR="008015BF" w:rsidRPr="00A73B73" w:rsidRDefault="008015BF" w:rsidP="008015BF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73B73">
              <w:rPr>
                <w:rFonts w:asciiTheme="minorHAnsi" w:hAnsiTheme="minorHAnsi" w:cstheme="minorHAnsi"/>
              </w:rPr>
              <w:t>Cena</w:t>
            </w:r>
          </w:p>
          <w:p w:rsidR="008015BF" w:rsidRPr="00A73B73" w:rsidRDefault="008015BF" w:rsidP="008015BF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73B73"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 w:rsidRPr="00A73B73"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/ </w:t>
            </w:r>
            <w:r w:rsidRPr="00A73B73">
              <w:rPr>
                <w:rFonts w:asciiTheme="minorHAnsi" w:hAnsiTheme="minorHAnsi" w:cstheme="minorHAnsi"/>
                <w:lang w:val="en-US"/>
              </w:rPr>
              <w:t>t]</w:t>
            </w:r>
          </w:p>
        </w:tc>
        <w:tc>
          <w:tcPr>
            <w:tcW w:w="1542" w:type="dxa"/>
            <w:vAlign w:val="center"/>
          </w:tcPr>
          <w:p w:rsidR="008015BF" w:rsidRDefault="008015BF" w:rsidP="008015BF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73B73">
              <w:rPr>
                <w:rFonts w:asciiTheme="minorHAnsi" w:hAnsiTheme="minorHAnsi" w:cstheme="minorHAnsi"/>
              </w:rPr>
              <w:t>Zpracované množství</w:t>
            </w:r>
          </w:p>
          <w:p w:rsidR="008015BF" w:rsidRPr="008015BF" w:rsidRDefault="008015BF" w:rsidP="008015BF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[t]</w:t>
            </w:r>
          </w:p>
        </w:tc>
        <w:tc>
          <w:tcPr>
            <w:tcW w:w="1542" w:type="dxa"/>
            <w:vAlign w:val="center"/>
          </w:tcPr>
          <w:p w:rsidR="008015BF" w:rsidRDefault="008015BF" w:rsidP="008015BF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73B73">
              <w:rPr>
                <w:rFonts w:asciiTheme="minorHAnsi" w:hAnsiTheme="minorHAnsi" w:cstheme="minorHAnsi"/>
              </w:rPr>
              <w:t>Příjem</w:t>
            </w:r>
          </w:p>
          <w:p w:rsidR="008015BF" w:rsidRPr="00F257DF" w:rsidRDefault="008015BF" w:rsidP="008015BF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  <w:tr w:rsidR="00714B4B" w:rsidRPr="00A73B73" w:rsidTr="0080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:rsidR="00714B4B" w:rsidRPr="00A73B73" w:rsidRDefault="00714B4B" w:rsidP="00C57AA3">
            <w:pPr>
              <w:pStyle w:val="Bezmezer"/>
              <w:rPr>
                <w:rFonts w:cstheme="minorHAnsi"/>
              </w:rPr>
            </w:pPr>
            <w:r w:rsidRPr="00A73B73">
              <w:rPr>
                <w:rFonts w:cstheme="minorHAnsi"/>
              </w:rPr>
              <w:t>PET láhve</w:t>
            </w:r>
          </w:p>
        </w:tc>
        <w:tc>
          <w:tcPr>
            <w:tcW w:w="1542" w:type="dxa"/>
          </w:tcPr>
          <w:p w:rsidR="00714B4B" w:rsidRPr="00A73B73" w:rsidRDefault="00714B4B" w:rsidP="00C57AA3">
            <w:pPr>
              <w:pStyle w:val="Bezmezer"/>
              <w:jc w:val="right"/>
              <w:rPr>
                <w:rFonts w:cstheme="minorHAnsi"/>
              </w:rPr>
            </w:pPr>
            <w:r w:rsidRPr="00A73B73">
              <w:rPr>
                <w:rFonts w:cstheme="minorHAnsi"/>
              </w:rPr>
              <w:t>5 000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690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3 450 000</w:t>
            </w:r>
          </w:p>
        </w:tc>
      </w:tr>
      <w:tr w:rsidR="00714B4B" w:rsidRPr="00A73B73" w:rsidTr="00801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835" w:type="dxa"/>
          </w:tcPr>
          <w:p w:rsidR="00714B4B" w:rsidRPr="00A73B73" w:rsidRDefault="00714B4B" w:rsidP="00C57AA3">
            <w:pPr>
              <w:pStyle w:val="Bezmezer"/>
              <w:rPr>
                <w:rFonts w:cstheme="minorHAnsi"/>
              </w:rPr>
            </w:pPr>
            <w:r w:rsidRPr="00A73B73">
              <w:rPr>
                <w:rFonts w:cstheme="minorHAnsi"/>
              </w:rPr>
              <w:t>PE fólie</w:t>
            </w:r>
          </w:p>
        </w:tc>
        <w:tc>
          <w:tcPr>
            <w:tcW w:w="1542" w:type="dxa"/>
          </w:tcPr>
          <w:p w:rsidR="00714B4B" w:rsidRPr="00A73B73" w:rsidRDefault="00714B4B" w:rsidP="00C57AA3">
            <w:pPr>
              <w:pStyle w:val="Bezmezer"/>
              <w:jc w:val="right"/>
              <w:rPr>
                <w:rFonts w:cstheme="minorHAnsi"/>
              </w:rPr>
            </w:pPr>
            <w:r w:rsidRPr="00A73B73">
              <w:rPr>
                <w:rFonts w:cstheme="minorHAnsi"/>
              </w:rPr>
              <w:t>3 000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30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90 000</w:t>
            </w:r>
          </w:p>
        </w:tc>
      </w:tr>
      <w:tr w:rsidR="00714B4B" w:rsidRPr="00A73B73" w:rsidTr="0080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:rsidR="00714B4B" w:rsidRPr="00A73B73" w:rsidRDefault="00714B4B" w:rsidP="00C57AA3">
            <w:pPr>
              <w:pStyle w:val="Bezmezer"/>
              <w:rPr>
                <w:rFonts w:cstheme="minorHAnsi"/>
              </w:rPr>
            </w:pPr>
            <w:r w:rsidRPr="00A73B73">
              <w:rPr>
                <w:rFonts w:cstheme="minorHAnsi"/>
              </w:rPr>
              <w:t>Karton</w:t>
            </w:r>
          </w:p>
        </w:tc>
        <w:tc>
          <w:tcPr>
            <w:tcW w:w="1542" w:type="dxa"/>
          </w:tcPr>
          <w:p w:rsidR="00714B4B" w:rsidRPr="00A73B73" w:rsidRDefault="00714B4B" w:rsidP="00C57AA3">
            <w:pPr>
              <w:pStyle w:val="Bezmezer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1800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550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990 000</w:t>
            </w:r>
          </w:p>
        </w:tc>
      </w:tr>
      <w:tr w:rsidR="00714B4B" w:rsidRPr="00A73B73" w:rsidTr="00801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835" w:type="dxa"/>
          </w:tcPr>
          <w:p w:rsidR="00714B4B" w:rsidRPr="00A73B73" w:rsidRDefault="00714B4B" w:rsidP="00C57AA3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73B73">
              <w:rPr>
                <w:rFonts w:cstheme="minorHAnsi"/>
              </w:rPr>
              <w:t>apír směsný</w:t>
            </w:r>
          </w:p>
        </w:tc>
        <w:tc>
          <w:tcPr>
            <w:tcW w:w="1542" w:type="dxa"/>
          </w:tcPr>
          <w:p w:rsidR="00714B4B" w:rsidRPr="00A73B73" w:rsidRDefault="00714B4B" w:rsidP="00C57AA3">
            <w:pPr>
              <w:pStyle w:val="Bezmezer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750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600 000</w:t>
            </w:r>
          </w:p>
        </w:tc>
      </w:tr>
      <w:tr w:rsidR="00714B4B" w:rsidRPr="00A73B73" w:rsidTr="0080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:rsidR="00714B4B" w:rsidRPr="00A73B73" w:rsidRDefault="00714B4B" w:rsidP="00C57AA3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A73B73">
              <w:rPr>
                <w:rFonts w:cstheme="minorHAnsi"/>
              </w:rPr>
              <w:t xml:space="preserve">bytková frakce </w:t>
            </w:r>
          </w:p>
        </w:tc>
        <w:tc>
          <w:tcPr>
            <w:tcW w:w="1542" w:type="dxa"/>
          </w:tcPr>
          <w:p w:rsidR="00714B4B" w:rsidRPr="00A73B73" w:rsidRDefault="00714B4B" w:rsidP="00C57AA3">
            <w:pPr>
              <w:pStyle w:val="Bezmezer"/>
              <w:jc w:val="right"/>
              <w:rPr>
                <w:rFonts w:cstheme="minorHAnsi"/>
              </w:rPr>
            </w:pPr>
            <w:r w:rsidRPr="00A73B73">
              <w:rPr>
                <w:rFonts w:cstheme="minorHAnsi"/>
              </w:rPr>
              <w:t>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100</w:t>
            </w: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color w:val="FF0000"/>
              </w:rPr>
              <w:t>0</w:t>
            </w:r>
          </w:p>
        </w:tc>
      </w:tr>
      <w:tr w:rsidR="00714B4B" w:rsidRPr="00A73B73" w:rsidTr="00801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835" w:type="dxa"/>
          </w:tcPr>
          <w:p w:rsidR="00714B4B" w:rsidRPr="00A73B73" w:rsidRDefault="00714B4B" w:rsidP="00C57AA3">
            <w:pPr>
              <w:pStyle w:val="Bezmezer"/>
              <w:rPr>
                <w:rFonts w:cstheme="minorHAnsi"/>
              </w:rPr>
            </w:pPr>
          </w:p>
        </w:tc>
        <w:tc>
          <w:tcPr>
            <w:tcW w:w="1542" w:type="dxa"/>
          </w:tcPr>
          <w:p w:rsidR="00714B4B" w:rsidRPr="00A73B73" w:rsidRDefault="00714B4B" w:rsidP="00C57AA3">
            <w:pPr>
              <w:pStyle w:val="Bezmezer"/>
              <w:jc w:val="right"/>
              <w:rPr>
                <w:rFonts w:cstheme="minorHAnsi"/>
              </w:rPr>
            </w:pP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</w:p>
        </w:tc>
      </w:tr>
      <w:tr w:rsidR="00714B4B" w:rsidRPr="00A73B73" w:rsidTr="00801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835" w:type="dxa"/>
          </w:tcPr>
          <w:p w:rsidR="00714B4B" w:rsidRPr="00A73B73" w:rsidRDefault="00714B4B" w:rsidP="00C57AA3">
            <w:pPr>
              <w:pStyle w:val="Bezmezer"/>
              <w:rPr>
                <w:rFonts w:cstheme="minorHAnsi"/>
                <w:b/>
              </w:rPr>
            </w:pPr>
            <w:r w:rsidRPr="00A73B73">
              <w:rPr>
                <w:rFonts w:cstheme="minorHAnsi"/>
                <w:b/>
              </w:rPr>
              <w:t>Příjmy celkem</w:t>
            </w:r>
          </w:p>
        </w:tc>
        <w:tc>
          <w:tcPr>
            <w:tcW w:w="1542" w:type="dxa"/>
          </w:tcPr>
          <w:p w:rsidR="00714B4B" w:rsidRPr="00A73B73" w:rsidRDefault="00714B4B" w:rsidP="00C57AA3">
            <w:pPr>
              <w:pStyle w:val="Bezmezer"/>
              <w:jc w:val="right"/>
              <w:rPr>
                <w:rFonts w:cstheme="minorHAnsi"/>
              </w:rPr>
            </w:pP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1542" w:type="dxa"/>
          </w:tcPr>
          <w:p w:rsidR="00714B4B" w:rsidRPr="00714B4B" w:rsidRDefault="00714B4B" w:rsidP="00714B4B">
            <w:pPr>
              <w:pStyle w:val="Bezmezer"/>
              <w:jc w:val="right"/>
              <w:rPr>
                <w:rFonts w:cstheme="minorHAnsi"/>
                <w:color w:val="FF0000"/>
              </w:rPr>
            </w:pPr>
            <w:r w:rsidRPr="00714B4B">
              <w:rPr>
                <w:rFonts w:cstheme="minorHAnsi"/>
                <w:b/>
                <w:color w:val="FF0000"/>
              </w:rPr>
              <w:t>5 130 00</w:t>
            </w:r>
            <w:r w:rsidRPr="00714B4B">
              <w:rPr>
                <w:rFonts w:cstheme="minorHAnsi"/>
                <w:color w:val="FF0000"/>
              </w:rPr>
              <w:t>0</w:t>
            </w:r>
          </w:p>
        </w:tc>
      </w:tr>
    </w:tbl>
    <w:p w:rsidR="000F78AC" w:rsidRDefault="000F78AC" w:rsidP="00C6760C">
      <w:pPr>
        <w:pStyle w:val="Bezmezer"/>
        <w:jc w:val="both"/>
      </w:pPr>
    </w:p>
    <w:p w:rsidR="008015BF" w:rsidRDefault="008015BF" w:rsidP="00DC466E">
      <w:r>
        <w:t>Vedle příjmových toků spojených s produkcí bude město Znojmo realizovat příjmy i ze sběru separovaných odpadů ve svém katastru (příspěvek EKO-KOM).</w:t>
      </w:r>
      <w:r w:rsidR="00A97949">
        <w:t xml:space="preserve"> V souladu s obecnými zásadami poskytování příspěvku EKO-KOM je kalkulace </w:t>
      </w:r>
      <w:r w:rsidR="00A97949" w:rsidRPr="00714B4B">
        <w:rPr>
          <w:b/>
        </w:rPr>
        <w:t>prováděna na 30% objemu zpracovaného odpadu</w:t>
      </w:r>
      <w:r w:rsidR="00A97949">
        <w:t>.</w:t>
      </w:r>
    </w:p>
    <w:p w:rsidR="00714B4B" w:rsidRDefault="00714B4B" w:rsidP="00714B4B">
      <w:pPr>
        <w:pStyle w:val="Bezmezer"/>
        <w:jc w:val="both"/>
      </w:pPr>
      <w:r w:rsidRPr="00714B4B">
        <w:rPr>
          <w:rFonts w:cstheme="minorHAnsi"/>
          <w:color w:val="FF0000"/>
        </w:rPr>
        <w:t>Zde studenti doplní z odstavce výše zpracované množství a celkový příjem.</w:t>
      </w:r>
    </w:p>
    <w:p w:rsidR="00C6760C" w:rsidRDefault="00C6760C" w:rsidP="00C6760C">
      <w:pPr>
        <w:pStyle w:val="Bezmezer"/>
        <w:rPr>
          <w:rFonts w:cstheme="minorHAnsi"/>
        </w:rPr>
      </w:pPr>
      <w:r w:rsidRPr="000368E0">
        <w:rPr>
          <w:b/>
          <w:i/>
        </w:rPr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7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Příspěvek EKO-KOM</w:t>
      </w:r>
    </w:p>
    <w:tbl>
      <w:tblPr>
        <w:tblW w:w="0" w:type="auto"/>
        <w:jc w:val="center"/>
        <w:tblBorders>
          <w:top w:val="single" w:sz="8" w:space="0" w:color="72A376"/>
          <w:left w:val="single" w:sz="8" w:space="0" w:color="72A376"/>
          <w:bottom w:val="single" w:sz="8" w:space="0" w:color="72A376"/>
          <w:right w:val="single" w:sz="8" w:space="0" w:color="72A376"/>
          <w:insideH w:val="single" w:sz="8" w:space="0" w:color="72A376"/>
          <w:insideV w:val="single" w:sz="8" w:space="0" w:color="72A376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1542"/>
        <w:gridCol w:w="1542"/>
        <w:gridCol w:w="1542"/>
      </w:tblGrid>
      <w:tr w:rsidR="008015BF" w:rsidRPr="00017F8A" w:rsidTr="00C6760C">
        <w:trPr>
          <w:jc w:val="center"/>
        </w:trPr>
        <w:tc>
          <w:tcPr>
            <w:tcW w:w="2835" w:type="dxa"/>
            <w:tcBorders>
              <w:top w:val="single" w:sz="8" w:space="0" w:color="72A376"/>
              <w:left w:val="single" w:sz="8" w:space="0" w:color="72A376"/>
              <w:bottom w:val="single" w:sz="18" w:space="0" w:color="72A376"/>
              <w:right w:val="single" w:sz="8" w:space="0" w:color="72A376"/>
            </w:tcBorders>
            <w:vAlign w:val="center"/>
          </w:tcPr>
          <w:p w:rsidR="008015BF" w:rsidRPr="00017F8A" w:rsidRDefault="008015BF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 w:rsidRPr="00017F8A">
              <w:rPr>
                <w:rFonts w:cs="Calibri"/>
                <w:b/>
                <w:bCs/>
              </w:rPr>
              <w:t>Položka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18" w:space="0" w:color="72A376"/>
              <w:right w:val="single" w:sz="8" w:space="0" w:color="72A376"/>
            </w:tcBorders>
            <w:vAlign w:val="center"/>
          </w:tcPr>
          <w:p w:rsidR="00C6760C" w:rsidRDefault="00C6760C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Sazba</w:t>
            </w:r>
          </w:p>
          <w:p w:rsidR="00C6760C" w:rsidRDefault="008015BF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 w:rsidRPr="00017F8A">
              <w:rPr>
                <w:rFonts w:cs="Calibri"/>
                <w:b/>
                <w:bCs/>
              </w:rPr>
              <w:t>E</w:t>
            </w:r>
            <w:r w:rsidR="00C6760C">
              <w:rPr>
                <w:rFonts w:cs="Calibri"/>
                <w:b/>
                <w:bCs/>
              </w:rPr>
              <w:t>KO-KOM</w:t>
            </w:r>
          </w:p>
          <w:p w:rsidR="008015BF" w:rsidRPr="00017F8A" w:rsidRDefault="00C6760C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 w:rsidRPr="00463D2C">
              <w:rPr>
                <w:rFonts w:cs="Calibri"/>
                <w:b/>
                <w:bCs/>
              </w:rPr>
              <w:t>[Kč / t]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18" w:space="0" w:color="72A376"/>
              <w:right w:val="single" w:sz="8" w:space="0" w:color="72A376"/>
            </w:tcBorders>
            <w:vAlign w:val="center"/>
          </w:tcPr>
          <w:p w:rsidR="008015BF" w:rsidRDefault="008015BF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 w:rsidRPr="00017F8A">
              <w:rPr>
                <w:rFonts w:cs="Calibri"/>
                <w:b/>
                <w:bCs/>
              </w:rPr>
              <w:t>Zpracované množství</w:t>
            </w:r>
          </w:p>
          <w:p w:rsidR="00C6760C" w:rsidRPr="00C6760C" w:rsidRDefault="00C6760C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[t]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18" w:space="0" w:color="72A376"/>
              <w:right w:val="single" w:sz="8" w:space="0" w:color="72A376"/>
            </w:tcBorders>
            <w:vAlign w:val="center"/>
          </w:tcPr>
          <w:p w:rsidR="008015BF" w:rsidRDefault="008015BF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 w:rsidRPr="00017F8A">
              <w:rPr>
                <w:rFonts w:cs="Calibri"/>
                <w:b/>
                <w:bCs/>
              </w:rPr>
              <w:t>Příjem</w:t>
            </w:r>
          </w:p>
          <w:p w:rsidR="00C6760C" w:rsidRPr="00C6760C" w:rsidRDefault="00C6760C" w:rsidP="00C6760C">
            <w:pPr>
              <w:pStyle w:val="Bezmezer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lang w:val="en-US"/>
              </w:rPr>
              <w:t>[</w:t>
            </w:r>
            <w:proofErr w:type="spellStart"/>
            <w:r>
              <w:rPr>
                <w:rFonts w:cs="Calibri"/>
                <w:b/>
                <w:bCs/>
                <w:lang w:val="en-US"/>
              </w:rPr>
              <w:t>Kč</w:t>
            </w:r>
            <w:proofErr w:type="spellEnd"/>
            <w:r>
              <w:rPr>
                <w:rFonts w:cs="Calibri"/>
                <w:b/>
                <w:bCs/>
                <w:lang w:val="en-US"/>
              </w:rPr>
              <w:t>]</w:t>
            </w:r>
          </w:p>
        </w:tc>
      </w:tr>
      <w:tr w:rsidR="00714B4B" w:rsidRPr="00017F8A" w:rsidTr="00C6760C">
        <w:trPr>
          <w:jc w:val="center"/>
        </w:trPr>
        <w:tc>
          <w:tcPr>
            <w:tcW w:w="2835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017F8A" w:rsidRDefault="00714B4B" w:rsidP="00C57AA3">
            <w:pPr>
              <w:pStyle w:val="Bezmezer"/>
              <w:rPr>
                <w:rFonts w:cs="Calibri"/>
              </w:rPr>
            </w:pPr>
            <w:r w:rsidRPr="00017F8A">
              <w:rPr>
                <w:rFonts w:cs="Calibri"/>
              </w:rPr>
              <w:t>Plasty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017F8A" w:rsidRDefault="00714B4B" w:rsidP="00C57AA3">
            <w:pPr>
              <w:pStyle w:val="Bezmezer"/>
              <w:jc w:val="right"/>
              <w:rPr>
                <w:rFonts w:cs="Calibri"/>
              </w:rPr>
            </w:pPr>
            <w:r w:rsidRPr="00017F8A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</w:t>
            </w:r>
            <w:r w:rsidRPr="00017F8A">
              <w:rPr>
                <w:rFonts w:cs="Calibri"/>
              </w:rPr>
              <w:t>870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color w:val="FF0000"/>
              </w:rPr>
            </w:pPr>
            <w:r w:rsidRPr="00714B4B">
              <w:rPr>
                <w:rFonts w:cs="Calibri"/>
                <w:color w:val="FF0000"/>
              </w:rPr>
              <w:t>216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color w:val="FF0000"/>
              </w:rPr>
            </w:pPr>
            <w:r w:rsidRPr="00714B4B">
              <w:rPr>
                <w:rFonts w:cs="Calibri"/>
                <w:color w:val="FF0000"/>
              </w:rPr>
              <w:t>1 267 920</w:t>
            </w:r>
          </w:p>
        </w:tc>
      </w:tr>
      <w:tr w:rsidR="00714B4B" w:rsidRPr="00017F8A" w:rsidTr="00C6760C">
        <w:trPr>
          <w:jc w:val="center"/>
        </w:trPr>
        <w:tc>
          <w:tcPr>
            <w:tcW w:w="2835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017F8A" w:rsidRDefault="00714B4B" w:rsidP="00C57AA3">
            <w:pPr>
              <w:pStyle w:val="Bezmezer"/>
              <w:rPr>
                <w:rFonts w:cs="Calibri"/>
              </w:rPr>
            </w:pPr>
            <w:r w:rsidRPr="00017F8A">
              <w:rPr>
                <w:rFonts w:cs="Calibri"/>
              </w:rPr>
              <w:t>Papír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017F8A" w:rsidRDefault="00714B4B" w:rsidP="00C57AA3">
            <w:pPr>
              <w:pStyle w:val="Bezmezer"/>
              <w:jc w:val="right"/>
              <w:rPr>
                <w:rFonts w:cs="Calibri"/>
              </w:rPr>
            </w:pPr>
            <w:r w:rsidRPr="00017F8A">
              <w:rPr>
                <w:rFonts w:cs="Calibri"/>
              </w:rPr>
              <w:t>3</w:t>
            </w:r>
            <w:r>
              <w:rPr>
                <w:rFonts w:cs="Calibri"/>
              </w:rPr>
              <w:t xml:space="preserve"> </w:t>
            </w:r>
            <w:r w:rsidRPr="00017F8A">
              <w:rPr>
                <w:rFonts w:cs="Calibri"/>
              </w:rPr>
              <w:t>200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color w:val="FF0000"/>
              </w:rPr>
            </w:pPr>
            <w:r w:rsidRPr="00714B4B">
              <w:rPr>
                <w:rFonts w:cs="Calibri"/>
                <w:color w:val="FF0000"/>
              </w:rPr>
              <w:t>390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color w:val="FF0000"/>
              </w:rPr>
            </w:pPr>
            <w:r w:rsidRPr="00714B4B">
              <w:rPr>
                <w:rFonts w:cs="Calibri"/>
                <w:color w:val="FF0000"/>
              </w:rPr>
              <w:t>1 248 000</w:t>
            </w:r>
          </w:p>
        </w:tc>
      </w:tr>
      <w:tr w:rsidR="00714B4B" w:rsidRPr="00017F8A" w:rsidTr="00C6760C">
        <w:trPr>
          <w:jc w:val="center"/>
        </w:trPr>
        <w:tc>
          <w:tcPr>
            <w:tcW w:w="2835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017F8A" w:rsidRDefault="00714B4B" w:rsidP="00C57AA3">
            <w:pPr>
              <w:pStyle w:val="Bezmezer"/>
              <w:rPr>
                <w:rFonts w:cs="Calibri"/>
              </w:rPr>
            </w:pP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017F8A" w:rsidRDefault="00714B4B" w:rsidP="00C57AA3">
            <w:pPr>
              <w:pStyle w:val="Bezmezer"/>
              <w:jc w:val="right"/>
              <w:rPr>
                <w:rFonts w:cs="Calibri"/>
              </w:rPr>
            </w:pP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color w:val="FF0000"/>
              </w:rPr>
            </w:pP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DCE8DC"/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color w:val="FF0000"/>
              </w:rPr>
            </w:pPr>
          </w:p>
        </w:tc>
      </w:tr>
      <w:tr w:rsidR="00714B4B" w:rsidRPr="00C6760C" w:rsidTr="00C6760C">
        <w:trPr>
          <w:jc w:val="center"/>
        </w:trPr>
        <w:tc>
          <w:tcPr>
            <w:tcW w:w="2835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017F8A" w:rsidRDefault="00714B4B" w:rsidP="00C57AA3">
            <w:pPr>
              <w:pStyle w:val="Bezmez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Příspěvek EKO-KOM celkem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017F8A" w:rsidRDefault="00714B4B" w:rsidP="00C57AA3">
            <w:pPr>
              <w:pStyle w:val="Bezmezer"/>
              <w:jc w:val="right"/>
              <w:rPr>
                <w:rFonts w:cs="Calibri"/>
              </w:rPr>
            </w:pP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color w:val="FF0000"/>
              </w:rPr>
            </w:pPr>
            <w:r w:rsidRPr="00714B4B">
              <w:rPr>
                <w:rFonts w:cs="Calibri"/>
                <w:color w:val="FF0000"/>
              </w:rPr>
              <w:t>606</w:t>
            </w:r>
          </w:p>
        </w:tc>
        <w:tc>
          <w:tcPr>
            <w:tcW w:w="1542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:rsidR="00714B4B" w:rsidRPr="00714B4B" w:rsidRDefault="00714B4B" w:rsidP="00714B4B">
            <w:pPr>
              <w:pStyle w:val="Bezmezer"/>
              <w:jc w:val="right"/>
              <w:rPr>
                <w:rFonts w:cs="Calibri"/>
                <w:b/>
                <w:color w:val="FF0000"/>
              </w:rPr>
            </w:pPr>
            <w:r w:rsidRPr="00714B4B">
              <w:rPr>
                <w:rFonts w:cs="Calibri"/>
                <w:b/>
                <w:color w:val="FF0000"/>
              </w:rPr>
              <w:t>2 515 920</w:t>
            </w:r>
          </w:p>
        </w:tc>
      </w:tr>
    </w:tbl>
    <w:p w:rsidR="00714B4B" w:rsidRDefault="00714B4B" w:rsidP="00714B4B">
      <w:pPr>
        <w:pStyle w:val="Bezmezer"/>
        <w:jc w:val="both"/>
        <w:rPr>
          <w:rFonts w:cstheme="minorHAnsi"/>
          <w:color w:val="FF0000"/>
        </w:rPr>
      </w:pPr>
    </w:p>
    <w:p w:rsidR="00E05862" w:rsidRDefault="00E05862" w:rsidP="0071475F">
      <w:pPr>
        <w:pStyle w:val="Bezmezer"/>
      </w:pPr>
    </w:p>
    <w:p w:rsidR="00E05862" w:rsidRDefault="00C6760C" w:rsidP="00C6760C">
      <w:pPr>
        <w:pStyle w:val="Bezmezer"/>
        <w:jc w:val="both"/>
      </w:pPr>
      <w:r>
        <w:t xml:space="preserve">Celkové roční příjmy plynoucí z realizace projektu „Regionální odpadové centrum Znojmo“ jsou kalkulovány jako součet příjmů spojených s produkcí </w:t>
      </w:r>
      <w:proofErr w:type="spellStart"/>
      <w:r>
        <w:t>dotřiďovací</w:t>
      </w:r>
      <w:proofErr w:type="spellEnd"/>
      <w:r>
        <w:t xml:space="preserve"> linky a příspěv</w:t>
      </w:r>
      <w:r w:rsidR="00DD021A">
        <w:t>ku EKO-KOM.</w:t>
      </w:r>
    </w:p>
    <w:p w:rsidR="00714B4B" w:rsidRDefault="00714B4B" w:rsidP="00714B4B">
      <w:pPr>
        <w:pStyle w:val="Textpoznpodarou"/>
      </w:pPr>
    </w:p>
    <w:p w:rsidR="00714B4B" w:rsidRPr="00714B4B" w:rsidRDefault="00714B4B" w:rsidP="00714B4B">
      <w:pPr>
        <w:pStyle w:val="Bezmezer"/>
        <w:jc w:val="both"/>
        <w:rPr>
          <w:color w:val="FF0000"/>
        </w:rPr>
      </w:pPr>
      <w:r>
        <w:t xml:space="preserve">Celková roční výše příjmů plynoucích z realizace projektu „Regionální odpadové centrum Znojmo“ tak činí:  </w:t>
      </w:r>
      <w:r w:rsidRPr="00714B4B">
        <w:rPr>
          <w:b/>
          <w:color w:val="FF0000"/>
        </w:rPr>
        <w:t>7 645 920 Kč.</w:t>
      </w:r>
      <w:r>
        <w:rPr>
          <w:b/>
          <w:color w:val="FF0000"/>
        </w:rPr>
        <w:t xml:space="preserve"> </w:t>
      </w:r>
    </w:p>
    <w:p w:rsidR="00714B4B" w:rsidRDefault="00714B4B" w:rsidP="00C6760C">
      <w:pPr>
        <w:pStyle w:val="Bezmezer"/>
        <w:jc w:val="both"/>
      </w:pPr>
    </w:p>
    <w:p w:rsidR="00AC7C81" w:rsidRDefault="00AC7C81" w:rsidP="00DC466E">
      <w:pPr>
        <w:rPr>
          <w:rFonts w:asciiTheme="majorHAnsi" w:eastAsiaTheme="majorEastAsia" w:hAnsiTheme="majorHAnsi" w:cstheme="majorBidi"/>
          <w:color w:val="72A376" w:themeColor="accent1"/>
          <w:sz w:val="26"/>
          <w:szCs w:val="26"/>
        </w:rPr>
      </w:pPr>
      <w:bookmarkStart w:id="7" w:name="_Toc261423676"/>
      <w:r>
        <w:br w:type="page"/>
      </w:r>
    </w:p>
    <w:p w:rsidR="00C6760C" w:rsidRDefault="00C6760C" w:rsidP="00714B4B">
      <w:pPr>
        <w:pStyle w:val="Nadpis3"/>
      </w:pPr>
      <w:r>
        <w:lastRenderedPageBreak/>
        <w:t>Zdroje financování</w:t>
      </w:r>
      <w:bookmarkEnd w:id="7"/>
    </w:p>
    <w:p w:rsidR="00C6760C" w:rsidRDefault="00C6760C" w:rsidP="0071475F">
      <w:pPr>
        <w:pStyle w:val="Bezmezer"/>
      </w:pPr>
    </w:p>
    <w:p w:rsidR="00E05862" w:rsidRDefault="00E05862" w:rsidP="00E05862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Vlastní zdroje města Znojmo vyčleněné na realizaci projektu činí 20% celkových nákladů na realizaci projektu, přičemž náklady na zpracování projektové dokumentace zde nejsou započítávány.</w:t>
      </w:r>
    </w:p>
    <w:p w:rsidR="00E05862" w:rsidRDefault="00E05862" w:rsidP="00E05862">
      <w:pPr>
        <w:pStyle w:val="Bezmezer"/>
        <w:spacing w:after="120"/>
        <w:jc w:val="both"/>
        <w:rPr>
          <w:rFonts w:cstheme="minorHAnsi"/>
        </w:rPr>
      </w:pPr>
      <w:r>
        <w:rPr>
          <w:rFonts w:cstheme="minorHAnsi"/>
        </w:rPr>
        <w:t>Město Znojmo žádá v souladu s podmínkami poskytování finančních prostředků z Operačního programu Životní prostředí podporu na výstav</w:t>
      </w:r>
      <w:r w:rsidR="00814B95">
        <w:rPr>
          <w:rFonts w:cstheme="minorHAnsi"/>
        </w:rPr>
        <w:t>b</w:t>
      </w:r>
      <w:r>
        <w:rPr>
          <w:rFonts w:cstheme="minorHAnsi"/>
        </w:rPr>
        <w:t xml:space="preserve">u Regionálního odpadového centra ve formě dotace. Město Znojmo žádá o </w:t>
      </w:r>
      <w:r w:rsidRPr="006B46D3">
        <w:rPr>
          <w:rFonts w:cstheme="minorHAnsi"/>
          <w:b/>
        </w:rPr>
        <w:t>dotaci ve výši 60% celkových nákladů na realizaci projektu</w:t>
      </w:r>
      <w:r>
        <w:rPr>
          <w:rFonts w:cstheme="minorHAnsi"/>
        </w:rPr>
        <w:t>.</w:t>
      </w:r>
    </w:p>
    <w:p w:rsidR="00E05862" w:rsidRDefault="00E05862" w:rsidP="00C57AA3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Zbylé investiční náklady na realizaci projektu bude město Znojmo hradit z úvěru </w:t>
      </w:r>
      <w:r w:rsidRPr="006B46D3">
        <w:rPr>
          <w:rFonts w:cstheme="minorHAnsi"/>
          <w:b/>
        </w:rPr>
        <w:t>s fixní úrokovou sazbou ve výši 4,3%.</w:t>
      </w:r>
      <w:r>
        <w:rPr>
          <w:rFonts w:cstheme="minorHAnsi"/>
        </w:rPr>
        <w:t xml:space="preserve"> Tento úvěr je městu Znojmo poskytnut bankovní institucí, a to Československou obchodní bankou (dále jen ČSOB), na dobu 20 let.</w:t>
      </w:r>
    </w:p>
    <w:p w:rsidR="00E05862" w:rsidRDefault="00E05862" w:rsidP="00E05862">
      <w:pPr>
        <w:pStyle w:val="Bezmezer"/>
        <w:jc w:val="both"/>
        <w:rPr>
          <w:rFonts w:cstheme="minorHAnsi"/>
        </w:rPr>
      </w:pPr>
    </w:p>
    <w:p w:rsidR="00E05862" w:rsidRDefault="00E05862" w:rsidP="00E05862">
      <w:pPr>
        <w:pStyle w:val="Bezmezer"/>
        <w:jc w:val="both"/>
        <w:rPr>
          <w:rFonts w:cstheme="minorHAnsi"/>
        </w:rPr>
      </w:pPr>
      <w:r w:rsidRPr="00D43137">
        <w:rPr>
          <w:rFonts w:cstheme="minorHAnsi"/>
          <w:b/>
          <w:i/>
        </w:rPr>
        <w:t xml:space="preserve">Tabulka č. </w:t>
      </w:r>
      <w:r w:rsidR="00C6760C">
        <w:rPr>
          <w:rFonts w:cstheme="minorHAnsi"/>
          <w:b/>
          <w:i/>
        </w:rPr>
        <w:t>8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Financování nákladů na realizaci projektu</w:t>
      </w:r>
    </w:p>
    <w:tbl>
      <w:tblPr>
        <w:tblStyle w:val="Svtlmkazvraznn11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1541"/>
        <w:gridCol w:w="1541"/>
        <w:gridCol w:w="1542"/>
      </w:tblGrid>
      <w:tr w:rsidR="00E05862" w:rsidTr="00E05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05862" w:rsidRPr="00BF5DFB" w:rsidRDefault="00E05862" w:rsidP="00E05862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Rozpočtová položka</w:t>
            </w:r>
          </w:p>
        </w:tc>
        <w:tc>
          <w:tcPr>
            <w:tcW w:w="1541" w:type="dxa"/>
            <w:vAlign w:val="center"/>
          </w:tcPr>
          <w:p w:rsidR="00E05862" w:rsidRDefault="00E05862" w:rsidP="00E0586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BF5DFB">
              <w:rPr>
                <w:rFonts w:asciiTheme="minorHAnsi" w:hAnsiTheme="minorHAnsi" w:cstheme="minorHAnsi"/>
              </w:rPr>
              <w:t>2010</w:t>
            </w:r>
          </w:p>
          <w:p w:rsidR="00E05862" w:rsidRPr="007D444C" w:rsidRDefault="00E05862" w:rsidP="00E0586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541" w:type="dxa"/>
            <w:vAlign w:val="center"/>
          </w:tcPr>
          <w:p w:rsidR="00E05862" w:rsidRDefault="00E05862" w:rsidP="00E0586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2011</w:t>
            </w:r>
          </w:p>
          <w:p w:rsidR="00E05862" w:rsidRPr="007D444C" w:rsidRDefault="00E05862" w:rsidP="00E0586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542" w:type="dxa"/>
            <w:vAlign w:val="center"/>
          </w:tcPr>
          <w:p w:rsidR="00E05862" w:rsidRDefault="00E05862" w:rsidP="00E0586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celkem</w:t>
            </w:r>
          </w:p>
          <w:p w:rsidR="00E05862" w:rsidRPr="007D444C" w:rsidRDefault="00E05862" w:rsidP="00E0586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Kč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  <w:tr w:rsidR="00E05862" w:rsidTr="00E05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05862" w:rsidRPr="00BF5DFB" w:rsidRDefault="00E05862" w:rsidP="00E05862">
            <w:pPr>
              <w:pStyle w:val="Bezmezer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Projektová dokumentace</w:t>
            </w:r>
          </w:p>
        </w:tc>
        <w:tc>
          <w:tcPr>
            <w:tcW w:w="1541" w:type="dxa"/>
            <w:vAlign w:val="center"/>
          </w:tcPr>
          <w:p w:rsidR="00E05862" w:rsidRPr="00BF5DFB" w:rsidRDefault="00E05862" w:rsidP="00E0586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5DFB">
              <w:rPr>
                <w:rFonts w:cstheme="minorHAnsi"/>
              </w:rPr>
              <w:t>1 000 000</w:t>
            </w:r>
          </w:p>
        </w:tc>
        <w:tc>
          <w:tcPr>
            <w:tcW w:w="1541" w:type="dxa"/>
            <w:vAlign w:val="center"/>
          </w:tcPr>
          <w:p w:rsidR="00E05862" w:rsidRPr="00BF5DFB" w:rsidRDefault="00E05862" w:rsidP="00E0586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5DFB">
              <w:rPr>
                <w:rFonts w:cstheme="minorHAnsi"/>
              </w:rPr>
              <w:t>0</w:t>
            </w:r>
          </w:p>
        </w:tc>
        <w:tc>
          <w:tcPr>
            <w:tcW w:w="1542" w:type="dxa"/>
            <w:vAlign w:val="center"/>
          </w:tcPr>
          <w:p w:rsidR="00E05862" w:rsidRPr="00BF5DFB" w:rsidRDefault="00E05862" w:rsidP="00E0586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5DFB">
              <w:rPr>
                <w:rFonts w:cstheme="minorHAnsi"/>
              </w:rPr>
              <w:t>1 000 000</w:t>
            </w:r>
          </w:p>
        </w:tc>
      </w:tr>
      <w:tr w:rsidR="00E05862" w:rsidTr="00E05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05862" w:rsidRPr="00EF68AA" w:rsidRDefault="00E05862" w:rsidP="00E05862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EF68AA">
              <w:rPr>
                <w:rFonts w:asciiTheme="minorHAnsi" w:hAnsiTheme="minorHAnsi" w:cstheme="minorHAnsi"/>
                <w:b w:val="0"/>
              </w:rPr>
              <w:t>Vlastní zdroje (100%)</w:t>
            </w:r>
          </w:p>
          <w:p w:rsidR="00E05862" w:rsidRPr="00EF68AA" w:rsidRDefault="00E05862" w:rsidP="00E05862">
            <w:pPr>
              <w:pStyle w:val="Bezmezer"/>
              <w:rPr>
                <w:rFonts w:cstheme="minorHAnsi"/>
                <w:b w:val="0"/>
              </w:rPr>
            </w:pPr>
          </w:p>
        </w:tc>
        <w:tc>
          <w:tcPr>
            <w:tcW w:w="1541" w:type="dxa"/>
            <w:vAlign w:val="center"/>
          </w:tcPr>
          <w:p w:rsidR="00E05862" w:rsidRPr="00BF5DFB" w:rsidRDefault="00E05862" w:rsidP="00E05862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1 000 000</w:t>
            </w:r>
          </w:p>
        </w:tc>
        <w:tc>
          <w:tcPr>
            <w:tcW w:w="1541" w:type="dxa"/>
            <w:vAlign w:val="center"/>
          </w:tcPr>
          <w:p w:rsidR="00E05862" w:rsidRPr="00BF5DFB" w:rsidRDefault="00E05862" w:rsidP="00E05862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42" w:type="dxa"/>
            <w:vAlign w:val="center"/>
          </w:tcPr>
          <w:p w:rsidR="00E05862" w:rsidRPr="00BF5DFB" w:rsidRDefault="00E05862" w:rsidP="00E05862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1 000 000</w:t>
            </w:r>
          </w:p>
        </w:tc>
      </w:tr>
      <w:tr w:rsidR="00E05862" w:rsidTr="00E05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05862" w:rsidRDefault="00E05862" w:rsidP="00E05862">
            <w:pPr>
              <w:pStyle w:val="Bezmezer"/>
              <w:rPr>
                <w:rFonts w:cstheme="minorHAnsi"/>
              </w:rPr>
            </w:pPr>
          </w:p>
        </w:tc>
        <w:tc>
          <w:tcPr>
            <w:tcW w:w="1541" w:type="dxa"/>
            <w:vAlign w:val="center"/>
          </w:tcPr>
          <w:p w:rsidR="00E05862" w:rsidRDefault="00E05862" w:rsidP="00E0586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1" w:type="dxa"/>
            <w:vAlign w:val="center"/>
          </w:tcPr>
          <w:p w:rsidR="00E05862" w:rsidRDefault="00E05862" w:rsidP="00E0586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2" w:type="dxa"/>
            <w:vAlign w:val="center"/>
          </w:tcPr>
          <w:p w:rsidR="00E05862" w:rsidRDefault="00E05862" w:rsidP="00E0586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B46D3" w:rsidTr="00E05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B46D3" w:rsidRPr="00BF5DFB" w:rsidRDefault="006B46D3" w:rsidP="00E05862">
            <w:pPr>
              <w:pStyle w:val="Bezmezer"/>
              <w:rPr>
                <w:rFonts w:asciiTheme="minorHAnsi" w:hAnsiTheme="minorHAnsi" w:cstheme="minorHAnsi"/>
              </w:rPr>
            </w:pPr>
            <w:r w:rsidRPr="00BF5DFB">
              <w:rPr>
                <w:rFonts w:asciiTheme="minorHAnsi" w:hAnsiTheme="minorHAnsi" w:cstheme="minorHAnsi"/>
              </w:rPr>
              <w:t>Náklady na výstavbu a pořízení technologie</w:t>
            </w:r>
          </w:p>
        </w:tc>
        <w:tc>
          <w:tcPr>
            <w:tcW w:w="1541" w:type="dxa"/>
            <w:vAlign w:val="center"/>
          </w:tcPr>
          <w:p w:rsidR="006B46D3" w:rsidRPr="00BF5DFB" w:rsidRDefault="006B46D3" w:rsidP="008508E2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F5DFB">
              <w:rPr>
                <w:rFonts w:cstheme="minorHAnsi"/>
              </w:rPr>
              <w:t>0</w:t>
            </w:r>
          </w:p>
        </w:tc>
        <w:tc>
          <w:tcPr>
            <w:tcW w:w="1541" w:type="dxa"/>
            <w:vAlign w:val="center"/>
          </w:tcPr>
          <w:p w:rsidR="006B46D3" w:rsidRPr="006B46D3" w:rsidRDefault="006B46D3" w:rsidP="008508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6B46D3">
              <w:rPr>
                <w:rFonts w:ascii="Calibri" w:hAnsi="Calibri" w:cs="Calibri"/>
                <w:color w:val="FF0000"/>
              </w:rPr>
              <w:t>58 672 941</w:t>
            </w:r>
          </w:p>
          <w:p w:rsidR="006B46D3" w:rsidRPr="006B46D3" w:rsidRDefault="006B46D3" w:rsidP="008508E2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542" w:type="dxa"/>
            <w:vAlign w:val="center"/>
          </w:tcPr>
          <w:p w:rsidR="006B46D3" w:rsidRPr="006B46D3" w:rsidRDefault="006B46D3" w:rsidP="008508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6B46D3">
              <w:rPr>
                <w:rFonts w:ascii="Calibri" w:hAnsi="Calibri" w:cs="Calibri"/>
                <w:color w:val="FF0000"/>
              </w:rPr>
              <w:t>58 672 941</w:t>
            </w:r>
          </w:p>
          <w:p w:rsidR="006B46D3" w:rsidRPr="006B46D3" w:rsidRDefault="006B46D3" w:rsidP="008508E2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6B46D3" w:rsidTr="00E05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B46D3" w:rsidRPr="00210A64" w:rsidRDefault="006B46D3" w:rsidP="00E05862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210A64">
              <w:rPr>
                <w:rFonts w:asciiTheme="minorHAnsi" w:hAnsiTheme="minorHAnsi" w:cstheme="minorHAnsi"/>
                <w:b w:val="0"/>
              </w:rPr>
              <w:t>Vlastní zdroje</w:t>
            </w:r>
            <w:r>
              <w:rPr>
                <w:rFonts w:asciiTheme="minorHAnsi" w:hAnsiTheme="minorHAnsi" w:cstheme="minorHAnsi"/>
                <w:b w:val="0"/>
              </w:rPr>
              <w:t xml:space="preserve"> (20%)</w:t>
            </w:r>
          </w:p>
        </w:tc>
        <w:tc>
          <w:tcPr>
            <w:tcW w:w="1541" w:type="dxa"/>
            <w:vAlign w:val="center"/>
          </w:tcPr>
          <w:p w:rsidR="006B46D3" w:rsidRPr="00BF5DFB" w:rsidRDefault="006B46D3" w:rsidP="008508E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41" w:type="dxa"/>
            <w:vAlign w:val="bottom"/>
          </w:tcPr>
          <w:p w:rsidR="006B46D3" w:rsidRPr="00BC1376" w:rsidRDefault="006B46D3" w:rsidP="008508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BC1376">
              <w:rPr>
                <w:rFonts w:ascii="Calibri" w:hAnsi="Calibri" w:cs="Calibri"/>
                <w:b/>
                <w:color w:val="FF0000"/>
              </w:rPr>
              <w:t>11 734 588</w:t>
            </w:r>
          </w:p>
        </w:tc>
        <w:tc>
          <w:tcPr>
            <w:tcW w:w="1542" w:type="dxa"/>
            <w:vAlign w:val="bottom"/>
          </w:tcPr>
          <w:p w:rsidR="006B46D3" w:rsidRPr="00BC1376" w:rsidRDefault="006B46D3" w:rsidP="008508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BC1376">
              <w:rPr>
                <w:rFonts w:ascii="Calibri" w:hAnsi="Calibri" w:cs="Calibri"/>
                <w:b/>
                <w:color w:val="FF0000"/>
              </w:rPr>
              <w:t>11 734 588</w:t>
            </w:r>
          </w:p>
        </w:tc>
      </w:tr>
      <w:tr w:rsidR="006B46D3" w:rsidTr="00E05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B46D3" w:rsidRPr="00BF5DFB" w:rsidRDefault="006B46D3" w:rsidP="00E05862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Dotace plynoucí z fondů EU</w:t>
            </w:r>
            <w:r w:rsidRPr="00D43137">
              <w:rPr>
                <w:rFonts w:asciiTheme="minorHAnsi" w:hAnsiTheme="minorHAnsi" w:cstheme="minorHAnsi"/>
                <w:b w:val="0"/>
              </w:rPr>
              <w:t xml:space="preserve"> (60%)</w:t>
            </w:r>
          </w:p>
        </w:tc>
        <w:tc>
          <w:tcPr>
            <w:tcW w:w="1541" w:type="dxa"/>
            <w:vAlign w:val="center"/>
          </w:tcPr>
          <w:p w:rsidR="006B46D3" w:rsidRPr="00BF5DFB" w:rsidRDefault="006B46D3" w:rsidP="008508E2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41" w:type="dxa"/>
            <w:vAlign w:val="bottom"/>
          </w:tcPr>
          <w:p w:rsidR="006B46D3" w:rsidRPr="006B46D3" w:rsidRDefault="006B46D3" w:rsidP="008508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6B46D3">
              <w:rPr>
                <w:rFonts w:ascii="Calibri" w:hAnsi="Calibri" w:cs="Calibri"/>
                <w:color w:val="FF0000"/>
              </w:rPr>
              <w:t>35 203 765</w:t>
            </w:r>
          </w:p>
        </w:tc>
        <w:tc>
          <w:tcPr>
            <w:tcW w:w="1542" w:type="dxa"/>
            <w:vAlign w:val="bottom"/>
          </w:tcPr>
          <w:p w:rsidR="006B46D3" w:rsidRPr="006B46D3" w:rsidRDefault="006B46D3" w:rsidP="008508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6B46D3">
              <w:rPr>
                <w:rFonts w:ascii="Calibri" w:hAnsi="Calibri" w:cs="Calibri"/>
                <w:color w:val="FF0000"/>
              </w:rPr>
              <w:t>35 203 765</w:t>
            </w:r>
          </w:p>
        </w:tc>
      </w:tr>
      <w:tr w:rsidR="006B46D3" w:rsidTr="00E05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B46D3" w:rsidRPr="00D43137" w:rsidRDefault="006B46D3" w:rsidP="00E05862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Úvěr poskytnutý ČSOB (20%)</w:t>
            </w:r>
          </w:p>
        </w:tc>
        <w:tc>
          <w:tcPr>
            <w:tcW w:w="1541" w:type="dxa"/>
            <w:vAlign w:val="center"/>
          </w:tcPr>
          <w:p w:rsidR="006B46D3" w:rsidRPr="00BF5DFB" w:rsidRDefault="006B46D3" w:rsidP="008508E2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41" w:type="dxa"/>
            <w:vAlign w:val="bottom"/>
          </w:tcPr>
          <w:p w:rsidR="006B46D3" w:rsidRPr="006B46D3" w:rsidRDefault="006B46D3" w:rsidP="008508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6B46D3">
              <w:rPr>
                <w:rFonts w:ascii="Calibri" w:hAnsi="Calibri" w:cs="Calibri"/>
                <w:color w:val="FF0000"/>
              </w:rPr>
              <w:t>11 734 588</w:t>
            </w:r>
          </w:p>
        </w:tc>
        <w:tc>
          <w:tcPr>
            <w:tcW w:w="1542" w:type="dxa"/>
            <w:vAlign w:val="bottom"/>
          </w:tcPr>
          <w:p w:rsidR="006B46D3" w:rsidRPr="006B46D3" w:rsidRDefault="006B46D3" w:rsidP="008508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6B46D3">
              <w:rPr>
                <w:rFonts w:ascii="Calibri" w:hAnsi="Calibri" w:cs="Calibri"/>
                <w:color w:val="FF0000"/>
              </w:rPr>
              <w:t>11 734 588</w:t>
            </w:r>
          </w:p>
        </w:tc>
      </w:tr>
    </w:tbl>
    <w:p w:rsidR="00E05862" w:rsidRDefault="00E05862" w:rsidP="0071475F">
      <w:pPr>
        <w:pStyle w:val="Bezmezer"/>
      </w:pPr>
    </w:p>
    <w:p w:rsidR="006B46D3" w:rsidRDefault="006B46D3" w:rsidP="0071475F">
      <w:pPr>
        <w:pStyle w:val="Bezmezer"/>
      </w:pPr>
    </w:p>
    <w:p w:rsidR="00BC1376" w:rsidRPr="00BC1376" w:rsidRDefault="00183A23" w:rsidP="00C57AA3">
      <w:pPr>
        <w:pStyle w:val="Bezmezer"/>
        <w:jc w:val="both"/>
        <w:rPr>
          <w:b/>
          <w:color w:val="FF0000"/>
        </w:rPr>
      </w:pPr>
      <w:r w:rsidRPr="006B46D3">
        <w:rPr>
          <w:b/>
        </w:rPr>
        <w:t>Dotace plynoucí z fondů Evropské unie je kvalifikována jako příjem investičního roku 2011. Stejně tak se i ú</w:t>
      </w:r>
      <w:r w:rsidR="00C57AA3" w:rsidRPr="006B46D3">
        <w:rPr>
          <w:b/>
        </w:rPr>
        <w:t xml:space="preserve">věr, </w:t>
      </w:r>
      <w:r w:rsidR="00C57AA3" w:rsidRPr="006B46D3">
        <w:t>který je městu Znojmo poskytnut ČSOB na pokrytí nákladů na výstavbu a pořízení technologie v rámci projektu</w:t>
      </w:r>
      <w:r w:rsidR="00C57AA3">
        <w:t xml:space="preserve"> „Regionální odpadové centrum“</w:t>
      </w:r>
      <w:r>
        <w:t xml:space="preserve">, </w:t>
      </w:r>
      <w:r w:rsidR="00C57AA3" w:rsidRPr="006B46D3">
        <w:rPr>
          <w:b/>
        </w:rPr>
        <w:t>stává příjmem investičního roku 2011</w:t>
      </w:r>
      <w:r w:rsidR="00C57AA3">
        <w:t xml:space="preserve">. </w:t>
      </w:r>
      <w:r w:rsidR="00BC1376">
        <w:t xml:space="preserve">Proto v roce 2011 činí náklady na investici pouze </w:t>
      </w:r>
      <w:r w:rsidR="00BC1376" w:rsidRPr="00BC1376">
        <w:rPr>
          <w:b/>
          <w:color w:val="FF0000"/>
        </w:rPr>
        <w:t>11 734 588,- Kč</w:t>
      </w:r>
      <w:r w:rsidR="00BC1376">
        <w:rPr>
          <w:b/>
          <w:color w:val="FF0000"/>
        </w:rPr>
        <w:t xml:space="preserve">. </w:t>
      </w:r>
      <w:r w:rsidR="00BC1376" w:rsidRPr="00BC1376">
        <w:rPr>
          <w:b/>
        </w:rPr>
        <w:t xml:space="preserve">Tedy pouze </w:t>
      </w:r>
      <w:r w:rsidR="00BC1376">
        <w:rPr>
          <w:b/>
        </w:rPr>
        <w:t xml:space="preserve">investiční </w:t>
      </w:r>
      <w:r w:rsidR="00BC1376" w:rsidRPr="00BC1376">
        <w:rPr>
          <w:b/>
        </w:rPr>
        <w:t xml:space="preserve">náklady financované z vlastních zdrojů.  </w:t>
      </w:r>
    </w:p>
    <w:p w:rsidR="00BC1376" w:rsidRDefault="00BC1376" w:rsidP="00C57AA3">
      <w:pPr>
        <w:pStyle w:val="Bezmezer"/>
        <w:jc w:val="both"/>
      </w:pPr>
    </w:p>
    <w:p w:rsidR="00C57AA3" w:rsidRDefault="00C57AA3" w:rsidP="00C57AA3">
      <w:pPr>
        <w:pStyle w:val="Bezmezer"/>
        <w:jc w:val="both"/>
      </w:pPr>
      <w:r w:rsidRPr="006B46D3">
        <w:rPr>
          <w:b/>
        </w:rPr>
        <w:t xml:space="preserve">Splátky jistiny a úroků plynoucích z tohoto úvěru </w:t>
      </w:r>
      <w:r w:rsidR="00183A23" w:rsidRPr="006B46D3">
        <w:rPr>
          <w:b/>
        </w:rPr>
        <w:t>jsou tedy následně kvalifikovány jako</w:t>
      </w:r>
      <w:r w:rsidRPr="006B46D3">
        <w:rPr>
          <w:b/>
        </w:rPr>
        <w:t xml:space="preserve"> náklad let následujících.</w:t>
      </w:r>
    </w:p>
    <w:p w:rsidR="00C57AA3" w:rsidRDefault="00C57AA3" w:rsidP="00C57AA3">
      <w:pPr>
        <w:pStyle w:val="Bezmezer"/>
        <w:jc w:val="both"/>
      </w:pPr>
    </w:p>
    <w:p w:rsidR="00612844" w:rsidRDefault="00612844" w:rsidP="00612844">
      <w:pPr>
        <w:pStyle w:val="Bezmezer"/>
        <w:rPr>
          <w:rFonts w:cstheme="minorHAnsi"/>
        </w:rPr>
      </w:pPr>
      <w:r w:rsidRPr="000368E0">
        <w:rPr>
          <w:b/>
          <w:i/>
        </w:rPr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9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Výpočet</w:t>
      </w:r>
      <w:r w:rsidR="003758D9">
        <w:rPr>
          <w:rFonts w:cstheme="minorHAnsi"/>
        </w:rPr>
        <w:t xml:space="preserve"> roční</w:t>
      </w:r>
      <w:r>
        <w:rPr>
          <w:rFonts w:cstheme="minorHAnsi"/>
        </w:rPr>
        <w:t xml:space="preserve"> splátky jistiny a splátky úroků z úvěru</w:t>
      </w:r>
    </w:p>
    <w:tbl>
      <w:tblPr>
        <w:tblStyle w:val="Svtlmkazvraznn11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268"/>
      </w:tblGrid>
      <w:tr w:rsidR="00612844" w:rsidRPr="008E4C4E" w:rsidTr="007A7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612844" w:rsidRPr="008E4C4E" w:rsidRDefault="00612844" w:rsidP="007A735E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8E4C4E">
              <w:rPr>
                <w:rFonts w:asciiTheme="minorHAnsi" w:hAnsiTheme="minorHAnsi" w:cstheme="minorHAnsi"/>
              </w:rPr>
              <w:t>Položka</w:t>
            </w:r>
          </w:p>
        </w:tc>
        <w:tc>
          <w:tcPr>
            <w:tcW w:w="2268" w:type="dxa"/>
            <w:vAlign w:val="center"/>
          </w:tcPr>
          <w:p w:rsidR="00612844" w:rsidRPr="008E4C4E" w:rsidRDefault="003758D9" w:rsidP="007A735E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Částka</w:t>
            </w:r>
          </w:p>
          <w:p w:rsidR="00612844" w:rsidRPr="008E4C4E" w:rsidRDefault="00612844" w:rsidP="003758D9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[</w:t>
            </w:r>
            <w:proofErr w:type="spellStart"/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Kč</w:t>
            </w:r>
            <w:proofErr w:type="spellEnd"/>
            <w:r w:rsidRPr="008E4C4E">
              <w:rPr>
                <w:rFonts w:asciiTheme="minorHAnsi" w:hAnsiTheme="minorHAnsi" w:cstheme="minorHAnsi"/>
                <w:bCs w:val="0"/>
                <w:lang w:val="en-US"/>
              </w:rPr>
              <w:t>]</w:t>
            </w:r>
          </w:p>
        </w:tc>
      </w:tr>
      <w:tr w:rsidR="00612844" w:rsidRPr="008E4C4E" w:rsidTr="007A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612844" w:rsidRPr="003758D9" w:rsidRDefault="003758D9" w:rsidP="007A735E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3758D9">
              <w:rPr>
                <w:rFonts w:asciiTheme="minorHAnsi" w:hAnsiTheme="minorHAnsi" w:cstheme="minorHAnsi"/>
                <w:b w:val="0"/>
              </w:rPr>
              <w:t>Jistina úvěru celkem</w:t>
            </w:r>
          </w:p>
        </w:tc>
        <w:tc>
          <w:tcPr>
            <w:tcW w:w="2268" w:type="dxa"/>
          </w:tcPr>
          <w:p w:rsidR="00612844" w:rsidRPr="003758D9" w:rsidRDefault="003758D9" w:rsidP="007A735E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11 734 588</w:t>
            </w:r>
          </w:p>
        </w:tc>
      </w:tr>
      <w:tr w:rsidR="00612844" w:rsidRPr="008E4C4E" w:rsidTr="007A7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612844" w:rsidRPr="003758D9" w:rsidRDefault="003758D9" w:rsidP="007A735E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3758D9">
              <w:rPr>
                <w:rFonts w:asciiTheme="minorHAnsi" w:hAnsiTheme="minorHAnsi" w:cstheme="minorHAnsi"/>
                <w:b w:val="0"/>
              </w:rPr>
              <w:t>Úroky z úvěru celkem</w:t>
            </w:r>
          </w:p>
        </w:tc>
        <w:tc>
          <w:tcPr>
            <w:tcW w:w="2268" w:type="dxa"/>
          </w:tcPr>
          <w:p w:rsidR="00612844" w:rsidRPr="003758D9" w:rsidRDefault="003758D9" w:rsidP="007A735E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504 587</w:t>
            </w:r>
          </w:p>
        </w:tc>
      </w:tr>
      <w:tr w:rsidR="003758D9" w:rsidRPr="008E4C4E" w:rsidTr="007A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3758D9" w:rsidRPr="003758D9" w:rsidRDefault="003758D9" w:rsidP="007A735E">
            <w:pPr>
              <w:pStyle w:val="Bezmez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</w:tcPr>
          <w:p w:rsidR="003758D9" w:rsidRPr="003758D9" w:rsidRDefault="003758D9" w:rsidP="007A735E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2844" w:rsidRPr="008E4C4E" w:rsidTr="007A7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612844" w:rsidRPr="003758D9" w:rsidRDefault="003758D9" w:rsidP="007A735E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3758D9">
              <w:rPr>
                <w:rFonts w:asciiTheme="minorHAnsi" w:hAnsiTheme="minorHAnsi" w:cstheme="minorHAnsi"/>
                <w:b w:val="0"/>
              </w:rPr>
              <w:t>Roční splátka jistiny úvěru</w:t>
            </w:r>
          </w:p>
        </w:tc>
        <w:tc>
          <w:tcPr>
            <w:tcW w:w="2268" w:type="dxa"/>
          </w:tcPr>
          <w:p w:rsidR="00612844" w:rsidRPr="003758D9" w:rsidRDefault="003758D9" w:rsidP="007A735E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586 729</w:t>
            </w:r>
          </w:p>
        </w:tc>
      </w:tr>
      <w:tr w:rsidR="00612844" w:rsidRPr="008E4C4E" w:rsidTr="007A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612844" w:rsidRPr="003758D9" w:rsidRDefault="003758D9" w:rsidP="007A735E">
            <w:pPr>
              <w:pStyle w:val="Bezmezer"/>
              <w:rPr>
                <w:rFonts w:asciiTheme="minorHAnsi" w:hAnsiTheme="minorHAnsi" w:cstheme="minorHAnsi"/>
                <w:b w:val="0"/>
              </w:rPr>
            </w:pPr>
            <w:r w:rsidRPr="003758D9">
              <w:rPr>
                <w:rFonts w:asciiTheme="minorHAnsi" w:hAnsiTheme="minorHAnsi" w:cstheme="minorHAnsi"/>
                <w:b w:val="0"/>
              </w:rPr>
              <w:t>Roční splátka úroků z úvěru</w:t>
            </w:r>
          </w:p>
        </w:tc>
        <w:tc>
          <w:tcPr>
            <w:tcW w:w="2268" w:type="dxa"/>
          </w:tcPr>
          <w:p w:rsidR="00612844" w:rsidRPr="003758D9" w:rsidRDefault="003758D9" w:rsidP="007A735E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25 229</w:t>
            </w:r>
          </w:p>
        </w:tc>
      </w:tr>
      <w:tr w:rsidR="003758D9" w:rsidRPr="008E4C4E" w:rsidTr="007A7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3758D9" w:rsidRPr="003758D9" w:rsidRDefault="003758D9" w:rsidP="007A735E">
            <w:pPr>
              <w:pStyle w:val="Bezmez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</w:tcPr>
          <w:p w:rsidR="003758D9" w:rsidRPr="003758D9" w:rsidRDefault="003758D9" w:rsidP="007A735E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12844" w:rsidRPr="008E4C4E" w:rsidTr="007A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612844" w:rsidRPr="003758D9" w:rsidRDefault="003758D9" w:rsidP="007A735E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Celková roční splátka</w:t>
            </w:r>
            <w:r w:rsidR="006B46D3">
              <w:rPr>
                <w:rFonts w:asciiTheme="minorHAnsi" w:hAnsiTheme="minorHAnsi" w:cstheme="minorHAnsi"/>
              </w:rPr>
              <w:t xml:space="preserve"> – finanční náklady</w:t>
            </w:r>
          </w:p>
        </w:tc>
        <w:tc>
          <w:tcPr>
            <w:tcW w:w="2268" w:type="dxa"/>
          </w:tcPr>
          <w:p w:rsidR="00612844" w:rsidRPr="003758D9" w:rsidRDefault="003758D9" w:rsidP="007A735E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611 959</w:t>
            </w:r>
          </w:p>
        </w:tc>
      </w:tr>
    </w:tbl>
    <w:p w:rsidR="00F23F17" w:rsidRDefault="00F23F17" w:rsidP="00C57AA3">
      <w:pPr>
        <w:pStyle w:val="Bezmezer"/>
        <w:jc w:val="both"/>
      </w:pPr>
    </w:p>
    <w:p w:rsidR="006B46D3" w:rsidRDefault="006B46D3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72A376" w:themeColor="accent1"/>
          <w:sz w:val="26"/>
          <w:szCs w:val="26"/>
        </w:rPr>
      </w:pPr>
      <w:r>
        <w:br w:type="page"/>
      </w:r>
    </w:p>
    <w:p w:rsidR="00C57AA3" w:rsidRDefault="006B46D3" w:rsidP="00DC466E">
      <w:pPr>
        <w:pStyle w:val="Nadpis2"/>
      </w:pPr>
      <w:r>
        <w:lastRenderedPageBreak/>
        <w:t>Finanční analýza projektu</w:t>
      </w:r>
    </w:p>
    <w:p w:rsidR="00C57AA3" w:rsidRDefault="00C57AA3" w:rsidP="00F51B90">
      <w:pPr>
        <w:pStyle w:val="Bezmezer"/>
        <w:jc w:val="both"/>
      </w:pPr>
    </w:p>
    <w:p w:rsidR="006B46D3" w:rsidRDefault="006B46D3" w:rsidP="006B46D3">
      <w:pPr>
        <w:pStyle w:val="Bezmezer"/>
        <w:spacing w:after="120"/>
        <w:jc w:val="both"/>
      </w:pPr>
      <w:r>
        <w:t>Cílem finanční analýzy, která je součástí analýzy nákladů a přínosů, je kalkulace indikátorů finanční výkonnosti projektu.</w:t>
      </w:r>
    </w:p>
    <w:p w:rsidR="006B46D3" w:rsidRDefault="006B46D3" w:rsidP="006B46D3">
      <w:pPr>
        <w:pStyle w:val="Bezmezer"/>
        <w:jc w:val="both"/>
      </w:pPr>
      <w:r>
        <w:t>Ke kalkulaci těchto indikátorů se využívá metodika diskontovaných peněžních toků. V rámci této metodiky jsou brány do úvahy pouze peněžní toky, tedy skutečné částky peněz, které se v rámci projektu vyplatí či získají. Tyto peněžní toky jsou navíc diskontovány, a to z toho důvodu, že při kalkulaci indikátorů finanční výkonnosti projektu je potřeba přihlížet k časové hodnotě peněz.</w:t>
      </w:r>
    </w:p>
    <w:p w:rsidR="006B46D3" w:rsidRDefault="006B46D3" w:rsidP="00531E4E">
      <w:pPr>
        <w:pStyle w:val="Bezmezer"/>
        <w:spacing w:after="120"/>
        <w:jc w:val="both"/>
      </w:pPr>
    </w:p>
    <w:p w:rsidR="00CD3CDC" w:rsidRDefault="00F51B90" w:rsidP="00531E4E">
      <w:pPr>
        <w:pStyle w:val="Bezmezer"/>
        <w:spacing w:after="120"/>
        <w:jc w:val="both"/>
      </w:pPr>
      <w:r>
        <w:t xml:space="preserve">Finanční analýza je zpracována </w:t>
      </w:r>
      <w:r w:rsidRPr="006B46D3">
        <w:rPr>
          <w:b/>
        </w:rPr>
        <w:t>pro základní variantu předpokládající plnou realizaci projektu</w:t>
      </w:r>
      <w:r>
        <w:t xml:space="preserve"> „Regionální odpadové centrum Znojmo“. </w:t>
      </w:r>
    </w:p>
    <w:p w:rsidR="00F51B90" w:rsidRDefault="00F51B90" w:rsidP="00F51B90">
      <w:pPr>
        <w:pStyle w:val="Bezmezer"/>
        <w:jc w:val="both"/>
      </w:pPr>
      <w:r>
        <w:t xml:space="preserve">Základními předpoklady </w:t>
      </w:r>
      <w:r w:rsidR="00531E4E">
        <w:t>výpočtu finanční analýzy jsou:</w:t>
      </w:r>
    </w:p>
    <w:p w:rsidR="00531E4E" w:rsidRPr="006B46D3" w:rsidRDefault="00AC7C81" w:rsidP="00AC7C81">
      <w:pPr>
        <w:pStyle w:val="Bezmezer"/>
        <w:numPr>
          <w:ilvl w:val="0"/>
          <w:numId w:val="13"/>
        </w:numPr>
        <w:jc w:val="both"/>
        <w:rPr>
          <w:b/>
        </w:rPr>
      </w:pPr>
      <w:r w:rsidRPr="006B46D3">
        <w:rPr>
          <w:b/>
        </w:rPr>
        <w:t>doba životnosti projektu</w:t>
      </w:r>
      <w:r w:rsidR="008C0E98">
        <w:rPr>
          <w:b/>
        </w:rPr>
        <w:t xml:space="preserve"> </w:t>
      </w:r>
      <w:proofErr w:type="gramStart"/>
      <w:r w:rsidR="008C0E98">
        <w:rPr>
          <w:b/>
        </w:rPr>
        <w:t xml:space="preserve">je </w:t>
      </w:r>
      <w:r w:rsidRPr="006B46D3">
        <w:rPr>
          <w:b/>
        </w:rPr>
        <w:t xml:space="preserve"> 5 </w:t>
      </w:r>
      <w:r w:rsidR="00531E4E" w:rsidRPr="006B46D3">
        <w:rPr>
          <w:b/>
        </w:rPr>
        <w:t xml:space="preserve"> let</w:t>
      </w:r>
      <w:proofErr w:type="gramEnd"/>
      <w:r w:rsidR="008C0E98">
        <w:rPr>
          <w:b/>
        </w:rPr>
        <w:t xml:space="preserve"> </w:t>
      </w:r>
      <w:r w:rsidR="008C0E98" w:rsidRPr="008C0E98">
        <w:t>(hypoteticky, v praxi je to 15 až 20)</w:t>
      </w:r>
      <w:r w:rsidR="00531E4E" w:rsidRPr="006B46D3">
        <w:rPr>
          <w:b/>
        </w:rPr>
        <w:t>,</w:t>
      </w:r>
    </w:p>
    <w:p w:rsidR="00531E4E" w:rsidRPr="006B46D3" w:rsidRDefault="00531E4E" w:rsidP="00531E4E">
      <w:pPr>
        <w:pStyle w:val="Bezmezer"/>
        <w:numPr>
          <w:ilvl w:val="0"/>
          <w:numId w:val="13"/>
        </w:numPr>
        <w:spacing w:after="120"/>
        <w:jc w:val="both"/>
        <w:rPr>
          <w:b/>
        </w:rPr>
      </w:pPr>
      <w:r w:rsidRPr="006B46D3">
        <w:rPr>
          <w:b/>
        </w:rPr>
        <w:t>předpokládaná diskontní sazba 5%.</w:t>
      </w:r>
    </w:p>
    <w:p w:rsidR="00531E4E" w:rsidRDefault="00531E4E" w:rsidP="00531E4E">
      <w:pPr>
        <w:pStyle w:val="Bezmezer"/>
        <w:spacing w:after="120"/>
        <w:jc w:val="both"/>
      </w:pPr>
      <w:r>
        <w:t>Jednotlivé ukazatele finanční analýzy jsou kalkulovány ve dvou situacích. V prvním případě je kalkulována návratnost investice bez započtení přijaté dotace,</w:t>
      </w:r>
      <w:r w:rsidR="00D346D8">
        <w:t xml:space="preserve"> v případě druhém je již přijatá</w:t>
      </w:r>
      <w:r>
        <w:t xml:space="preserve"> dotace do výpočtu zahrnuta.</w:t>
      </w:r>
    </w:p>
    <w:p w:rsidR="00BC1376" w:rsidRDefault="00531E4E" w:rsidP="00531E4E">
      <w:pPr>
        <w:pStyle w:val="Bezmezer"/>
        <w:jc w:val="both"/>
      </w:pPr>
      <w:r>
        <w:t>Výsledky finanční analýzy zachycuje následující tabulka.</w:t>
      </w:r>
      <w:r w:rsidR="00BC1376">
        <w:t xml:space="preserve"> </w:t>
      </w:r>
    </w:p>
    <w:p w:rsidR="00BC1376" w:rsidRDefault="00BC1376" w:rsidP="00531E4E">
      <w:pPr>
        <w:pStyle w:val="Bezmezer"/>
        <w:jc w:val="both"/>
      </w:pPr>
    </w:p>
    <w:p w:rsidR="006B46D3" w:rsidRDefault="006B46D3" w:rsidP="00531E4E">
      <w:pPr>
        <w:pStyle w:val="Bezmezer"/>
        <w:jc w:val="both"/>
      </w:pPr>
    </w:p>
    <w:tbl>
      <w:tblPr>
        <w:tblStyle w:val="Svtlmkazvraznn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4"/>
        <w:gridCol w:w="1073"/>
        <w:gridCol w:w="1073"/>
        <w:gridCol w:w="1074"/>
        <w:gridCol w:w="1073"/>
        <w:gridCol w:w="1074"/>
        <w:gridCol w:w="1073"/>
        <w:gridCol w:w="1074"/>
      </w:tblGrid>
      <w:tr w:rsidR="006B46D3" w:rsidRPr="00E51594" w:rsidTr="00014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6B46D3" w:rsidRPr="0001496A" w:rsidRDefault="006B46D3" w:rsidP="008508E2">
            <w:pPr>
              <w:pStyle w:val="Bezmez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1496A">
              <w:rPr>
                <w:rFonts w:asciiTheme="minorHAnsi" w:hAnsiTheme="minorHAnsi" w:cstheme="minorHAnsi"/>
                <w:sz w:val="16"/>
                <w:szCs w:val="16"/>
              </w:rPr>
              <w:t>Položky CF</w:t>
            </w:r>
          </w:p>
        </w:tc>
        <w:tc>
          <w:tcPr>
            <w:tcW w:w="1073" w:type="dxa"/>
            <w:vAlign w:val="center"/>
          </w:tcPr>
          <w:p w:rsidR="006B46D3" w:rsidRPr="0001496A" w:rsidRDefault="006B46D3" w:rsidP="008508E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496A">
              <w:rPr>
                <w:rFonts w:asciiTheme="minorHAnsi" w:hAnsiTheme="minorHAnsi" w:cstheme="minorHAnsi"/>
                <w:sz w:val="16"/>
                <w:szCs w:val="16"/>
              </w:rPr>
              <w:t>-1 (0a)</w:t>
            </w:r>
          </w:p>
        </w:tc>
        <w:tc>
          <w:tcPr>
            <w:tcW w:w="1073" w:type="dxa"/>
            <w:vAlign w:val="center"/>
          </w:tcPr>
          <w:p w:rsidR="006B46D3" w:rsidRPr="0001496A" w:rsidRDefault="006B46D3" w:rsidP="008508E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1496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74" w:type="dxa"/>
          </w:tcPr>
          <w:p w:rsidR="006B46D3" w:rsidRPr="0001496A" w:rsidRDefault="006B46D3" w:rsidP="008508E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73" w:type="dxa"/>
          </w:tcPr>
          <w:p w:rsidR="006B46D3" w:rsidRPr="0001496A" w:rsidRDefault="006B46D3" w:rsidP="008508E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74" w:type="dxa"/>
          </w:tcPr>
          <w:p w:rsidR="006B46D3" w:rsidRPr="0001496A" w:rsidRDefault="006B46D3" w:rsidP="008508E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073" w:type="dxa"/>
          </w:tcPr>
          <w:p w:rsidR="006B46D3" w:rsidRPr="0001496A" w:rsidRDefault="006B46D3" w:rsidP="008508E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074" w:type="dxa"/>
          </w:tcPr>
          <w:p w:rsidR="006B46D3" w:rsidRPr="0001496A" w:rsidRDefault="006B46D3" w:rsidP="008508E2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01496A" w:rsidRPr="00E51594" w:rsidTr="00014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01496A" w:rsidRPr="0001496A" w:rsidRDefault="0001496A" w:rsidP="008508E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  <w:r w:rsidRPr="0001496A">
              <w:rPr>
                <w:rFonts w:asciiTheme="minorHAnsi" w:hAnsiTheme="minorHAnsi" w:cstheme="minorHAnsi"/>
                <w:sz w:val="16"/>
                <w:szCs w:val="16"/>
              </w:rPr>
              <w:t>Investiční náklady</w:t>
            </w: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-11 734 588</w:t>
            </w:r>
          </w:p>
        </w:tc>
        <w:tc>
          <w:tcPr>
            <w:tcW w:w="1074" w:type="dxa"/>
            <w:vAlign w:val="center"/>
          </w:tcPr>
          <w:p w:rsidR="0001496A" w:rsidRPr="0001496A" w:rsidRDefault="00014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01496A" w:rsidRPr="0001496A" w:rsidRDefault="00014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01496A" w:rsidRPr="0001496A" w:rsidRDefault="00014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</w:tr>
      <w:tr w:rsidR="0001496A" w:rsidRPr="00E51594" w:rsidTr="00014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01496A" w:rsidRPr="0001496A" w:rsidRDefault="0001496A" w:rsidP="008508E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  <w:r w:rsidRPr="0001496A">
              <w:rPr>
                <w:rFonts w:asciiTheme="minorHAnsi" w:hAnsiTheme="minorHAnsi" w:cstheme="minorHAnsi"/>
                <w:sz w:val="16"/>
                <w:szCs w:val="16"/>
              </w:rPr>
              <w:t>Projektová dokumentace</w:t>
            </w:r>
          </w:p>
          <w:p w:rsidR="0001496A" w:rsidRPr="0001496A" w:rsidRDefault="0001496A" w:rsidP="008508E2">
            <w:pPr>
              <w:pStyle w:val="Bezmez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000000"/>
                <w:sz w:val="16"/>
                <w:szCs w:val="16"/>
              </w:rPr>
              <w:t>-1 000 000</w:t>
            </w: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01496A" w:rsidRPr="0001496A" w:rsidRDefault="000149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01496A" w:rsidRPr="0001496A" w:rsidRDefault="000149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01496A" w:rsidRPr="0001496A" w:rsidRDefault="000149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01496A" w:rsidRPr="0001496A" w:rsidRDefault="000149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1496A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</w:tr>
      <w:tr w:rsidR="00BC1376" w:rsidRPr="00E51594" w:rsidTr="001F5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BC1376" w:rsidRPr="0001496A" w:rsidRDefault="00BC1376" w:rsidP="008508E2">
            <w:pPr>
              <w:pStyle w:val="Bezmezer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Provozní náklady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-3 709 618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-3 709 618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-3 709 618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-3 709 618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-3 709 618</w:t>
            </w:r>
          </w:p>
        </w:tc>
      </w:tr>
      <w:tr w:rsidR="00BC1376" w:rsidRPr="00E51594" w:rsidTr="001F53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BC1376" w:rsidRPr="0001496A" w:rsidRDefault="00BC1376" w:rsidP="008508E2">
            <w:pPr>
              <w:pStyle w:val="Bezmezer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Finanční náklady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-611 959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-611 959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-611 959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-611 959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-611 959</w:t>
            </w:r>
          </w:p>
        </w:tc>
      </w:tr>
      <w:tr w:rsidR="00BC1376" w:rsidRPr="00E51594" w:rsidTr="00014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BC1376" w:rsidRPr="0001496A" w:rsidRDefault="00BC1376" w:rsidP="008508E2">
            <w:pPr>
              <w:pStyle w:val="Bezmezer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Příjmy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7 645 920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7 645 920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7 645 920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7 645 920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7 645 920</w:t>
            </w:r>
          </w:p>
        </w:tc>
      </w:tr>
      <w:tr w:rsidR="00BC1376" w:rsidRPr="00E51594" w:rsidTr="00014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BC1376" w:rsidRPr="0001496A" w:rsidRDefault="00BC1376" w:rsidP="008508E2">
            <w:pPr>
              <w:pStyle w:val="Bezmezer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CF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-1 000 000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-11 734 588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3 324 343</w:t>
            </w:r>
          </w:p>
        </w:tc>
      </w:tr>
      <w:tr w:rsidR="00BC1376" w:rsidRPr="00E51594" w:rsidTr="00014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BC1376" w:rsidRPr="0001496A" w:rsidRDefault="00BC1376" w:rsidP="008508E2">
            <w:pPr>
              <w:pStyle w:val="Bezmezer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Diskontované CF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-1 000 000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-11 734 588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3 166 041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3 015 277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2 871 692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2 734 945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theme="minorHAnsi"/>
                <w:color w:val="FF0000"/>
                <w:sz w:val="16"/>
                <w:szCs w:val="16"/>
              </w:rPr>
              <w:t>2 604 710</w:t>
            </w:r>
          </w:p>
        </w:tc>
      </w:tr>
      <w:tr w:rsidR="00BC1376" w:rsidRPr="00E51594" w:rsidTr="00014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:rsidR="00BC1376" w:rsidRPr="0001496A" w:rsidRDefault="00BC1376" w:rsidP="008508E2">
            <w:pPr>
              <w:pStyle w:val="Bezmezer"/>
              <w:rPr>
                <w:rFonts w:cstheme="minorHAnsi"/>
                <w:sz w:val="16"/>
                <w:szCs w:val="16"/>
              </w:rPr>
            </w:pPr>
            <w:r w:rsidRPr="0001496A">
              <w:rPr>
                <w:rFonts w:cstheme="minorHAnsi"/>
                <w:sz w:val="16"/>
                <w:szCs w:val="16"/>
              </w:rPr>
              <w:t>NPV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-1 000 000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-12 734 588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-9 568 547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-6 553 270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-3 681 577</w:t>
            </w:r>
          </w:p>
        </w:tc>
        <w:tc>
          <w:tcPr>
            <w:tcW w:w="1073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-946 632</w:t>
            </w:r>
          </w:p>
        </w:tc>
        <w:tc>
          <w:tcPr>
            <w:tcW w:w="1074" w:type="dxa"/>
            <w:vAlign w:val="center"/>
          </w:tcPr>
          <w:p w:rsidR="00BC1376" w:rsidRPr="00BC1376" w:rsidRDefault="00BC13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BC1376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1 658 077</w:t>
            </w:r>
          </w:p>
        </w:tc>
      </w:tr>
    </w:tbl>
    <w:p w:rsidR="006B46D3" w:rsidRDefault="006B46D3" w:rsidP="00531E4E">
      <w:pPr>
        <w:pStyle w:val="Bezmezer"/>
        <w:jc w:val="both"/>
      </w:pPr>
    </w:p>
    <w:p w:rsidR="006B46D3" w:rsidRDefault="006B46D3" w:rsidP="00531E4E">
      <w:pPr>
        <w:pStyle w:val="Bezmezer"/>
        <w:jc w:val="both"/>
      </w:pPr>
    </w:p>
    <w:p w:rsidR="00531E4E" w:rsidRDefault="00531E4E" w:rsidP="00531E4E">
      <w:pPr>
        <w:pStyle w:val="Bezmezer"/>
        <w:rPr>
          <w:rFonts w:cstheme="minorHAnsi"/>
        </w:rPr>
      </w:pPr>
      <w:r w:rsidRPr="000368E0">
        <w:rPr>
          <w:b/>
          <w:i/>
        </w:rPr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10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Ukazatele finanční výnosnosti projektu</w:t>
      </w:r>
      <w:r w:rsidR="00BC1376">
        <w:rPr>
          <w:rFonts w:cstheme="minorHAnsi"/>
        </w:rPr>
        <w:t xml:space="preserve"> </w:t>
      </w:r>
    </w:p>
    <w:tbl>
      <w:tblPr>
        <w:tblStyle w:val="Svtlmkazvraznn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AC7C81" w:rsidTr="00671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C7C81" w:rsidRPr="00E51594" w:rsidRDefault="00AC7C81" w:rsidP="00531E4E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AC7C81" w:rsidRPr="00E51594" w:rsidRDefault="00AC7C81" w:rsidP="00531E4E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čis</w:t>
            </w:r>
            <w:r w:rsidRPr="00E51594">
              <w:rPr>
                <w:rFonts w:asciiTheme="minorHAnsi" w:hAnsiTheme="minorHAnsi" w:cstheme="minorHAnsi"/>
              </w:rPr>
              <w:t>tá současná hodnota</w:t>
            </w:r>
          </w:p>
          <w:p w:rsidR="00AC7C81" w:rsidRPr="00E51594" w:rsidRDefault="00AC7C81" w:rsidP="00531E4E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E51594">
              <w:rPr>
                <w:rFonts w:asciiTheme="minorHAnsi" w:hAnsiTheme="minorHAnsi" w:cstheme="minorHAnsi"/>
              </w:rPr>
              <w:t>NPV</w:t>
            </w:r>
          </w:p>
        </w:tc>
        <w:tc>
          <w:tcPr>
            <w:tcW w:w="2268" w:type="dxa"/>
            <w:vAlign w:val="center"/>
          </w:tcPr>
          <w:p w:rsidR="00AC7C81" w:rsidRPr="00E51594" w:rsidRDefault="00AC7C81" w:rsidP="00AC7C81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Doba návratnosti reálná</w:t>
            </w:r>
          </w:p>
        </w:tc>
      </w:tr>
      <w:tr w:rsidR="00AC7C81" w:rsidTr="0067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C7C81" w:rsidRPr="00E51594" w:rsidRDefault="00AC7C81" w:rsidP="00531E4E">
            <w:pPr>
              <w:pStyle w:val="Bezmezer"/>
              <w:rPr>
                <w:rFonts w:asciiTheme="minorHAnsi" w:hAnsiTheme="minorHAnsi" w:cstheme="minorHAnsi"/>
              </w:rPr>
            </w:pPr>
            <w:r w:rsidRPr="00E51594">
              <w:rPr>
                <w:rFonts w:asciiTheme="minorHAnsi" w:hAnsiTheme="minorHAnsi" w:cstheme="minorHAnsi"/>
              </w:rPr>
              <w:t>Výpočet bez započtení dotace</w:t>
            </w:r>
          </w:p>
        </w:tc>
        <w:tc>
          <w:tcPr>
            <w:tcW w:w="2268" w:type="dxa"/>
            <w:vAlign w:val="center"/>
          </w:tcPr>
          <w:p w:rsidR="00AC7C81" w:rsidRDefault="00AC7C81" w:rsidP="00BC137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-42 630 813,32</w:t>
            </w:r>
          </w:p>
          <w:p w:rsidR="00AC7C81" w:rsidRPr="00E51594" w:rsidRDefault="00AC7C81" w:rsidP="00E51594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AC7C81" w:rsidRPr="00E51594" w:rsidRDefault="00AC7C81" w:rsidP="00AC7C81">
            <w:pPr>
              <w:pStyle w:val="Bezmezer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AC7C81" w:rsidTr="00671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C7C81" w:rsidRPr="00E51594" w:rsidRDefault="00AC7C81" w:rsidP="00E51594">
            <w:pPr>
              <w:pStyle w:val="Bezmezer"/>
              <w:rPr>
                <w:rFonts w:asciiTheme="minorHAnsi" w:hAnsiTheme="minorHAnsi" w:cstheme="minorHAnsi"/>
              </w:rPr>
            </w:pPr>
            <w:r w:rsidRPr="00E51594">
              <w:rPr>
                <w:rFonts w:asciiTheme="minorHAnsi" w:hAnsiTheme="minorHAnsi" w:cstheme="minorHAnsi"/>
              </w:rPr>
              <w:t>Výpočet se započtením dotace</w:t>
            </w:r>
          </w:p>
        </w:tc>
        <w:tc>
          <w:tcPr>
            <w:tcW w:w="2268" w:type="dxa"/>
            <w:vAlign w:val="center"/>
          </w:tcPr>
          <w:p w:rsidR="00AC7C81" w:rsidRPr="00BC1376" w:rsidRDefault="00BC1376" w:rsidP="00E51594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BC1376">
              <w:rPr>
                <w:rFonts w:cstheme="minorHAnsi"/>
                <w:b/>
                <w:color w:val="FF0000"/>
              </w:rPr>
              <w:t>1 658 077,46</w:t>
            </w:r>
          </w:p>
        </w:tc>
        <w:tc>
          <w:tcPr>
            <w:tcW w:w="2268" w:type="dxa"/>
            <w:vAlign w:val="center"/>
          </w:tcPr>
          <w:p w:rsidR="00AC7C81" w:rsidRPr="00BC1376" w:rsidRDefault="00AC7C81" w:rsidP="00AC7C81">
            <w:pPr>
              <w:pStyle w:val="Bezmezer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BC1376">
              <w:rPr>
                <w:rFonts w:cstheme="minorHAnsi"/>
                <w:b/>
                <w:color w:val="FF0000"/>
              </w:rPr>
              <w:t>5</w:t>
            </w:r>
          </w:p>
        </w:tc>
      </w:tr>
    </w:tbl>
    <w:p w:rsidR="00531E4E" w:rsidRDefault="00531E4E" w:rsidP="00F51B90">
      <w:pPr>
        <w:pStyle w:val="Bezmezer"/>
        <w:jc w:val="both"/>
      </w:pPr>
    </w:p>
    <w:p w:rsidR="004F5621" w:rsidRPr="00BC1376" w:rsidRDefault="000F4319" w:rsidP="008C0E98">
      <w:pPr>
        <w:pStyle w:val="Bezmezer"/>
        <w:spacing w:after="120"/>
        <w:jc w:val="both"/>
        <w:rPr>
          <w:b/>
          <w:color w:val="FF0000"/>
        </w:rPr>
      </w:pPr>
      <w:r>
        <w:t>Za základní je považován ukazatel čisté současné hodnoty</w:t>
      </w:r>
      <w:r w:rsidR="004F5621">
        <w:t xml:space="preserve"> (dále jen FNPV</w:t>
      </w:r>
      <w:r w:rsidR="00BC1376">
        <w:t xml:space="preserve">).  </w:t>
      </w:r>
      <w:r w:rsidR="00E51594">
        <w:t>Výsledky výpočtu finanční analýzy vycházejícího z hotovostních toků bez započtení dotace deklarují návratnost vložených investičních prostředků</w:t>
      </w:r>
      <w:r w:rsidR="00AC7C81">
        <w:t xml:space="preserve"> až za 30 let</w:t>
      </w:r>
      <w:r w:rsidR="00E51594">
        <w:t xml:space="preserve">. </w:t>
      </w:r>
      <w:r w:rsidR="00BC1376">
        <w:t xml:space="preserve"> </w:t>
      </w:r>
      <w:r w:rsidR="002B4BF0">
        <w:t xml:space="preserve">Výsledky výpočtu finanční analýzy započítávající do hotovostních toků přijatou dotaci však již </w:t>
      </w:r>
      <w:r w:rsidR="004F5621">
        <w:t>naznačují přijatelnost předkládaného projektu. Ukazatel FNPV vychází kladně a dosahuje hodn</w:t>
      </w:r>
      <w:r w:rsidR="00E87831">
        <w:t>oty</w:t>
      </w:r>
      <w:r w:rsidR="00AC7C81">
        <w:t>:</w:t>
      </w:r>
      <w:r w:rsidR="00BC1376">
        <w:t xml:space="preserve">   </w:t>
      </w:r>
      <w:r w:rsidR="00BC1376" w:rsidRPr="00BC1376">
        <w:rPr>
          <w:b/>
          <w:color w:val="FF0000"/>
        </w:rPr>
        <w:t xml:space="preserve">1 658 077 </w:t>
      </w:r>
      <w:r w:rsidR="00E87831" w:rsidRPr="008C0E98">
        <w:rPr>
          <w:b/>
          <w:color w:val="FF0000"/>
        </w:rPr>
        <w:t>Kč</w:t>
      </w:r>
      <w:r w:rsidR="008C0E98" w:rsidRPr="008C0E98">
        <w:rPr>
          <w:b/>
          <w:color w:val="FF0000"/>
        </w:rPr>
        <w:t>.</w:t>
      </w:r>
    </w:p>
    <w:p w:rsidR="000B3028" w:rsidRDefault="0073538A" w:rsidP="00BC1376">
      <w:pPr>
        <w:pStyle w:val="Nadpis2"/>
        <w:rPr>
          <w:rFonts w:eastAsia="Times New Roman"/>
        </w:rPr>
      </w:pPr>
      <w:bookmarkStart w:id="8" w:name="_Toc261423678"/>
      <w:r>
        <w:rPr>
          <w:rFonts w:eastAsia="Times New Roman"/>
        </w:rPr>
        <w:lastRenderedPageBreak/>
        <w:t>Ekonomická analýza</w:t>
      </w:r>
      <w:bookmarkEnd w:id="8"/>
    </w:p>
    <w:p w:rsidR="00AC7C81" w:rsidRDefault="00654593" w:rsidP="00AC7C81">
      <w:pPr>
        <w:pStyle w:val="Bezmezer"/>
        <w:spacing w:before="240"/>
        <w:jc w:val="both"/>
      </w:pPr>
      <w:r>
        <w:t>Ekonomická analýza jako součást analýzy nákladů a přínosů zohledňuje přínosy projektu v oblasti společenského blahobyt</w:t>
      </w:r>
      <w:r w:rsidR="00BD47D2">
        <w:t>u</w:t>
      </w:r>
      <w:r>
        <w:t>, hodnotí tak celospolečenský přínos projektu.</w:t>
      </w:r>
      <w:r w:rsidR="00B12018">
        <w:t xml:space="preserve"> Důvodem hodnocení prostřednictvím ekonomické analýzy je skutečnost, že v případě oceňování vstupů projektu by měly být brány do úvahy také náklady obětované příležitos</w:t>
      </w:r>
      <w:r w:rsidR="00AF4468">
        <w:t>ti a v případě oceňování výstupů</w:t>
      </w:r>
      <w:r w:rsidR="00B12018">
        <w:t xml:space="preserve"> projektu pak ochota spotřebitelů za tento výstup platit, neboť tato ochota nemusí být vždy správně vyjádřena v tržních cenách.</w:t>
      </w:r>
    </w:p>
    <w:p w:rsidR="00BC1376" w:rsidRDefault="00654593" w:rsidP="00AC7C81">
      <w:pPr>
        <w:pStyle w:val="Bezmezer"/>
        <w:spacing w:before="240"/>
        <w:jc w:val="both"/>
      </w:pPr>
      <w:r>
        <w:t xml:space="preserve"> V rámci ekonomické analýzy jsou využívány tzv. celospolečenské ná</w:t>
      </w:r>
      <w:r w:rsidR="00B12018">
        <w:t>klady a přínosy, tedy náklady a </w:t>
      </w:r>
      <w:r>
        <w:t>přínosy ovlivňující ekonomický, kulturn</w:t>
      </w:r>
      <w:r w:rsidR="00BD47D2">
        <w:t>í a společenský život v reg</w:t>
      </w:r>
      <w:r w:rsidR="0082320B">
        <w:t>ionu, ale také životní prostřed</w:t>
      </w:r>
      <w:r w:rsidR="00BD47D2">
        <w:t>í a</w:t>
      </w:r>
      <w:r w:rsidR="00B12018">
        <w:t> </w:t>
      </w:r>
      <w:r w:rsidR="00BD47D2">
        <w:t>podmínky života v daném regionu.</w:t>
      </w:r>
      <w:r>
        <w:t xml:space="preserve"> </w:t>
      </w:r>
      <w:r w:rsidR="00B12018">
        <w:t xml:space="preserve">Základním problémem pojícím se s vypracováním ekonomické analýzy projektu je stanovení a vyčíslení přímých a nepřímých nákladů a přínosů projektu. </w:t>
      </w:r>
    </w:p>
    <w:p w:rsidR="00BC1376" w:rsidRDefault="00E8669D" w:rsidP="00AC7C81">
      <w:pPr>
        <w:pStyle w:val="Bezmezer"/>
        <w:spacing w:before="240"/>
        <w:jc w:val="both"/>
      </w:pPr>
      <w:r>
        <w:rPr>
          <w:b/>
        </w:rPr>
        <w:t>D</w:t>
      </w:r>
      <w:r w:rsidRPr="00E8669D">
        <w:rPr>
          <w:b/>
        </w:rPr>
        <w:t>aňové opravy</w:t>
      </w:r>
    </w:p>
    <w:p w:rsidR="00E8669D" w:rsidRPr="00E8669D" w:rsidRDefault="00E8669D" w:rsidP="00AC7C81">
      <w:pPr>
        <w:pStyle w:val="Bezmezer"/>
        <w:spacing w:before="240"/>
        <w:jc w:val="both"/>
        <w:rPr>
          <w:color w:val="FF0000"/>
        </w:rPr>
      </w:pPr>
      <w:r>
        <w:t xml:space="preserve">Daňové opravy u mezd zaměstnanců </w:t>
      </w:r>
      <w:proofErr w:type="gramStart"/>
      <w:r>
        <w:t xml:space="preserve">činí  </w:t>
      </w:r>
      <w:r w:rsidRPr="008C0E98">
        <w:rPr>
          <w:b/>
          <w:color w:val="FF0000"/>
        </w:rPr>
        <w:t>567 120,</w:t>
      </w:r>
      <w:proofErr w:type="gramEnd"/>
      <w:r w:rsidRPr="008C0E98">
        <w:rPr>
          <w:b/>
          <w:color w:val="FF0000"/>
        </w:rPr>
        <w:t>-</w:t>
      </w:r>
      <w:r>
        <w:t xml:space="preserve"> Kč</w:t>
      </w:r>
      <w:r w:rsidR="008C0E98">
        <w:t xml:space="preserve"> bez odpočtu daní z příjmů ze závislé činnosti (ty neuvažujeme pro zjednodušení)</w:t>
      </w:r>
      <w:r>
        <w:t xml:space="preserve">. </w:t>
      </w:r>
    </w:p>
    <w:p w:rsidR="00E8669D" w:rsidRPr="00E8669D" w:rsidRDefault="00E8669D" w:rsidP="00E8669D">
      <w:pPr>
        <w:pStyle w:val="Bezmezer"/>
        <w:spacing w:before="480"/>
        <w:jc w:val="both"/>
        <w:rPr>
          <w:b/>
        </w:rPr>
      </w:pPr>
      <w:r w:rsidRPr="00E8669D">
        <w:rPr>
          <w:b/>
        </w:rPr>
        <w:t>Opravy v důsledku externalit a přechod k stínovým cenám</w:t>
      </w:r>
      <w:r>
        <w:rPr>
          <w:b/>
        </w:rPr>
        <w:t xml:space="preserve"> a využití mimotržních metod</w:t>
      </w:r>
    </w:p>
    <w:p w:rsidR="00B12018" w:rsidRDefault="00B12018" w:rsidP="00AC7C81">
      <w:pPr>
        <w:pStyle w:val="Bezmezer"/>
        <w:spacing w:before="240"/>
        <w:jc w:val="both"/>
      </w:pPr>
      <w:r>
        <w:t>Náklady a přínosy jsou určeny na základě srovnání dvou variantníc</w:t>
      </w:r>
      <w:bookmarkStart w:id="9" w:name="_GoBack"/>
      <w:bookmarkEnd w:id="9"/>
      <w:r>
        <w:t xml:space="preserve">h situací, a to situace, kdy k realizaci </w:t>
      </w:r>
      <w:r w:rsidR="00761F5D">
        <w:t>projektu nedojde, a situace, kdy</w:t>
      </w:r>
      <w:r>
        <w:t> realizac</w:t>
      </w:r>
      <w:r w:rsidR="006868B2">
        <w:t>e</w:t>
      </w:r>
      <w:r>
        <w:t xml:space="preserve"> projektu</w:t>
      </w:r>
      <w:r w:rsidR="006868B2">
        <w:t xml:space="preserve"> bude uskutečněna.</w:t>
      </w:r>
      <w:r>
        <w:t xml:space="preserve"> </w:t>
      </w:r>
      <w:r w:rsidR="008653DC">
        <w:t xml:space="preserve">Jsou </w:t>
      </w:r>
      <w:r>
        <w:t>hledány takové náklady a přínosy, které přímo souvisí s realizací projektu</w:t>
      </w:r>
      <w:r w:rsidR="006868B2">
        <w:t xml:space="preserve"> a které lze s jistou mírou pravděpodobnosti reálně kvantifikovat.</w:t>
      </w:r>
    </w:p>
    <w:p w:rsidR="006868B2" w:rsidRDefault="006868B2" w:rsidP="00AC7C81">
      <w:pPr>
        <w:pStyle w:val="Bezmezer"/>
        <w:spacing w:before="240"/>
        <w:jc w:val="both"/>
      </w:pPr>
      <w:r>
        <w:t xml:space="preserve">V rámci celospolečenských nákladů a přínosů projektu „Regionální odpadové centrum Znojmo“ </w:t>
      </w:r>
      <w:r w:rsidR="008653DC">
        <w:t xml:space="preserve">jsou </w:t>
      </w:r>
      <w:r>
        <w:t xml:space="preserve">kvalifikovány a následně kvantifikovány především přínosy nově vzniklých pracovních míst. Na základě údajů Ministerstva práce a sociálních věcí České republiky je </w:t>
      </w:r>
      <w:r w:rsidRPr="00BF5CA1">
        <w:rPr>
          <w:b/>
        </w:rPr>
        <w:t>přínos jednoho nově vzniklého pracovního místa</w:t>
      </w:r>
      <w:r>
        <w:t xml:space="preserve"> vyčíslen </w:t>
      </w:r>
      <w:r w:rsidRPr="00BC1376">
        <w:rPr>
          <w:b/>
        </w:rPr>
        <w:t>na 14 277 Kč měsíčně</w:t>
      </w:r>
      <w:r>
        <w:t>. Beneficientem nově vzniklých pracovních míst je stát.</w:t>
      </w:r>
    </w:p>
    <w:p w:rsidR="00BC1376" w:rsidRDefault="004D6822" w:rsidP="00AC7C81">
      <w:pPr>
        <w:pStyle w:val="Bezmezer"/>
        <w:spacing w:before="240"/>
        <w:jc w:val="both"/>
      </w:pPr>
      <w:r>
        <w:t xml:space="preserve">Jako další celospolečenský přínos </w:t>
      </w:r>
      <w:r w:rsidR="008653DC">
        <w:t>je</w:t>
      </w:r>
      <w:r>
        <w:t xml:space="preserve"> kvalifikována úspora nákladů na odstraňování černých skládek. Tento přínos byl kalkulován na základě údajů poskytnutých starostou města Znojmo</w:t>
      </w:r>
      <w:r>
        <w:rPr>
          <w:rStyle w:val="Znakapoznpodarou"/>
        </w:rPr>
        <w:footnoteReference w:id="3"/>
      </w:r>
      <w:r>
        <w:t xml:space="preserve"> a stanoven ve výši </w:t>
      </w:r>
      <w:r w:rsidRPr="00BC1376">
        <w:rPr>
          <w:b/>
        </w:rPr>
        <w:t>180 000 Kč za rok</w:t>
      </w:r>
      <w:r>
        <w:t>.</w:t>
      </w:r>
    </w:p>
    <w:p w:rsidR="006868B2" w:rsidRDefault="00401971" w:rsidP="00AC7C81">
      <w:pPr>
        <w:pStyle w:val="Bezmezer"/>
        <w:spacing w:before="240"/>
        <w:jc w:val="both"/>
      </w:pPr>
      <w:r>
        <w:t>V souvislosti s povahou a stanovenými cíl</w:t>
      </w:r>
      <w:r w:rsidR="008653DC">
        <w:t>i</w:t>
      </w:r>
      <w:r w:rsidR="006868B2">
        <w:t xml:space="preserve"> projektu lze za přínos</w:t>
      </w:r>
      <w:r>
        <w:t xml:space="preserve"> projektu</w:t>
      </w:r>
      <w:r w:rsidR="006868B2">
        <w:t xml:space="preserve"> považovat pozitivní vli</w:t>
      </w:r>
      <w:r>
        <w:t>v na životní prostředí. A</w:t>
      </w:r>
      <w:r w:rsidR="006868B2">
        <w:t xml:space="preserve">však </w:t>
      </w:r>
      <w:r>
        <w:t>vzhledem k obtížnosti kvalifikace a především kvantifikace, není kalkulace těchto přínosů prováděna.</w:t>
      </w:r>
    </w:p>
    <w:p w:rsidR="00401971" w:rsidRDefault="00401971" w:rsidP="00AC7C81">
      <w:pPr>
        <w:pStyle w:val="Bezmezer"/>
        <w:spacing w:before="240"/>
        <w:jc w:val="both"/>
      </w:pPr>
      <w:r>
        <w:t>Jiné společensko-ekonomické přínosy vznikající v souvislosti s realizací projektu nejsou uvažovány.</w:t>
      </w:r>
    </w:p>
    <w:p w:rsidR="00401971" w:rsidRDefault="00401971" w:rsidP="00AC7C81">
      <w:pPr>
        <w:pStyle w:val="Bezmezer"/>
        <w:spacing w:before="240"/>
        <w:jc w:val="both"/>
      </w:pPr>
      <w:r>
        <w:t>Společensko-ekonomické náklady vznikající v souvislosti s realizací projektu „Regionální odpadové centrum Znojmo“, jako je například hluk související s provozem třídící linky a lisu, jsou považovány za zanedbatelné, a tudíž nejsou v rámci ekonomické analýzy brány v potaz.</w:t>
      </w:r>
    </w:p>
    <w:p w:rsidR="00401971" w:rsidRDefault="00401971" w:rsidP="00401971">
      <w:pPr>
        <w:pStyle w:val="Bezmezer"/>
        <w:jc w:val="both"/>
      </w:pPr>
    </w:p>
    <w:p w:rsidR="00401971" w:rsidRDefault="00401971" w:rsidP="000F4319">
      <w:pPr>
        <w:pStyle w:val="Bezmezer"/>
        <w:spacing w:after="120"/>
        <w:jc w:val="both"/>
      </w:pPr>
      <w:r>
        <w:t xml:space="preserve">Při výpočtu ekonomické analýzy se vychází z hotovostních toků, s nimiž se kalkuluje v rámci finanční analýzy. Tyto hotovostní toky jsou upraveny o celospolečenské náklady a přínosy </w:t>
      </w:r>
      <w:r w:rsidR="00D47E96">
        <w:t xml:space="preserve">a </w:t>
      </w:r>
      <w:r>
        <w:t>následně využity jako základ pro výpočet ukazatelů ekonomické výkonnosti projektu.</w:t>
      </w:r>
    </w:p>
    <w:p w:rsidR="00401971" w:rsidRDefault="00401971" w:rsidP="00401971">
      <w:pPr>
        <w:pStyle w:val="Bezmezer"/>
        <w:jc w:val="both"/>
      </w:pPr>
      <w:r>
        <w:lastRenderedPageBreak/>
        <w:t xml:space="preserve">Základními předpoklady výpočtu </w:t>
      </w:r>
      <w:r w:rsidR="00C75380">
        <w:t>ekonomické</w:t>
      </w:r>
      <w:r>
        <w:t xml:space="preserve"> analýzy jsou:</w:t>
      </w:r>
    </w:p>
    <w:p w:rsidR="00401971" w:rsidRDefault="00401971" w:rsidP="00401971">
      <w:pPr>
        <w:pStyle w:val="Bezmezer"/>
        <w:numPr>
          <w:ilvl w:val="0"/>
          <w:numId w:val="13"/>
        </w:numPr>
        <w:jc w:val="both"/>
      </w:pPr>
      <w:r>
        <w:t xml:space="preserve">doba životnosti projektu </w:t>
      </w:r>
      <w:r w:rsidR="008653DC">
        <w:t>5</w:t>
      </w:r>
      <w:r>
        <w:t xml:space="preserve"> let,</w:t>
      </w:r>
    </w:p>
    <w:p w:rsidR="00401971" w:rsidRDefault="00401971" w:rsidP="00401971">
      <w:pPr>
        <w:pStyle w:val="Bezmezer"/>
        <w:numPr>
          <w:ilvl w:val="0"/>
          <w:numId w:val="13"/>
        </w:numPr>
        <w:spacing w:after="120"/>
        <w:jc w:val="both"/>
      </w:pPr>
      <w:r>
        <w:t xml:space="preserve">předpokládaná </w:t>
      </w:r>
      <w:r w:rsidR="00C75380">
        <w:t xml:space="preserve">společenská </w:t>
      </w:r>
      <w:r>
        <w:t>diskontní sazba 5</w:t>
      </w:r>
      <w:r w:rsidR="00C75380">
        <w:t>,5</w:t>
      </w:r>
      <w:r>
        <w:t>%.</w:t>
      </w:r>
    </w:p>
    <w:p w:rsidR="00401971" w:rsidRDefault="00401971" w:rsidP="00401971">
      <w:pPr>
        <w:pStyle w:val="Bezmezer"/>
        <w:spacing w:after="120"/>
        <w:jc w:val="both"/>
      </w:pPr>
      <w:r>
        <w:t xml:space="preserve">Jednotlivé ukazatele </w:t>
      </w:r>
      <w:r w:rsidR="00C75380">
        <w:t>ekonomické</w:t>
      </w:r>
      <w:r>
        <w:t xml:space="preserve"> analýzy jsou kalkulovány ve dvou situacích. V prvním případě je kalkulována návratnost investice bez započtení přijaté dotace,</w:t>
      </w:r>
      <w:r w:rsidR="009478A1">
        <w:t xml:space="preserve"> v případě druhém je již přijatá</w:t>
      </w:r>
      <w:r>
        <w:t xml:space="preserve"> dotace do výpočtu zahrnuta.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035"/>
        <w:gridCol w:w="1035"/>
        <w:gridCol w:w="1035"/>
        <w:gridCol w:w="1036"/>
        <w:gridCol w:w="1035"/>
        <w:gridCol w:w="1035"/>
        <w:gridCol w:w="1036"/>
      </w:tblGrid>
      <w:tr w:rsidR="001F538D" w:rsidRPr="001F538D" w:rsidTr="001F538D">
        <w:trPr>
          <w:trHeight w:val="315"/>
        </w:trPr>
        <w:tc>
          <w:tcPr>
            <w:tcW w:w="1840" w:type="dxa"/>
            <w:tcBorders>
              <w:top w:val="single" w:sz="8" w:space="0" w:color="72A376"/>
              <w:left w:val="single" w:sz="8" w:space="0" w:color="72A376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Položky CF</w:t>
            </w:r>
          </w:p>
        </w:tc>
        <w:tc>
          <w:tcPr>
            <w:tcW w:w="1035" w:type="dxa"/>
            <w:tcBorders>
              <w:top w:val="single" w:sz="8" w:space="0" w:color="72A376"/>
              <w:left w:val="nil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 (0a)</w:t>
            </w:r>
          </w:p>
        </w:tc>
        <w:tc>
          <w:tcPr>
            <w:tcW w:w="1035" w:type="dxa"/>
            <w:tcBorders>
              <w:top w:val="single" w:sz="8" w:space="0" w:color="72A376"/>
              <w:left w:val="nil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single" w:sz="8" w:space="0" w:color="72A376"/>
              <w:left w:val="nil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8" w:space="0" w:color="72A376"/>
              <w:left w:val="nil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single" w:sz="8" w:space="0" w:color="72A376"/>
              <w:left w:val="nil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8" w:space="0" w:color="72A376"/>
              <w:left w:val="nil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8" w:space="0" w:color="72A376"/>
              <w:left w:val="nil"/>
              <w:bottom w:val="single" w:sz="12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1F538D" w:rsidRPr="001F538D" w:rsidRDefault="001F538D" w:rsidP="001F538D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F5CA1" w:rsidRPr="001F538D" w:rsidTr="001F538D">
        <w:trPr>
          <w:trHeight w:hRule="exact" w:val="330"/>
        </w:trPr>
        <w:tc>
          <w:tcPr>
            <w:tcW w:w="1840" w:type="dxa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 xml:space="preserve">CF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finan</w:t>
            </w: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č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n</w:t>
            </w: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í analýza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-1 000 000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-11 734 588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3 324 343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3 324 343</w:t>
            </w:r>
          </w:p>
        </w:tc>
      </w:tr>
      <w:tr w:rsidR="00BF5CA1" w:rsidRPr="001F538D" w:rsidTr="001F538D">
        <w:trPr>
          <w:trHeight w:hRule="exact" w:val="300"/>
        </w:trPr>
        <w:tc>
          <w:tcPr>
            <w:tcW w:w="1840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Daňové opravy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567 120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567 120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567 120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567 120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567 120</w:t>
            </w:r>
          </w:p>
        </w:tc>
      </w:tr>
      <w:tr w:rsidR="00BF5CA1" w:rsidRPr="001F538D" w:rsidTr="001F538D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</w:tr>
      <w:tr w:rsidR="00BF5CA1" w:rsidRPr="001F538D" w:rsidTr="001F538D">
        <w:trPr>
          <w:trHeight w:hRule="exact" w:val="315"/>
        </w:trPr>
        <w:tc>
          <w:tcPr>
            <w:tcW w:w="1840" w:type="dxa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Přínos zaměstnanosti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2 398 536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2 398 536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2 398 536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2 398 536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2 398 536</w:t>
            </w:r>
          </w:p>
        </w:tc>
      </w:tr>
      <w:tr w:rsidR="00BF5CA1" w:rsidRPr="001F538D" w:rsidTr="001F538D">
        <w:trPr>
          <w:trHeight w:hRule="exact" w:val="435"/>
        </w:trPr>
        <w:tc>
          <w:tcPr>
            <w:tcW w:w="1840" w:type="dxa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Přínos ŽP (černé skládky)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180 000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180 000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180 000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180 000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180 000</w:t>
            </w:r>
          </w:p>
        </w:tc>
      </w:tr>
      <w:tr w:rsidR="00BF5CA1" w:rsidRPr="001F538D" w:rsidTr="001F538D">
        <w:trPr>
          <w:trHeight w:hRule="exact" w:val="435"/>
        </w:trPr>
        <w:tc>
          <w:tcPr>
            <w:tcW w:w="1840" w:type="dxa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CF ekonomická analýza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-1 000 000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-11 734 588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6 469 999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6 469 999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6 469 999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6 469 999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6 469 999</w:t>
            </w:r>
          </w:p>
        </w:tc>
      </w:tr>
      <w:tr w:rsidR="00BF5CA1" w:rsidRPr="001F538D" w:rsidTr="001F538D">
        <w:trPr>
          <w:trHeight w:hRule="exact" w:val="315"/>
        </w:trPr>
        <w:tc>
          <w:tcPr>
            <w:tcW w:w="1840" w:type="dxa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Diskontované CF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-1 000 000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-11 734 588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6 132 700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5 812 986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5 509 940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5 222 692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auto" w:fill="auto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4 950 419</w:t>
            </w:r>
          </w:p>
        </w:tc>
      </w:tr>
      <w:tr w:rsidR="00BF5CA1" w:rsidRPr="001F538D" w:rsidTr="001F538D">
        <w:trPr>
          <w:trHeight w:hRule="exact" w:val="315"/>
        </w:trPr>
        <w:tc>
          <w:tcPr>
            <w:tcW w:w="1840" w:type="dxa"/>
            <w:tcBorders>
              <w:top w:val="nil"/>
              <w:left w:val="single" w:sz="8" w:space="0" w:color="72A376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Pr="001F538D" w:rsidRDefault="00BF5CA1" w:rsidP="001F538D">
            <w:pPr>
              <w:spacing w:after="0"/>
              <w:jc w:val="lef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</w:pPr>
            <w:r w:rsidRPr="001F538D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</w:rPr>
              <w:t>NPV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-1 000 000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-12 734 588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-6 601 888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-788 901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4 721 038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9 943 730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2A376"/>
              <w:right w:val="single" w:sz="8" w:space="0" w:color="72A376"/>
            </w:tcBorders>
            <w:shd w:val="clear" w:color="000000" w:fill="DCE8DC"/>
            <w:vAlign w:val="center"/>
            <w:hideMark/>
          </w:tcPr>
          <w:p w:rsidR="00BF5CA1" w:rsidRDefault="00BF5CA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14 894 148</w:t>
            </w:r>
          </w:p>
        </w:tc>
      </w:tr>
    </w:tbl>
    <w:p w:rsidR="001F538D" w:rsidRDefault="001F538D" w:rsidP="00401971">
      <w:pPr>
        <w:pStyle w:val="Bezmezer"/>
        <w:spacing w:after="120"/>
        <w:jc w:val="both"/>
      </w:pPr>
    </w:p>
    <w:p w:rsidR="00401971" w:rsidRPr="0010388F" w:rsidRDefault="00401971" w:rsidP="00401971">
      <w:pPr>
        <w:pStyle w:val="Bezmezer"/>
        <w:jc w:val="both"/>
        <w:rPr>
          <w:color w:val="FF0000"/>
        </w:rPr>
      </w:pPr>
      <w:r>
        <w:t xml:space="preserve">Výsledky </w:t>
      </w:r>
      <w:r w:rsidR="00C75380">
        <w:t>ekonomické</w:t>
      </w:r>
      <w:r>
        <w:t xml:space="preserve"> analýzy zachycuje následující tabulka.</w:t>
      </w:r>
      <w:r w:rsidR="0010388F">
        <w:t xml:space="preserve"> </w:t>
      </w:r>
      <w:r w:rsidR="0010388F" w:rsidRPr="0010388F">
        <w:rPr>
          <w:color w:val="FF0000"/>
        </w:rPr>
        <w:t>Studenti doplní.</w:t>
      </w:r>
    </w:p>
    <w:p w:rsidR="00531E4E" w:rsidRPr="0010388F" w:rsidRDefault="00531E4E" w:rsidP="00F51B90">
      <w:pPr>
        <w:pStyle w:val="Bezmezer"/>
        <w:jc w:val="both"/>
        <w:rPr>
          <w:color w:val="FF0000"/>
        </w:rPr>
      </w:pPr>
    </w:p>
    <w:p w:rsidR="00C75380" w:rsidRDefault="00C75380" w:rsidP="00C75380">
      <w:pPr>
        <w:pStyle w:val="Bezmezer"/>
        <w:rPr>
          <w:rFonts w:cstheme="minorHAnsi"/>
        </w:rPr>
      </w:pPr>
      <w:r w:rsidRPr="000368E0">
        <w:rPr>
          <w:b/>
          <w:i/>
        </w:rPr>
        <w:t>T</w:t>
      </w:r>
      <w:r w:rsidRPr="00D43137">
        <w:rPr>
          <w:rFonts w:cstheme="minorHAnsi"/>
          <w:b/>
          <w:i/>
        </w:rPr>
        <w:t xml:space="preserve">abulka č. </w:t>
      </w:r>
      <w:r>
        <w:rPr>
          <w:rFonts w:cstheme="minorHAnsi"/>
          <w:b/>
          <w:i/>
        </w:rPr>
        <w:t>11</w:t>
      </w:r>
      <w:r w:rsidRPr="00D43137">
        <w:rPr>
          <w:rFonts w:cstheme="minorHAnsi"/>
          <w:b/>
          <w:i/>
        </w:rPr>
        <w:t>:</w:t>
      </w:r>
      <w:r>
        <w:rPr>
          <w:rFonts w:cstheme="minorHAnsi"/>
        </w:rPr>
        <w:t xml:space="preserve"> Ukazatele ekonomické výnosnosti projektu</w:t>
      </w:r>
    </w:p>
    <w:tbl>
      <w:tblPr>
        <w:tblStyle w:val="Svtlmkazvraznn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C75380" w:rsidTr="00C75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5380" w:rsidRPr="00E51594" w:rsidRDefault="00C75380" w:rsidP="00C75380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C75380" w:rsidRPr="00E51594" w:rsidRDefault="00C75380" w:rsidP="00C7538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Ekonomická čis</w:t>
            </w:r>
            <w:r w:rsidRPr="00E51594">
              <w:rPr>
                <w:rFonts w:asciiTheme="minorHAnsi" w:hAnsiTheme="minorHAnsi" w:cstheme="minorHAnsi"/>
              </w:rPr>
              <w:t>tá současná hodnota</w:t>
            </w:r>
          </w:p>
          <w:p w:rsidR="00C75380" w:rsidRPr="00E51594" w:rsidRDefault="00C75380" w:rsidP="00C7538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E51594">
              <w:rPr>
                <w:rFonts w:asciiTheme="minorHAnsi" w:hAnsiTheme="minorHAnsi" w:cstheme="minorHAnsi"/>
              </w:rPr>
              <w:t>NPV</w:t>
            </w:r>
          </w:p>
        </w:tc>
        <w:tc>
          <w:tcPr>
            <w:tcW w:w="2268" w:type="dxa"/>
          </w:tcPr>
          <w:p w:rsidR="00C75380" w:rsidRPr="00E51594" w:rsidRDefault="008653DC" w:rsidP="00C75380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Doba návratnosti reálná</w:t>
            </w:r>
          </w:p>
        </w:tc>
      </w:tr>
      <w:tr w:rsidR="00C75380" w:rsidTr="00C75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5380" w:rsidRPr="00E51594" w:rsidRDefault="00C75380" w:rsidP="00C75380">
            <w:pPr>
              <w:pStyle w:val="Bezmezer"/>
              <w:rPr>
                <w:rFonts w:asciiTheme="minorHAnsi" w:hAnsiTheme="minorHAnsi" w:cstheme="minorHAnsi"/>
              </w:rPr>
            </w:pPr>
            <w:r w:rsidRPr="00E51594">
              <w:rPr>
                <w:rFonts w:asciiTheme="minorHAnsi" w:hAnsiTheme="minorHAnsi" w:cstheme="minorHAnsi"/>
              </w:rPr>
              <w:t>Výpočet bez započtení dotace</w:t>
            </w:r>
          </w:p>
        </w:tc>
        <w:tc>
          <w:tcPr>
            <w:tcW w:w="2268" w:type="dxa"/>
            <w:vAlign w:val="center"/>
          </w:tcPr>
          <w:p w:rsidR="00C75380" w:rsidRPr="00E51594" w:rsidRDefault="001F538D" w:rsidP="001F538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-29 820 446</w:t>
            </w:r>
          </w:p>
        </w:tc>
        <w:tc>
          <w:tcPr>
            <w:tcW w:w="2268" w:type="dxa"/>
          </w:tcPr>
          <w:p w:rsidR="00C75380" w:rsidRDefault="0010388F" w:rsidP="00C75380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  <w:p w:rsidR="0010388F" w:rsidRPr="00E51594" w:rsidRDefault="0010388F" w:rsidP="00C75380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75380" w:rsidTr="00C75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C75380" w:rsidRPr="00E51594" w:rsidRDefault="00C75380" w:rsidP="00C75380">
            <w:pPr>
              <w:pStyle w:val="Bezmezer"/>
              <w:rPr>
                <w:rFonts w:asciiTheme="minorHAnsi" w:hAnsiTheme="minorHAnsi" w:cstheme="minorHAnsi"/>
              </w:rPr>
            </w:pPr>
            <w:r w:rsidRPr="00E51594">
              <w:rPr>
                <w:rFonts w:asciiTheme="minorHAnsi" w:hAnsiTheme="minorHAnsi" w:cstheme="minorHAnsi"/>
              </w:rPr>
              <w:t>Výpočet se započtením dotace</w:t>
            </w:r>
          </w:p>
        </w:tc>
        <w:tc>
          <w:tcPr>
            <w:tcW w:w="2268" w:type="dxa"/>
            <w:vAlign w:val="center"/>
          </w:tcPr>
          <w:p w:rsidR="00C75380" w:rsidRPr="0010388F" w:rsidRDefault="00BF5CA1" w:rsidP="008653DC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14 894 148</w:t>
            </w:r>
          </w:p>
          <w:p w:rsidR="0010388F" w:rsidRPr="00E51594" w:rsidRDefault="0010388F" w:rsidP="008653DC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75380" w:rsidRPr="00E51594" w:rsidRDefault="00BF5CA1" w:rsidP="00C75380">
            <w:pPr>
              <w:pStyle w:val="Bezmezer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F5CA1">
              <w:rPr>
                <w:rFonts w:cstheme="minorHAnsi"/>
                <w:color w:val="FF0000"/>
              </w:rPr>
              <w:t>3</w:t>
            </w:r>
          </w:p>
        </w:tc>
      </w:tr>
    </w:tbl>
    <w:p w:rsidR="00C75380" w:rsidRDefault="00C75380" w:rsidP="00C75380">
      <w:pPr>
        <w:pStyle w:val="Bezmezer"/>
      </w:pPr>
      <w:r w:rsidRPr="001E527B">
        <w:rPr>
          <w:rFonts w:cstheme="minorHAnsi"/>
          <w:b/>
          <w:i/>
        </w:rPr>
        <w:t>Zdroj:</w:t>
      </w:r>
      <w:r>
        <w:rPr>
          <w:rFonts w:cstheme="minorHAnsi"/>
        </w:rPr>
        <w:t xml:space="preserve"> Vlastní zpracování</w:t>
      </w:r>
    </w:p>
    <w:p w:rsidR="00C75380" w:rsidRDefault="00C75380" w:rsidP="00F51B90">
      <w:pPr>
        <w:pStyle w:val="Bezmezer"/>
        <w:jc w:val="both"/>
      </w:pPr>
    </w:p>
    <w:p w:rsidR="0010388F" w:rsidRDefault="00C75380" w:rsidP="00ED5DEA">
      <w:pPr>
        <w:pStyle w:val="Bezmezer"/>
        <w:spacing w:after="120"/>
        <w:jc w:val="both"/>
      </w:pPr>
      <w:r>
        <w:t xml:space="preserve">Výsledky výpočtu ekonomické analýzy, který vychází z hotovostních toků bez započtení dotace, </w:t>
      </w:r>
      <w:r w:rsidRPr="0010388F">
        <w:rPr>
          <w:b/>
        </w:rPr>
        <w:t>deklarují nepřija</w:t>
      </w:r>
      <w:r w:rsidR="00D4286E" w:rsidRPr="0010388F">
        <w:rPr>
          <w:b/>
        </w:rPr>
        <w:t>telnost projektu</w:t>
      </w:r>
      <w:r w:rsidR="00D4286E">
        <w:t xml:space="preserve">. </w:t>
      </w:r>
    </w:p>
    <w:p w:rsidR="00C75380" w:rsidRDefault="00C75380" w:rsidP="00ED5DEA">
      <w:pPr>
        <w:pStyle w:val="Bezmezer"/>
        <w:spacing w:after="120"/>
        <w:jc w:val="both"/>
      </w:pPr>
      <w:r>
        <w:t xml:space="preserve">Výsledky výpočtu </w:t>
      </w:r>
      <w:r w:rsidR="00ED5DEA">
        <w:t>ekonomické</w:t>
      </w:r>
      <w:r>
        <w:t xml:space="preserve"> analýzy započítávající do hotovostních toků přijatou dotaci již </w:t>
      </w:r>
      <w:r w:rsidR="00ED5DEA">
        <w:t xml:space="preserve">jasně deklarují </w:t>
      </w:r>
      <w:r w:rsidRPr="0010388F">
        <w:rPr>
          <w:b/>
        </w:rPr>
        <w:t>přijatelnost předkládaného projektu</w:t>
      </w:r>
      <w:r>
        <w:t xml:space="preserve">. </w:t>
      </w:r>
      <w:r w:rsidR="00ED5DEA">
        <w:t>Kladná hodnota ukazatele ENPV dokazuje celospolečenskou vhodnost investice.</w:t>
      </w:r>
    </w:p>
    <w:p w:rsidR="00ED5DEA" w:rsidRDefault="0010388F" w:rsidP="0010388F">
      <w:pPr>
        <w:pStyle w:val="Nadpis2"/>
        <w:rPr>
          <w:rFonts w:eastAsia="Times New Roman"/>
        </w:rPr>
      </w:pPr>
      <w:bookmarkStart w:id="10" w:name="_Toc261423680"/>
      <w:r>
        <w:rPr>
          <w:rFonts w:eastAsia="Times New Roman"/>
        </w:rPr>
        <w:t>Vyhodnocení přijatelnosti projektu</w:t>
      </w:r>
      <w:bookmarkEnd w:id="10"/>
    </w:p>
    <w:p w:rsidR="00ED5DEA" w:rsidRDefault="00ED5DEA" w:rsidP="00ED5DEA">
      <w:pPr>
        <w:pStyle w:val="Bezmezer"/>
        <w:jc w:val="both"/>
      </w:pPr>
    </w:p>
    <w:p w:rsidR="00ED5DEA" w:rsidRDefault="00ED5DEA" w:rsidP="00E400CF">
      <w:pPr>
        <w:pStyle w:val="Bezmezer"/>
        <w:spacing w:after="120"/>
        <w:jc w:val="both"/>
      </w:pPr>
      <w:r>
        <w:t xml:space="preserve">Na základě zpracovaných analýz lze k přijatelnosti projektu „Regionální odpadové centrum Znojmo“ přijmout následující </w:t>
      </w:r>
      <w:proofErr w:type="gramStart"/>
      <w:r>
        <w:t>stanoviska:</w:t>
      </w:r>
      <w:r w:rsidR="0010388F">
        <w:t xml:space="preserve">   </w:t>
      </w:r>
      <w:r w:rsidR="0010388F" w:rsidRPr="0010388F">
        <w:rPr>
          <w:color w:val="FF0000"/>
        </w:rPr>
        <w:t>měli</w:t>
      </w:r>
      <w:proofErr w:type="gramEnd"/>
      <w:r w:rsidR="0010388F" w:rsidRPr="0010388F">
        <w:rPr>
          <w:color w:val="FF0000"/>
        </w:rPr>
        <w:t xml:space="preserve"> by vymyslet studenti</w:t>
      </w:r>
    </w:p>
    <w:p w:rsidR="00BC0C74" w:rsidRPr="0010388F" w:rsidRDefault="00BC0C74" w:rsidP="00DC466E">
      <w:pPr>
        <w:pStyle w:val="Odstavecseseznamem"/>
        <w:numPr>
          <w:ilvl w:val="0"/>
          <w:numId w:val="14"/>
        </w:numPr>
        <w:rPr>
          <w:color w:val="FF0000"/>
        </w:rPr>
      </w:pPr>
      <w:r w:rsidRPr="0010388F">
        <w:rPr>
          <w:color w:val="FF0000"/>
        </w:rPr>
        <w:t>Na základě výsledků finanční analýzy lze projekt označit za projekt neziskový a závislý na získání podpory v podobě dotace. V případě získání této podpory v potřebné výši se projekt stává ziskovým a přijatelným.</w:t>
      </w:r>
    </w:p>
    <w:p w:rsidR="00BC0C74" w:rsidRPr="0010388F" w:rsidRDefault="00BC0C74" w:rsidP="00DC466E">
      <w:pPr>
        <w:pStyle w:val="Odstavecseseznamem"/>
        <w:numPr>
          <w:ilvl w:val="0"/>
          <w:numId w:val="14"/>
        </w:numPr>
        <w:rPr>
          <w:color w:val="FF0000"/>
        </w:rPr>
      </w:pPr>
      <w:r w:rsidRPr="0010388F">
        <w:rPr>
          <w:color w:val="FF0000"/>
        </w:rPr>
        <w:t>V provozní fázi vykazuje projekt kladné hodnoty kumulovaných hotovostních toků a tudíž je zajištěna jeho finanční udržitelnost.</w:t>
      </w:r>
    </w:p>
    <w:p w:rsidR="008653DC" w:rsidRPr="0010388F" w:rsidRDefault="00BC0C74" w:rsidP="00DC466E">
      <w:pPr>
        <w:pStyle w:val="Odstavecseseznamem"/>
        <w:numPr>
          <w:ilvl w:val="0"/>
          <w:numId w:val="14"/>
        </w:numPr>
        <w:rPr>
          <w:color w:val="FF0000"/>
        </w:rPr>
      </w:pPr>
      <w:r w:rsidRPr="0010388F">
        <w:rPr>
          <w:color w:val="FF0000"/>
        </w:rPr>
        <w:t>Na základě výsledků ekonomické analýzy a s přihlédnutím k souvisejícím pozitivním vlivům na životní prostředí lze projekt označit za projekt celospolečensky prospěšný.</w:t>
      </w:r>
    </w:p>
    <w:p w:rsidR="00ED5DEA" w:rsidRPr="0010388F" w:rsidRDefault="00BC0C74" w:rsidP="00DC466E">
      <w:pPr>
        <w:pStyle w:val="Odstavecseseznamem"/>
        <w:numPr>
          <w:ilvl w:val="0"/>
          <w:numId w:val="14"/>
        </w:numPr>
        <w:rPr>
          <w:color w:val="FF0000"/>
        </w:rPr>
      </w:pPr>
      <w:r w:rsidRPr="0010388F">
        <w:rPr>
          <w:color w:val="FF0000"/>
        </w:rPr>
        <w:t>Na základě těchto stanovisek lze doporučit realizaci projektu „Regionální odpadové centrum Znojmo“ v</w:t>
      </w:r>
      <w:r w:rsidR="00E400CF" w:rsidRPr="0010388F">
        <w:rPr>
          <w:color w:val="FF0000"/>
        </w:rPr>
        <w:t> plném rozsahu.</w:t>
      </w:r>
    </w:p>
    <w:sectPr w:rsidR="00ED5DEA" w:rsidRPr="0010388F" w:rsidSect="00C744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63" w:rsidRDefault="00204C63" w:rsidP="00DC466E">
      <w:r>
        <w:separator/>
      </w:r>
    </w:p>
  </w:endnote>
  <w:endnote w:type="continuationSeparator" w:id="0">
    <w:p w:rsidR="00204C63" w:rsidRDefault="00204C63" w:rsidP="00DC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01"/>
      <w:docPartObj>
        <w:docPartGallery w:val="Page Numbers (Bottom of Page)"/>
        <w:docPartUnique/>
      </w:docPartObj>
    </w:sdtPr>
    <w:sdtEndPr/>
    <w:sdtContent>
      <w:p w:rsidR="00714B4B" w:rsidRDefault="00714B4B" w:rsidP="00DC466E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E9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14B4B" w:rsidRDefault="00714B4B" w:rsidP="00DC46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63" w:rsidRDefault="00204C63" w:rsidP="00DC466E">
      <w:r>
        <w:separator/>
      </w:r>
    </w:p>
  </w:footnote>
  <w:footnote w:type="continuationSeparator" w:id="0">
    <w:p w:rsidR="00204C63" w:rsidRDefault="00204C63" w:rsidP="00DC466E">
      <w:r>
        <w:continuationSeparator/>
      </w:r>
    </w:p>
  </w:footnote>
  <w:footnote w:id="1">
    <w:p w:rsidR="00714B4B" w:rsidRDefault="00714B4B">
      <w:pPr>
        <w:pStyle w:val="Textpoznpodarou"/>
      </w:pPr>
      <w:r>
        <w:rPr>
          <w:rStyle w:val="Znakapoznpodarou"/>
        </w:rPr>
        <w:footnoteRef/>
      </w:r>
      <w:r>
        <w:t xml:space="preserve"> To znamená, že jsou DPH není uvažováno, vstupovalo by totiž jak do </w:t>
      </w:r>
      <w:proofErr w:type="gramStart"/>
      <w:r>
        <w:t>nákladů tak</w:t>
      </w:r>
      <w:proofErr w:type="gramEnd"/>
      <w:r>
        <w:t xml:space="preserve"> do výnosů.</w:t>
      </w:r>
    </w:p>
  </w:footnote>
  <w:footnote w:id="2">
    <w:p w:rsidR="00714B4B" w:rsidRDefault="00714B4B" w:rsidP="00DC46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952034">
        <w:rPr>
          <w:i/>
          <w:iCs/>
        </w:rPr>
        <w:t>Guide</w:t>
      </w:r>
      <w:proofErr w:type="spellEnd"/>
      <w:r w:rsidRPr="00952034">
        <w:rPr>
          <w:i/>
          <w:iCs/>
        </w:rPr>
        <w:t xml:space="preserve"> to Cost Benefit Analysis of </w:t>
      </w:r>
      <w:proofErr w:type="spellStart"/>
      <w:r w:rsidRPr="00952034">
        <w:rPr>
          <w:i/>
          <w:iCs/>
        </w:rPr>
        <w:t>Investment</w:t>
      </w:r>
      <w:proofErr w:type="spellEnd"/>
      <w:r w:rsidRPr="00952034">
        <w:rPr>
          <w:i/>
          <w:iCs/>
        </w:rPr>
        <w:t xml:space="preserve"> </w:t>
      </w:r>
      <w:proofErr w:type="spellStart"/>
      <w:r w:rsidRPr="00952034">
        <w:rPr>
          <w:i/>
          <w:iCs/>
        </w:rPr>
        <w:t>Projects</w:t>
      </w:r>
      <w:proofErr w:type="spellEnd"/>
      <w:r w:rsidRPr="00952034">
        <w:t xml:space="preserve">. </w:t>
      </w:r>
      <w:proofErr w:type="gramStart"/>
      <w:r w:rsidRPr="00952034">
        <w:t xml:space="preserve">EU : </w:t>
      </w:r>
      <w:proofErr w:type="spellStart"/>
      <w:r w:rsidRPr="00952034">
        <w:t>European</w:t>
      </w:r>
      <w:proofErr w:type="spellEnd"/>
      <w:proofErr w:type="gramEnd"/>
      <w:r w:rsidRPr="00952034">
        <w:t xml:space="preserve"> </w:t>
      </w:r>
      <w:proofErr w:type="spellStart"/>
      <w:r w:rsidRPr="00952034">
        <w:t>Commision</w:t>
      </w:r>
      <w:proofErr w:type="spellEnd"/>
      <w:r w:rsidRPr="00952034">
        <w:t xml:space="preserve"> </w:t>
      </w:r>
      <w:proofErr w:type="spellStart"/>
      <w:r w:rsidRPr="00952034">
        <w:t>Directorate</w:t>
      </w:r>
      <w:proofErr w:type="spellEnd"/>
      <w:r w:rsidRPr="00952034">
        <w:t xml:space="preserve"> General </w:t>
      </w:r>
      <w:proofErr w:type="spellStart"/>
      <w:r w:rsidRPr="00952034">
        <w:t>Regional</w:t>
      </w:r>
      <w:proofErr w:type="spellEnd"/>
      <w:r w:rsidRPr="00952034">
        <w:t xml:space="preserve"> </w:t>
      </w:r>
      <w:proofErr w:type="spellStart"/>
      <w:r w:rsidRPr="00952034">
        <w:t>Policy</w:t>
      </w:r>
      <w:proofErr w:type="spellEnd"/>
      <w:r w:rsidRPr="00952034">
        <w:t>, July 2008. 257 s.</w:t>
      </w:r>
    </w:p>
  </w:footnote>
  <w:footnote w:id="3">
    <w:p w:rsidR="00714B4B" w:rsidRDefault="00714B4B" w:rsidP="00DC466E">
      <w:pPr>
        <w:pStyle w:val="Textpoznpodarou"/>
      </w:pPr>
      <w:r>
        <w:rPr>
          <w:rStyle w:val="Znakapoznpodarou"/>
        </w:rPr>
        <w:footnoteRef/>
      </w:r>
      <w:r>
        <w:t xml:space="preserve"> Město Znojmo bylo v posledních 5 letech nuceno odstraňovat 15 černých skládek, přičemž náklady na odstranění se pohybovali v rozmezí 30 000 Kč (1 černá skládka) až 250 000 Kč (2 černé skládky).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4B" w:rsidRPr="00147C2B" w:rsidRDefault="00714B4B" w:rsidP="00DC466E">
    <w:pPr>
      <w:pStyle w:val="EnviroAdvis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7978F" wp14:editId="471E52AB">
              <wp:simplePos x="0" y="0"/>
              <wp:positionH relativeFrom="column">
                <wp:posOffset>24130</wp:posOffset>
              </wp:positionH>
              <wp:positionV relativeFrom="paragraph">
                <wp:posOffset>169545</wp:posOffset>
              </wp:positionV>
              <wp:extent cx="5591175" cy="635"/>
              <wp:effectExtent l="14605" t="17145" r="1397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91175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9pt;margin-top:13.35pt;width:440.2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" strokecolor="#75a675 [2405]" strokeweight="1.25pt"/>
          </w:pict>
        </mc:Fallback>
      </mc:AlternateContent>
    </w:r>
    <w:r>
      <w:t xml:space="preserve"> </w:t>
    </w:r>
    <w:r w:rsidRPr="00147C2B">
      <w:t>Regionální odpadové centrum Znojmo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35A"/>
    <w:multiLevelType w:val="hybridMultilevel"/>
    <w:tmpl w:val="A52E5CFE"/>
    <w:lvl w:ilvl="0" w:tplc="840AEE40">
      <w:start w:val="11"/>
      <w:numFmt w:val="bullet"/>
      <w:lvlText w:val="-"/>
      <w:lvlJc w:val="left"/>
      <w:pPr>
        <w:ind w:left="29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0E807212"/>
    <w:multiLevelType w:val="hybridMultilevel"/>
    <w:tmpl w:val="D3A0601E"/>
    <w:lvl w:ilvl="0" w:tplc="FFFFFFF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C339B"/>
    <w:multiLevelType w:val="hybridMultilevel"/>
    <w:tmpl w:val="E7AEA5B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8C27BE1"/>
    <w:multiLevelType w:val="hybridMultilevel"/>
    <w:tmpl w:val="9212404A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F0AF0"/>
    <w:multiLevelType w:val="hybridMultilevel"/>
    <w:tmpl w:val="B860B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C3F8C"/>
    <w:multiLevelType w:val="hybridMultilevel"/>
    <w:tmpl w:val="17FECDAE"/>
    <w:lvl w:ilvl="0" w:tplc="2DF208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ABCF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C3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E9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A5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2C1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252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8E0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5E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87BE2"/>
    <w:multiLevelType w:val="hybridMultilevel"/>
    <w:tmpl w:val="F9AAB5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76162"/>
    <w:multiLevelType w:val="hybridMultilevel"/>
    <w:tmpl w:val="5D8C5D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53856"/>
    <w:multiLevelType w:val="hybridMultilevel"/>
    <w:tmpl w:val="2BFCE3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654D7"/>
    <w:multiLevelType w:val="hybridMultilevel"/>
    <w:tmpl w:val="F7F65B9C"/>
    <w:lvl w:ilvl="0" w:tplc="DDC4497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6A6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849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AA4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49F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6792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60F4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2724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C62D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412D2"/>
    <w:multiLevelType w:val="hybridMultilevel"/>
    <w:tmpl w:val="6CB60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36505"/>
    <w:multiLevelType w:val="hybridMultilevel"/>
    <w:tmpl w:val="982EB09A"/>
    <w:lvl w:ilvl="0" w:tplc="D224425E">
      <w:start w:val="11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9AC572F"/>
    <w:multiLevelType w:val="hybridMultilevel"/>
    <w:tmpl w:val="2716D9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F4E85"/>
    <w:multiLevelType w:val="hybridMultilevel"/>
    <w:tmpl w:val="11F67754"/>
    <w:lvl w:ilvl="0" w:tplc="48E008D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D5E2DD8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B8A9518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E63B1C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84A76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9468EC6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2CD5D6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84EAF6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BA8797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6D41CA"/>
    <w:multiLevelType w:val="hybridMultilevel"/>
    <w:tmpl w:val="29CA7216"/>
    <w:lvl w:ilvl="0" w:tplc="13866F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44FDE">
      <w:start w:val="198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E43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487D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A730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66F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6EC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6F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290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A76B0"/>
    <w:multiLevelType w:val="hybridMultilevel"/>
    <w:tmpl w:val="18B6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C2392"/>
    <w:multiLevelType w:val="hybridMultilevel"/>
    <w:tmpl w:val="94CE2E6C"/>
    <w:lvl w:ilvl="0" w:tplc="476EA5B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02BE2">
      <w:start w:val="256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087E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AC6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63BE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ECDE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33B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2D85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E513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77597"/>
    <w:multiLevelType w:val="hybridMultilevel"/>
    <w:tmpl w:val="C7A0C412"/>
    <w:lvl w:ilvl="0" w:tplc="0405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>
    <w:nsid w:val="4D09246D"/>
    <w:multiLevelType w:val="hybridMultilevel"/>
    <w:tmpl w:val="3E769946"/>
    <w:lvl w:ilvl="0" w:tplc="BA249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30926"/>
    <w:multiLevelType w:val="hybridMultilevel"/>
    <w:tmpl w:val="3278A254"/>
    <w:lvl w:ilvl="0" w:tplc="61323AE8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hint="default"/>
      </w:rPr>
    </w:lvl>
  </w:abstractNum>
  <w:abstractNum w:abstractNumId="20">
    <w:nsid w:val="605A3295"/>
    <w:multiLevelType w:val="hybridMultilevel"/>
    <w:tmpl w:val="C13CAD62"/>
    <w:lvl w:ilvl="0" w:tplc="13866F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8302E">
      <w:start w:val="1"/>
      <w:numFmt w:val="decimal"/>
      <w:lvlText w:val="Krok 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53EE43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487D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A730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66F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6EC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6F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290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65BE4"/>
    <w:multiLevelType w:val="hybridMultilevel"/>
    <w:tmpl w:val="FDE045A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9F70752"/>
    <w:multiLevelType w:val="hybridMultilevel"/>
    <w:tmpl w:val="FE686EE8"/>
    <w:lvl w:ilvl="0" w:tplc="1B0289A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2D3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0D70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232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6C704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4436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667E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6516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4A74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1B590A"/>
    <w:multiLevelType w:val="hybridMultilevel"/>
    <w:tmpl w:val="FE828434"/>
    <w:lvl w:ilvl="0" w:tplc="2E42F614">
      <w:start w:val="11"/>
      <w:numFmt w:val="bullet"/>
      <w:lvlText w:val="-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5191AEC"/>
    <w:multiLevelType w:val="hybridMultilevel"/>
    <w:tmpl w:val="29A4028A"/>
    <w:lvl w:ilvl="0" w:tplc="B48A8D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CF8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CDA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47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32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CC7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8E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EE5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21D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C177DB"/>
    <w:multiLevelType w:val="hybridMultilevel"/>
    <w:tmpl w:val="B9CAFFEA"/>
    <w:lvl w:ilvl="0" w:tplc="38AED33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3200AC" w:tentative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A0E3BC" w:tentative="1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1025AA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B822A74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B42CB88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120D9C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6F6C768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C20898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B05C30"/>
    <w:multiLevelType w:val="multilevel"/>
    <w:tmpl w:val="6994DFE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>
    <w:nsid w:val="7AB13972"/>
    <w:multiLevelType w:val="hybridMultilevel"/>
    <w:tmpl w:val="0C58E8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17"/>
  </w:num>
  <w:num w:numId="5">
    <w:abstractNumId w:val="6"/>
  </w:num>
  <w:num w:numId="6">
    <w:abstractNumId w:val="10"/>
  </w:num>
  <w:num w:numId="7">
    <w:abstractNumId w:val="19"/>
  </w:num>
  <w:num w:numId="8">
    <w:abstractNumId w:val="3"/>
  </w:num>
  <w:num w:numId="9">
    <w:abstractNumId w:val="7"/>
  </w:num>
  <w:num w:numId="10">
    <w:abstractNumId w:val="18"/>
  </w:num>
  <w:num w:numId="11">
    <w:abstractNumId w:val="26"/>
  </w:num>
  <w:num w:numId="12">
    <w:abstractNumId w:val="1"/>
  </w:num>
  <w:num w:numId="13">
    <w:abstractNumId w:val="27"/>
  </w:num>
  <w:num w:numId="14">
    <w:abstractNumId w:val="12"/>
  </w:num>
  <w:num w:numId="15">
    <w:abstractNumId w:val="8"/>
  </w:num>
  <w:num w:numId="16">
    <w:abstractNumId w:val="14"/>
  </w:num>
  <w:num w:numId="17">
    <w:abstractNumId w:val="20"/>
  </w:num>
  <w:num w:numId="18">
    <w:abstractNumId w:val="25"/>
  </w:num>
  <w:num w:numId="19">
    <w:abstractNumId w:val="13"/>
  </w:num>
  <w:num w:numId="20">
    <w:abstractNumId w:val="9"/>
  </w:num>
  <w:num w:numId="21">
    <w:abstractNumId w:val="22"/>
  </w:num>
  <w:num w:numId="22">
    <w:abstractNumId w:val="16"/>
  </w:num>
  <w:num w:numId="23">
    <w:abstractNumId w:val="5"/>
  </w:num>
  <w:num w:numId="24">
    <w:abstractNumId w:val="24"/>
  </w:num>
  <w:num w:numId="25">
    <w:abstractNumId w:val="26"/>
  </w:num>
  <w:num w:numId="26">
    <w:abstractNumId w:val="21"/>
  </w:num>
  <w:num w:numId="27">
    <w:abstractNumId w:val="26"/>
  </w:num>
  <w:num w:numId="28">
    <w:abstractNumId w:val="26"/>
  </w:num>
  <w:num w:numId="29">
    <w:abstractNumId w:val="26"/>
  </w:num>
  <w:num w:numId="30">
    <w:abstractNumId w:val="4"/>
  </w:num>
  <w:num w:numId="31">
    <w:abstractNumId w:val="26"/>
  </w:num>
  <w:num w:numId="32">
    <w:abstractNumId w:val="15"/>
  </w:num>
  <w:num w:numId="33">
    <w:abstractNumId w:val="26"/>
  </w:num>
  <w:num w:numId="34">
    <w:abstractNumId w:val="2"/>
  </w:num>
  <w:num w:numId="35">
    <w:abstractNumId w:val="26"/>
  </w:num>
  <w:num w:numId="36">
    <w:abstractNumId w:val="2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2B"/>
    <w:rsid w:val="0001496A"/>
    <w:rsid w:val="00021A08"/>
    <w:rsid w:val="000368E0"/>
    <w:rsid w:val="00043DB5"/>
    <w:rsid w:val="00054263"/>
    <w:rsid w:val="00055410"/>
    <w:rsid w:val="0007126C"/>
    <w:rsid w:val="00074322"/>
    <w:rsid w:val="00091FB7"/>
    <w:rsid w:val="00096603"/>
    <w:rsid w:val="00096E3D"/>
    <w:rsid w:val="000B3028"/>
    <w:rsid w:val="000B34EA"/>
    <w:rsid w:val="000C0491"/>
    <w:rsid w:val="000F4319"/>
    <w:rsid w:val="000F78AC"/>
    <w:rsid w:val="0010388F"/>
    <w:rsid w:val="001077C7"/>
    <w:rsid w:val="00125BA8"/>
    <w:rsid w:val="0013270F"/>
    <w:rsid w:val="00147C2B"/>
    <w:rsid w:val="00182A07"/>
    <w:rsid w:val="00183A23"/>
    <w:rsid w:val="00193A0B"/>
    <w:rsid w:val="00194B3D"/>
    <w:rsid w:val="001952C3"/>
    <w:rsid w:val="001A0AFE"/>
    <w:rsid w:val="001A4CDF"/>
    <w:rsid w:val="001D7834"/>
    <w:rsid w:val="001E527B"/>
    <w:rsid w:val="001F538D"/>
    <w:rsid w:val="00204C63"/>
    <w:rsid w:val="0020626D"/>
    <w:rsid w:val="00210A64"/>
    <w:rsid w:val="00222E9B"/>
    <w:rsid w:val="00241F32"/>
    <w:rsid w:val="00252F1A"/>
    <w:rsid w:val="002748C3"/>
    <w:rsid w:val="00277655"/>
    <w:rsid w:val="00291E22"/>
    <w:rsid w:val="002B3228"/>
    <w:rsid w:val="002B4BF0"/>
    <w:rsid w:val="002B5637"/>
    <w:rsid w:val="002B7BED"/>
    <w:rsid w:val="002C19CE"/>
    <w:rsid w:val="002F30E5"/>
    <w:rsid w:val="002F4A94"/>
    <w:rsid w:val="0033129C"/>
    <w:rsid w:val="0033499F"/>
    <w:rsid w:val="00350AE9"/>
    <w:rsid w:val="00360320"/>
    <w:rsid w:val="003665E8"/>
    <w:rsid w:val="00372BE3"/>
    <w:rsid w:val="00375645"/>
    <w:rsid w:val="003758D9"/>
    <w:rsid w:val="00380394"/>
    <w:rsid w:val="003B51A3"/>
    <w:rsid w:val="003B54AD"/>
    <w:rsid w:val="003C1E6B"/>
    <w:rsid w:val="003D3376"/>
    <w:rsid w:val="003E6DB6"/>
    <w:rsid w:val="003E6FAC"/>
    <w:rsid w:val="004018DE"/>
    <w:rsid w:val="00401971"/>
    <w:rsid w:val="00403BF8"/>
    <w:rsid w:val="004052A8"/>
    <w:rsid w:val="00415D82"/>
    <w:rsid w:val="004162A6"/>
    <w:rsid w:val="00442A62"/>
    <w:rsid w:val="00443E7C"/>
    <w:rsid w:val="00462F0E"/>
    <w:rsid w:val="00463D2C"/>
    <w:rsid w:val="004669EA"/>
    <w:rsid w:val="00481890"/>
    <w:rsid w:val="004A0442"/>
    <w:rsid w:val="004D6822"/>
    <w:rsid w:val="004F2CA1"/>
    <w:rsid w:val="004F3CDD"/>
    <w:rsid w:val="004F5621"/>
    <w:rsid w:val="005214CF"/>
    <w:rsid w:val="00531E4E"/>
    <w:rsid w:val="0053608F"/>
    <w:rsid w:val="00543D54"/>
    <w:rsid w:val="00547357"/>
    <w:rsid w:val="0056364E"/>
    <w:rsid w:val="00576572"/>
    <w:rsid w:val="00584A7E"/>
    <w:rsid w:val="00602F4B"/>
    <w:rsid w:val="00612844"/>
    <w:rsid w:val="00615290"/>
    <w:rsid w:val="00615516"/>
    <w:rsid w:val="00620577"/>
    <w:rsid w:val="0062352C"/>
    <w:rsid w:val="00637DEC"/>
    <w:rsid w:val="00650A8C"/>
    <w:rsid w:val="00653498"/>
    <w:rsid w:val="00654593"/>
    <w:rsid w:val="0066299F"/>
    <w:rsid w:val="0067178B"/>
    <w:rsid w:val="00684F8C"/>
    <w:rsid w:val="006868B2"/>
    <w:rsid w:val="006A0145"/>
    <w:rsid w:val="006B46D3"/>
    <w:rsid w:val="006D4854"/>
    <w:rsid w:val="006E557C"/>
    <w:rsid w:val="006F26F9"/>
    <w:rsid w:val="006F55C1"/>
    <w:rsid w:val="006F5C3D"/>
    <w:rsid w:val="00706EAA"/>
    <w:rsid w:val="0071475F"/>
    <w:rsid w:val="00714B4B"/>
    <w:rsid w:val="00717721"/>
    <w:rsid w:val="00732F19"/>
    <w:rsid w:val="0073538A"/>
    <w:rsid w:val="00741C40"/>
    <w:rsid w:val="00745AD4"/>
    <w:rsid w:val="00761F5D"/>
    <w:rsid w:val="007A5A37"/>
    <w:rsid w:val="007A735E"/>
    <w:rsid w:val="007A7D21"/>
    <w:rsid w:val="007C64AC"/>
    <w:rsid w:val="007D444C"/>
    <w:rsid w:val="007D5AAB"/>
    <w:rsid w:val="007F24DD"/>
    <w:rsid w:val="007F2A1D"/>
    <w:rsid w:val="007F5417"/>
    <w:rsid w:val="008015BF"/>
    <w:rsid w:val="00802919"/>
    <w:rsid w:val="008056E1"/>
    <w:rsid w:val="00814B95"/>
    <w:rsid w:val="0082320B"/>
    <w:rsid w:val="0083238B"/>
    <w:rsid w:val="0084144B"/>
    <w:rsid w:val="0084393D"/>
    <w:rsid w:val="00864DB8"/>
    <w:rsid w:val="008653DC"/>
    <w:rsid w:val="008B478E"/>
    <w:rsid w:val="008B78F5"/>
    <w:rsid w:val="008C0E98"/>
    <w:rsid w:val="008E3E6F"/>
    <w:rsid w:val="008E4C4E"/>
    <w:rsid w:val="009132E5"/>
    <w:rsid w:val="00935D82"/>
    <w:rsid w:val="009478A1"/>
    <w:rsid w:val="00952034"/>
    <w:rsid w:val="00955289"/>
    <w:rsid w:val="009936D2"/>
    <w:rsid w:val="009A188B"/>
    <w:rsid w:val="009B48EC"/>
    <w:rsid w:val="009B79F1"/>
    <w:rsid w:val="00A02176"/>
    <w:rsid w:val="00A02669"/>
    <w:rsid w:val="00A03E08"/>
    <w:rsid w:val="00A1247A"/>
    <w:rsid w:val="00A14A83"/>
    <w:rsid w:val="00A20F2B"/>
    <w:rsid w:val="00A23FC2"/>
    <w:rsid w:val="00A3386E"/>
    <w:rsid w:val="00A45C8B"/>
    <w:rsid w:val="00A552D2"/>
    <w:rsid w:val="00A73B73"/>
    <w:rsid w:val="00A75707"/>
    <w:rsid w:val="00A758C6"/>
    <w:rsid w:val="00A94C92"/>
    <w:rsid w:val="00A97949"/>
    <w:rsid w:val="00AB60C2"/>
    <w:rsid w:val="00AC7C81"/>
    <w:rsid w:val="00AE7C0D"/>
    <w:rsid w:val="00AF41B9"/>
    <w:rsid w:val="00AF4468"/>
    <w:rsid w:val="00B03F17"/>
    <w:rsid w:val="00B12018"/>
    <w:rsid w:val="00B145BB"/>
    <w:rsid w:val="00B22D82"/>
    <w:rsid w:val="00B339BC"/>
    <w:rsid w:val="00B408D3"/>
    <w:rsid w:val="00B4520E"/>
    <w:rsid w:val="00B61890"/>
    <w:rsid w:val="00B65328"/>
    <w:rsid w:val="00B70C05"/>
    <w:rsid w:val="00B817CE"/>
    <w:rsid w:val="00B82F56"/>
    <w:rsid w:val="00BC0C74"/>
    <w:rsid w:val="00BC1376"/>
    <w:rsid w:val="00BD3635"/>
    <w:rsid w:val="00BD47D2"/>
    <w:rsid w:val="00BE2B5A"/>
    <w:rsid w:val="00BE5153"/>
    <w:rsid w:val="00BF101D"/>
    <w:rsid w:val="00BF5CA1"/>
    <w:rsid w:val="00BF5DFB"/>
    <w:rsid w:val="00C00DF1"/>
    <w:rsid w:val="00C104AE"/>
    <w:rsid w:val="00C108FA"/>
    <w:rsid w:val="00C12451"/>
    <w:rsid w:val="00C43731"/>
    <w:rsid w:val="00C457DD"/>
    <w:rsid w:val="00C57AA3"/>
    <w:rsid w:val="00C6760C"/>
    <w:rsid w:val="00C67FCD"/>
    <w:rsid w:val="00C7445A"/>
    <w:rsid w:val="00C75380"/>
    <w:rsid w:val="00CA011A"/>
    <w:rsid w:val="00CA4BE4"/>
    <w:rsid w:val="00CA686D"/>
    <w:rsid w:val="00CB413A"/>
    <w:rsid w:val="00CB67B1"/>
    <w:rsid w:val="00CC3ACA"/>
    <w:rsid w:val="00CC7E1E"/>
    <w:rsid w:val="00CD3CDC"/>
    <w:rsid w:val="00CF5590"/>
    <w:rsid w:val="00D0743E"/>
    <w:rsid w:val="00D12F51"/>
    <w:rsid w:val="00D1475B"/>
    <w:rsid w:val="00D210CC"/>
    <w:rsid w:val="00D346D8"/>
    <w:rsid w:val="00D4286E"/>
    <w:rsid w:val="00D43137"/>
    <w:rsid w:val="00D44D1C"/>
    <w:rsid w:val="00D47E96"/>
    <w:rsid w:val="00D60671"/>
    <w:rsid w:val="00D666D3"/>
    <w:rsid w:val="00D9303F"/>
    <w:rsid w:val="00DC466E"/>
    <w:rsid w:val="00DC47BF"/>
    <w:rsid w:val="00DD021A"/>
    <w:rsid w:val="00DE5913"/>
    <w:rsid w:val="00DE623B"/>
    <w:rsid w:val="00E0284F"/>
    <w:rsid w:val="00E05862"/>
    <w:rsid w:val="00E27EA4"/>
    <w:rsid w:val="00E3100F"/>
    <w:rsid w:val="00E334E2"/>
    <w:rsid w:val="00E3499E"/>
    <w:rsid w:val="00E400CF"/>
    <w:rsid w:val="00E51594"/>
    <w:rsid w:val="00E532AD"/>
    <w:rsid w:val="00E55650"/>
    <w:rsid w:val="00E55AE6"/>
    <w:rsid w:val="00E6156E"/>
    <w:rsid w:val="00E8669D"/>
    <w:rsid w:val="00E87679"/>
    <w:rsid w:val="00E87831"/>
    <w:rsid w:val="00E97C86"/>
    <w:rsid w:val="00EC318B"/>
    <w:rsid w:val="00ED5DEA"/>
    <w:rsid w:val="00EE3372"/>
    <w:rsid w:val="00EE3BC5"/>
    <w:rsid w:val="00EF2156"/>
    <w:rsid w:val="00EF6228"/>
    <w:rsid w:val="00EF68AA"/>
    <w:rsid w:val="00EF6C77"/>
    <w:rsid w:val="00F23F17"/>
    <w:rsid w:val="00F257DF"/>
    <w:rsid w:val="00F277EB"/>
    <w:rsid w:val="00F37017"/>
    <w:rsid w:val="00F50C3A"/>
    <w:rsid w:val="00F51B90"/>
    <w:rsid w:val="00F61F26"/>
    <w:rsid w:val="00F65F46"/>
    <w:rsid w:val="00F71DEF"/>
    <w:rsid w:val="00F825E4"/>
    <w:rsid w:val="00F82BF2"/>
    <w:rsid w:val="00F97BF2"/>
    <w:rsid w:val="00FB263B"/>
    <w:rsid w:val="00FB532E"/>
    <w:rsid w:val="00FC1D1E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66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B51A3"/>
    <w:pPr>
      <w:keepNext/>
      <w:keepLines/>
      <w:numPr>
        <w:numId w:val="11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D54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52A8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457DD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57DD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57DD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57DD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57DD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57DD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C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C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7C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7C2B"/>
  </w:style>
  <w:style w:type="paragraph" w:styleId="Zpat">
    <w:name w:val="footer"/>
    <w:basedOn w:val="Normln"/>
    <w:link w:val="ZpatChar"/>
    <w:uiPriority w:val="99"/>
    <w:unhideWhenUsed/>
    <w:rsid w:val="00147C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47C2B"/>
  </w:style>
  <w:style w:type="paragraph" w:styleId="Bezmezer">
    <w:name w:val="No Spacing"/>
    <w:link w:val="BezmezerChar"/>
    <w:uiPriority w:val="1"/>
    <w:qFormat/>
    <w:rsid w:val="00147C2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47C2B"/>
    <w:rPr>
      <w:rFonts w:eastAsiaTheme="minorEastAsia"/>
    </w:rPr>
  </w:style>
  <w:style w:type="paragraph" w:customStyle="1" w:styleId="EnviroAdvising">
    <w:name w:val="Enviro Advising"/>
    <w:aliases w:val="s.r.o."/>
    <w:basedOn w:val="Zhlav"/>
    <w:link w:val="EnviroAdvisingChar"/>
    <w:rsid w:val="002748C3"/>
    <w:rPr>
      <w:i/>
    </w:rPr>
  </w:style>
  <w:style w:type="character" w:customStyle="1" w:styleId="EnviroAdvisingChar">
    <w:name w:val="Enviro Advising Char"/>
    <w:aliases w:val="s.r.o. Char"/>
    <w:basedOn w:val="ZhlavChar"/>
    <w:link w:val="EnviroAdvising"/>
    <w:rsid w:val="002748C3"/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3B51A3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FE431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E4316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E4316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FE431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532A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8B478E"/>
    <w:pPr>
      <w:spacing w:after="100"/>
    </w:pPr>
  </w:style>
  <w:style w:type="paragraph" w:customStyle="1" w:styleId="CharCharCharCharCharCharCharChar">
    <w:name w:val="Char Char Char Char Char Char Char Char"/>
    <w:basedOn w:val="Normln"/>
    <w:rsid w:val="008B478E"/>
    <w:pPr>
      <w:spacing w:before="240" w:after="160" w:line="240" w:lineRule="exact"/>
    </w:pPr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543D54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43D54"/>
    <w:pPr>
      <w:spacing w:after="100"/>
      <w:ind w:left="220"/>
    </w:pPr>
  </w:style>
  <w:style w:type="table" w:customStyle="1" w:styleId="Svtlmkazvraznn11">
    <w:name w:val="Světlá mřížka – zvýraznění 11"/>
    <w:basedOn w:val="Normlntabulka"/>
    <w:uiPriority w:val="62"/>
    <w:rsid w:val="00563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1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  <w:shd w:val="clear" w:color="auto" w:fill="DCE8DC" w:themeFill="accent1" w:themeFillTint="3F"/>
      </w:tcPr>
    </w:tblStylePr>
    <w:tblStylePr w:type="band2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</w:tcPr>
    </w:tblStylePr>
  </w:style>
  <w:style w:type="paragraph" w:customStyle="1" w:styleId="Default">
    <w:name w:val="Default"/>
    <w:rsid w:val="00C12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2F4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BF5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4052A8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E334E2"/>
    <w:pPr>
      <w:spacing w:after="100"/>
      <w:ind w:left="440"/>
    </w:pPr>
  </w:style>
  <w:style w:type="paragraph" w:styleId="Normlnweb">
    <w:name w:val="Normal (Web)"/>
    <w:basedOn w:val="Normln"/>
    <w:uiPriority w:val="99"/>
    <w:semiHidden/>
    <w:unhideWhenUsed/>
    <w:rsid w:val="007F2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457DD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7DD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7DD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7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349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3498"/>
    <w:rPr>
      <w:rFonts w:ascii="Consolas" w:hAnsi="Consolas" w:cs="Consolas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0C74"/>
    <w:pPr>
      <w:ind w:left="720"/>
      <w:contextualSpacing/>
    </w:pPr>
  </w:style>
  <w:style w:type="character" w:customStyle="1" w:styleId="StylArial">
    <w:name w:val="Styl Arial"/>
    <w:basedOn w:val="Standardnpsmoodstavce"/>
    <w:rsid w:val="003B51A3"/>
    <w:rPr>
      <w:rFonts w:ascii="Arial" w:hAnsi="Arial"/>
      <w:sz w:val="24"/>
    </w:rPr>
  </w:style>
  <w:style w:type="character" w:customStyle="1" w:styleId="Zkladntext1">
    <w:name w:val="Základní text1"/>
    <w:aliases w:val="Základní text 1 Char Char Char1,Základní text 1 Char Char Char Char"/>
    <w:basedOn w:val="Standardnpsmoodstavce"/>
    <w:rsid w:val="003B51A3"/>
    <w:rPr>
      <w:rFonts w:ascii="Arial" w:hAnsi="Arial" w:cs="Arial"/>
      <w:szCs w:val="22"/>
      <w:lang w:val="cs-CZ" w:eastAsia="cs-CZ" w:bidi="ar-SA"/>
    </w:rPr>
  </w:style>
  <w:style w:type="paragraph" w:customStyle="1" w:styleId="Pklad">
    <w:name w:val="Příklad"/>
    <w:basedOn w:val="Zkladntext"/>
    <w:link w:val="PkladChar"/>
    <w:rsid w:val="0067178B"/>
    <w:pPr>
      <w:tabs>
        <w:tab w:val="left" w:pos="357"/>
      </w:tabs>
      <w:spacing w:before="120" w:after="40"/>
    </w:pPr>
    <w:rPr>
      <w:rFonts w:ascii="Arial" w:eastAsia="Times New Roman" w:hAnsi="Arial" w:cs="Arial"/>
      <w:i/>
      <w:szCs w:val="20"/>
    </w:rPr>
  </w:style>
  <w:style w:type="paragraph" w:customStyle="1" w:styleId="tabulka2">
    <w:name w:val="tabulka2"/>
    <w:basedOn w:val="Zkladntext"/>
    <w:next w:val="Normln"/>
    <w:autoRedefine/>
    <w:rsid w:val="0067178B"/>
    <w:pPr>
      <w:tabs>
        <w:tab w:val="left" w:pos="357"/>
      </w:tabs>
      <w:spacing w:before="60" w:after="0"/>
      <w:jc w:val="center"/>
    </w:pPr>
    <w:rPr>
      <w:rFonts w:ascii="Arial" w:eastAsia="Times New Roman" w:hAnsi="Arial" w:cs="Arial"/>
      <w:b/>
      <w:sz w:val="21"/>
      <w:szCs w:val="21"/>
    </w:rPr>
  </w:style>
  <w:style w:type="paragraph" w:customStyle="1" w:styleId="tabulka1">
    <w:name w:val="tabulka1"/>
    <w:basedOn w:val="Zkladntext"/>
    <w:rsid w:val="0067178B"/>
    <w:pPr>
      <w:tabs>
        <w:tab w:val="left" w:pos="357"/>
      </w:tabs>
      <w:spacing w:before="40" w:after="40"/>
      <w:jc w:val="center"/>
    </w:pPr>
    <w:rPr>
      <w:rFonts w:ascii="Arial" w:eastAsia="Times New Roman" w:hAnsi="Arial" w:cs="Arial"/>
      <w:szCs w:val="20"/>
    </w:rPr>
  </w:style>
  <w:style w:type="character" w:customStyle="1" w:styleId="PkladChar">
    <w:name w:val="Příklad Char"/>
    <w:basedOn w:val="Standardnpsmoodstavce"/>
    <w:link w:val="Pklad"/>
    <w:rsid w:val="0067178B"/>
    <w:rPr>
      <w:rFonts w:ascii="Arial" w:eastAsia="Times New Roman" w:hAnsi="Arial" w:cs="Arial"/>
      <w:i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178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1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66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B51A3"/>
    <w:pPr>
      <w:keepNext/>
      <w:keepLines/>
      <w:numPr>
        <w:numId w:val="11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D54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52A8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457DD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57DD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57DD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57DD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57DD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57DD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C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C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7C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7C2B"/>
  </w:style>
  <w:style w:type="paragraph" w:styleId="Zpat">
    <w:name w:val="footer"/>
    <w:basedOn w:val="Normln"/>
    <w:link w:val="ZpatChar"/>
    <w:uiPriority w:val="99"/>
    <w:unhideWhenUsed/>
    <w:rsid w:val="00147C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47C2B"/>
  </w:style>
  <w:style w:type="paragraph" w:styleId="Bezmezer">
    <w:name w:val="No Spacing"/>
    <w:link w:val="BezmezerChar"/>
    <w:uiPriority w:val="1"/>
    <w:qFormat/>
    <w:rsid w:val="00147C2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47C2B"/>
    <w:rPr>
      <w:rFonts w:eastAsiaTheme="minorEastAsia"/>
    </w:rPr>
  </w:style>
  <w:style w:type="paragraph" w:customStyle="1" w:styleId="EnviroAdvising">
    <w:name w:val="Enviro Advising"/>
    <w:aliases w:val="s.r.o."/>
    <w:basedOn w:val="Zhlav"/>
    <w:link w:val="EnviroAdvisingChar"/>
    <w:rsid w:val="002748C3"/>
    <w:rPr>
      <w:i/>
    </w:rPr>
  </w:style>
  <w:style w:type="character" w:customStyle="1" w:styleId="EnviroAdvisingChar">
    <w:name w:val="Enviro Advising Char"/>
    <w:aliases w:val="s.r.o. Char"/>
    <w:basedOn w:val="ZhlavChar"/>
    <w:link w:val="EnviroAdvising"/>
    <w:rsid w:val="002748C3"/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3B51A3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nhideWhenUsed/>
    <w:rsid w:val="00FE431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E4316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E4316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FE431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532A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8B478E"/>
    <w:pPr>
      <w:spacing w:after="100"/>
    </w:pPr>
  </w:style>
  <w:style w:type="paragraph" w:customStyle="1" w:styleId="CharCharCharCharCharCharCharChar">
    <w:name w:val="Char Char Char Char Char Char Char Char"/>
    <w:basedOn w:val="Normln"/>
    <w:rsid w:val="008B478E"/>
    <w:pPr>
      <w:spacing w:before="240" w:after="160" w:line="240" w:lineRule="exact"/>
    </w:pPr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543D54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43D54"/>
    <w:pPr>
      <w:spacing w:after="100"/>
      <w:ind w:left="220"/>
    </w:pPr>
  </w:style>
  <w:style w:type="table" w:customStyle="1" w:styleId="Svtlmkazvraznn11">
    <w:name w:val="Světlá mřížka – zvýraznění 11"/>
    <w:basedOn w:val="Normlntabulka"/>
    <w:uiPriority w:val="62"/>
    <w:rsid w:val="005636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A376" w:themeColor="accent1"/>
        <w:left w:val="single" w:sz="8" w:space="0" w:color="72A376" w:themeColor="accent1"/>
        <w:bottom w:val="single" w:sz="8" w:space="0" w:color="72A376" w:themeColor="accent1"/>
        <w:right w:val="single" w:sz="8" w:space="0" w:color="72A376" w:themeColor="accent1"/>
        <w:insideH w:val="single" w:sz="8" w:space="0" w:color="72A376" w:themeColor="accent1"/>
        <w:insideV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1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H w:val="nil"/>
          <w:insideV w:val="single" w:sz="8" w:space="0" w:color="72A3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</w:tcPr>
    </w:tblStylePr>
    <w:tblStylePr w:type="band1Vert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</w:tcBorders>
        <w:shd w:val="clear" w:color="auto" w:fill="DCE8DC" w:themeFill="accent1" w:themeFillTint="3F"/>
      </w:tcPr>
    </w:tblStylePr>
    <w:tblStylePr w:type="band1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  <w:shd w:val="clear" w:color="auto" w:fill="DCE8DC" w:themeFill="accent1" w:themeFillTint="3F"/>
      </w:tcPr>
    </w:tblStylePr>
    <w:tblStylePr w:type="band2Horz">
      <w:tblPr/>
      <w:tcPr>
        <w:tcBorders>
          <w:top w:val="single" w:sz="8" w:space="0" w:color="72A376" w:themeColor="accent1"/>
          <w:left w:val="single" w:sz="8" w:space="0" w:color="72A376" w:themeColor="accent1"/>
          <w:bottom w:val="single" w:sz="8" w:space="0" w:color="72A376" w:themeColor="accent1"/>
          <w:right w:val="single" w:sz="8" w:space="0" w:color="72A376" w:themeColor="accent1"/>
          <w:insideV w:val="single" w:sz="8" w:space="0" w:color="72A376" w:themeColor="accent1"/>
        </w:tcBorders>
      </w:tcPr>
    </w:tblStylePr>
  </w:style>
  <w:style w:type="paragraph" w:customStyle="1" w:styleId="Default">
    <w:name w:val="Default"/>
    <w:rsid w:val="00C12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2F4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BF5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4052A8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E334E2"/>
    <w:pPr>
      <w:spacing w:after="100"/>
      <w:ind w:left="440"/>
    </w:pPr>
  </w:style>
  <w:style w:type="paragraph" w:styleId="Normlnweb">
    <w:name w:val="Normal (Web)"/>
    <w:basedOn w:val="Normln"/>
    <w:uiPriority w:val="99"/>
    <w:semiHidden/>
    <w:unhideWhenUsed/>
    <w:rsid w:val="007F2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457DD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7DD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7DD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7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3498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3498"/>
    <w:rPr>
      <w:rFonts w:ascii="Consolas" w:hAnsi="Consolas" w:cs="Consolas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0C74"/>
    <w:pPr>
      <w:ind w:left="720"/>
      <w:contextualSpacing/>
    </w:pPr>
  </w:style>
  <w:style w:type="character" w:customStyle="1" w:styleId="StylArial">
    <w:name w:val="Styl Arial"/>
    <w:basedOn w:val="Standardnpsmoodstavce"/>
    <w:rsid w:val="003B51A3"/>
    <w:rPr>
      <w:rFonts w:ascii="Arial" w:hAnsi="Arial"/>
      <w:sz w:val="24"/>
    </w:rPr>
  </w:style>
  <w:style w:type="character" w:customStyle="1" w:styleId="Zkladntext1">
    <w:name w:val="Základní text1"/>
    <w:aliases w:val="Základní text 1 Char Char Char1,Základní text 1 Char Char Char Char"/>
    <w:basedOn w:val="Standardnpsmoodstavce"/>
    <w:rsid w:val="003B51A3"/>
    <w:rPr>
      <w:rFonts w:ascii="Arial" w:hAnsi="Arial" w:cs="Arial"/>
      <w:szCs w:val="22"/>
      <w:lang w:val="cs-CZ" w:eastAsia="cs-CZ" w:bidi="ar-SA"/>
    </w:rPr>
  </w:style>
  <w:style w:type="paragraph" w:customStyle="1" w:styleId="Pklad">
    <w:name w:val="Příklad"/>
    <w:basedOn w:val="Zkladntext"/>
    <w:link w:val="PkladChar"/>
    <w:rsid w:val="0067178B"/>
    <w:pPr>
      <w:tabs>
        <w:tab w:val="left" w:pos="357"/>
      </w:tabs>
      <w:spacing w:before="120" w:after="40"/>
    </w:pPr>
    <w:rPr>
      <w:rFonts w:ascii="Arial" w:eastAsia="Times New Roman" w:hAnsi="Arial" w:cs="Arial"/>
      <w:i/>
      <w:szCs w:val="20"/>
    </w:rPr>
  </w:style>
  <w:style w:type="paragraph" w:customStyle="1" w:styleId="tabulka2">
    <w:name w:val="tabulka2"/>
    <w:basedOn w:val="Zkladntext"/>
    <w:next w:val="Normln"/>
    <w:autoRedefine/>
    <w:rsid w:val="0067178B"/>
    <w:pPr>
      <w:tabs>
        <w:tab w:val="left" w:pos="357"/>
      </w:tabs>
      <w:spacing w:before="60" w:after="0"/>
      <w:jc w:val="center"/>
    </w:pPr>
    <w:rPr>
      <w:rFonts w:ascii="Arial" w:eastAsia="Times New Roman" w:hAnsi="Arial" w:cs="Arial"/>
      <w:b/>
      <w:sz w:val="21"/>
      <w:szCs w:val="21"/>
    </w:rPr>
  </w:style>
  <w:style w:type="paragraph" w:customStyle="1" w:styleId="tabulka1">
    <w:name w:val="tabulka1"/>
    <w:basedOn w:val="Zkladntext"/>
    <w:rsid w:val="0067178B"/>
    <w:pPr>
      <w:tabs>
        <w:tab w:val="left" w:pos="357"/>
      </w:tabs>
      <w:spacing w:before="40" w:after="40"/>
      <w:jc w:val="center"/>
    </w:pPr>
    <w:rPr>
      <w:rFonts w:ascii="Arial" w:eastAsia="Times New Roman" w:hAnsi="Arial" w:cs="Arial"/>
      <w:szCs w:val="20"/>
    </w:rPr>
  </w:style>
  <w:style w:type="character" w:customStyle="1" w:styleId="PkladChar">
    <w:name w:val="Příklad Char"/>
    <w:basedOn w:val="Standardnpsmoodstavce"/>
    <w:link w:val="Pklad"/>
    <w:rsid w:val="0067178B"/>
    <w:rPr>
      <w:rFonts w:ascii="Arial" w:eastAsia="Times New Roman" w:hAnsi="Arial" w:cs="Arial"/>
      <w:i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178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582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29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330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2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18" w:space="4" w:color="3D687D"/>
                                            <w:left w:val="single" w:sz="18" w:space="4" w:color="3D687D"/>
                                            <w:bottom w:val="single" w:sz="18" w:space="4" w:color="3D687D"/>
                                            <w:right w:val="single" w:sz="18" w:space="4" w:color="3D687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0797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668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27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14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994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51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57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854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3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25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6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21667">
                                  <w:marLeft w:val="0"/>
                                  <w:marRight w:val="0"/>
                                  <w:marTop w:val="9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373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18" w:space="4" w:color="3D687D"/>
                                            <w:left w:val="single" w:sz="18" w:space="4" w:color="3D687D"/>
                                            <w:bottom w:val="single" w:sz="18" w:space="4" w:color="3D687D"/>
                                            <w:right w:val="single" w:sz="18" w:space="4" w:color="3D687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03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485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13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750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248D-4012-4DE6-8B86-D4F99EEF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3322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karolinaa</dc:creator>
  <cp:lastModifiedBy>Jana Soukopová</cp:lastModifiedBy>
  <cp:revision>2</cp:revision>
  <cp:lastPrinted>2011-11-14T11:40:00Z</cp:lastPrinted>
  <dcterms:created xsi:type="dcterms:W3CDTF">2013-04-16T08:56:00Z</dcterms:created>
  <dcterms:modified xsi:type="dcterms:W3CDTF">2013-04-16T08:56:00Z</dcterms:modified>
</cp:coreProperties>
</file>