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7C2385" w14:textId="77777777" w:rsidR="00F16CC6" w:rsidRPr="00D83463" w:rsidRDefault="00F16CC6" w:rsidP="00B95F1B">
      <w:pPr>
        <w:pStyle w:val="Nzev"/>
        <w:rPr>
          <w:rFonts w:ascii="Times New Roman" w:hAnsi="Times New Roman"/>
          <w:szCs w:val="24"/>
        </w:rPr>
      </w:pPr>
      <w:bookmarkStart w:id="0" w:name="_GoBack"/>
      <w:bookmarkEnd w:id="0"/>
      <w:r w:rsidRPr="00D83463">
        <w:rPr>
          <w:rFonts w:ascii="Times New Roman" w:hAnsi="Times New Roman"/>
          <w:szCs w:val="24"/>
        </w:rPr>
        <w:t>Český účetní standard pro některé vybrané účetní jednotky</w:t>
      </w:r>
    </w:p>
    <w:p w14:paraId="346B4D8E" w14:textId="77777777" w:rsidR="00F16CC6" w:rsidRPr="00D83463" w:rsidRDefault="00F16CC6" w:rsidP="00B95F1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138B08D2" w14:textId="77777777" w:rsidR="00F16CC6" w:rsidRPr="00D83463" w:rsidRDefault="00F16CC6" w:rsidP="00B95F1B">
      <w:pPr>
        <w:pStyle w:val="Nzev"/>
        <w:rPr>
          <w:rFonts w:ascii="Times New Roman" w:hAnsi="Times New Roman"/>
          <w:szCs w:val="24"/>
        </w:rPr>
      </w:pPr>
      <w:r w:rsidRPr="00D83463">
        <w:rPr>
          <w:rFonts w:ascii="Times New Roman" w:hAnsi="Times New Roman"/>
          <w:szCs w:val="24"/>
        </w:rPr>
        <w:t>č. 7</w:t>
      </w:r>
      <w:r w:rsidR="009B2072" w:rsidRPr="00D83463">
        <w:rPr>
          <w:rFonts w:ascii="Times New Roman" w:hAnsi="Times New Roman"/>
          <w:szCs w:val="24"/>
        </w:rPr>
        <w:t>09</w:t>
      </w:r>
    </w:p>
    <w:p w14:paraId="57DE17A9" w14:textId="77777777" w:rsidR="00F16CC6" w:rsidRPr="00D83463" w:rsidRDefault="00F16CC6" w:rsidP="00B95F1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7E3E9126" w14:textId="77777777" w:rsidR="002A75DB" w:rsidRPr="00D83463" w:rsidRDefault="00124133" w:rsidP="00B95F1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83463">
        <w:rPr>
          <w:b/>
          <w:bCs/>
        </w:rPr>
        <w:t>Vlastní zdroje</w:t>
      </w:r>
    </w:p>
    <w:p w14:paraId="41534814" w14:textId="77777777" w:rsidR="00344E25" w:rsidRPr="00D83463" w:rsidRDefault="00344E25" w:rsidP="00B95F1B">
      <w:pPr>
        <w:jc w:val="center"/>
      </w:pPr>
    </w:p>
    <w:p w14:paraId="3301090C" w14:textId="77777777" w:rsidR="00344E25" w:rsidRPr="00D83463" w:rsidRDefault="00344E25" w:rsidP="00C45CBC">
      <w:pPr>
        <w:numPr>
          <w:ilvl w:val="0"/>
          <w:numId w:val="27"/>
        </w:numPr>
        <w:rPr>
          <w:b/>
        </w:rPr>
      </w:pPr>
      <w:r w:rsidRPr="00D83463">
        <w:rPr>
          <w:b/>
        </w:rPr>
        <w:t>Cíl</w:t>
      </w:r>
    </w:p>
    <w:p w14:paraId="49C4ECC6" w14:textId="77777777" w:rsidR="00344E25" w:rsidRPr="00D83463" w:rsidRDefault="00344E25" w:rsidP="00B95F1B">
      <w:pPr>
        <w:pStyle w:val="Zkladntext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14:paraId="22BC327C" w14:textId="77777777" w:rsidR="009E1999" w:rsidRPr="00D83463" w:rsidRDefault="00344E25" w:rsidP="009A0697">
      <w:pPr>
        <w:widowControl w:val="0"/>
        <w:autoSpaceDE w:val="0"/>
        <w:autoSpaceDN w:val="0"/>
        <w:adjustRightInd w:val="0"/>
        <w:jc w:val="both"/>
      </w:pPr>
      <w:r w:rsidRPr="00D83463">
        <w:rPr>
          <w:bCs/>
        </w:rPr>
        <w:t>Cílem tohoto standardu je stanovit podle zákona č. 563/1991 Sb., o účetnictví, ve znění pozdějších předpisů, (dále jen „zákon“) a vyhlášky č. 410/2009 Sb., kterou se provádějí některá ustanovení zákona č. 563/1991 Sb., o účetnictví, ve znění pozdějších předpisů, pro některé vybrané účetní jednotky, ve znění pozdějších předpisů (dále jen „vyhláška“)</w:t>
      </w:r>
      <w:r w:rsidR="002E5815" w:rsidRPr="00D83463">
        <w:rPr>
          <w:bCs/>
        </w:rPr>
        <w:t>,</w:t>
      </w:r>
      <w:r w:rsidRPr="00D83463">
        <w:rPr>
          <w:bCs/>
        </w:rPr>
        <w:t xml:space="preserve"> základní postupy účtování </w:t>
      </w:r>
      <w:r w:rsidR="00FF2100" w:rsidRPr="00D83463">
        <w:t>o vlastních zdrojích vybraných účetních jednotek</w:t>
      </w:r>
      <w:r w:rsidRPr="00D83463">
        <w:t xml:space="preserve"> za účelem docílení souladu při používání účetních metod </w:t>
      </w:r>
      <w:r w:rsidR="00121C98" w:rsidRPr="00D83463">
        <w:t xml:space="preserve">některými vybranými </w:t>
      </w:r>
      <w:r w:rsidRPr="00D83463">
        <w:t xml:space="preserve">účetními jednotkami </w:t>
      </w:r>
      <w:r w:rsidR="00745354" w:rsidRPr="00D83463">
        <w:t xml:space="preserve">zejména </w:t>
      </w:r>
      <w:r w:rsidRPr="00D83463">
        <w:t>v</w:t>
      </w:r>
      <w:r w:rsidR="009E1999" w:rsidRPr="00D83463">
        <w:t> </w:t>
      </w:r>
      <w:r w:rsidRPr="00D83463">
        <w:t>položkách</w:t>
      </w:r>
    </w:p>
    <w:p w14:paraId="28E98E9F" w14:textId="77777777" w:rsidR="00C771E7" w:rsidRPr="00D83463" w:rsidRDefault="00C771E7" w:rsidP="00A077B6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14:paraId="23113FDB" w14:textId="77777777" w:rsidR="002A75DB" w:rsidRPr="00D83463" w:rsidRDefault="002A75DB" w:rsidP="00B95F1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9"/>
        <w:gridCol w:w="6293"/>
        <w:gridCol w:w="1296"/>
      </w:tblGrid>
      <w:tr w:rsidR="002A75DB" w:rsidRPr="00D83463" w14:paraId="6C643A8F" w14:textId="77777777" w:rsidTr="00CC4CE7">
        <w:trPr>
          <w:trHeight w:val="559"/>
          <w:jc w:val="center"/>
        </w:trPr>
        <w:tc>
          <w:tcPr>
            <w:tcW w:w="169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7CB8315" w14:textId="77777777" w:rsidR="002A75DB" w:rsidRPr="00D83463" w:rsidRDefault="002A75DB" w:rsidP="00D5651A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sz w:val="24"/>
                <w:szCs w:val="24"/>
              </w:rPr>
              <w:t>Číslo položky</w:t>
            </w:r>
          </w:p>
          <w:p w14:paraId="0570A442" w14:textId="77777777" w:rsidR="002A75DB" w:rsidRPr="00D83463" w:rsidRDefault="002A75DB" w:rsidP="00D5651A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sz w:val="24"/>
                <w:szCs w:val="24"/>
              </w:rPr>
              <w:t>rozvahy</w:t>
            </w:r>
          </w:p>
        </w:tc>
        <w:tc>
          <w:tcPr>
            <w:tcW w:w="629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D5A3378" w14:textId="77777777" w:rsidR="002A75DB" w:rsidRPr="00D83463" w:rsidRDefault="002A75DB" w:rsidP="00D5651A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sz w:val="24"/>
                <w:szCs w:val="24"/>
              </w:rPr>
              <w:t>Název položky rozvahy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87564FA" w14:textId="77777777" w:rsidR="002A75DB" w:rsidRPr="00D83463" w:rsidRDefault="002A75DB" w:rsidP="00610EA6">
            <w:pPr>
              <w:pStyle w:val="Zkladn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sz w:val="24"/>
                <w:szCs w:val="24"/>
              </w:rPr>
              <w:t>Syntetický</w:t>
            </w:r>
          </w:p>
          <w:p w14:paraId="6AAF9140" w14:textId="77777777" w:rsidR="002A75DB" w:rsidRPr="00D83463" w:rsidRDefault="002A75DB" w:rsidP="00610EA6">
            <w:pPr>
              <w:pStyle w:val="Zkladn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sz w:val="24"/>
                <w:szCs w:val="24"/>
              </w:rPr>
              <w:t>účet</w:t>
            </w:r>
          </w:p>
        </w:tc>
      </w:tr>
      <w:tr w:rsidR="00232798" w:rsidRPr="00D83463" w14:paraId="0FD8A4A1" w14:textId="77777777" w:rsidTr="00CC4CE7">
        <w:trPr>
          <w:trHeight w:val="340"/>
          <w:jc w:val="center"/>
        </w:trPr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5C2778E2" w14:textId="77777777" w:rsidR="00232798" w:rsidRPr="00D83463" w:rsidRDefault="00232798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C.I.1.</w:t>
            </w:r>
          </w:p>
        </w:tc>
        <w:tc>
          <w:tcPr>
            <w:tcW w:w="6293" w:type="dxa"/>
            <w:tcBorders>
              <w:top w:val="nil"/>
              <w:bottom w:val="nil"/>
            </w:tcBorders>
            <w:vAlign w:val="center"/>
          </w:tcPr>
          <w:p w14:paraId="71555688" w14:textId="77777777" w:rsidR="00232798" w:rsidRPr="00D83463" w:rsidRDefault="00232798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Jmění účetní jednotky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71E596D7" w14:textId="77777777" w:rsidR="00232798" w:rsidRPr="00D83463" w:rsidRDefault="00232798" w:rsidP="00CC4CE7">
            <w:pPr>
              <w:pStyle w:val="Zkladntex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401</w:t>
            </w:r>
          </w:p>
        </w:tc>
      </w:tr>
      <w:tr w:rsidR="00232798" w:rsidRPr="00D83463" w14:paraId="0200B351" w14:textId="77777777" w:rsidTr="00CC4CE7">
        <w:trPr>
          <w:trHeight w:val="340"/>
          <w:jc w:val="center"/>
        </w:trPr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053064F9" w14:textId="77777777" w:rsidR="00232798" w:rsidRPr="00D83463" w:rsidRDefault="00232798" w:rsidP="00CC4CE7">
            <w:pPr>
              <w:pStyle w:val="Zkladntex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C.I.3.</w:t>
            </w:r>
          </w:p>
        </w:tc>
        <w:tc>
          <w:tcPr>
            <w:tcW w:w="6293" w:type="dxa"/>
            <w:tcBorders>
              <w:top w:val="nil"/>
              <w:bottom w:val="nil"/>
            </w:tcBorders>
            <w:vAlign w:val="center"/>
          </w:tcPr>
          <w:p w14:paraId="2C9E4594" w14:textId="77777777" w:rsidR="00232798" w:rsidRPr="00D83463" w:rsidRDefault="00F01F30" w:rsidP="00CC4CE7">
            <w:pPr>
              <w:pStyle w:val="Zkladntex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Transfery </w:t>
            </w:r>
            <w:r w:rsidR="00232798"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na pořízení dlouhodobého majetku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4EDFFD2E" w14:textId="77777777" w:rsidR="00232798" w:rsidRPr="00D83463" w:rsidRDefault="00232798" w:rsidP="00CC4CE7">
            <w:pPr>
              <w:pStyle w:val="Zkladntex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403</w:t>
            </w:r>
          </w:p>
        </w:tc>
      </w:tr>
      <w:tr w:rsidR="00603989" w:rsidRPr="00D83463" w14:paraId="0A8040EA" w14:textId="77777777" w:rsidTr="00CC4CE7">
        <w:trPr>
          <w:trHeight w:val="340"/>
          <w:jc w:val="center"/>
        </w:trPr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6FEBE996" w14:textId="77777777" w:rsidR="00603989" w:rsidRPr="00D83463" w:rsidRDefault="00603989" w:rsidP="00CC4CE7">
            <w:pPr>
              <w:pStyle w:val="Zkladntex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C.I.4.</w:t>
            </w:r>
          </w:p>
        </w:tc>
        <w:tc>
          <w:tcPr>
            <w:tcW w:w="6293" w:type="dxa"/>
            <w:tcBorders>
              <w:top w:val="nil"/>
              <w:bottom w:val="nil"/>
            </w:tcBorders>
            <w:vAlign w:val="center"/>
          </w:tcPr>
          <w:p w14:paraId="486D246B" w14:textId="77777777" w:rsidR="00603989" w:rsidRPr="00D83463" w:rsidRDefault="00603989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Agregované příjmy a výdaje minulých let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1E1AF045" w14:textId="77777777" w:rsidR="00603989" w:rsidRPr="00D83463" w:rsidRDefault="00603989" w:rsidP="00CC4CE7">
            <w:pPr>
              <w:pStyle w:val="Zkladntex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404</w:t>
            </w:r>
          </w:p>
        </w:tc>
      </w:tr>
      <w:tr w:rsidR="00232798" w:rsidRPr="00D83463" w14:paraId="1CDF4949" w14:textId="77777777" w:rsidTr="00CC4CE7">
        <w:trPr>
          <w:trHeight w:val="340"/>
          <w:jc w:val="center"/>
        </w:trPr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75470D2C" w14:textId="77777777" w:rsidR="00232798" w:rsidRPr="00D83463" w:rsidRDefault="00232798" w:rsidP="00CC4CE7">
            <w:pPr>
              <w:pStyle w:val="Zkladntex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C.I.5.</w:t>
            </w:r>
          </w:p>
        </w:tc>
        <w:tc>
          <w:tcPr>
            <w:tcW w:w="6293" w:type="dxa"/>
            <w:tcBorders>
              <w:top w:val="nil"/>
              <w:bottom w:val="nil"/>
            </w:tcBorders>
            <w:vAlign w:val="center"/>
          </w:tcPr>
          <w:p w14:paraId="41D14BB8" w14:textId="77777777" w:rsidR="00232798" w:rsidRPr="00D83463" w:rsidRDefault="00232798" w:rsidP="00CC4CE7">
            <w:pPr>
              <w:pStyle w:val="Zkladntex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 xml:space="preserve">Oceňovací rozdíly při prvotním použití metody 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155299B4" w14:textId="77777777" w:rsidR="00232798" w:rsidRPr="00D83463" w:rsidRDefault="00232798" w:rsidP="00CC4CE7">
            <w:pPr>
              <w:pStyle w:val="Zkladntex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406</w:t>
            </w:r>
          </w:p>
        </w:tc>
      </w:tr>
      <w:tr w:rsidR="00232798" w:rsidRPr="00D83463" w14:paraId="110CB08C" w14:textId="77777777" w:rsidTr="00CC4CE7">
        <w:trPr>
          <w:trHeight w:val="340"/>
          <w:jc w:val="center"/>
        </w:trPr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3D0B4684" w14:textId="77777777" w:rsidR="00232798" w:rsidRPr="00D83463" w:rsidRDefault="00232798" w:rsidP="00CC4CE7">
            <w:pPr>
              <w:pStyle w:val="Zkladntext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iCs/>
                <w:sz w:val="24"/>
                <w:szCs w:val="24"/>
              </w:rPr>
              <w:t>C.I.6.</w:t>
            </w:r>
          </w:p>
        </w:tc>
        <w:tc>
          <w:tcPr>
            <w:tcW w:w="6293" w:type="dxa"/>
            <w:tcBorders>
              <w:top w:val="nil"/>
              <w:bottom w:val="nil"/>
            </w:tcBorders>
            <w:vAlign w:val="center"/>
          </w:tcPr>
          <w:p w14:paraId="749D1D5A" w14:textId="77777777" w:rsidR="00232798" w:rsidRPr="00D83463" w:rsidRDefault="00232798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Jiné oceňovací rozdíly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4A7BF902" w14:textId="77777777" w:rsidR="00232798" w:rsidRPr="00D83463" w:rsidRDefault="00232798" w:rsidP="00CC4CE7">
            <w:pPr>
              <w:pStyle w:val="Zkladntex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407</w:t>
            </w:r>
          </w:p>
        </w:tc>
      </w:tr>
      <w:tr w:rsidR="00232798" w:rsidRPr="00D83463" w14:paraId="30C23666" w14:textId="77777777" w:rsidTr="00CC4CE7">
        <w:trPr>
          <w:trHeight w:val="340"/>
          <w:jc w:val="center"/>
        </w:trPr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2EDDB723" w14:textId="77777777" w:rsidR="00232798" w:rsidRPr="00D83463" w:rsidRDefault="00232798" w:rsidP="00CC4CE7">
            <w:pPr>
              <w:pStyle w:val="Zkladntext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iCs/>
                <w:sz w:val="24"/>
                <w:szCs w:val="24"/>
              </w:rPr>
              <w:t>C.I.7.</w:t>
            </w:r>
          </w:p>
        </w:tc>
        <w:tc>
          <w:tcPr>
            <w:tcW w:w="6293" w:type="dxa"/>
            <w:tcBorders>
              <w:top w:val="nil"/>
              <w:bottom w:val="nil"/>
            </w:tcBorders>
            <w:vAlign w:val="center"/>
          </w:tcPr>
          <w:p w14:paraId="0AC7901C" w14:textId="77777777" w:rsidR="00232798" w:rsidRPr="00D83463" w:rsidRDefault="00232798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Opravy minulých období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24F04635" w14:textId="77777777" w:rsidR="00232798" w:rsidRPr="00D83463" w:rsidRDefault="00232798" w:rsidP="00CC4CE7">
            <w:pPr>
              <w:pStyle w:val="Zkladntex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408</w:t>
            </w:r>
          </w:p>
        </w:tc>
      </w:tr>
      <w:tr w:rsidR="00603989" w:rsidRPr="00D83463" w14:paraId="143F4A03" w14:textId="77777777" w:rsidTr="00CC4CE7">
        <w:trPr>
          <w:trHeight w:val="340"/>
          <w:jc w:val="center"/>
        </w:trPr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25ADA40C" w14:textId="77777777" w:rsidR="00603989" w:rsidRPr="00D83463" w:rsidRDefault="00603989" w:rsidP="00CC4CE7">
            <w:pPr>
              <w:pStyle w:val="Zkladntext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iCs/>
                <w:sz w:val="24"/>
                <w:szCs w:val="24"/>
              </w:rPr>
              <w:t>C.III.2.</w:t>
            </w:r>
          </w:p>
        </w:tc>
        <w:tc>
          <w:tcPr>
            <w:tcW w:w="6293" w:type="dxa"/>
            <w:tcBorders>
              <w:top w:val="nil"/>
              <w:bottom w:val="nil"/>
            </w:tcBorders>
            <w:vAlign w:val="center"/>
          </w:tcPr>
          <w:p w14:paraId="117B34A8" w14:textId="77777777" w:rsidR="00603989" w:rsidRPr="00D83463" w:rsidRDefault="00603989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Výsledek hospodaření ve schvalovacím řízení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3E9FD1C5" w14:textId="77777777" w:rsidR="00603989" w:rsidRPr="00D83463" w:rsidRDefault="00603989" w:rsidP="00CC4CE7">
            <w:pPr>
              <w:pStyle w:val="Zkladntex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431</w:t>
            </w:r>
          </w:p>
        </w:tc>
      </w:tr>
      <w:tr w:rsidR="00610EA6" w:rsidRPr="00D83463" w14:paraId="4CA49BCC" w14:textId="77777777" w:rsidTr="00CC4CE7">
        <w:trPr>
          <w:trHeight w:val="340"/>
          <w:jc w:val="center"/>
        </w:trPr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5B070797" w14:textId="77777777" w:rsidR="00610EA6" w:rsidRPr="00D83463" w:rsidRDefault="00610EA6" w:rsidP="00CC4CE7">
            <w:pPr>
              <w:pStyle w:val="Zkladntext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iCs/>
                <w:sz w:val="24"/>
                <w:szCs w:val="24"/>
              </w:rPr>
              <w:t>C.IV.1.</w:t>
            </w:r>
          </w:p>
        </w:tc>
        <w:tc>
          <w:tcPr>
            <w:tcW w:w="6293" w:type="dxa"/>
            <w:tcBorders>
              <w:top w:val="nil"/>
              <w:bottom w:val="nil"/>
            </w:tcBorders>
            <w:vAlign w:val="center"/>
          </w:tcPr>
          <w:p w14:paraId="37BB1608" w14:textId="77777777" w:rsidR="00610EA6" w:rsidRPr="00D83463" w:rsidRDefault="00610EA6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Příjmový účet organizačních složek státu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1F48F325" w14:textId="77777777" w:rsidR="00610EA6" w:rsidRPr="00D83463" w:rsidRDefault="00610EA6" w:rsidP="00CC4CE7">
            <w:pPr>
              <w:pStyle w:val="Zkladntex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222</w:t>
            </w:r>
          </w:p>
        </w:tc>
      </w:tr>
      <w:tr w:rsidR="00610EA6" w:rsidRPr="00D83463" w14:paraId="2EDCD84D" w14:textId="77777777" w:rsidTr="00CC4CE7">
        <w:trPr>
          <w:trHeight w:val="340"/>
          <w:jc w:val="center"/>
        </w:trPr>
        <w:tc>
          <w:tcPr>
            <w:tcW w:w="1699" w:type="dxa"/>
            <w:tcBorders>
              <w:top w:val="nil"/>
              <w:bottom w:val="single" w:sz="4" w:space="0" w:color="auto"/>
            </w:tcBorders>
            <w:vAlign w:val="center"/>
          </w:tcPr>
          <w:p w14:paraId="61F9B447" w14:textId="77777777" w:rsidR="00610EA6" w:rsidRPr="00D83463" w:rsidRDefault="00610EA6" w:rsidP="00CC4CE7">
            <w:pPr>
              <w:pStyle w:val="Zkladntext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iCs/>
                <w:sz w:val="24"/>
                <w:szCs w:val="24"/>
              </w:rPr>
              <w:t>C.IV.2.</w:t>
            </w:r>
          </w:p>
        </w:tc>
        <w:tc>
          <w:tcPr>
            <w:tcW w:w="6293" w:type="dxa"/>
            <w:tcBorders>
              <w:top w:val="nil"/>
              <w:bottom w:val="single" w:sz="4" w:space="0" w:color="auto"/>
            </w:tcBorders>
            <w:vAlign w:val="center"/>
          </w:tcPr>
          <w:p w14:paraId="4385F976" w14:textId="77777777" w:rsidR="00610EA6" w:rsidRPr="00D83463" w:rsidRDefault="00610EA6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Zvláštní výdajový účet</w:t>
            </w:r>
          </w:p>
        </w:tc>
        <w:tc>
          <w:tcPr>
            <w:tcW w:w="1296" w:type="dxa"/>
            <w:tcBorders>
              <w:top w:val="nil"/>
              <w:bottom w:val="single" w:sz="4" w:space="0" w:color="auto"/>
            </w:tcBorders>
            <w:vAlign w:val="center"/>
          </w:tcPr>
          <w:p w14:paraId="05BFEC67" w14:textId="77777777" w:rsidR="00610EA6" w:rsidRPr="00D83463" w:rsidRDefault="00610EA6" w:rsidP="00CC4CE7">
            <w:pPr>
              <w:pStyle w:val="Zkladntex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223</w:t>
            </w:r>
          </w:p>
        </w:tc>
      </w:tr>
    </w:tbl>
    <w:p w14:paraId="6962D43E" w14:textId="77777777" w:rsidR="00CC4CE7" w:rsidRPr="00D83463" w:rsidRDefault="00CC4CE7" w:rsidP="00B95F1B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14:paraId="0F75394D" w14:textId="77777777" w:rsidR="00CC4CE7" w:rsidRPr="00D83463" w:rsidRDefault="00CC4CE7" w:rsidP="00B95F1B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6298"/>
        <w:gridCol w:w="1296"/>
      </w:tblGrid>
      <w:tr w:rsidR="002A75DB" w:rsidRPr="00D83463" w14:paraId="1BB22C3D" w14:textId="77777777" w:rsidTr="00CC4CE7">
        <w:trPr>
          <w:trHeight w:val="909"/>
          <w:jc w:val="center"/>
        </w:trPr>
        <w:tc>
          <w:tcPr>
            <w:tcW w:w="169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F23EC3B" w14:textId="77777777" w:rsidR="002A75DB" w:rsidRPr="00D83463" w:rsidRDefault="002A75DB" w:rsidP="00D5651A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sz w:val="24"/>
                <w:szCs w:val="24"/>
              </w:rPr>
              <w:t>Číslo položky</w:t>
            </w:r>
          </w:p>
          <w:p w14:paraId="402A622F" w14:textId="77777777" w:rsidR="002A75DB" w:rsidRPr="00D83463" w:rsidRDefault="002A75DB" w:rsidP="00D5651A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sz w:val="24"/>
                <w:szCs w:val="24"/>
              </w:rPr>
              <w:t>výkazu zisku</w:t>
            </w:r>
          </w:p>
          <w:p w14:paraId="35057B3E" w14:textId="77777777" w:rsidR="002A75DB" w:rsidRPr="00D83463" w:rsidRDefault="002A75DB" w:rsidP="00D5651A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sz w:val="24"/>
                <w:szCs w:val="24"/>
              </w:rPr>
              <w:t>a ztráty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E55CF05" w14:textId="77777777" w:rsidR="002A75DB" w:rsidRPr="00D83463" w:rsidRDefault="002A75DB" w:rsidP="00D5651A">
            <w:pPr>
              <w:pStyle w:val="Zkladntext"/>
              <w:rPr>
                <w:rFonts w:ascii="Times New Roman" w:hAnsi="Times New Roman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sz w:val="24"/>
                <w:szCs w:val="24"/>
              </w:rPr>
              <w:t>Název položky výkazu zisku a ztráty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CF3AFF6" w14:textId="77777777" w:rsidR="002A75DB" w:rsidRPr="00D83463" w:rsidRDefault="00D5651A" w:rsidP="00610EA6">
            <w:pPr>
              <w:pStyle w:val="Zkladn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sz w:val="24"/>
                <w:szCs w:val="24"/>
              </w:rPr>
              <w:t>Syntetický účet</w:t>
            </w:r>
          </w:p>
        </w:tc>
      </w:tr>
      <w:tr w:rsidR="009E1999" w:rsidRPr="00D83463" w14:paraId="768DB35E" w14:textId="77777777" w:rsidTr="009E1999">
        <w:trPr>
          <w:trHeight w:val="340"/>
          <w:jc w:val="center"/>
        </w:trPr>
        <w:tc>
          <w:tcPr>
            <w:tcW w:w="1694" w:type="dxa"/>
            <w:tcBorders>
              <w:top w:val="nil"/>
              <w:bottom w:val="nil"/>
            </w:tcBorders>
            <w:vAlign w:val="center"/>
          </w:tcPr>
          <w:p w14:paraId="1D57D8A9" w14:textId="77777777" w:rsidR="009E1999" w:rsidRPr="00D83463" w:rsidRDefault="009E1999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A.I.36.</w:t>
            </w:r>
          </w:p>
        </w:tc>
        <w:tc>
          <w:tcPr>
            <w:tcW w:w="6298" w:type="dxa"/>
            <w:tcBorders>
              <w:top w:val="nil"/>
              <w:bottom w:val="nil"/>
            </w:tcBorders>
            <w:vAlign w:val="center"/>
          </w:tcPr>
          <w:p w14:paraId="4E1F7D39" w14:textId="77777777" w:rsidR="009E1999" w:rsidRPr="00D83463" w:rsidRDefault="009E1999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Ostatní náklady z činnosti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2913C588" w14:textId="77777777" w:rsidR="009E1999" w:rsidRPr="00D83463" w:rsidRDefault="009E1999" w:rsidP="009E1999">
            <w:pPr>
              <w:pStyle w:val="Zkladntex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549</w:t>
            </w:r>
          </w:p>
        </w:tc>
      </w:tr>
      <w:tr w:rsidR="00603989" w:rsidRPr="00D83463" w14:paraId="4A9AEC68" w14:textId="77777777" w:rsidTr="00A077B6">
        <w:trPr>
          <w:trHeight w:val="340"/>
          <w:jc w:val="center"/>
        </w:trPr>
        <w:tc>
          <w:tcPr>
            <w:tcW w:w="1694" w:type="dxa"/>
            <w:tcBorders>
              <w:top w:val="nil"/>
              <w:bottom w:val="nil"/>
            </w:tcBorders>
            <w:vAlign w:val="center"/>
          </w:tcPr>
          <w:p w14:paraId="3527097F" w14:textId="77777777" w:rsidR="00603989" w:rsidRPr="00D83463" w:rsidRDefault="00603989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A.II.4.</w:t>
            </w:r>
          </w:p>
        </w:tc>
        <w:tc>
          <w:tcPr>
            <w:tcW w:w="6298" w:type="dxa"/>
            <w:tcBorders>
              <w:top w:val="nil"/>
              <w:bottom w:val="nil"/>
            </w:tcBorders>
            <w:vAlign w:val="center"/>
          </w:tcPr>
          <w:p w14:paraId="35A419CA" w14:textId="77777777" w:rsidR="00603989" w:rsidRPr="00D83463" w:rsidRDefault="00603989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Náklady z přecenění reálnou hodnotou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737E2D40" w14:textId="77777777" w:rsidR="00603989" w:rsidRPr="00D83463" w:rsidRDefault="00603989">
            <w:pPr>
              <w:pStyle w:val="Zkladntex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564</w:t>
            </w:r>
          </w:p>
        </w:tc>
      </w:tr>
      <w:tr w:rsidR="00D406A7" w:rsidRPr="00D83463" w14:paraId="25702BAE" w14:textId="77777777" w:rsidTr="00A077B6">
        <w:trPr>
          <w:trHeight w:val="340"/>
          <w:jc w:val="center"/>
        </w:trPr>
        <w:tc>
          <w:tcPr>
            <w:tcW w:w="1694" w:type="dxa"/>
            <w:tcBorders>
              <w:top w:val="nil"/>
              <w:bottom w:val="nil"/>
            </w:tcBorders>
            <w:vAlign w:val="center"/>
          </w:tcPr>
          <w:p w14:paraId="346C2ADF" w14:textId="77777777" w:rsidR="00D406A7" w:rsidRPr="00D83463" w:rsidRDefault="00D406A7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B.I.17.</w:t>
            </w:r>
          </w:p>
        </w:tc>
        <w:tc>
          <w:tcPr>
            <w:tcW w:w="6298" w:type="dxa"/>
            <w:tcBorders>
              <w:top w:val="nil"/>
              <w:bottom w:val="nil"/>
            </w:tcBorders>
            <w:vAlign w:val="center"/>
          </w:tcPr>
          <w:p w14:paraId="34B585BA" w14:textId="77777777" w:rsidR="00D406A7" w:rsidRPr="00D83463" w:rsidRDefault="00D406A7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Ostatní výnosy z činnosti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32D80CCF" w14:textId="77777777" w:rsidR="00D406A7" w:rsidRPr="00D83463" w:rsidRDefault="00D406A7">
            <w:pPr>
              <w:pStyle w:val="Zkladntex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649</w:t>
            </w:r>
          </w:p>
        </w:tc>
      </w:tr>
      <w:tr w:rsidR="002A75DB" w:rsidRPr="00D83463" w14:paraId="60291137" w14:textId="77777777" w:rsidTr="00A077B6">
        <w:trPr>
          <w:trHeight w:val="340"/>
          <w:jc w:val="center"/>
        </w:trPr>
        <w:tc>
          <w:tcPr>
            <w:tcW w:w="1694" w:type="dxa"/>
            <w:tcBorders>
              <w:top w:val="nil"/>
              <w:bottom w:val="nil"/>
            </w:tcBorders>
            <w:vAlign w:val="center"/>
          </w:tcPr>
          <w:p w14:paraId="5B487AD1" w14:textId="77777777" w:rsidR="002A75DB" w:rsidRPr="00D83463" w:rsidRDefault="00D406A7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B.II.4.</w:t>
            </w:r>
          </w:p>
        </w:tc>
        <w:tc>
          <w:tcPr>
            <w:tcW w:w="6298" w:type="dxa"/>
            <w:tcBorders>
              <w:top w:val="nil"/>
              <w:bottom w:val="nil"/>
            </w:tcBorders>
            <w:vAlign w:val="center"/>
          </w:tcPr>
          <w:p w14:paraId="069C7E25" w14:textId="77777777" w:rsidR="002A75DB" w:rsidRPr="00D83463" w:rsidRDefault="00D406A7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Výnosy z přecenění reálnou hodnotou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3C9FF93B" w14:textId="77777777" w:rsidR="002A75DB" w:rsidRPr="00D83463" w:rsidRDefault="00D406A7">
            <w:pPr>
              <w:pStyle w:val="Zkladntex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664</w:t>
            </w:r>
          </w:p>
        </w:tc>
      </w:tr>
      <w:tr w:rsidR="009E1999" w:rsidRPr="00D83463" w14:paraId="65865128" w14:textId="77777777" w:rsidTr="00A077B6">
        <w:trPr>
          <w:trHeight w:val="340"/>
          <w:jc w:val="center"/>
        </w:trPr>
        <w:tc>
          <w:tcPr>
            <w:tcW w:w="1694" w:type="dxa"/>
            <w:tcBorders>
              <w:top w:val="nil"/>
              <w:bottom w:val="nil"/>
            </w:tcBorders>
            <w:vAlign w:val="center"/>
          </w:tcPr>
          <w:p w14:paraId="22866172" w14:textId="77777777" w:rsidR="009E1999" w:rsidRPr="00D83463" w:rsidRDefault="009E1999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B.IV.1.</w:t>
            </w:r>
          </w:p>
        </w:tc>
        <w:tc>
          <w:tcPr>
            <w:tcW w:w="6298" w:type="dxa"/>
            <w:tcBorders>
              <w:top w:val="nil"/>
              <w:bottom w:val="nil"/>
            </w:tcBorders>
            <w:vAlign w:val="center"/>
          </w:tcPr>
          <w:p w14:paraId="18550C90" w14:textId="77777777" w:rsidR="009E1999" w:rsidRPr="00D83463" w:rsidRDefault="009E1999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Výnosy vybraných ústředních vládních institucí z transferů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11CFA1FE" w14:textId="77777777" w:rsidR="009E1999" w:rsidRPr="00D83463" w:rsidRDefault="009E1999">
            <w:pPr>
              <w:pStyle w:val="Zkladntex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671</w:t>
            </w:r>
          </w:p>
        </w:tc>
      </w:tr>
      <w:tr w:rsidR="009E1999" w:rsidRPr="00D83463" w14:paraId="2A94A942" w14:textId="77777777" w:rsidTr="00A077B6">
        <w:trPr>
          <w:trHeight w:val="340"/>
          <w:jc w:val="center"/>
        </w:trPr>
        <w:tc>
          <w:tcPr>
            <w:tcW w:w="1694" w:type="dxa"/>
            <w:tcBorders>
              <w:top w:val="nil"/>
              <w:bottom w:val="single" w:sz="4" w:space="0" w:color="auto"/>
            </w:tcBorders>
            <w:vAlign w:val="center"/>
          </w:tcPr>
          <w:p w14:paraId="6CE45B19" w14:textId="77777777" w:rsidR="009E1999" w:rsidRPr="00D83463" w:rsidRDefault="009E1999" w:rsidP="00CC4CE7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B.IV.2.</w:t>
            </w:r>
          </w:p>
        </w:tc>
        <w:tc>
          <w:tcPr>
            <w:tcW w:w="6298" w:type="dxa"/>
            <w:tcBorders>
              <w:top w:val="nil"/>
              <w:bottom w:val="single" w:sz="4" w:space="0" w:color="auto"/>
            </w:tcBorders>
            <w:vAlign w:val="center"/>
          </w:tcPr>
          <w:p w14:paraId="0F87B9AF" w14:textId="77777777" w:rsidR="009E1999" w:rsidRPr="00D83463" w:rsidRDefault="009E1999">
            <w:pPr>
              <w:pStyle w:val="Zkladntex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Výnosy vybraných místních vládních institucí z transferů</w:t>
            </w:r>
          </w:p>
        </w:tc>
        <w:tc>
          <w:tcPr>
            <w:tcW w:w="1296" w:type="dxa"/>
            <w:tcBorders>
              <w:top w:val="nil"/>
              <w:bottom w:val="single" w:sz="4" w:space="0" w:color="auto"/>
            </w:tcBorders>
            <w:vAlign w:val="center"/>
          </w:tcPr>
          <w:p w14:paraId="64EB1BC1" w14:textId="77777777" w:rsidR="00C771E7" w:rsidRPr="00D83463" w:rsidRDefault="009E1999" w:rsidP="00A077B6">
            <w:pPr>
              <w:pStyle w:val="Zkladntex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sz w:val="24"/>
                <w:szCs w:val="24"/>
              </w:rPr>
              <w:t>672</w:t>
            </w:r>
          </w:p>
        </w:tc>
      </w:tr>
    </w:tbl>
    <w:p w14:paraId="242E2344" w14:textId="77777777" w:rsidR="002A75DB" w:rsidRPr="00D83463" w:rsidRDefault="002A75DB" w:rsidP="00B95F1B"/>
    <w:p w14:paraId="190BBCD3" w14:textId="77777777" w:rsidR="00344E25" w:rsidRPr="00D83463" w:rsidRDefault="00344E25" w:rsidP="00B95F1B">
      <w:pPr>
        <w:pStyle w:val="Zkladntext"/>
        <w:tabs>
          <w:tab w:val="left" w:pos="180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D83463">
        <w:rPr>
          <w:rFonts w:ascii="Times New Roman" w:hAnsi="Times New Roman"/>
          <w:b w:val="0"/>
          <w:bCs w:val="0"/>
          <w:sz w:val="24"/>
          <w:szCs w:val="24"/>
        </w:rPr>
        <w:t>vykazovaných za podmínek stanovených vyhláškou.</w:t>
      </w:r>
    </w:p>
    <w:p w14:paraId="7257AB50" w14:textId="77777777" w:rsidR="00344E25" w:rsidRPr="00D83463" w:rsidRDefault="00344E25" w:rsidP="00B95F1B">
      <w:pPr>
        <w:pStyle w:val="Zkladntext"/>
        <w:tabs>
          <w:tab w:val="left" w:pos="180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14:paraId="285412E7" w14:textId="77777777" w:rsidR="009E1999" w:rsidRPr="00D83463" w:rsidRDefault="009E1999" w:rsidP="00B95F1B">
      <w:pPr>
        <w:pStyle w:val="Zkladntext"/>
        <w:tabs>
          <w:tab w:val="left" w:pos="180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14:paraId="3C65DEB1" w14:textId="77777777" w:rsidR="009E1999" w:rsidRPr="00D83463" w:rsidRDefault="009E1999">
      <w:pPr>
        <w:rPr>
          <w:b/>
        </w:rPr>
      </w:pPr>
      <w:r w:rsidRPr="00D83463">
        <w:rPr>
          <w:b/>
        </w:rPr>
        <w:br w:type="page"/>
      </w:r>
    </w:p>
    <w:p w14:paraId="2B1CFDAD" w14:textId="77777777" w:rsidR="00344E25" w:rsidRPr="00D83463" w:rsidRDefault="00344E25" w:rsidP="00B95F1B">
      <w:pPr>
        <w:numPr>
          <w:ilvl w:val="0"/>
          <w:numId w:val="27"/>
        </w:numPr>
        <w:rPr>
          <w:b/>
        </w:rPr>
      </w:pPr>
      <w:r w:rsidRPr="00D83463">
        <w:rPr>
          <w:b/>
        </w:rPr>
        <w:lastRenderedPageBreak/>
        <w:t>Předmět standardu</w:t>
      </w:r>
    </w:p>
    <w:p w14:paraId="123C935E" w14:textId="77777777" w:rsidR="00344E25" w:rsidRPr="00D83463" w:rsidRDefault="00344E25" w:rsidP="00B95F1B"/>
    <w:p w14:paraId="38EE357F" w14:textId="77777777" w:rsidR="00344E25" w:rsidRPr="00D83463" w:rsidRDefault="00344E25" w:rsidP="00B95F1B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D83463">
        <w:rPr>
          <w:rFonts w:ascii="Times New Roman" w:hAnsi="Times New Roman"/>
          <w:b w:val="0"/>
          <w:bCs w:val="0"/>
          <w:sz w:val="24"/>
          <w:szCs w:val="24"/>
        </w:rPr>
        <w:t>Standard upravuje:</w:t>
      </w:r>
    </w:p>
    <w:p w14:paraId="25871365" w14:textId="77777777" w:rsidR="00344E25" w:rsidRPr="00D83463" w:rsidRDefault="00344E25" w:rsidP="00B95F1B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572"/>
      </w:tblGrid>
      <w:tr w:rsidR="00344E25" w:rsidRPr="00D83463" w14:paraId="03311050" w14:textId="77777777" w:rsidTr="00A077B6">
        <w:trPr>
          <w:jc w:val="center"/>
        </w:trPr>
        <w:tc>
          <w:tcPr>
            <w:tcW w:w="696" w:type="dxa"/>
          </w:tcPr>
          <w:p w14:paraId="49FFBD64" w14:textId="77777777" w:rsidR="00344E25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Cs w:val="0"/>
                <w:sz w:val="24"/>
                <w:szCs w:val="24"/>
              </w:rPr>
              <w:t>3</w:t>
            </w:r>
            <w:r w:rsidR="00B95821" w:rsidRPr="00D83463">
              <w:rPr>
                <w:rFonts w:ascii="Times New Roman" w:hAnsi="Times New Roman"/>
                <w:bCs w:val="0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14:paraId="73118BE7" w14:textId="77777777" w:rsidR="00344E25" w:rsidRPr="00D83463" w:rsidRDefault="00B95821" w:rsidP="00B95F1B">
            <w:pPr>
              <w:pStyle w:val="Zkladntext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Cs w:val="0"/>
                <w:sz w:val="24"/>
                <w:szCs w:val="24"/>
              </w:rPr>
              <w:t>Obecná pravidla k postupům účtování na účtech vlastních zdrojů</w:t>
            </w:r>
          </w:p>
        </w:tc>
      </w:tr>
      <w:tr w:rsidR="0010403F" w:rsidRPr="00D83463" w14:paraId="05768988" w14:textId="77777777" w:rsidTr="00A077B6">
        <w:trPr>
          <w:jc w:val="center"/>
        </w:trPr>
        <w:tc>
          <w:tcPr>
            <w:tcW w:w="696" w:type="dxa"/>
          </w:tcPr>
          <w:p w14:paraId="0C4B760D" w14:textId="77777777" w:rsidR="0010403F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  <w:r w:rsidR="00B95821"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.1.</w:t>
            </w:r>
          </w:p>
        </w:tc>
        <w:tc>
          <w:tcPr>
            <w:tcW w:w="8572" w:type="dxa"/>
          </w:tcPr>
          <w:p w14:paraId="45FC91EA" w14:textId="77777777" w:rsidR="0010403F" w:rsidRPr="00D83463" w:rsidRDefault="00B95821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Obecná pravidla k postupům účtování na účtu 401 – Jmění účetní jednotky</w:t>
            </w:r>
          </w:p>
        </w:tc>
      </w:tr>
      <w:tr w:rsidR="0010403F" w:rsidRPr="00D83463" w14:paraId="7C46F25F" w14:textId="77777777" w:rsidTr="00A077B6">
        <w:trPr>
          <w:jc w:val="center"/>
        </w:trPr>
        <w:tc>
          <w:tcPr>
            <w:tcW w:w="696" w:type="dxa"/>
          </w:tcPr>
          <w:p w14:paraId="2F86CE32" w14:textId="77777777" w:rsidR="0010403F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  <w:r w:rsidR="00B95821"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.2.</w:t>
            </w:r>
          </w:p>
        </w:tc>
        <w:tc>
          <w:tcPr>
            <w:tcW w:w="8572" w:type="dxa"/>
          </w:tcPr>
          <w:p w14:paraId="61A118F2" w14:textId="77777777" w:rsidR="0010403F" w:rsidRPr="00D83463" w:rsidRDefault="00B95821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Obecná pravidla k postupům účtování na účtu 403 – Transfery na pořízení dlouhodobého majetku</w:t>
            </w:r>
          </w:p>
        </w:tc>
      </w:tr>
      <w:tr w:rsidR="0010403F" w:rsidRPr="00D83463" w14:paraId="4080DDD4" w14:textId="77777777" w:rsidTr="00A077B6">
        <w:trPr>
          <w:jc w:val="center"/>
        </w:trPr>
        <w:tc>
          <w:tcPr>
            <w:tcW w:w="696" w:type="dxa"/>
          </w:tcPr>
          <w:p w14:paraId="48CD2D62" w14:textId="77777777" w:rsidR="0010403F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  <w:r w:rsidR="00B95821"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.3.</w:t>
            </w:r>
          </w:p>
        </w:tc>
        <w:tc>
          <w:tcPr>
            <w:tcW w:w="8572" w:type="dxa"/>
          </w:tcPr>
          <w:p w14:paraId="0252E0A5" w14:textId="77777777" w:rsidR="0010403F" w:rsidRPr="00D83463" w:rsidRDefault="00B95821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Obecná pravidla k postupům účtování na účtu 406 – Oceňovací rozdíly při prvotním použití metody</w:t>
            </w:r>
          </w:p>
        </w:tc>
      </w:tr>
      <w:tr w:rsidR="0010403F" w:rsidRPr="00D83463" w14:paraId="6218EB64" w14:textId="77777777" w:rsidTr="00A077B6">
        <w:trPr>
          <w:jc w:val="center"/>
        </w:trPr>
        <w:tc>
          <w:tcPr>
            <w:tcW w:w="696" w:type="dxa"/>
          </w:tcPr>
          <w:p w14:paraId="2ACAD739" w14:textId="77777777" w:rsidR="0010403F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  <w:r w:rsidR="00B95821"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.4.</w:t>
            </w:r>
          </w:p>
        </w:tc>
        <w:tc>
          <w:tcPr>
            <w:tcW w:w="8572" w:type="dxa"/>
          </w:tcPr>
          <w:p w14:paraId="42AF81F2" w14:textId="77777777" w:rsidR="0010403F" w:rsidRPr="00D83463" w:rsidRDefault="00B95821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Obecná pravidla k postupům účtování na účtu 407 – Jiné oceňovací rozdíly</w:t>
            </w:r>
          </w:p>
        </w:tc>
      </w:tr>
      <w:tr w:rsidR="0010403F" w:rsidRPr="00D83463" w14:paraId="5987AFCD" w14:textId="77777777" w:rsidTr="00A077B6">
        <w:trPr>
          <w:jc w:val="center"/>
        </w:trPr>
        <w:tc>
          <w:tcPr>
            <w:tcW w:w="696" w:type="dxa"/>
          </w:tcPr>
          <w:p w14:paraId="710B4A4B" w14:textId="77777777" w:rsidR="0010403F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  <w:r w:rsidR="00B95821"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.5.</w:t>
            </w:r>
          </w:p>
        </w:tc>
        <w:tc>
          <w:tcPr>
            <w:tcW w:w="8572" w:type="dxa"/>
          </w:tcPr>
          <w:p w14:paraId="592E1FD2" w14:textId="77777777" w:rsidR="0010403F" w:rsidRPr="00D83463" w:rsidRDefault="00B95821" w:rsidP="00A077B6">
            <w:pPr>
              <w:jc w:val="both"/>
              <w:rPr>
                <w:b/>
                <w:bCs/>
              </w:rPr>
            </w:pPr>
            <w:r w:rsidRPr="00D83463">
              <w:t>Obecná pravidla k postupům účtování na účtu 408 – Opravy minulých období</w:t>
            </w:r>
            <w:r w:rsidR="007E131F" w:rsidRPr="00D83463">
              <w:t xml:space="preserve"> a</w:t>
            </w:r>
            <w:r w:rsidR="00295195" w:rsidRPr="00D83463">
              <w:t> </w:t>
            </w:r>
            <w:r w:rsidR="007E131F" w:rsidRPr="00D83463">
              <w:t>některá další ustanovení o opravách</w:t>
            </w:r>
          </w:p>
        </w:tc>
      </w:tr>
      <w:tr w:rsidR="00CD7976" w:rsidRPr="00D83463" w14:paraId="0EA7756F" w14:textId="77777777" w:rsidTr="00A077B6">
        <w:trPr>
          <w:jc w:val="center"/>
        </w:trPr>
        <w:tc>
          <w:tcPr>
            <w:tcW w:w="696" w:type="dxa"/>
          </w:tcPr>
          <w:p w14:paraId="4570369F" w14:textId="77777777" w:rsidR="00CD7976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  <w:r w:rsidR="00B95821"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.6.</w:t>
            </w:r>
          </w:p>
        </w:tc>
        <w:tc>
          <w:tcPr>
            <w:tcW w:w="8572" w:type="dxa"/>
          </w:tcPr>
          <w:p w14:paraId="7CEC41DB" w14:textId="77777777" w:rsidR="00CD7976" w:rsidRPr="00D83463" w:rsidRDefault="00B95821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Obecná pravidla k postupům účtování na některých syntetických účtech účtové skupiny 22 – Bankovní účty organizačních složek státu a běžné účty státních fondů</w:t>
            </w:r>
          </w:p>
        </w:tc>
      </w:tr>
      <w:tr w:rsidR="00344E25" w:rsidRPr="00D83463" w14:paraId="023B9F76" w14:textId="77777777" w:rsidTr="00A077B6">
        <w:trPr>
          <w:jc w:val="center"/>
        </w:trPr>
        <w:tc>
          <w:tcPr>
            <w:tcW w:w="696" w:type="dxa"/>
          </w:tcPr>
          <w:p w14:paraId="4950D500" w14:textId="77777777" w:rsidR="00344E25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Cs w:val="0"/>
                <w:sz w:val="24"/>
                <w:szCs w:val="24"/>
              </w:rPr>
              <w:t>4</w:t>
            </w:r>
            <w:r w:rsidR="00B95821" w:rsidRPr="00D83463">
              <w:rPr>
                <w:rFonts w:ascii="Times New Roman" w:hAnsi="Times New Roman"/>
                <w:bCs w:val="0"/>
                <w:sz w:val="24"/>
                <w:szCs w:val="24"/>
              </w:rPr>
              <w:t>.</w:t>
            </w:r>
          </w:p>
        </w:tc>
        <w:tc>
          <w:tcPr>
            <w:tcW w:w="8572" w:type="dxa"/>
          </w:tcPr>
          <w:p w14:paraId="3D084B40" w14:textId="77777777" w:rsidR="00344E25" w:rsidRPr="00D83463" w:rsidRDefault="00B95821" w:rsidP="00B95F1B">
            <w:pPr>
              <w:pStyle w:val="Zkladntext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Cs w:val="0"/>
                <w:sz w:val="24"/>
                <w:szCs w:val="24"/>
              </w:rPr>
              <w:t>Postup účtování</w:t>
            </w:r>
          </w:p>
        </w:tc>
      </w:tr>
      <w:tr w:rsidR="00344E25" w:rsidRPr="00D83463" w14:paraId="5DB12E09" w14:textId="77777777" w:rsidTr="00A077B6">
        <w:trPr>
          <w:jc w:val="center"/>
        </w:trPr>
        <w:tc>
          <w:tcPr>
            <w:tcW w:w="696" w:type="dxa"/>
          </w:tcPr>
          <w:p w14:paraId="446110BD" w14:textId="77777777" w:rsidR="00344E25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</w:t>
            </w:r>
            <w:r w:rsidR="00B95821"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.1.</w:t>
            </w:r>
          </w:p>
        </w:tc>
        <w:tc>
          <w:tcPr>
            <w:tcW w:w="8572" w:type="dxa"/>
          </w:tcPr>
          <w:p w14:paraId="5ACBF635" w14:textId="77777777" w:rsidR="00344E25" w:rsidRPr="00D83463" w:rsidRDefault="00B95821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Postup účtování na účtu 401 – Jmění účetní jednotky</w:t>
            </w:r>
          </w:p>
        </w:tc>
      </w:tr>
      <w:tr w:rsidR="004D0340" w:rsidRPr="00D83463" w14:paraId="6B327686" w14:textId="77777777" w:rsidTr="00A077B6">
        <w:trPr>
          <w:jc w:val="center"/>
        </w:trPr>
        <w:tc>
          <w:tcPr>
            <w:tcW w:w="696" w:type="dxa"/>
          </w:tcPr>
          <w:p w14:paraId="714006DA" w14:textId="77777777" w:rsidR="004D0340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</w:t>
            </w:r>
            <w:r w:rsidR="00B95821"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.2.</w:t>
            </w:r>
          </w:p>
        </w:tc>
        <w:tc>
          <w:tcPr>
            <w:tcW w:w="8572" w:type="dxa"/>
          </w:tcPr>
          <w:p w14:paraId="4053D580" w14:textId="77777777" w:rsidR="00474AA7" w:rsidRPr="00D83463" w:rsidRDefault="00B95821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Postup účtování na účtu 403 – Transfery na pořízení dlouhodobého majetku</w:t>
            </w:r>
          </w:p>
        </w:tc>
      </w:tr>
      <w:tr w:rsidR="004D0340" w:rsidRPr="00D83463" w14:paraId="7BA725B9" w14:textId="77777777" w:rsidTr="00A077B6">
        <w:trPr>
          <w:jc w:val="center"/>
        </w:trPr>
        <w:tc>
          <w:tcPr>
            <w:tcW w:w="696" w:type="dxa"/>
          </w:tcPr>
          <w:p w14:paraId="09F9E985" w14:textId="77777777" w:rsidR="004D0340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</w:t>
            </w:r>
            <w:r w:rsidR="00B95821"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.3.</w:t>
            </w:r>
          </w:p>
        </w:tc>
        <w:tc>
          <w:tcPr>
            <w:tcW w:w="8572" w:type="dxa"/>
          </w:tcPr>
          <w:p w14:paraId="53804A17" w14:textId="77777777" w:rsidR="004D0340" w:rsidRPr="00D83463" w:rsidRDefault="00B95821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Postup účtování na účtu 407 – Jiné oceňovací rozdíly</w:t>
            </w:r>
          </w:p>
        </w:tc>
      </w:tr>
      <w:tr w:rsidR="003E53C0" w:rsidRPr="00D83463" w14:paraId="5311AB89" w14:textId="77777777" w:rsidTr="00A077B6">
        <w:trPr>
          <w:jc w:val="center"/>
        </w:trPr>
        <w:tc>
          <w:tcPr>
            <w:tcW w:w="696" w:type="dxa"/>
          </w:tcPr>
          <w:p w14:paraId="565F3473" w14:textId="77777777" w:rsidR="003E53C0" w:rsidRPr="00D83463" w:rsidRDefault="0083466A" w:rsidP="00B95F1B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346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4.4.</w:t>
            </w:r>
          </w:p>
        </w:tc>
        <w:tc>
          <w:tcPr>
            <w:tcW w:w="8572" w:type="dxa"/>
          </w:tcPr>
          <w:p w14:paraId="1D6BFE90" w14:textId="77777777" w:rsidR="00C771E7" w:rsidRPr="00D83463" w:rsidRDefault="00B95821" w:rsidP="00A077B6">
            <w:pPr>
              <w:jc w:val="both"/>
            </w:pPr>
            <w:r w:rsidRPr="00D83463">
              <w:t>Některé další postupy účtování</w:t>
            </w:r>
          </w:p>
        </w:tc>
      </w:tr>
      <w:tr w:rsidR="007E131F" w:rsidRPr="00965A72" w14:paraId="1F21310C" w14:textId="77777777" w:rsidTr="00813EDD">
        <w:trPr>
          <w:jc w:val="center"/>
        </w:trPr>
        <w:tc>
          <w:tcPr>
            <w:tcW w:w="696" w:type="dxa"/>
          </w:tcPr>
          <w:p w14:paraId="67EE7CB6" w14:textId="77777777" w:rsidR="007E131F" w:rsidRPr="00AD4FB2" w:rsidRDefault="007E131F" w:rsidP="00B95F1B">
            <w:pPr>
              <w:pStyle w:val="Zkladntext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D4FB2">
              <w:rPr>
                <w:rFonts w:ascii="Times New Roman" w:hAnsi="Times New Roman"/>
                <w:bCs w:val="0"/>
                <w:sz w:val="24"/>
                <w:szCs w:val="24"/>
              </w:rPr>
              <w:t>5.</w:t>
            </w:r>
          </w:p>
        </w:tc>
        <w:tc>
          <w:tcPr>
            <w:tcW w:w="8572" w:type="dxa"/>
          </w:tcPr>
          <w:p w14:paraId="43333912" w14:textId="77777777" w:rsidR="007E131F" w:rsidRPr="00AD4FB2" w:rsidRDefault="007E131F">
            <w:pPr>
              <w:jc w:val="both"/>
              <w:rPr>
                <w:b/>
              </w:rPr>
            </w:pPr>
            <w:r w:rsidRPr="00AD4FB2">
              <w:rPr>
                <w:b/>
              </w:rPr>
              <w:t>Přechodná ustanovení</w:t>
            </w:r>
          </w:p>
        </w:tc>
      </w:tr>
    </w:tbl>
    <w:p w14:paraId="5763541A" w14:textId="77777777" w:rsidR="00B37972" w:rsidRPr="00D83463" w:rsidRDefault="00B37972" w:rsidP="00B95F1B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14:paraId="189E52DF" w14:textId="77777777" w:rsidR="00B37972" w:rsidRPr="00D83463" w:rsidRDefault="00B37972" w:rsidP="00B95F1B">
      <w:pPr>
        <w:pStyle w:val="Zkladntext"/>
        <w:tabs>
          <w:tab w:val="left" w:pos="2880"/>
          <w:tab w:val="right" w:pos="8820"/>
        </w:tabs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14:paraId="0CDDFE4C" w14:textId="77777777" w:rsidR="00B37972" w:rsidRPr="00D83463" w:rsidRDefault="00AA2707" w:rsidP="00B95F1B">
      <w:pPr>
        <w:numPr>
          <w:ilvl w:val="0"/>
          <w:numId w:val="27"/>
        </w:numPr>
        <w:rPr>
          <w:b/>
        </w:rPr>
      </w:pPr>
      <w:r w:rsidRPr="00D83463">
        <w:rPr>
          <w:b/>
          <w:bCs/>
        </w:rPr>
        <w:t xml:space="preserve">Obecná pravidla k postupům </w:t>
      </w:r>
      <w:r w:rsidR="00A50258" w:rsidRPr="00D83463">
        <w:rPr>
          <w:b/>
        </w:rPr>
        <w:t>účtování na účtech vlastních zdrojů</w:t>
      </w:r>
    </w:p>
    <w:p w14:paraId="3B714F73" w14:textId="77777777" w:rsidR="006F4EB7" w:rsidRPr="00D83463" w:rsidRDefault="006F4EB7" w:rsidP="00B95F1B">
      <w:pPr>
        <w:jc w:val="both"/>
      </w:pPr>
    </w:p>
    <w:p w14:paraId="0501BE35" w14:textId="77777777" w:rsidR="0054100F" w:rsidRPr="00D83463" w:rsidRDefault="00B95821" w:rsidP="0054100F">
      <w:pPr>
        <w:numPr>
          <w:ilvl w:val="1"/>
          <w:numId w:val="27"/>
        </w:numPr>
        <w:tabs>
          <w:tab w:val="clear" w:pos="792"/>
          <w:tab w:val="num" w:pos="540"/>
        </w:tabs>
        <w:ind w:left="0" w:firstLine="0"/>
        <w:jc w:val="both"/>
        <w:rPr>
          <w:b/>
        </w:rPr>
      </w:pPr>
      <w:r w:rsidRPr="00D83463">
        <w:rPr>
          <w:b/>
        </w:rPr>
        <w:t>Obecná pravidla k postupům účtování na účtu 401 – Jmění účetní jednotky</w:t>
      </w:r>
    </w:p>
    <w:p w14:paraId="2EEA990C" w14:textId="77777777" w:rsidR="0054100F" w:rsidRPr="00D83463" w:rsidRDefault="0054100F" w:rsidP="00B95F1B">
      <w:pPr>
        <w:jc w:val="both"/>
      </w:pPr>
    </w:p>
    <w:p w14:paraId="78FE3820" w14:textId="77777777" w:rsidR="000907C8" w:rsidRPr="00D83463" w:rsidRDefault="000907C8" w:rsidP="00C34559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Prostřednictvím účtu 401 – Jmění účetní jednotky účtu</w:t>
      </w:r>
      <w:r w:rsidR="00211F4B" w:rsidRPr="00D83463">
        <w:t>je účetní jednotka zejména o </w:t>
      </w:r>
      <w:r w:rsidRPr="00D83463">
        <w:t>bezúplatné změně příslušnosti k hospodaření s majetkem státu, o svěření majetku do správy podle zákona upravujícího rozpočtová pravidla územních samosprávných celků nebo</w:t>
      </w:r>
      <w:r w:rsidR="00157D92" w:rsidRPr="00D83463">
        <w:t xml:space="preserve"> o</w:t>
      </w:r>
      <w:r w:rsidR="00295195" w:rsidRPr="00D83463">
        <w:t> </w:t>
      </w:r>
      <w:r w:rsidRPr="00D83463">
        <w:t>bezúplatném převodu nebo přechodu majetku mezi vybranými účetními jednotkami.</w:t>
      </w:r>
    </w:p>
    <w:p w14:paraId="4BBC0A80" w14:textId="77777777" w:rsidR="000907C8" w:rsidRPr="00D83463" w:rsidRDefault="000907C8" w:rsidP="00B95F1B">
      <w:pPr>
        <w:jc w:val="both"/>
      </w:pPr>
    </w:p>
    <w:p w14:paraId="07EBB97A" w14:textId="77777777" w:rsidR="00C771E7" w:rsidRPr="00D83463" w:rsidRDefault="001D7384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nabytí majetku a jiných aktiv a závazků a jiných pasiv vybranou účetní jednotkou z titulu zániku jiné vybrané účetní jednotky </w:t>
      </w:r>
      <w:r w:rsidR="00AB7F78" w:rsidRPr="00D83463">
        <w:t>účtuje nabývající účetní jednotka</w:t>
      </w:r>
      <w:r w:rsidRPr="00D83463">
        <w:t xml:space="preserve"> výhradně prostřednictvím účtu 401 – Jmění účetní jednotky.</w:t>
      </w:r>
      <w:r w:rsidR="00691C23" w:rsidRPr="00D83463">
        <w:t xml:space="preserve"> V případě účtů 222 – Příjmový účet organizačních složek státu a 223 – Zvláštní výdajový účet u zanikající účetní jednotky účtuje účetní jednotka, která je </w:t>
      </w:r>
      <w:r w:rsidR="00526D51" w:rsidRPr="00D83463">
        <w:t>nástupnickou</w:t>
      </w:r>
      <w:r w:rsidR="00691C23" w:rsidRPr="00D83463">
        <w:t xml:space="preserve"> účetní jednotk</w:t>
      </w:r>
      <w:r w:rsidR="00526D51" w:rsidRPr="00D83463">
        <w:t>ou</w:t>
      </w:r>
      <w:r w:rsidR="00691C23" w:rsidRPr="00D83463">
        <w:t>, na příslušné strany účtu 404 –</w:t>
      </w:r>
      <w:r w:rsidR="003C7751" w:rsidRPr="00D83463">
        <w:t xml:space="preserve"> </w:t>
      </w:r>
      <w:r w:rsidR="00691C23" w:rsidRPr="00D83463">
        <w:t>Agregované příjmy a výdaje minulých let</w:t>
      </w:r>
      <w:r w:rsidR="00AB7F78" w:rsidRPr="00D83463">
        <w:t>, nevypl</w:t>
      </w:r>
      <w:r w:rsidR="00DC22DB" w:rsidRPr="00D83463">
        <w:t>ývá</w:t>
      </w:r>
      <w:r w:rsidR="00AB7F78" w:rsidRPr="00D83463">
        <w:t>-li z</w:t>
      </w:r>
      <w:r w:rsidR="00DC22DB" w:rsidRPr="00D83463">
        <w:t>e zvláštního</w:t>
      </w:r>
      <w:r w:rsidR="00AB7F78" w:rsidRPr="00D83463">
        <w:t xml:space="preserve"> právního předpisu jiný postup</w:t>
      </w:r>
      <w:r w:rsidR="00691C23" w:rsidRPr="00D83463">
        <w:t xml:space="preserve">. V případě syntetických účtů účtových tříd 5 – Náklady a 6 – Výnosy u zanikající účetní jednotky účtuje účetní jednotka, která je </w:t>
      </w:r>
      <w:r w:rsidR="000907C8" w:rsidRPr="00D83463">
        <w:t>nástupnickou</w:t>
      </w:r>
      <w:r w:rsidR="00691C23" w:rsidRPr="00D83463">
        <w:t xml:space="preserve"> účetní jednotk</w:t>
      </w:r>
      <w:r w:rsidR="000907C8" w:rsidRPr="00D83463">
        <w:t>ou</w:t>
      </w:r>
      <w:r w:rsidR="00691C23" w:rsidRPr="00D83463">
        <w:t>, na příslušn</w:t>
      </w:r>
      <w:r w:rsidR="00CE3712" w:rsidRPr="00D83463">
        <w:t>ou stranu účtu 431 – Výsledek hospodaření ve schvalovacím řízení.</w:t>
      </w:r>
    </w:p>
    <w:p w14:paraId="79374326" w14:textId="77777777" w:rsidR="001D7384" w:rsidRPr="00D83463" w:rsidRDefault="001D7384">
      <w:pPr>
        <w:jc w:val="both"/>
      </w:pPr>
    </w:p>
    <w:p w14:paraId="58181418" w14:textId="77777777" w:rsidR="00C771E7" w:rsidRPr="00D83463" w:rsidRDefault="00524A3B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Ustanovení bod</w:t>
      </w:r>
      <w:r w:rsidR="00ED3005" w:rsidRPr="00D83463">
        <w:t>u</w:t>
      </w:r>
      <w:r w:rsidRPr="00D83463">
        <w:t xml:space="preserve"> 4.1. se nevztahují na účtování o drobném dlouhodobém majetku.</w:t>
      </w:r>
    </w:p>
    <w:p w14:paraId="2EC7D056" w14:textId="77777777" w:rsidR="0054100F" w:rsidRPr="00D83463" w:rsidRDefault="0054100F" w:rsidP="0054100F">
      <w:pPr>
        <w:jc w:val="both"/>
      </w:pPr>
    </w:p>
    <w:p w14:paraId="42903122" w14:textId="77777777" w:rsidR="0054100F" w:rsidRPr="00D83463" w:rsidRDefault="00AA2707" w:rsidP="0054100F">
      <w:pPr>
        <w:numPr>
          <w:ilvl w:val="1"/>
          <w:numId w:val="27"/>
        </w:numPr>
        <w:tabs>
          <w:tab w:val="clear" w:pos="792"/>
          <w:tab w:val="num" w:pos="540"/>
        </w:tabs>
        <w:ind w:left="0" w:firstLine="0"/>
        <w:jc w:val="both"/>
        <w:rPr>
          <w:b/>
        </w:rPr>
      </w:pPr>
      <w:r w:rsidRPr="00D83463">
        <w:rPr>
          <w:b/>
        </w:rPr>
        <w:t xml:space="preserve">Obecná pravidla k postupům účtování na účtu </w:t>
      </w:r>
      <w:r w:rsidR="0054100F" w:rsidRPr="00D83463">
        <w:rPr>
          <w:b/>
        </w:rPr>
        <w:t>403 – Transfery na pořízení dlouhodobého majetku</w:t>
      </w:r>
    </w:p>
    <w:p w14:paraId="30B9C08A" w14:textId="77777777" w:rsidR="00C771E7" w:rsidRPr="00D83463" w:rsidRDefault="00C771E7" w:rsidP="00A077B6">
      <w:pPr>
        <w:jc w:val="both"/>
        <w:rPr>
          <w:b/>
        </w:rPr>
      </w:pPr>
    </w:p>
    <w:p w14:paraId="611C4A25" w14:textId="77777777" w:rsidR="000C4AD8" w:rsidRPr="00D83463" w:rsidRDefault="0054100F" w:rsidP="000C4AD8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Účetní jednotka přiřazuje</w:t>
      </w:r>
      <w:r w:rsidR="00FC4F10" w:rsidRPr="00D83463">
        <w:t xml:space="preserve"> </w:t>
      </w:r>
      <w:r w:rsidRPr="00D83463">
        <w:t>přijatý investiční transfer</w:t>
      </w:r>
      <w:r w:rsidR="008B0CC4" w:rsidRPr="00D83463">
        <w:t xml:space="preserve"> podle Českého účetního standardu č. 703 – Transfery</w:t>
      </w:r>
      <w:r w:rsidRPr="00D83463">
        <w:t xml:space="preserve"> vždy </w:t>
      </w:r>
      <w:r w:rsidR="005D38ED" w:rsidRPr="00D83463">
        <w:t xml:space="preserve">k </w:t>
      </w:r>
      <w:r w:rsidRPr="00D83463">
        <w:t>příslušné</w:t>
      </w:r>
      <w:r w:rsidR="005D38ED" w:rsidRPr="00D83463">
        <w:t>mu pořizovanému majetku</w:t>
      </w:r>
      <w:r w:rsidRPr="00D83463">
        <w:t xml:space="preserve">. V případě, kdy je z investičního transferu pořizováno více položek majetku a z podmínek poskytnutí tohoto </w:t>
      </w:r>
      <w:r w:rsidRPr="00D83463">
        <w:lastRenderedPageBreak/>
        <w:t xml:space="preserve">investičního transferu nevyplývá jednoznačně způsob jeho přiřazení </w:t>
      </w:r>
      <w:r w:rsidR="005D38ED" w:rsidRPr="00D83463">
        <w:t xml:space="preserve">k </w:t>
      </w:r>
      <w:r w:rsidRPr="00D83463">
        <w:t>příslušné</w:t>
      </w:r>
      <w:r w:rsidR="005D38ED" w:rsidRPr="00D83463">
        <w:t>mu</w:t>
      </w:r>
      <w:r w:rsidRPr="00D83463">
        <w:t xml:space="preserve"> pořizované</w:t>
      </w:r>
      <w:r w:rsidR="005D38ED" w:rsidRPr="00D83463">
        <w:t>mu</w:t>
      </w:r>
      <w:r w:rsidRPr="00D83463">
        <w:t xml:space="preserve"> majetku, </w:t>
      </w:r>
      <w:r w:rsidR="000C4AD8" w:rsidRPr="00D83463">
        <w:t>může</w:t>
      </w:r>
      <w:r w:rsidR="000336CC" w:rsidRPr="00D83463">
        <w:t xml:space="preserve"> účetní jednotka </w:t>
      </w:r>
      <w:r w:rsidR="000C4AD8" w:rsidRPr="00D83463">
        <w:t xml:space="preserve">provést </w:t>
      </w:r>
      <w:r w:rsidR="000336CC" w:rsidRPr="00D83463">
        <w:t>toto přiřazení</w:t>
      </w:r>
    </w:p>
    <w:p w14:paraId="15554962" w14:textId="77777777" w:rsidR="000C4AD8" w:rsidRPr="00D83463" w:rsidRDefault="000C4AD8" w:rsidP="000C4AD8">
      <w:pPr>
        <w:jc w:val="both"/>
        <w:rPr>
          <w:b/>
        </w:rPr>
      </w:pPr>
    </w:p>
    <w:p w14:paraId="03ECE336" w14:textId="77777777" w:rsidR="000336CC" w:rsidRPr="00D83463" w:rsidRDefault="000336CC" w:rsidP="00157310">
      <w:pPr>
        <w:numPr>
          <w:ilvl w:val="0"/>
          <w:numId w:val="33"/>
        </w:numPr>
        <w:tabs>
          <w:tab w:val="clear" w:pos="720"/>
          <w:tab w:val="num" w:pos="426"/>
        </w:tabs>
        <w:ind w:left="426" w:hanging="426"/>
        <w:jc w:val="both"/>
      </w:pPr>
      <w:r w:rsidRPr="00D83463">
        <w:t>na základě poměru pořizovací ceny jednotlivé</w:t>
      </w:r>
      <w:r w:rsidR="00A97AAE" w:rsidRPr="00D83463">
        <w:t>ho</w:t>
      </w:r>
      <w:r w:rsidRPr="00D83463">
        <w:t xml:space="preserve"> pořizovaného majetku k celkovému součtu pořizovacích cen vše</w:t>
      </w:r>
      <w:r w:rsidR="000C4AD8" w:rsidRPr="00D83463">
        <w:t>ch položek pořizovaného majetku</w:t>
      </w:r>
      <w:r w:rsidRPr="00D83463">
        <w:t xml:space="preserve"> nebo</w:t>
      </w:r>
    </w:p>
    <w:p w14:paraId="31D54158" w14:textId="77777777" w:rsidR="00595CDC" w:rsidRPr="00D83463" w:rsidRDefault="000336CC" w:rsidP="00157310">
      <w:pPr>
        <w:numPr>
          <w:ilvl w:val="0"/>
          <w:numId w:val="33"/>
        </w:numPr>
        <w:tabs>
          <w:tab w:val="clear" w:pos="720"/>
          <w:tab w:val="num" w:pos="426"/>
        </w:tabs>
        <w:ind w:left="426" w:hanging="426"/>
        <w:jc w:val="both"/>
      </w:pPr>
      <w:r w:rsidRPr="00D83463">
        <w:t>jiným průkazným způsobem.</w:t>
      </w:r>
    </w:p>
    <w:p w14:paraId="5D38A5AF" w14:textId="77777777" w:rsidR="0054100F" w:rsidRPr="00D83463" w:rsidRDefault="0054100F" w:rsidP="0054100F">
      <w:pPr>
        <w:jc w:val="both"/>
      </w:pPr>
    </w:p>
    <w:p w14:paraId="613906CF" w14:textId="77777777" w:rsidR="00C771E7" w:rsidRPr="00D83463" w:rsidRDefault="0054100F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V případě vkladu majetku, který byl pořízen zcela nebo částečně z investičního transferu</w:t>
      </w:r>
      <w:r w:rsidR="00865FBA" w:rsidRPr="00D83463">
        <w:t>, za který účetní jednotka nabývá podíl na vlastním kapitálu jiné společnosti</w:t>
      </w:r>
      <w:r w:rsidRPr="00D83463">
        <w:t>, přiřazuje účetní jednotka tento</w:t>
      </w:r>
      <w:r w:rsidR="008B0CC4" w:rsidRPr="00D83463">
        <w:t xml:space="preserve"> investiční</w:t>
      </w:r>
      <w:r w:rsidRPr="00D83463">
        <w:t xml:space="preserve"> transfer k příslušné položce finančního majetku.</w:t>
      </w:r>
    </w:p>
    <w:p w14:paraId="63C7240A" w14:textId="77777777" w:rsidR="00075240" w:rsidRPr="00D83463" w:rsidRDefault="00075240" w:rsidP="00B95F1B">
      <w:pPr>
        <w:jc w:val="both"/>
      </w:pPr>
    </w:p>
    <w:p w14:paraId="69BE8299" w14:textId="77777777" w:rsidR="00C771E7" w:rsidRPr="00D83463" w:rsidRDefault="00DB768C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Pokud účetní jednotka účtuje o snížení ocenění dlouhodobého majetku pořízeného zcela nebo částečně z investičního transferu</w:t>
      </w:r>
      <w:r w:rsidR="007D47B5" w:rsidRPr="00D83463">
        <w:t xml:space="preserve"> včetně finančního majetku pořízeného podle bodu 3.2.2.</w:t>
      </w:r>
      <w:r w:rsidRPr="00D83463">
        <w:t xml:space="preserve"> prostřednictvím nákladových účtů, účtuje o časovém rozlišení tohoto investičního transferu ve věcné a časové souvislosti s tímto nákladem prostřednictvím příslušného výnosového účtu; pokud účetní jednotka následně účtuje o zvýšení ocenění tohoto majetku</w:t>
      </w:r>
      <w:r w:rsidR="00D63DC0" w:rsidRPr="00D83463">
        <w:t xml:space="preserve"> prostřednictvím těchto nákladových účtů</w:t>
      </w:r>
      <w:r w:rsidRPr="00D83463">
        <w:t>, účtuje o opětovném zvýšení příslušného investičního transferu prostřednictvím příslušného výnosového účtu.</w:t>
      </w:r>
    </w:p>
    <w:p w14:paraId="4CA52829" w14:textId="77777777" w:rsidR="00C771E7" w:rsidRPr="00D83463" w:rsidRDefault="00C771E7" w:rsidP="00A077B6">
      <w:pPr>
        <w:pStyle w:val="Odstavecseseznamem"/>
      </w:pPr>
    </w:p>
    <w:p w14:paraId="77027B0B" w14:textId="77777777" w:rsidR="00AE04DC" w:rsidRPr="00D83463" w:rsidRDefault="00AE04DC" w:rsidP="00AE04DC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Postupy účtování prostřednictvím účtu 403 – Transfery na pořízení dlouhodobého majetku se nevztahují na organizační složky státu.</w:t>
      </w:r>
    </w:p>
    <w:p w14:paraId="35374025" w14:textId="77777777" w:rsidR="00AE04DC" w:rsidRPr="00D83463" w:rsidRDefault="00AE04DC" w:rsidP="00AE04DC">
      <w:pPr>
        <w:jc w:val="both"/>
      </w:pPr>
    </w:p>
    <w:p w14:paraId="23A49BB1" w14:textId="77777777" w:rsidR="00C771E7" w:rsidRPr="00D83463" w:rsidRDefault="00AE04DC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Ustanovení bodů 3.2. a 4.2. se nevztahují na účtování o drobném dlouhodobém majetku.</w:t>
      </w:r>
    </w:p>
    <w:p w14:paraId="7CF59D61" w14:textId="77777777" w:rsidR="00C42510" w:rsidRPr="00D83463" w:rsidRDefault="00C42510" w:rsidP="00C42510">
      <w:pPr>
        <w:jc w:val="both"/>
      </w:pPr>
    </w:p>
    <w:p w14:paraId="75A38866" w14:textId="77777777" w:rsidR="008916A0" w:rsidRPr="00D83463" w:rsidRDefault="00AA2707" w:rsidP="008916A0">
      <w:pPr>
        <w:numPr>
          <w:ilvl w:val="1"/>
          <w:numId w:val="27"/>
        </w:numPr>
        <w:tabs>
          <w:tab w:val="clear" w:pos="792"/>
          <w:tab w:val="num" w:pos="540"/>
        </w:tabs>
        <w:ind w:left="0" w:firstLine="0"/>
        <w:jc w:val="both"/>
        <w:rPr>
          <w:b/>
        </w:rPr>
      </w:pPr>
      <w:r w:rsidRPr="00D83463">
        <w:rPr>
          <w:b/>
        </w:rPr>
        <w:t xml:space="preserve">Obecná pravidla k postupům účtování na účtu </w:t>
      </w:r>
      <w:r w:rsidR="008916A0" w:rsidRPr="00D83463">
        <w:rPr>
          <w:b/>
        </w:rPr>
        <w:t>406 – Oceňovací rozdíly při prvotním použití metody</w:t>
      </w:r>
    </w:p>
    <w:p w14:paraId="1DB49C21" w14:textId="77777777" w:rsidR="008916A0" w:rsidRPr="00D83463" w:rsidRDefault="008916A0" w:rsidP="00C42510">
      <w:pPr>
        <w:jc w:val="both"/>
      </w:pPr>
    </w:p>
    <w:p w14:paraId="34D66732" w14:textId="77777777" w:rsidR="006C490C" w:rsidRPr="00D83463" w:rsidRDefault="008916A0" w:rsidP="008916A0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prvotního použití </w:t>
      </w:r>
      <w:r w:rsidR="004A75B2" w:rsidRPr="00D83463">
        <w:t xml:space="preserve">a změny účetní </w:t>
      </w:r>
      <w:r w:rsidRPr="00D83463">
        <w:t xml:space="preserve">metody podle § 26 odst. 2 písm. </w:t>
      </w:r>
      <w:r w:rsidR="004A75B2" w:rsidRPr="00D83463">
        <w:t>b</w:t>
      </w:r>
      <w:r w:rsidRPr="00D83463">
        <w:t>) vyhlášky účetní jednotka</w:t>
      </w:r>
      <w:r w:rsidR="006C490C" w:rsidRPr="00D83463">
        <w:t xml:space="preserve"> účtuje o této skutečnosti rozvahovým způsobem.</w:t>
      </w:r>
    </w:p>
    <w:p w14:paraId="2041AE66" w14:textId="77777777" w:rsidR="00C771E7" w:rsidRPr="00D83463" w:rsidRDefault="00C771E7" w:rsidP="00A077B6">
      <w:pPr>
        <w:jc w:val="both"/>
      </w:pPr>
    </w:p>
    <w:p w14:paraId="12CC529A" w14:textId="77777777" w:rsidR="00C771E7" w:rsidRPr="00D83463" w:rsidRDefault="006C490C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Při účtování podle bodu 3.3.1. účetní jednotka </w:t>
      </w:r>
      <w:r w:rsidR="008916A0" w:rsidRPr="00D83463">
        <w:t>posuzuje</w:t>
      </w:r>
      <w:r w:rsidRPr="00D83463">
        <w:t>,</w:t>
      </w:r>
      <w:r w:rsidR="008916A0" w:rsidRPr="00D83463">
        <w:t xml:space="preserve"> jak </w:t>
      </w:r>
      <w:r w:rsidRPr="00D83463">
        <w:t>b</w:t>
      </w:r>
      <w:r w:rsidR="008916A0" w:rsidRPr="00D83463">
        <w:t>y se použití účetní metody projevilo v předchozích účetních závěrkách, pokud by daná účetní metoda byla použita u příslušného účetního případu</w:t>
      </w:r>
      <w:r w:rsidRPr="00D83463">
        <w:t>.</w:t>
      </w:r>
      <w:r w:rsidR="0024360A" w:rsidRPr="00D83463">
        <w:t xml:space="preserve"> Na základě tohoto posouzení účetní jednotka stanoví příslušnou stranu příslušného syntetického rozvahového účtu a účtuje se souvztažným zápisem na příslušnou stranu účtu 406 – Oceňovací rozdíly při prvotním použití metody.</w:t>
      </w:r>
    </w:p>
    <w:p w14:paraId="4389A5BA" w14:textId="77777777" w:rsidR="008916A0" w:rsidRPr="00D83463" w:rsidRDefault="008916A0" w:rsidP="008916A0">
      <w:pPr>
        <w:jc w:val="both"/>
      </w:pPr>
    </w:p>
    <w:p w14:paraId="12A7AADD" w14:textId="77777777" w:rsidR="008916A0" w:rsidRPr="00D83463" w:rsidRDefault="00AA2707" w:rsidP="008916A0">
      <w:pPr>
        <w:numPr>
          <w:ilvl w:val="1"/>
          <w:numId w:val="27"/>
        </w:numPr>
        <w:tabs>
          <w:tab w:val="clear" w:pos="792"/>
          <w:tab w:val="num" w:pos="540"/>
        </w:tabs>
        <w:ind w:left="0" w:firstLine="0"/>
        <w:jc w:val="both"/>
        <w:rPr>
          <w:b/>
        </w:rPr>
      </w:pPr>
      <w:r w:rsidRPr="00D83463">
        <w:rPr>
          <w:b/>
        </w:rPr>
        <w:t xml:space="preserve">Obecná pravidla k postupům účtování na účtu </w:t>
      </w:r>
      <w:r w:rsidR="008916A0" w:rsidRPr="00D83463">
        <w:rPr>
          <w:b/>
        </w:rPr>
        <w:t>407 – Jiné oceňovací rozdíly</w:t>
      </w:r>
    </w:p>
    <w:p w14:paraId="45528F0A" w14:textId="77777777" w:rsidR="0023260B" w:rsidRPr="00D83463" w:rsidRDefault="0023260B" w:rsidP="0023260B">
      <w:pPr>
        <w:jc w:val="both"/>
      </w:pPr>
    </w:p>
    <w:p w14:paraId="0B4659AA" w14:textId="77777777" w:rsidR="00C771E7" w:rsidRPr="00D83463" w:rsidRDefault="00905C01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K okamžiku přecenění majetku na reálnou hodnotu podle § 64 vyhlášky účetní jednotka účtuje o zrušení případných oprávek a opravných položek k tomuto majetku postupem podle bodu </w:t>
      </w:r>
      <w:r w:rsidR="00813EDD" w:rsidRPr="00D83463">
        <w:t>4</w:t>
      </w:r>
      <w:r w:rsidRPr="00D83463">
        <w:t xml:space="preserve">.3.1. nebo </w:t>
      </w:r>
      <w:r w:rsidR="00813EDD" w:rsidRPr="00D83463">
        <w:t>4</w:t>
      </w:r>
      <w:r w:rsidRPr="00D83463">
        <w:t>.3.2.</w:t>
      </w:r>
      <w:r w:rsidR="00EA20DF" w:rsidRPr="00D83463">
        <w:t xml:space="preserve"> P</w:t>
      </w:r>
      <w:r w:rsidRPr="00D83463">
        <w:t>o dobu</w:t>
      </w:r>
      <w:r w:rsidR="000271C6" w:rsidRPr="00D83463">
        <w:t xml:space="preserve"> ocenění majetku reálnou hodnotou podle</w:t>
      </w:r>
      <w:r w:rsidRPr="00D83463">
        <w:t xml:space="preserve"> §</w:t>
      </w:r>
      <w:r w:rsidR="00FF262A" w:rsidRPr="00D83463">
        <w:t> </w:t>
      </w:r>
      <w:r w:rsidR="000271C6" w:rsidRPr="00D83463">
        <w:t>27 odst. 1 písm. h) zákona</w:t>
      </w:r>
      <w:r w:rsidRPr="00D83463">
        <w:t xml:space="preserve"> účetní jednotka </w:t>
      </w:r>
      <w:r w:rsidR="00E33974" w:rsidRPr="00D83463">
        <w:t>neúčtuje o oprávkách a opravných položkách</w:t>
      </w:r>
      <w:r w:rsidRPr="00D83463">
        <w:t xml:space="preserve"> k </w:t>
      </w:r>
      <w:r w:rsidR="00907E99" w:rsidRPr="00D83463">
        <w:t>tomuto</w:t>
      </w:r>
      <w:r w:rsidRPr="00D83463">
        <w:t xml:space="preserve"> majetku.</w:t>
      </w:r>
    </w:p>
    <w:p w14:paraId="24EA78DF" w14:textId="77777777" w:rsidR="00905C01" w:rsidRPr="00D83463" w:rsidRDefault="00905C01" w:rsidP="0023260B">
      <w:pPr>
        <w:jc w:val="both"/>
      </w:pPr>
    </w:p>
    <w:p w14:paraId="522BB9A2" w14:textId="77777777" w:rsidR="0023260B" w:rsidRPr="00D83463" w:rsidRDefault="0023260B" w:rsidP="008916A0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Rozdíl z přecenění majetku na reálnou hodnotu podle § 64 vyhlášky</w:t>
      </w:r>
      <w:r w:rsidR="000271C6" w:rsidRPr="00D83463">
        <w:t xml:space="preserve"> se stanoví</w:t>
      </w:r>
      <w:r w:rsidR="00A431E7" w:rsidRPr="00D83463">
        <w:t xml:space="preserve"> jako rozdíl mezi</w:t>
      </w:r>
      <w:r w:rsidRPr="00D83463">
        <w:t xml:space="preserve"> ocenění</w:t>
      </w:r>
      <w:r w:rsidR="00A431E7" w:rsidRPr="00D83463">
        <w:t>m</w:t>
      </w:r>
      <w:r w:rsidRPr="00D83463">
        <w:t xml:space="preserve"> tohoto majetku reálnou hodnotou v souladu s § 27 zákona </w:t>
      </w:r>
      <w:r w:rsidR="00A431E7" w:rsidRPr="00D83463">
        <w:t>a</w:t>
      </w:r>
      <w:r w:rsidR="008A6AA8" w:rsidRPr="00D83463">
        <w:t xml:space="preserve"> výš</w:t>
      </w:r>
      <w:r w:rsidR="00A431E7" w:rsidRPr="00D83463">
        <w:t>í</w:t>
      </w:r>
      <w:r w:rsidRPr="00D83463">
        <w:t xml:space="preserve"> jeho ocenění v účetnictví účetní jednotky</w:t>
      </w:r>
      <w:r w:rsidR="00B95629" w:rsidRPr="00D83463">
        <w:t xml:space="preserve"> k okamžiku, který bezprostředně předcházel tomuto přecenění na reálnou hodnotu</w:t>
      </w:r>
      <w:r w:rsidR="00A431E7" w:rsidRPr="00D83463">
        <w:t>,</w:t>
      </w:r>
      <w:r w:rsidRPr="00D83463">
        <w:t xml:space="preserve"> zohledněn</w:t>
      </w:r>
      <w:r w:rsidR="00A431E7" w:rsidRPr="00D83463">
        <w:t>ého o</w:t>
      </w:r>
      <w:r w:rsidRPr="00D83463">
        <w:t xml:space="preserve"> případn</w:t>
      </w:r>
      <w:r w:rsidR="00A431E7" w:rsidRPr="00D83463">
        <w:t>é</w:t>
      </w:r>
      <w:r w:rsidRPr="00D83463">
        <w:t xml:space="preserve"> oprávk</w:t>
      </w:r>
      <w:r w:rsidR="00A431E7" w:rsidRPr="00D83463">
        <w:t>y</w:t>
      </w:r>
      <w:r w:rsidRPr="00D83463">
        <w:t xml:space="preserve"> a opr</w:t>
      </w:r>
      <w:r w:rsidR="008A6AA8" w:rsidRPr="00D83463">
        <w:t>avn</w:t>
      </w:r>
      <w:r w:rsidR="00A431E7" w:rsidRPr="00D83463">
        <w:t>é</w:t>
      </w:r>
      <w:r w:rsidR="008A6AA8" w:rsidRPr="00D83463">
        <w:t xml:space="preserve"> položk</w:t>
      </w:r>
      <w:r w:rsidR="00A431E7" w:rsidRPr="00D83463">
        <w:t>y</w:t>
      </w:r>
      <w:r w:rsidR="008A6AA8" w:rsidRPr="00D83463">
        <w:t xml:space="preserve"> k tomuto majetku</w:t>
      </w:r>
      <w:r w:rsidR="00CC0E94" w:rsidRPr="00D83463">
        <w:t>.</w:t>
      </w:r>
    </w:p>
    <w:p w14:paraId="727D65A6" w14:textId="77777777" w:rsidR="00702929" w:rsidRPr="00D83463" w:rsidRDefault="00702929" w:rsidP="00702929">
      <w:pPr>
        <w:jc w:val="both"/>
      </w:pPr>
    </w:p>
    <w:p w14:paraId="4FB17D6D" w14:textId="77777777" w:rsidR="00170670" w:rsidRPr="00D83463" w:rsidRDefault="00A431E7" w:rsidP="008916A0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lastRenderedPageBreak/>
        <w:t>Na majetek určený ke směně se pro účely tohoto standardu hledí jako na majetek určený k prodeji podle § 64 vyhlášky.</w:t>
      </w:r>
      <w:r w:rsidR="00265B6F" w:rsidRPr="00D83463">
        <w:t xml:space="preserve"> Za směnu se pro účely tohoto standardu nepovažuje </w:t>
      </w:r>
      <w:r w:rsidR="00381434" w:rsidRPr="00D83463">
        <w:t>bezúplatný převod nebo přechod</w:t>
      </w:r>
      <w:r w:rsidR="00265B6F" w:rsidRPr="00D83463">
        <w:t xml:space="preserve"> dlouhodobého majetku mezi vybranými účetními jednotkami na základě zvláštního právního předpisu</w:t>
      </w:r>
      <w:r w:rsidR="00265B6F" w:rsidRPr="00D83463">
        <w:rPr>
          <w:rStyle w:val="Znakapoznpodarou"/>
        </w:rPr>
        <w:footnoteReference w:id="1"/>
      </w:r>
      <w:r w:rsidR="00265B6F" w:rsidRPr="00D83463">
        <w:t>.</w:t>
      </w:r>
    </w:p>
    <w:p w14:paraId="67259CA1" w14:textId="77777777" w:rsidR="00C771E7" w:rsidRPr="00D83463" w:rsidRDefault="00C771E7" w:rsidP="00A077B6">
      <w:pPr>
        <w:jc w:val="both"/>
      </w:pPr>
    </w:p>
    <w:p w14:paraId="28F6CB1E" w14:textId="45FD9EC4" w:rsidR="00702929" w:rsidRPr="00D83463" w:rsidRDefault="003C5205" w:rsidP="008916A0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směny majetku účtuje účetní jednotka o vzniku pohledávky </w:t>
      </w:r>
      <w:r w:rsidRPr="009615DF">
        <w:t xml:space="preserve">a </w:t>
      </w:r>
      <w:r w:rsidR="002D693F" w:rsidRPr="009615DF">
        <w:t xml:space="preserve">dluhu </w:t>
      </w:r>
      <w:r w:rsidRPr="009615DF">
        <w:t xml:space="preserve">způsobem obdobným </w:t>
      </w:r>
      <w:r w:rsidR="00170670" w:rsidRPr="009615DF">
        <w:t>jako z titulu kupní smlouvy a</w:t>
      </w:r>
      <w:r w:rsidRPr="009615DF">
        <w:t xml:space="preserve"> o úhradě této pohledávky a </w:t>
      </w:r>
      <w:r w:rsidR="002D693F" w:rsidRPr="009615DF">
        <w:t xml:space="preserve">dluhu </w:t>
      </w:r>
      <w:r w:rsidRPr="009615DF">
        <w:t>účtuje v souladu s § 68 odst. 1 písm. d) vyhlášky.</w:t>
      </w:r>
    </w:p>
    <w:p w14:paraId="1EDB16B1" w14:textId="77777777" w:rsidR="004E72B2" w:rsidRPr="00D83463" w:rsidRDefault="004E72B2" w:rsidP="004E72B2">
      <w:pPr>
        <w:jc w:val="both"/>
      </w:pPr>
    </w:p>
    <w:p w14:paraId="56024124" w14:textId="77777777" w:rsidR="00C771E7" w:rsidRPr="00D83463" w:rsidRDefault="00B95629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Po dobu, po kterou je majetek pořízený zcela nebo částečně z investičního transferu účetní jednotkou určen k prodeji podle § 64 vyhlášky, neúčtuje účetní jednotka o časovém rozlišení tohoto přijatého investičního transferu </w:t>
      </w:r>
      <w:r w:rsidR="00B95821" w:rsidRPr="00D83463">
        <w:t>podle Českého účetního standardu č. 708 – Odpisování dlouhodobého majetku ani podle Českého účetního standardu č. 706 – Opravné položky a vyřazení pohledávek.</w:t>
      </w:r>
    </w:p>
    <w:p w14:paraId="2F89EECD" w14:textId="77777777" w:rsidR="009F65E1" w:rsidRPr="00D83463" w:rsidRDefault="009F65E1" w:rsidP="009F65E1">
      <w:pPr>
        <w:jc w:val="both"/>
      </w:pPr>
    </w:p>
    <w:p w14:paraId="599AF774" w14:textId="77777777" w:rsidR="00C771E7" w:rsidRPr="00D83463" w:rsidRDefault="0079613F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Pokud u majetku oceněného podle § 27 odst. 1 písm. h) zákona nastane skutečnost, která má za následek zánik povinnosti tohoto ocenění reálnou hodnotou</w:t>
      </w:r>
      <w:r w:rsidR="00C537E3" w:rsidRPr="00D83463">
        <w:t>, účetní jednotka neúčtuje o oprávkách tohoto majetku za období, po které byl tento majetek oceněn podle § 27 odst. 1 písm. h) zákona. P</w:t>
      </w:r>
      <w:r w:rsidR="00F040C4" w:rsidRPr="00D83463">
        <w:t>okud během doby, po kterou byl tento majetek oceněn podle § 27 odst. 1 písm. h) zákona, došlo ke skutečnostem, které významně ovlivnily zbývající dobu používání tohoto majetku</w:t>
      </w:r>
      <w:r w:rsidRPr="00D83463">
        <w:t>, účetní jednotka k tomuto</w:t>
      </w:r>
      <w:r w:rsidR="002F2A4A" w:rsidRPr="00D83463">
        <w:t> okamžiku upraví odpisový plán</w:t>
      </w:r>
      <w:r w:rsidR="00F040C4" w:rsidRPr="00D83463">
        <w:t xml:space="preserve"> tohoto majetku</w:t>
      </w:r>
      <w:r w:rsidR="002718F3" w:rsidRPr="00D83463">
        <w:t>.</w:t>
      </w:r>
    </w:p>
    <w:p w14:paraId="2913F3D6" w14:textId="77777777" w:rsidR="00C771E7" w:rsidRDefault="00C771E7" w:rsidP="00A077B6">
      <w:pPr>
        <w:jc w:val="both"/>
      </w:pPr>
    </w:p>
    <w:p w14:paraId="7D7E1249" w14:textId="77777777" w:rsidR="00C771E7" w:rsidRDefault="0083466A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V případě podle bodu 3.4.6. se znovu zahajuje odpisování příslušného majetku v souladu s § 66 vyhlášky 1. dnem měsíce, který následuje po měsíci, ve kterém nastala skutečnost, která měla za následek zánik povinnosti tohoto ocenění reálnou hodnotou.</w:t>
      </w:r>
    </w:p>
    <w:p w14:paraId="6890678A" w14:textId="77777777" w:rsidR="003A11A4" w:rsidRDefault="003A11A4" w:rsidP="003A11A4">
      <w:pPr>
        <w:jc w:val="both"/>
      </w:pPr>
    </w:p>
    <w:p w14:paraId="007F78FE" w14:textId="6A594127" w:rsidR="00965A72" w:rsidRPr="009615DF" w:rsidRDefault="00965A72" w:rsidP="00965A72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9615DF">
        <w:t>Za skutečnost, která má za následek zánik povinnosti ocenění příslušného majetku reálnou hodnotou podle bodu 3.4.6., se považuje také rozhodnutí o bezúplatném převodu nebo přechodu tohoto majetku, včetně jeho darování, s výjimkou případů podle bodů 3.4.10. a 3.4.11.</w:t>
      </w:r>
    </w:p>
    <w:p w14:paraId="0DBDE07A" w14:textId="77777777" w:rsidR="00125010" w:rsidRPr="009615DF" w:rsidRDefault="00125010" w:rsidP="00965A72">
      <w:pPr>
        <w:jc w:val="both"/>
      </w:pPr>
    </w:p>
    <w:p w14:paraId="2921ABD4" w14:textId="24ED53E8" w:rsidR="00C771E7" w:rsidRPr="009615DF" w:rsidRDefault="003A11A4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9615DF">
        <w:t xml:space="preserve">K okamžiku přecenění majetku na reálnou hodnotu podle § 64 vyhlášky </w:t>
      </w:r>
      <w:r w:rsidR="00B424EA" w:rsidRPr="009615DF">
        <w:t xml:space="preserve">účtuje </w:t>
      </w:r>
      <w:r w:rsidR="00B709AE" w:rsidRPr="009615DF">
        <w:t>účetní jednotka podle bodů 4.3.1. nebo 4.3.2.</w:t>
      </w:r>
      <w:r w:rsidR="00B424EA" w:rsidRPr="009615DF">
        <w:t xml:space="preserve"> před účtováním podle</w:t>
      </w:r>
      <w:r w:rsidR="00BB4494" w:rsidRPr="009615DF">
        <w:t xml:space="preserve"> </w:t>
      </w:r>
      <w:r w:rsidR="00B709AE" w:rsidRPr="009615DF">
        <w:t xml:space="preserve">bodu 4.3.3. K okamžiku, ke kterému u majetku oceněného podle § 27 odst. 1 písm. h) zákona nastane skutečnost, která má za následek zánik povinnosti tohoto ocenění reálnou hodnotou, </w:t>
      </w:r>
      <w:r w:rsidR="00B424EA" w:rsidRPr="009615DF">
        <w:t xml:space="preserve">účtuje </w:t>
      </w:r>
      <w:r w:rsidR="00B709AE" w:rsidRPr="009615DF">
        <w:t xml:space="preserve">účetní jednotka podle bodu </w:t>
      </w:r>
      <w:r w:rsidR="00922E80" w:rsidRPr="009615DF">
        <w:t>4.3.8.</w:t>
      </w:r>
      <w:r w:rsidR="00B424EA" w:rsidRPr="009615DF">
        <w:t xml:space="preserve"> před účtováním podle</w:t>
      </w:r>
      <w:r w:rsidR="00BB4494" w:rsidRPr="009615DF">
        <w:t xml:space="preserve"> bodů 4.3.9. nebo 4.3.10.</w:t>
      </w:r>
    </w:p>
    <w:p w14:paraId="522F92A4" w14:textId="77777777" w:rsidR="00125010" w:rsidRPr="00D83463" w:rsidRDefault="00125010" w:rsidP="00A077B6">
      <w:pPr>
        <w:jc w:val="both"/>
      </w:pPr>
    </w:p>
    <w:p w14:paraId="0619734D" w14:textId="705EFCC2" w:rsidR="00C771E7" w:rsidRPr="00D83463" w:rsidRDefault="0083466A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Pokud účetní jednotka bezúplatně nabývá dlouhodobý nehmotný nebo dlouhodobý hmotný majetek podle § 25 odst. 6 zákona od účetní jednotky, která určila tento majetek k prodeji a ocenila reálnou hodnotou podle § 27 odst. 1 písm. h) zákona, a tento majetek je u</w:t>
      </w:r>
      <w:r w:rsidR="00295195" w:rsidRPr="00D83463">
        <w:t> </w:t>
      </w:r>
      <w:r w:rsidRPr="00D83463">
        <w:t>nabývající účetní jednotky nadále určen k prodeji, navazuje nabývající účetní jednotka na výši ocenění tohoto majetku včetně výše rozdílu z přecenění tohoto majetku na reálnou hodnotu.</w:t>
      </w:r>
    </w:p>
    <w:p w14:paraId="1968FCA9" w14:textId="77777777" w:rsidR="00C771E7" w:rsidRPr="00D83463" w:rsidRDefault="00C771E7" w:rsidP="00A077B6">
      <w:pPr>
        <w:jc w:val="both"/>
      </w:pPr>
    </w:p>
    <w:p w14:paraId="6BB18EE6" w14:textId="2E1D37C7" w:rsidR="0016442B" w:rsidRPr="00D83463" w:rsidRDefault="0083466A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Pokud účetní jednotka bezúplatně nabývá dlouhodobý nehmotný nebo dlouhodobý hmotný majetek podle § 25 odst. 6 zákona od účetní jednotky, která určila tento majetek </w:t>
      </w:r>
      <w:r w:rsidRPr="00D83463">
        <w:lastRenderedPageBreak/>
        <w:t>k prodeji, ale neocenila jej reálnou hodnotou podle § 27 odst. 1 písm. h) zákona, neboť vede účetnictví ve zjednodušeném rozsahu podle § 13a zákona, a tento majetek je u nabývající účetní jednotky nadále určen k prodeji, ocení jej nabývající účetní jednotka reálnou hodnotou k okamžiku tohoto bezúplatného nabytí.</w:t>
      </w:r>
    </w:p>
    <w:p w14:paraId="15C3ED8A" w14:textId="77777777" w:rsidR="00C771E7" w:rsidRPr="00D83463" w:rsidRDefault="00C771E7" w:rsidP="00A077B6">
      <w:pPr>
        <w:jc w:val="both"/>
      </w:pPr>
    </w:p>
    <w:p w14:paraId="187C94D6" w14:textId="45650EE1" w:rsidR="00C771E7" w:rsidRPr="00D83463" w:rsidRDefault="002718F3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složeného zápisu podle bodů 4.3.1., 4.3.2., </w:t>
      </w:r>
      <w:r w:rsidR="00AD4FB2" w:rsidRPr="009615DF">
        <w:t>4.3.9. a </w:t>
      </w:r>
      <w:r w:rsidR="007F17BD" w:rsidRPr="009615DF">
        <w:t>4.3.</w:t>
      </w:r>
      <w:r w:rsidR="003A11A4" w:rsidRPr="009615DF">
        <w:t>10</w:t>
      </w:r>
      <w:r w:rsidRPr="009615DF">
        <w:t>.</w:t>
      </w:r>
      <w:r w:rsidRPr="00D83463">
        <w:t xml:space="preserve"> může účetní jednotka účtovat též pomocí nesložených zápisů při použití příslušných stran účtu 407 – Jiné oceňovací rozdíly, pokud tím zajistí shodné zobrazení v účetní závěrce. </w:t>
      </w:r>
    </w:p>
    <w:p w14:paraId="7E669714" w14:textId="77777777" w:rsidR="00EB300C" w:rsidRPr="00D83463" w:rsidRDefault="00EB300C" w:rsidP="00595CDC">
      <w:pPr>
        <w:jc w:val="both"/>
      </w:pPr>
    </w:p>
    <w:p w14:paraId="40BEC317" w14:textId="77777777" w:rsidR="008916A0" w:rsidRPr="00D83463" w:rsidRDefault="0083466A" w:rsidP="008916A0">
      <w:pPr>
        <w:numPr>
          <w:ilvl w:val="1"/>
          <w:numId w:val="27"/>
        </w:numPr>
        <w:tabs>
          <w:tab w:val="clear" w:pos="792"/>
          <w:tab w:val="num" w:pos="540"/>
        </w:tabs>
        <w:ind w:left="0" w:firstLine="0"/>
        <w:jc w:val="both"/>
        <w:rPr>
          <w:b/>
        </w:rPr>
      </w:pPr>
      <w:r w:rsidRPr="00D83463">
        <w:rPr>
          <w:b/>
        </w:rPr>
        <w:t>Obecná pravidla k postupům účtování na účtu 408 – Opravy minulých období a</w:t>
      </w:r>
      <w:r w:rsidR="00295195" w:rsidRPr="00D83463">
        <w:rPr>
          <w:b/>
        </w:rPr>
        <w:t> </w:t>
      </w:r>
      <w:r w:rsidRPr="00D83463">
        <w:rPr>
          <w:b/>
        </w:rPr>
        <w:t>některá další ustanovení o opravách</w:t>
      </w:r>
    </w:p>
    <w:p w14:paraId="714F27B0" w14:textId="77777777" w:rsidR="00134B3E" w:rsidRPr="00D83463" w:rsidRDefault="00134B3E" w:rsidP="00134B3E">
      <w:pPr>
        <w:jc w:val="both"/>
      </w:pPr>
    </w:p>
    <w:p w14:paraId="04B27F15" w14:textId="77777777" w:rsidR="006F4E2D" w:rsidRPr="00D83463" w:rsidRDefault="006F4E2D" w:rsidP="00134B3E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Ustanovení tohoto standardu o opravách se nepoužijí v případě, že účetní jednotka postupuje podle § 17 odst. 7 zákona.</w:t>
      </w:r>
    </w:p>
    <w:p w14:paraId="4EC1EAB9" w14:textId="77777777" w:rsidR="00C771E7" w:rsidRPr="00D83463" w:rsidRDefault="00C771E7" w:rsidP="00A077B6">
      <w:pPr>
        <w:jc w:val="both"/>
      </w:pPr>
    </w:p>
    <w:p w14:paraId="0056877D" w14:textId="77777777" w:rsidR="00134B3E" w:rsidRPr="00D83463" w:rsidRDefault="00134B3E" w:rsidP="00134B3E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Opravy </w:t>
      </w:r>
      <w:r w:rsidR="006F4E2D" w:rsidRPr="00D83463">
        <w:t>účetních záznamů provádí účetní jednotka</w:t>
      </w:r>
      <w:r w:rsidRPr="00D83463">
        <w:t xml:space="preserve"> tak, aby bylo možno určit osobu odpovědnou za provedení každé opravy, okamžik jejího provedení a zjistit jak obsah opravovaného účetního záznamu před opravou, tak jeho obsah po opravě.</w:t>
      </w:r>
    </w:p>
    <w:p w14:paraId="12987671" w14:textId="77777777" w:rsidR="00134B3E" w:rsidRPr="00D83463" w:rsidRDefault="00134B3E" w:rsidP="00134B3E">
      <w:pPr>
        <w:jc w:val="both"/>
      </w:pPr>
    </w:p>
    <w:p w14:paraId="7E049115" w14:textId="77777777" w:rsidR="00134B3E" w:rsidRPr="00D83463" w:rsidRDefault="00134B3E" w:rsidP="00134B3E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Za opravu se nepovažuje doplnění informace v účetním záznamu, jestliže jsou splněny podmínk</w:t>
      </w:r>
      <w:r w:rsidR="00D07089" w:rsidRPr="00D83463">
        <w:t xml:space="preserve">y </w:t>
      </w:r>
      <w:r w:rsidR="00073532" w:rsidRPr="00D83463">
        <w:t>podle</w:t>
      </w:r>
      <w:r w:rsidR="00D07089" w:rsidRPr="00D83463">
        <w:t xml:space="preserve"> § 35 odst. 7 písm. a) až c) zákona.</w:t>
      </w:r>
      <w:r w:rsidR="00C4201E" w:rsidRPr="00D83463">
        <w:t xml:space="preserve"> Za opravu se také nepovažuje zpřesnění odhadu</w:t>
      </w:r>
      <w:r w:rsidR="00073532" w:rsidRPr="00D83463">
        <w:t xml:space="preserve"> při použití účetní metody</w:t>
      </w:r>
      <w:r w:rsidR="00C4201E" w:rsidRPr="00D83463">
        <w:t xml:space="preserve"> či zpřesnění ocenění dohadných </w:t>
      </w:r>
      <w:r w:rsidR="00073532" w:rsidRPr="00D83463">
        <w:t>účtů</w:t>
      </w:r>
      <w:r w:rsidR="00C4201E" w:rsidRPr="00D83463">
        <w:t>.</w:t>
      </w:r>
    </w:p>
    <w:p w14:paraId="103EDE81" w14:textId="77777777" w:rsidR="00134B3E" w:rsidRPr="00D83463" w:rsidRDefault="00134B3E" w:rsidP="00134B3E">
      <w:pPr>
        <w:jc w:val="both"/>
      </w:pPr>
    </w:p>
    <w:p w14:paraId="56EABAED" w14:textId="77777777" w:rsidR="00134B3E" w:rsidRPr="00D83463" w:rsidRDefault="00134B3E" w:rsidP="00134B3E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V případě opravy účetní jednotka posuzuje zejména</w:t>
      </w:r>
    </w:p>
    <w:p w14:paraId="0611FB8E" w14:textId="77777777" w:rsidR="00134B3E" w:rsidRPr="00D83463" w:rsidRDefault="00134B3E" w:rsidP="00134B3E">
      <w:pPr>
        <w:outlineLvl w:val="0"/>
      </w:pPr>
    </w:p>
    <w:p w14:paraId="7AEC27D0" w14:textId="77777777" w:rsidR="00C771E7" w:rsidRPr="00D83463" w:rsidRDefault="00134B3E" w:rsidP="00A077B6">
      <w:pPr>
        <w:numPr>
          <w:ilvl w:val="0"/>
          <w:numId w:val="48"/>
        </w:numPr>
        <w:ind w:left="360"/>
        <w:jc w:val="both"/>
      </w:pPr>
      <w:r w:rsidRPr="00D83463">
        <w:t xml:space="preserve">zda se jedná o opravu skutečnosti, k jejímuž zaúčtování </w:t>
      </w:r>
      <w:r w:rsidR="00D155F3" w:rsidRPr="00D83463">
        <w:t xml:space="preserve">nebo nezaúčtování </w:t>
      </w:r>
      <w:r w:rsidRPr="00D83463">
        <w:t>došlo v běžném účetním období, nebo v předcházejících účetních obdobích,</w:t>
      </w:r>
    </w:p>
    <w:p w14:paraId="50C03D5D" w14:textId="77777777" w:rsidR="00C771E7" w:rsidRPr="00D83463" w:rsidRDefault="00134B3E" w:rsidP="00A077B6">
      <w:pPr>
        <w:numPr>
          <w:ilvl w:val="0"/>
          <w:numId w:val="48"/>
        </w:numPr>
        <w:ind w:left="360"/>
        <w:jc w:val="both"/>
      </w:pPr>
      <w:r w:rsidRPr="00D83463">
        <w:t>zda se jedná o opravu skutečnosti, jejíž správné zaúčtování v příslušném účetním období by ovlivnilo výši výsledku hospodaření účetní jednotky za toto účetní období,</w:t>
      </w:r>
    </w:p>
    <w:p w14:paraId="79FEFAB7" w14:textId="77777777" w:rsidR="00C771E7" w:rsidRPr="00D83463" w:rsidRDefault="00134B3E" w:rsidP="00A077B6">
      <w:pPr>
        <w:numPr>
          <w:ilvl w:val="0"/>
          <w:numId w:val="48"/>
        </w:numPr>
        <w:ind w:left="360"/>
        <w:jc w:val="both"/>
      </w:pPr>
      <w:r w:rsidRPr="00D83463">
        <w:t>zda je částka opravy významná</w:t>
      </w:r>
      <w:r w:rsidR="00073532" w:rsidRPr="00D83463">
        <w:t xml:space="preserve"> včetně posouzení podmínek podle § 26 odst. 2 písm. d) vyhlášky</w:t>
      </w:r>
      <w:r w:rsidRPr="00D83463">
        <w:t>.</w:t>
      </w:r>
    </w:p>
    <w:p w14:paraId="45E527D4" w14:textId="77777777" w:rsidR="00134B3E" w:rsidRPr="00D83463" w:rsidRDefault="00134B3E" w:rsidP="00134B3E">
      <w:pPr>
        <w:jc w:val="both"/>
      </w:pPr>
    </w:p>
    <w:p w14:paraId="0335D8D8" w14:textId="77777777" w:rsidR="00134B3E" w:rsidRPr="00D83463" w:rsidRDefault="00134B3E" w:rsidP="00134B3E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opravy skutečnosti, k jejímuž zaúčtování </w:t>
      </w:r>
      <w:r w:rsidR="00D155F3" w:rsidRPr="00D83463">
        <w:t xml:space="preserve">nebo nezaúčtování </w:t>
      </w:r>
      <w:r w:rsidRPr="00D83463">
        <w:t>došlo v běžném účetním období, účtuje účetní jednotka o této opravě</w:t>
      </w:r>
      <w:r w:rsidR="00F7594B" w:rsidRPr="00D83463">
        <w:t xml:space="preserve"> takovým způsobem, který zajistí pravdivé zobrazení původního účetního případu.</w:t>
      </w:r>
    </w:p>
    <w:p w14:paraId="43CC8E5E" w14:textId="77777777" w:rsidR="00134B3E" w:rsidRPr="00D83463" w:rsidRDefault="00134B3E" w:rsidP="00134B3E">
      <w:pPr>
        <w:jc w:val="both"/>
      </w:pPr>
    </w:p>
    <w:p w14:paraId="197E72F6" w14:textId="77777777" w:rsidR="00134B3E" w:rsidRPr="00D83463" w:rsidRDefault="00134B3E" w:rsidP="0063270C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V případě opravy skutečnosti</w:t>
      </w:r>
      <w:r w:rsidR="0063270C" w:rsidRPr="00D83463">
        <w:t xml:space="preserve">, </w:t>
      </w:r>
      <w:r w:rsidRPr="00D83463">
        <w:t>k jejímuž zaúčtování</w:t>
      </w:r>
      <w:r w:rsidR="00A21AEC" w:rsidRPr="00D83463">
        <w:t xml:space="preserve"> nebo nezaúčtování</w:t>
      </w:r>
      <w:r w:rsidRPr="00D83463">
        <w:t xml:space="preserve"> došlo v některém z předcházejících účetních období,</w:t>
      </w:r>
      <w:r w:rsidR="0063270C" w:rsidRPr="00D83463">
        <w:t xml:space="preserve"> </w:t>
      </w:r>
      <w:r w:rsidRPr="00D83463">
        <w:t>jejíž správné zaúčtování v příslušném účetním období by ovlivnilo výši výsledku hospodaření účetní jednotky za toto účetní období a</w:t>
      </w:r>
      <w:r w:rsidR="0063270C" w:rsidRPr="00D83463">
        <w:t xml:space="preserve"> </w:t>
      </w:r>
      <w:r w:rsidRPr="00D83463">
        <w:t xml:space="preserve">kdy částka </w:t>
      </w:r>
      <w:r w:rsidR="0063270C" w:rsidRPr="00D83463">
        <w:t xml:space="preserve">této </w:t>
      </w:r>
      <w:r w:rsidRPr="00D83463">
        <w:t>opravy je významná,</w:t>
      </w:r>
      <w:r w:rsidR="0063270C" w:rsidRPr="00D83463">
        <w:t xml:space="preserve"> </w:t>
      </w:r>
      <w:r w:rsidR="00D07089" w:rsidRPr="00D83463">
        <w:t xml:space="preserve">účtuje účetní jednotka stejným způsobem, jakým </w:t>
      </w:r>
      <w:r w:rsidR="00F7594B" w:rsidRPr="00D83463">
        <w:t xml:space="preserve">by </w:t>
      </w:r>
      <w:r w:rsidR="00D07089" w:rsidRPr="00D83463">
        <w:t>účtovala</w:t>
      </w:r>
      <w:r w:rsidR="00F7594B" w:rsidRPr="00D83463">
        <w:t xml:space="preserve"> o původním účetním případu</w:t>
      </w:r>
      <w:r w:rsidR="00ED7CD9" w:rsidRPr="00D83463">
        <w:t>. V tomto případě účetní jednotka účtuje</w:t>
      </w:r>
      <w:r w:rsidR="00D07089" w:rsidRPr="00D83463">
        <w:t xml:space="preserve"> </w:t>
      </w:r>
      <w:r w:rsidR="00F7594B" w:rsidRPr="00D83463">
        <w:t>na příslušný rozvahový syntetický účet se souvztažným zápisem na účet 408 – Opravy minulých období</w:t>
      </w:r>
      <w:r w:rsidR="00D07089" w:rsidRPr="00D83463">
        <w:t xml:space="preserve"> namísto příslušného nákladového nebo výnosového syntetického účtu</w:t>
      </w:r>
      <w:r w:rsidR="00F7594B" w:rsidRPr="00D83463">
        <w:t>,</w:t>
      </w:r>
      <w:r w:rsidR="00D07089" w:rsidRPr="00D83463">
        <w:t xml:space="preserve"> </w:t>
      </w:r>
      <w:r w:rsidR="00F7594B" w:rsidRPr="00D83463">
        <w:t>a to vždy v částkách s kladným znaménkem</w:t>
      </w:r>
      <w:r w:rsidRPr="00D83463">
        <w:t>.</w:t>
      </w:r>
    </w:p>
    <w:p w14:paraId="230D0470" w14:textId="77777777" w:rsidR="00134B3E" w:rsidRPr="00D83463" w:rsidRDefault="00134B3E" w:rsidP="00134B3E">
      <w:pPr>
        <w:jc w:val="both"/>
      </w:pPr>
    </w:p>
    <w:p w14:paraId="456FF196" w14:textId="77777777" w:rsidR="00134B3E" w:rsidRPr="00D83463" w:rsidRDefault="00134B3E" w:rsidP="00481F14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V případě opravy skutečnosti</w:t>
      </w:r>
      <w:r w:rsidR="00481F14" w:rsidRPr="00D83463">
        <w:t xml:space="preserve">, </w:t>
      </w:r>
      <w:r w:rsidRPr="00D83463">
        <w:t xml:space="preserve">k jejímuž zaúčtování </w:t>
      </w:r>
      <w:r w:rsidR="00A21AEC" w:rsidRPr="00D83463">
        <w:t xml:space="preserve">nebo nezaúčtování </w:t>
      </w:r>
      <w:r w:rsidRPr="00D83463">
        <w:t>došlo v některém z předcházejících účetních období,</w:t>
      </w:r>
      <w:r w:rsidR="00481F14" w:rsidRPr="00D83463">
        <w:t xml:space="preserve"> j</w:t>
      </w:r>
      <w:r w:rsidRPr="00D83463">
        <w:t>ejíž správné zaúčtování v příslušném účetním období by ovlivnilo výši výsledku hospodaření účetní jednotky za toto účetní období a</w:t>
      </w:r>
      <w:r w:rsidR="00481F14" w:rsidRPr="00D83463">
        <w:t xml:space="preserve"> </w:t>
      </w:r>
      <w:r w:rsidRPr="00D83463">
        <w:t xml:space="preserve">kdy částka </w:t>
      </w:r>
      <w:r w:rsidR="00ED7CD9" w:rsidRPr="00D83463">
        <w:t xml:space="preserve">této </w:t>
      </w:r>
      <w:r w:rsidRPr="00D83463">
        <w:t>opravy není významná,</w:t>
      </w:r>
      <w:r w:rsidR="00481F14" w:rsidRPr="00D83463">
        <w:t xml:space="preserve"> </w:t>
      </w:r>
      <w:r w:rsidRPr="00D83463">
        <w:t>účtuje účetní jednotka</w:t>
      </w:r>
      <w:r w:rsidR="00ED7CD9" w:rsidRPr="00D83463">
        <w:t xml:space="preserve"> stejným způsobem, jakým by účtovala o původním účetním případu, </w:t>
      </w:r>
      <w:r w:rsidRPr="00D83463">
        <w:t>a to v částkách s kladným znaménkem</w:t>
      </w:r>
      <w:r w:rsidR="00ED7CD9" w:rsidRPr="00D83463">
        <w:t xml:space="preserve">; obdobným způsobem účtuje účetní jednotka také o opravách skutečnosti, jejíž správné zaúčtování </w:t>
      </w:r>
      <w:r w:rsidR="00ED7CD9" w:rsidRPr="00D83463">
        <w:lastRenderedPageBreak/>
        <w:t>v příslušném účetním období by neovlivnilo výši výsledku hospodaření účetní jednotky za toto účetní období.</w:t>
      </w:r>
    </w:p>
    <w:p w14:paraId="7293EA78" w14:textId="77777777" w:rsidR="00134B3E" w:rsidRPr="00D83463" w:rsidRDefault="00134B3E" w:rsidP="00134B3E">
      <w:pPr>
        <w:jc w:val="both"/>
      </w:pPr>
    </w:p>
    <w:p w14:paraId="2F96FBC6" w14:textId="77777777" w:rsidR="00F34C76" w:rsidRPr="00D83463" w:rsidRDefault="00F651DE" w:rsidP="00134B3E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Účetní jednotka </w:t>
      </w:r>
      <w:r w:rsidR="00806929" w:rsidRPr="00D83463">
        <w:t>naplní ustanovení § 18 odst. 1 písm. c) zákona zejména tím, že u</w:t>
      </w:r>
      <w:r w:rsidR="0010600A" w:rsidRPr="00D83463">
        <w:t> </w:t>
      </w:r>
      <w:r w:rsidR="00806929" w:rsidRPr="00D83463">
        <w:t>významných oprav</w:t>
      </w:r>
      <w:r w:rsidRPr="00D83463">
        <w:t xml:space="preserve"> </w:t>
      </w:r>
      <w:r w:rsidR="00806929" w:rsidRPr="00D83463">
        <w:t>uvede bližší podrobnosti zaúčtovaných oprav.</w:t>
      </w:r>
    </w:p>
    <w:p w14:paraId="4E45B046" w14:textId="77777777" w:rsidR="00C771E7" w:rsidRPr="00D83463" w:rsidRDefault="00C771E7" w:rsidP="00A077B6">
      <w:pPr>
        <w:pStyle w:val="n00"/>
        <w:spacing w:before="0"/>
        <w:rPr>
          <w:sz w:val="24"/>
          <w:szCs w:val="24"/>
        </w:rPr>
      </w:pPr>
    </w:p>
    <w:p w14:paraId="628842FF" w14:textId="77777777" w:rsidR="006B5974" w:rsidRPr="00D83463" w:rsidRDefault="006B5974" w:rsidP="006B5974">
      <w:pPr>
        <w:numPr>
          <w:ilvl w:val="1"/>
          <w:numId w:val="27"/>
        </w:numPr>
        <w:tabs>
          <w:tab w:val="clear" w:pos="792"/>
          <w:tab w:val="num" w:pos="540"/>
        </w:tabs>
        <w:ind w:left="0" w:firstLine="0"/>
        <w:jc w:val="both"/>
        <w:rPr>
          <w:b/>
        </w:rPr>
      </w:pPr>
      <w:r w:rsidRPr="00D83463">
        <w:rPr>
          <w:b/>
        </w:rPr>
        <w:t>Obecná pravidla k postupům účtování na některých syntetických účtech účtové skupiny 22 – Bankovní účty organizačních složek státu a běžné účty státních fondů</w:t>
      </w:r>
    </w:p>
    <w:p w14:paraId="207F1B1D" w14:textId="77777777" w:rsidR="006B5974" w:rsidRPr="00D83463" w:rsidRDefault="006B5974" w:rsidP="006B5974">
      <w:pPr>
        <w:jc w:val="both"/>
        <w:rPr>
          <w:b/>
        </w:rPr>
      </w:pPr>
    </w:p>
    <w:p w14:paraId="473FDF48" w14:textId="77777777" w:rsidR="006B5974" w:rsidRPr="00D83463" w:rsidRDefault="006B5974" w:rsidP="00F80C27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Na příslušnou stranu účtu 222 – Příjmový účet organizačních složek státu účtují organizační složky státu o příjmech</w:t>
      </w:r>
      <w:r w:rsidR="00342027" w:rsidRPr="00D83463">
        <w:t>, případně vratkách</w:t>
      </w:r>
      <w:r w:rsidRPr="00D83463">
        <w:t xml:space="preserve"> v souladu s jinými právními předpisy</w:t>
      </w:r>
      <w:r w:rsidRPr="00D83463">
        <w:rPr>
          <w:vertAlign w:val="superscript"/>
        </w:rPr>
        <w:footnoteReference w:id="2"/>
      </w:r>
      <w:r w:rsidRPr="00D83463">
        <w:t>.</w:t>
      </w:r>
    </w:p>
    <w:p w14:paraId="7865AC63" w14:textId="77777777" w:rsidR="00F80C27" w:rsidRPr="00D83463" w:rsidRDefault="00F80C27" w:rsidP="00F80C27">
      <w:pPr>
        <w:jc w:val="both"/>
      </w:pPr>
    </w:p>
    <w:p w14:paraId="6F934CFF" w14:textId="77777777" w:rsidR="00F80C27" w:rsidRPr="00D83463" w:rsidRDefault="00F80C27" w:rsidP="00F80C27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Na příslušnou stranu účtu 223 – Zvláštní výdajový účet účtují organizační složky státu o výdajích</w:t>
      </w:r>
      <w:r w:rsidR="00342027" w:rsidRPr="00D83463">
        <w:t>, případně kompenzacích</w:t>
      </w:r>
      <w:r w:rsidRPr="00D83463">
        <w:t xml:space="preserve"> v souladu s jinými právními předpisy</w:t>
      </w:r>
      <w:r w:rsidR="00265B6F" w:rsidRPr="00D83463">
        <w:rPr>
          <w:vertAlign w:val="superscript"/>
        </w:rPr>
        <w:t>2</w:t>
      </w:r>
      <w:r w:rsidRPr="00D83463">
        <w:t>.</w:t>
      </w:r>
    </w:p>
    <w:p w14:paraId="00FDB65F" w14:textId="77777777" w:rsidR="006B5974" w:rsidRPr="00D83463" w:rsidRDefault="006B5974" w:rsidP="00B95F1B">
      <w:pPr>
        <w:pStyle w:val="n00"/>
        <w:spacing w:before="0"/>
        <w:ind w:left="426" w:hanging="426"/>
        <w:rPr>
          <w:sz w:val="24"/>
          <w:szCs w:val="24"/>
        </w:rPr>
      </w:pPr>
    </w:p>
    <w:p w14:paraId="204A0500" w14:textId="77777777" w:rsidR="00117AEF" w:rsidRPr="00D83463" w:rsidRDefault="00344E25" w:rsidP="00C45CBC">
      <w:pPr>
        <w:widowControl w:val="0"/>
        <w:autoSpaceDE w:val="0"/>
        <w:autoSpaceDN w:val="0"/>
        <w:adjustRightInd w:val="0"/>
        <w:rPr>
          <w:b/>
        </w:rPr>
      </w:pPr>
      <w:r w:rsidRPr="00D83463">
        <w:rPr>
          <w:b/>
        </w:rPr>
        <w:tab/>
      </w:r>
      <w:r w:rsidRPr="00D83463">
        <w:rPr>
          <w:b/>
        </w:rPr>
        <w:tab/>
      </w:r>
    </w:p>
    <w:p w14:paraId="52AE841A" w14:textId="77777777" w:rsidR="00C45CBC" w:rsidRPr="00D83463" w:rsidRDefault="00C45CBC" w:rsidP="00C45CBC">
      <w:pPr>
        <w:numPr>
          <w:ilvl w:val="0"/>
          <w:numId w:val="27"/>
        </w:numPr>
        <w:rPr>
          <w:b/>
        </w:rPr>
      </w:pPr>
      <w:r w:rsidRPr="00D83463">
        <w:rPr>
          <w:b/>
        </w:rPr>
        <w:t>Postup účtování</w:t>
      </w:r>
    </w:p>
    <w:p w14:paraId="0C0EBA25" w14:textId="77777777" w:rsidR="00C45CBC" w:rsidRPr="00D83463" w:rsidRDefault="00C45CBC" w:rsidP="00C45CBC">
      <w:pPr>
        <w:rPr>
          <w:b/>
        </w:rPr>
      </w:pPr>
    </w:p>
    <w:p w14:paraId="2C07CD66" w14:textId="77777777" w:rsidR="00C45CBC" w:rsidRPr="00D83463" w:rsidRDefault="00AA2707" w:rsidP="00C45CBC">
      <w:pPr>
        <w:numPr>
          <w:ilvl w:val="1"/>
          <w:numId w:val="27"/>
        </w:numPr>
        <w:tabs>
          <w:tab w:val="clear" w:pos="792"/>
          <w:tab w:val="num" w:pos="540"/>
        </w:tabs>
        <w:ind w:left="0" w:firstLine="0"/>
        <w:jc w:val="both"/>
        <w:rPr>
          <w:b/>
        </w:rPr>
      </w:pPr>
      <w:r w:rsidRPr="00D83463">
        <w:rPr>
          <w:b/>
        </w:rPr>
        <w:t>Postup účtování na</w:t>
      </w:r>
      <w:r w:rsidR="00C45CBC" w:rsidRPr="00D83463">
        <w:rPr>
          <w:b/>
        </w:rPr>
        <w:t> účtu 401 – Jmění účetní jednotky</w:t>
      </w:r>
    </w:p>
    <w:p w14:paraId="425F7F1F" w14:textId="77777777" w:rsidR="002A5FD2" w:rsidRPr="00D83463" w:rsidRDefault="002A5FD2" w:rsidP="00C45CBC">
      <w:pPr>
        <w:widowControl w:val="0"/>
        <w:autoSpaceDE w:val="0"/>
        <w:autoSpaceDN w:val="0"/>
        <w:adjustRightInd w:val="0"/>
        <w:rPr>
          <w:b/>
        </w:rPr>
      </w:pPr>
    </w:p>
    <w:p w14:paraId="649CA386" w14:textId="50F8BA75" w:rsidR="00C771E7" w:rsidRPr="009615DF" w:rsidRDefault="004F7831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V souvislosti s</w:t>
      </w:r>
      <w:r w:rsidR="008B7B66" w:rsidRPr="00D83463">
        <w:t xml:space="preserve"> bezúplatným </w:t>
      </w:r>
      <w:r w:rsidRPr="00D83463">
        <w:t>pořízením</w:t>
      </w:r>
      <w:r w:rsidR="004B42E2" w:rsidRPr="00D83463">
        <w:t xml:space="preserve"> dlouhodobého nehmotného a dlouhodobého hmotného </w:t>
      </w:r>
      <w:r w:rsidRPr="00D83463">
        <w:t xml:space="preserve">majetku </w:t>
      </w:r>
      <w:r w:rsidR="004B42E2" w:rsidRPr="00D83463">
        <w:t>účtu</w:t>
      </w:r>
      <w:r w:rsidRPr="00D83463">
        <w:t>je účetní jednotka na stranu MÁ </w:t>
      </w:r>
      <w:r w:rsidR="004B42E2" w:rsidRPr="00D83463">
        <w:t>DÁTI příslušného syntetického účtu účtové skupiny 01, 02</w:t>
      </w:r>
      <w:r w:rsidR="007D37E4" w:rsidRPr="00D83463">
        <w:t>,</w:t>
      </w:r>
      <w:r w:rsidR="004B42E2" w:rsidRPr="00D83463">
        <w:t xml:space="preserve"> </w:t>
      </w:r>
      <w:r w:rsidR="006A762E" w:rsidRPr="009615DF">
        <w:t xml:space="preserve">03 </w:t>
      </w:r>
      <w:r w:rsidR="00070286" w:rsidRPr="009615DF">
        <w:t>nebo</w:t>
      </w:r>
      <w:r w:rsidR="007D37E4" w:rsidRPr="009615DF">
        <w:t xml:space="preserve"> účtů 041 – Nedokončený dlouhodobý nehmotný majetek a 042 – Nedokončený dlouhodobý hmotný majetek</w:t>
      </w:r>
      <w:r w:rsidR="004B42E2" w:rsidRPr="009615DF">
        <w:t xml:space="preserve"> se souvztažným zápisem na stranu DAL účtu 401</w:t>
      </w:r>
      <w:r w:rsidR="0010600A" w:rsidRPr="009615DF">
        <w:t> </w:t>
      </w:r>
      <w:r w:rsidR="004B42E2" w:rsidRPr="009615DF">
        <w:t>– Jmění účetní jednotky</w:t>
      </w:r>
      <w:r w:rsidRPr="009615DF">
        <w:t xml:space="preserve"> o</w:t>
      </w:r>
    </w:p>
    <w:p w14:paraId="683A2EA8" w14:textId="77777777" w:rsidR="00C771E7" w:rsidRPr="009615DF" w:rsidRDefault="00C771E7" w:rsidP="00A077B6">
      <w:pPr>
        <w:jc w:val="both"/>
      </w:pPr>
    </w:p>
    <w:p w14:paraId="1B1CE137" w14:textId="77777777" w:rsidR="00FA3A3D" w:rsidRPr="009615DF" w:rsidRDefault="0083466A" w:rsidP="00F04F20">
      <w:pPr>
        <w:widowControl w:val="0"/>
        <w:numPr>
          <w:ilvl w:val="0"/>
          <w:numId w:val="29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9615DF">
        <w:t>bezúplatném nabytí dlouhodobého nehmotného nebo dlouhodobého hmotného majetku podle § 25 odst. 6 zákona</w:t>
      </w:r>
      <w:r w:rsidR="0039023C" w:rsidRPr="009615DF">
        <w:t xml:space="preserve"> </w:t>
      </w:r>
      <w:r w:rsidRPr="009615DF">
        <w:t>a</w:t>
      </w:r>
    </w:p>
    <w:p w14:paraId="3DF8A9F6" w14:textId="77777777" w:rsidR="004F7831" w:rsidRPr="009615DF" w:rsidRDefault="0039023C" w:rsidP="00F04F20">
      <w:pPr>
        <w:widowControl w:val="0"/>
        <w:numPr>
          <w:ilvl w:val="0"/>
          <w:numId w:val="29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9615DF">
        <w:t xml:space="preserve">dalších případech </w:t>
      </w:r>
      <w:r w:rsidR="0083466A" w:rsidRPr="009615DF">
        <w:t>bezúplatné</w:t>
      </w:r>
      <w:r w:rsidRPr="009615DF">
        <w:t>ho</w:t>
      </w:r>
      <w:r w:rsidR="0083466A" w:rsidRPr="009615DF">
        <w:t xml:space="preserve"> nabytí dlouhodobého nehmotného nebo dlouhodobého hmotného majetku </w:t>
      </w:r>
      <w:r w:rsidR="00587541" w:rsidRPr="009615DF">
        <w:t xml:space="preserve">zejména </w:t>
      </w:r>
      <w:r w:rsidR="0083466A" w:rsidRPr="009615DF">
        <w:t>z titul</w:t>
      </w:r>
      <w:r w:rsidRPr="009615DF">
        <w:t>u</w:t>
      </w:r>
      <w:r w:rsidR="0083466A" w:rsidRPr="009615DF">
        <w:t xml:space="preserve"> stanoven</w:t>
      </w:r>
      <w:r w:rsidRPr="009615DF">
        <w:t>ého</w:t>
      </w:r>
      <w:r w:rsidR="0083466A" w:rsidRPr="009615DF">
        <w:t xml:space="preserve"> zvláštním právním předpisem upravujícím nabývání majetku České republiky a hospodaření s ním</w:t>
      </w:r>
      <w:r w:rsidR="0083466A" w:rsidRPr="009615DF">
        <w:rPr>
          <w:rStyle w:val="Znakapoznpodarou"/>
        </w:rPr>
        <w:footnoteReference w:id="3"/>
      </w:r>
      <w:r w:rsidR="0083466A" w:rsidRPr="009615DF">
        <w:t>.</w:t>
      </w:r>
    </w:p>
    <w:p w14:paraId="079D17F0" w14:textId="77777777" w:rsidR="00D2345C" w:rsidRPr="009615DF" w:rsidRDefault="00D2345C">
      <w:pPr>
        <w:jc w:val="both"/>
      </w:pPr>
    </w:p>
    <w:p w14:paraId="30AC164C" w14:textId="711609D8" w:rsidR="00C771E7" w:rsidRPr="00D83463" w:rsidRDefault="00F04F20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9615DF">
        <w:t xml:space="preserve">V souvislosti s bezúplatným pozbytím dlouhodobého nehmotného a dlouhodobého hmotného majetku účtuje účetní jednotka na stranu MÁ DÁTI účtu 401 – Jmění účetní jednotky se souvztažným zápisem na stranu DAL příslušného syntetického účtu účtové skupiny </w:t>
      </w:r>
      <w:r w:rsidR="007D37E4" w:rsidRPr="009615DF">
        <w:t xml:space="preserve">01, 02, </w:t>
      </w:r>
      <w:r w:rsidR="006A762E" w:rsidRPr="009615DF">
        <w:t xml:space="preserve">03 </w:t>
      </w:r>
      <w:r w:rsidR="00070286" w:rsidRPr="009615DF">
        <w:t>nebo</w:t>
      </w:r>
      <w:r w:rsidR="00070286">
        <w:rPr>
          <w:b/>
        </w:rPr>
        <w:t xml:space="preserve"> </w:t>
      </w:r>
      <w:r w:rsidR="007D37E4" w:rsidRPr="00D83463">
        <w:t xml:space="preserve">účtů 041 – Nedokončený dlouhodobý nehmotný majetek a 042 – </w:t>
      </w:r>
      <w:r w:rsidR="0083466A" w:rsidRPr="00D83463">
        <w:t>Nedokončený dlouhodobý hmotný majetek o bezúplatném pozbytí dlouhodobého nehmotného nebo dlouhodobého hmotného majetku podle § 25 odst. 6 zákona.</w:t>
      </w:r>
    </w:p>
    <w:p w14:paraId="54E03FB8" w14:textId="77777777" w:rsidR="00C771E7" w:rsidRPr="00D83463" w:rsidRDefault="00C771E7" w:rsidP="00A077B6">
      <w:pPr>
        <w:jc w:val="both"/>
      </w:pPr>
    </w:p>
    <w:p w14:paraId="39F95514" w14:textId="77777777" w:rsidR="0014586F" w:rsidRPr="00D83463" w:rsidRDefault="0014586F" w:rsidP="0014586F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účtování o nabytí dlouhodobého nehmotného nebo dlouhodobého hmotného majetku podle bodu </w:t>
      </w:r>
      <w:r w:rsidR="00813EDD" w:rsidRPr="00D83463">
        <w:t>4</w:t>
      </w:r>
      <w:r w:rsidRPr="00D83463">
        <w:t xml:space="preserve">.1.1. písm. a) nebo b) od vybrané účetní jednotky, kdy k tomuto majetku jsou k tomuto okamžiku vytvořeny oprávky, účtuje účetní jednotka účtující podle bodu </w:t>
      </w:r>
      <w:r w:rsidR="00813EDD" w:rsidRPr="00D83463">
        <w:t>4</w:t>
      </w:r>
      <w:r w:rsidRPr="00D83463">
        <w:t>.1.1.</w:t>
      </w:r>
      <w:r w:rsidR="00C16797" w:rsidRPr="00D83463">
        <w:t xml:space="preserve"> </w:t>
      </w:r>
      <w:r w:rsidRPr="00D83463">
        <w:t xml:space="preserve">písm. a) nebo b) </w:t>
      </w:r>
      <w:r w:rsidR="008B0CC4" w:rsidRPr="00D83463">
        <w:t>ve výši těchto oprávek k tomuto majetku</w:t>
      </w:r>
      <w:r w:rsidRPr="00D83463">
        <w:t xml:space="preserve"> na stranu DAL příslušného syntetického účtu účtové skupiny 07 nebo 08.</w:t>
      </w:r>
    </w:p>
    <w:p w14:paraId="2D41B4F0" w14:textId="77777777" w:rsidR="0014586F" w:rsidRPr="00D83463" w:rsidRDefault="0014586F" w:rsidP="0014586F">
      <w:pPr>
        <w:jc w:val="both"/>
      </w:pPr>
    </w:p>
    <w:p w14:paraId="4CC71867" w14:textId="77777777" w:rsidR="00C771E7" w:rsidRPr="00D83463" w:rsidRDefault="0014586F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účtování o </w:t>
      </w:r>
      <w:r w:rsidR="00BC78B0" w:rsidRPr="00D83463">
        <w:t>pozbytí</w:t>
      </w:r>
      <w:r w:rsidRPr="00D83463">
        <w:t xml:space="preserve"> </w:t>
      </w:r>
      <w:r w:rsidR="00BC78B0" w:rsidRPr="00D83463">
        <w:t xml:space="preserve">dlouhodobého nehmotného nebo dlouhodobého hmotného majetku </w:t>
      </w:r>
      <w:r w:rsidRPr="00D83463">
        <w:t xml:space="preserve">podle bodu </w:t>
      </w:r>
      <w:r w:rsidR="00813EDD" w:rsidRPr="00D83463">
        <w:t>4</w:t>
      </w:r>
      <w:r w:rsidRPr="00D83463">
        <w:t>.1.</w:t>
      </w:r>
      <w:r w:rsidR="00D35235" w:rsidRPr="00D83463">
        <w:t>2</w:t>
      </w:r>
      <w:r w:rsidRPr="00D83463">
        <w:t xml:space="preserve">., kdy k tomuto majetku </w:t>
      </w:r>
      <w:r w:rsidR="000621DE" w:rsidRPr="00D83463">
        <w:t>a</w:t>
      </w:r>
      <w:r w:rsidR="00BC78B0" w:rsidRPr="00D83463">
        <w:t xml:space="preserve"> k tomuto okamžiku</w:t>
      </w:r>
      <w:r w:rsidRPr="00D83463">
        <w:t xml:space="preserve"> </w:t>
      </w:r>
      <w:r w:rsidR="000621DE" w:rsidRPr="00D83463">
        <w:t xml:space="preserve">jsou </w:t>
      </w:r>
      <w:r w:rsidRPr="00D83463">
        <w:lastRenderedPageBreak/>
        <w:t xml:space="preserve">vytvořeny oprávky, účtuje účetní jednotka účtující podle bodu </w:t>
      </w:r>
      <w:r w:rsidR="00813EDD" w:rsidRPr="00D83463">
        <w:t>4</w:t>
      </w:r>
      <w:r w:rsidRPr="00D83463">
        <w:t>.1.</w:t>
      </w:r>
      <w:r w:rsidR="00EC2481" w:rsidRPr="00D83463">
        <w:t>2</w:t>
      </w:r>
      <w:r w:rsidRPr="00D83463">
        <w:t xml:space="preserve">. </w:t>
      </w:r>
      <w:r w:rsidR="00BC78B0" w:rsidRPr="00D83463">
        <w:t>současně</w:t>
      </w:r>
      <w:r w:rsidRPr="00D83463">
        <w:t xml:space="preserve"> o zrušení </w:t>
      </w:r>
      <w:r w:rsidR="008B0CC4" w:rsidRPr="00D83463">
        <w:t xml:space="preserve">těchto </w:t>
      </w:r>
      <w:r w:rsidRPr="00D83463">
        <w:t>oprávek k </w:t>
      </w:r>
      <w:r w:rsidR="00BC78B0" w:rsidRPr="00D83463">
        <w:t>tomuto</w:t>
      </w:r>
      <w:r w:rsidRPr="00D83463">
        <w:t xml:space="preserve"> majetku, a to na stranu MÁ DÁTI příslušného syntetického účtu účtové skupiny 07 nebo 08.</w:t>
      </w:r>
    </w:p>
    <w:p w14:paraId="0D00109F" w14:textId="77777777" w:rsidR="00436107" w:rsidRPr="00D83463" w:rsidRDefault="00436107" w:rsidP="008F673A">
      <w:pPr>
        <w:pStyle w:val="Odstavecseseznamem"/>
      </w:pPr>
    </w:p>
    <w:p w14:paraId="568A5823" w14:textId="16E1A12C" w:rsidR="00DB59B3" w:rsidRPr="00D83463" w:rsidRDefault="00436107" w:rsidP="00DC22DB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účtování o nabytí dlouhodobého nehmotného nebo dlouhodobého hmotného majetku </w:t>
      </w:r>
      <w:r w:rsidR="00CE0FC0" w:rsidRPr="00D83463">
        <w:t xml:space="preserve">podle bodu </w:t>
      </w:r>
      <w:r w:rsidR="006A762E" w:rsidRPr="009615DF">
        <w:t>3.4.</w:t>
      </w:r>
      <w:r w:rsidR="003A11A4" w:rsidRPr="009615DF">
        <w:t>9</w:t>
      </w:r>
      <w:r w:rsidR="00CE0FC0" w:rsidRPr="009615DF">
        <w:t xml:space="preserve">. účtuje účetní jednotka ve výši ocenění tohoto majetku na stranu MÁ DÁTI </w:t>
      </w:r>
      <w:r w:rsidR="004E7DB9" w:rsidRPr="009615DF">
        <w:t xml:space="preserve">účtu 035 – Dlouhodobý nehmotný majetek určený k prodeji nebo 036 – Dlouhodobý hmotný majetek určený k prodeji </w:t>
      </w:r>
      <w:r w:rsidR="00CE0FC0" w:rsidRPr="009615DF">
        <w:t xml:space="preserve">se souvztažným zápisem </w:t>
      </w:r>
      <w:r w:rsidR="00DB59B3" w:rsidRPr="009615DF">
        <w:t>o</w:t>
      </w:r>
      <w:r w:rsidR="000228F8" w:rsidRPr="009615DF">
        <w:t xml:space="preserve"> příslušném rozdílu z přecenění majetku na reálnou hodnotu</w:t>
      </w:r>
      <w:r w:rsidR="00DB59B3" w:rsidRPr="009615DF">
        <w:t xml:space="preserve"> </w:t>
      </w:r>
      <w:r w:rsidRPr="009615DF">
        <w:t xml:space="preserve">na </w:t>
      </w:r>
      <w:r w:rsidR="00BC5512" w:rsidRPr="009615DF">
        <w:t xml:space="preserve">příslušnou </w:t>
      </w:r>
      <w:r w:rsidRPr="009615DF">
        <w:t>stranu</w:t>
      </w:r>
      <w:r w:rsidR="00BC5512" w:rsidRPr="009615DF">
        <w:t xml:space="preserve"> </w:t>
      </w:r>
      <w:r w:rsidR="006A762E" w:rsidRPr="009615DF">
        <w:t xml:space="preserve">účtu 407 </w:t>
      </w:r>
      <w:r w:rsidRPr="009615DF">
        <w:t>– Jiné oceňovací rozdíly a</w:t>
      </w:r>
      <w:r w:rsidR="000228F8" w:rsidRPr="009615DF">
        <w:t xml:space="preserve"> na stranu DAL</w:t>
      </w:r>
      <w:r w:rsidRPr="009615DF">
        <w:t xml:space="preserve"> účtu 401 – Jmění účetní jednotky.</w:t>
      </w:r>
    </w:p>
    <w:p w14:paraId="14640F48" w14:textId="77777777" w:rsidR="00DB59B3" w:rsidRPr="00D83463" w:rsidRDefault="00DB59B3" w:rsidP="00DC22DB">
      <w:pPr>
        <w:pStyle w:val="Odstavecseseznamem"/>
      </w:pPr>
    </w:p>
    <w:p w14:paraId="5DAB0B74" w14:textId="7BAB417B" w:rsidR="00DB59B3" w:rsidRPr="00D83463" w:rsidRDefault="000228F8" w:rsidP="00307B2D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účtování o pozbytí dlouhodobého nehmotného nebo dlouhodobého hmotného majetku podle </w:t>
      </w:r>
      <w:r w:rsidRPr="009615DF">
        <w:t xml:space="preserve">bodu </w:t>
      </w:r>
      <w:r w:rsidR="006A762E" w:rsidRPr="009615DF">
        <w:t xml:space="preserve">3.4.9. </w:t>
      </w:r>
      <w:r w:rsidRPr="009615DF">
        <w:t xml:space="preserve">účtuje účetní jednotka o příslušném rozdílu z přecenění majetku na reálnou hodnotu na </w:t>
      </w:r>
      <w:r w:rsidR="00B31A61" w:rsidRPr="009615DF">
        <w:t xml:space="preserve">příslušnou </w:t>
      </w:r>
      <w:r w:rsidRPr="009615DF">
        <w:t xml:space="preserve">stranu účtu 407 – Jiné oceňovací rozdíly a na stranu MÁ DÁTI účtu 401 – Jmění účetní jednotky, se souvztažným zápisem ve výši ocenění tohoto majetku na stranu DAL </w:t>
      </w:r>
      <w:r w:rsidR="004E7DB9" w:rsidRPr="009615DF">
        <w:t>účtu 035 – Dlouhodobý nehmotný majetek určený k prodeji nebo 036 – Dlouhodobý hmotný majetek určený k prodeji</w:t>
      </w:r>
      <w:r w:rsidRPr="009615DF">
        <w:t>.</w:t>
      </w:r>
    </w:p>
    <w:p w14:paraId="05E35A3B" w14:textId="77777777" w:rsidR="008F673A" w:rsidRPr="00D83463" w:rsidRDefault="008F673A" w:rsidP="00A077B6">
      <w:pPr>
        <w:jc w:val="both"/>
      </w:pPr>
    </w:p>
    <w:p w14:paraId="7E092AEC" w14:textId="77777777" w:rsidR="00C771E7" w:rsidRPr="00D83463" w:rsidRDefault="008C5F96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O </w:t>
      </w:r>
      <w:r w:rsidR="00397005" w:rsidRPr="00D83463">
        <w:t>pohledávce</w:t>
      </w:r>
      <w:r w:rsidR="0059591B" w:rsidRPr="00D83463">
        <w:t xml:space="preserve"> za </w:t>
      </w:r>
      <w:r w:rsidR="00882F60" w:rsidRPr="00D83463">
        <w:t xml:space="preserve">jejím </w:t>
      </w:r>
      <w:r w:rsidR="0059591B" w:rsidRPr="00D83463">
        <w:t>zřizovatelem</w:t>
      </w:r>
      <w:r w:rsidR="00397005" w:rsidRPr="00D83463">
        <w:t xml:space="preserve"> z titulu přijetí</w:t>
      </w:r>
      <w:r w:rsidRPr="00D83463">
        <w:t xml:space="preserve"> dotace určené na pořízení dlouhodobého nehmotného nebo dlouhodobého hmotného majetku</w:t>
      </w:r>
      <w:r w:rsidR="00397005" w:rsidRPr="00D83463">
        <w:t xml:space="preserve"> v případech, kdy se nejedná o transfer</w:t>
      </w:r>
      <w:r w:rsidR="008B0CC4" w:rsidRPr="00D83463">
        <w:t xml:space="preserve"> podle bodu 3.1. písm. a) Českého účetního standardu č. 703 – Transfery</w:t>
      </w:r>
      <w:r w:rsidRPr="00D83463">
        <w:t xml:space="preserve">, účtuje příspěvková organizace </w:t>
      </w:r>
      <w:r w:rsidR="0059591B" w:rsidRPr="00D83463">
        <w:t xml:space="preserve">zřizovaná </w:t>
      </w:r>
      <w:r w:rsidRPr="00D83463">
        <w:t>podle zvláštního zákona</w:t>
      </w:r>
      <w:r w:rsidR="0083466A" w:rsidRPr="00D83463">
        <w:rPr>
          <w:vertAlign w:val="superscript"/>
        </w:rPr>
        <w:footnoteReference w:id="4"/>
      </w:r>
      <w:r w:rsidR="00397005" w:rsidRPr="00D83463">
        <w:t xml:space="preserve"> na stranu MÁ DÁTI příslušného pohledávkového syntetického účtu účtové skupiny 34 se souvztažným zápisem na stranu DAL účtu 401 – Jmění účetní jednotky. O přijetí peněžních prostředků z titulu této dotace účtuje tato příspěvková organizace na stranu MÁ DÁTI účtu 241 – Běžný účet se souvztažným zápisem na stranu DAL příslušného pohledávkového syntetického účtu účtové skupiny 34.</w:t>
      </w:r>
    </w:p>
    <w:p w14:paraId="40C0A75B" w14:textId="77777777" w:rsidR="00C771E7" w:rsidRPr="00D83463" w:rsidRDefault="00C771E7" w:rsidP="00A077B6">
      <w:pPr>
        <w:jc w:val="both"/>
      </w:pPr>
    </w:p>
    <w:p w14:paraId="39E11F35" w14:textId="73FBFA80" w:rsidR="00C12A0A" w:rsidRPr="00D83463" w:rsidRDefault="001268AD" w:rsidP="00C34559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O </w:t>
      </w:r>
      <w:r w:rsidR="002D693F" w:rsidRPr="009615DF">
        <w:t>dluhu</w:t>
      </w:r>
      <w:r w:rsidR="002D693F">
        <w:rPr>
          <w:b/>
        </w:rPr>
        <w:t xml:space="preserve"> </w:t>
      </w:r>
      <w:r w:rsidR="0059591B" w:rsidRPr="00D83463">
        <w:t>příspěvkové organizaci zřizované podle zvláštního zákona</w:t>
      </w:r>
      <w:r w:rsidR="00DB59B3" w:rsidRPr="00D83463">
        <w:rPr>
          <w:vertAlign w:val="superscript"/>
        </w:rPr>
        <w:t>4</w:t>
      </w:r>
      <w:r w:rsidR="0059591B" w:rsidRPr="00D83463">
        <w:t xml:space="preserve"> </w:t>
      </w:r>
      <w:r w:rsidRPr="00D83463">
        <w:t xml:space="preserve">z titulu poskytnutí dotace určené na pořízení dlouhodobého nehmotného nebo dlouhodobého hmotného majetku v případech, kdy se nejedná o transfer, účtuje </w:t>
      </w:r>
      <w:r w:rsidR="0059591B" w:rsidRPr="00D83463">
        <w:t>její zřizovatel</w:t>
      </w:r>
      <w:r w:rsidRPr="00D83463">
        <w:t xml:space="preserve"> </w:t>
      </w:r>
      <w:r w:rsidR="0059591B" w:rsidRPr="00D83463">
        <w:t>na stranu MÁ </w:t>
      </w:r>
      <w:r w:rsidRPr="00D83463">
        <w:t xml:space="preserve">DÁTI </w:t>
      </w:r>
      <w:r w:rsidR="0059591B" w:rsidRPr="00D83463">
        <w:t xml:space="preserve">účtu 401 – Jmění účetní jednotky se souvztažným zápisem na stranu DAL </w:t>
      </w:r>
      <w:r w:rsidRPr="00D83463">
        <w:t xml:space="preserve">příslušného </w:t>
      </w:r>
      <w:r w:rsidR="00DD5199" w:rsidRPr="00D83463">
        <w:t>závazkového</w:t>
      </w:r>
      <w:r w:rsidRPr="00D83463">
        <w:t xml:space="preserve"> syntetického účtu účtové skupiny 34. O </w:t>
      </w:r>
      <w:r w:rsidR="0059591B" w:rsidRPr="00D83463">
        <w:t>poskytnutí</w:t>
      </w:r>
      <w:r w:rsidRPr="00D83463">
        <w:t xml:space="preserve"> peněžních prostředků z titulu této dotace účtuje </w:t>
      </w:r>
      <w:r w:rsidR="0059591B" w:rsidRPr="00D83463">
        <w:t>tento zřizovatel</w:t>
      </w:r>
      <w:r w:rsidRPr="00D83463">
        <w:t xml:space="preserve"> na stranu MÁ DÁTI </w:t>
      </w:r>
      <w:r w:rsidR="0059591B" w:rsidRPr="00D83463">
        <w:t xml:space="preserve">příslušného </w:t>
      </w:r>
      <w:r w:rsidR="00DD5199" w:rsidRPr="00D83463">
        <w:t>závazkového</w:t>
      </w:r>
      <w:r w:rsidR="0059591B" w:rsidRPr="00D83463">
        <w:t xml:space="preserve"> syntetického účtu účtové skupiny 34 se souvztažným zápisem na stranu DAL </w:t>
      </w:r>
      <w:r w:rsidR="00DD5199" w:rsidRPr="00D83463">
        <w:t>příslušného syntetického účtu účtové skupiny 22, 23 nebo 24</w:t>
      </w:r>
      <w:r w:rsidRPr="00D83463">
        <w:t>.</w:t>
      </w:r>
    </w:p>
    <w:p w14:paraId="0C77033B" w14:textId="77777777" w:rsidR="008A4CCF" w:rsidRPr="00D83463" w:rsidRDefault="008A4CCF" w:rsidP="00B95F1B">
      <w:pPr>
        <w:widowControl w:val="0"/>
        <w:autoSpaceDE w:val="0"/>
        <w:autoSpaceDN w:val="0"/>
        <w:adjustRightInd w:val="0"/>
        <w:jc w:val="both"/>
      </w:pPr>
    </w:p>
    <w:p w14:paraId="4CC3B324" w14:textId="77777777" w:rsidR="004D0340" w:rsidRPr="00D83463" w:rsidRDefault="004D0340" w:rsidP="004D0340">
      <w:pPr>
        <w:numPr>
          <w:ilvl w:val="1"/>
          <w:numId w:val="27"/>
        </w:numPr>
        <w:tabs>
          <w:tab w:val="clear" w:pos="792"/>
          <w:tab w:val="num" w:pos="540"/>
        </w:tabs>
        <w:ind w:left="0" w:firstLine="0"/>
        <w:jc w:val="both"/>
        <w:rPr>
          <w:b/>
        </w:rPr>
      </w:pPr>
      <w:r w:rsidRPr="00D83463">
        <w:rPr>
          <w:b/>
        </w:rPr>
        <w:t xml:space="preserve">Postup účtování </w:t>
      </w:r>
      <w:r w:rsidR="00AA2707" w:rsidRPr="00D83463">
        <w:rPr>
          <w:b/>
        </w:rPr>
        <w:t>na</w:t>
      </w:r>
      <w:r w:rsidRPr="00D83463">
        <w:rPr>
          <w:b/>
        </w:rPr>
        <w:t> účtu 403 – Transfery na pořízení dlouhodobého majetku</w:t>
      </w:r>
    </w:p>
    <w:p w14:paraId="0ABC5B93" w14:textId="77777777" w:rsidR="00AB5397" w:rsidRPr="00D83463" w:rsidRDefault="00AB5397" w:rsidP="00B95F1B">
      <w:pPr>
        <w:widowControl w:val="0"/>
        <w:autoSpaceDE w:val="0"/>
        <w:autoSpaceDN w:val="0"/>
        <w:adjustRightInd w:val="0"/>
        <w:jc w:val="both"/>
      </w:pPr>
    </w:p>
    <w:p w14:paraId="7711D4AA" w14:textId="77777777" w:rsidR="00D35235" w:rsidRPr="00D83463" w:rsidRDefault="00860A96" w:rsidP="00D35235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dlouhodobého nehmotného a dlouhodobého hmotného majetku pořízeného </w:t>
      </w:r>
      <w:r w:rsidR="00A32D1C" w:rsidRPr="00D83463">
        <w:t>zcela</w:t>
      </w:r>
      <w:r w:rsidRPr="00D83463">
        <w:t xml:space="preserve"> </w:t>
      </w:r>
      <w:r w:rsidR="00A32D1C" w:rsidRPr="00D83463">
        <w:t xml:space="preserve">nebo částečně </w:t>
      </w:r>
      <w:r w:rsidRPr="00D83463">
        <w:t>z investičního transferu, účtuje účetní jednotka o</w:t>
      </w:r>
      <w:r w:rsidR="00D35235" w:rsidRPr="00D83463">
        <w:t xml:space="preserve"> skutečnostech uvedených v bodu </w:t>
      </w:r>
      <w:r w:rsidR="00813EDD" w:rsidRPr="00D83463">
        <w:t>4</w:t>
      </w:r>
      <w:r w:rsidR="00D35235" w:rsidRPr="00D83463">
        <w:t>.1.1. písm. a) a b) současně na stranu DAL účtu 403 – Transfery na pořízení dlouhodobého majetku, a to ve výši tohoto investičního transferu, která k tomuto okamžiku nebyla ve věcné a časové souvislosti rozlišena.</w:t>
      </w:r>
      <w:r w:rsidR="008A4CCF" w:rsidRPr="00D83463">
        <w:t xml:space="preserve"> O skutečnostech uvedených v bodu 4.1.1. písm. b) účtuje účetní jednotka současně na stranu DAL účtu 403 – Transfery na pořízení dlouhodobého majetku pouze tehdy, pokud se jedná o bezúplatné nabytí dlouhodobého nehmotného nebo dlouhodobého hmotného majetku</w:t>
      </w:r>
      <w:r w:rsidR="00587541" w:rsidRPr="00D83463">
        <w:t xml:space="preserve"> od jiné vybrané účetní jednotky.</w:t>
      </w:r>
    </w:p>
    <w:p w14:paraId="02187BCB" w14:textId="77777777" w:rsidR="00C771E7" w:rsidRPr="00D83463" w:rsidRDefault="00C771E7" w:rsidP="00A077B6">
      <w:pPr>
        <w:jc w:val="both"/>
      </w:pPr>
    </w:p>
    <w:p w14:paraId="0051BBF2" w14:textId="77777777" w:rsidR="00C771E7" w:rsidRPr="00D83463" w:rsidRDefault="00860A96" w:rsidP="00A077B6">
      <w:pPr>
        <w:widowControl w:val="0"/>
        <w:numPr>
          <w:ilvl w:val="2"/>
          <w:numId w:val="27"/>
        </w:numPr>
        <w:tabs>
          <w:tab w:val="clear" w:pos="1440"/>
          <w:tab w:val="num" w:pos="720"/>
        </w:tabs>
        <w:autoSpaceDE w:val="0"/>
        <w:autoSpaceDN w:val="0"/>
        <w:adjustRightInd w:val="0"/>
        <w:ind w:left="0" w:firstLine="0"/>
        <w:jc w:val="both"/>
      </w:pPr>
      <w:r w:rsidRPr="00D83463">
        <w:t>V případě dlouhodobého nehmotného a dlouhodobého hmotného majetku</w:t>
      </w:r>
      <w:r w:rsidR="00A32D1C" w:rsidRPr="00D83463">
        <w:t xml:space="preserve"> pořízeného</w:t>
      </w:r>
      <w:r w:rsidRPr="00D83463">
        <w:t xml:space="preserve"> </w:t>
      </w:r>
      <w:r w:rsidR="00A32D1C" w:rsidRPr="00D83463">
        <w:t xml:space="preserve">zcela nebo částečně </w:t>
      </w:r>
      <w:r w:rsidRPr="00D83463">
        <w:t>z investičního transferu, účtuje účetní jednotka o</w:t>
      </w:r>
      <w:r w:rsidR="00D35235" w:rsidRPr="00D83463">
        <w:t xml:space="preserve"> skutečnostech uvedených v bodu </w:t>
      </w:r>
      <w:r w:rsidR="00813EDD" w:rsidRPr="00D83463">
        <w:t>4</w:t>
      </w:r>
      <w:r w:rsidR="00D35235" w:rsidRPr="00D83463">
        <w:t xml:space="preserve">.1.2. </w:t>
      </w:r>
      <w:r w:rsidR="00A32D1C" w:rsidRPr="00D83463">
        <w:t>současně na stranu MÁ </w:t>
      </w:r>
      <w:r w:rsidR="00D35235" w:rsidRPr="00D83463">
        <w:t>DÁTI účtu 403 – Transfery na pořízení dlouhodobého majetku, a to ve výši tohoto investičního transferu, která k tomuto okamžiku nebyla ve věcné a časové souvislosti rozlišena.</w:t>
      </w:r>
    </w:p>
    <w:p w14:paraId="5AA3D1EF" w14:textId="77777777" w:rsidR="00C771E7" w:rsidRPr="00D83463" w:rsidRDefault="00C771E7" w:rsidP="00A077B6"/>
    <w:p w14:paraId="59B9B64D" w14:textId="77777777" w:rsidR="00827D88" w:rsidRPr="00D83463" w:rsidRDefault="00E34C52" w:rsidP="00C12A0A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účtování o snížení ocenění dlouhodobého majetku podle bodu </w:t>
      </w:r>
      <w:r w:rsidR="009575D0" w:rsidRPr="00D83463">
        <w:t>3.2.3.</w:t>
      </w:r>
      <w:r w:rsidRPr="00D83463">
        <w:t xml:space="preserve"> </w:t>
      </w:r>
      <w:r w:rsidR="001D29B0" w:rsidRPr="00D83463">
        <w:t xml:space="preserve">zejména </w:t>
      </w:r>
      <w:r w:rsidRPr="00D83463">
        <w:t>prostřednictvím účtů</w:t>
      </w:r>
      <w:r w:rsidR="006A7A66" w:rsidRPr="00D83463">
        <w:t xml:space="preserve"> </w:t>
      </w:r>
      <w:r w:rsidR="00C12A0A" w:rsidRPr="00D83463">
        <w:t>543 – Dary,</w:t>
      </w:r>
      <w:r w:rsidR="00F82A5A" w:rsidRPr="00D83463">
        <w:t xml:space="preserve"> 547 – Manka a škody,</w:t>
      </w:r>
      <w:r w:rsidR="00C12A0A" w:rsidRPr="00D83463">
        <w:t xml:space="preserve"> </w:t>
      </w:r>
      <w:r w:rsidR="006A7A66" w:rsidRPr="00D83463">
        <w:t xml:space="preserve">552 – </w:t>
      </w:r>
      <w:r w:rsidR="00EE058A" w:rsidRPr="00D83463">
        <w:t>Prodaný dlouhodobý nehmotný majetek</w:t>
      </w:r>
      <w:r w:rsidR="006A7A66" w:rsidRPr="00D83463">
        <w:t xml:space="preserve">, 553 – </w:t>
      </w:r>
      <w:r w:rsidR="00EE058A" w:rsidRPr="00D83463">
        <w:t>Prodaný dlouhodobý hmotný majetek</w:t>
      </w:r>
      <w:r w:rsidR="006A7A66" w:rsidRPr="00D83463">
        <w:t>, 554 – Prodané pozemky</w:t>
      </w:r>
      <w:r w:rsidR="005C57B9" w:rsidRPr="00D83463">
        <w:t>, 556 – Tvorba a zúčtování opravných položek</w:t>
      </w:r>
      <w:r w:rsidR="006A7A66" w:rsidRPr="00D83463">
        <w:t xml:space="preserve"> nebo 561 – Prodané cenné papíry a podíly účtuje účetní jednotka</w:t>
      </w:r>
      <w:r w:rsidR="00C12A0A" w:rsidRPr="00D83463">
        <w:t xml:space="preserve"> </w:t>
      </w:r>
      <w:r w:rsidR="006A7A66" w:rsidRPr="00D83463">
        <w:t xml:space="preserve">zároveň o časovém rozlišení </w:t>
      </w:r>
      <w:r w:rsidRPr="00D83463">
        <w:t xml:space="preserve">příslušného </w:t>
      </w:r>
      <w:r w:rsidR="006A7A66" w:rsidRPr="00D83463">
        <w:t xml:space="preserve">přijatého investičního transferu </w:t>
      </w:r>
      <w:r w:rsidRPr="00D83463">
        <w:t xml:space="preserve">podle bodu </w:t>
      </w:r>
      <w:r w:rsidR="009575D0" w:rsidRPr="00D83463">
        <w:t>3.2.3.</w:t>
      </w:r>
      <w:r w:rsidRPr="00D83463">
        <w:t xml:space="preserve"> </w:t>
      </w:r>
      <w:r w:rsidR="006A7A66" w:rsidRPr="00D83463">
        <w:t xml:space="preserve">na stranu MÁ DÁTI účtu 403 – Transfery na pořízení dlouhodobého majetku se souvztažným zápisem na stranu DAL příslušného syntetického účtu účtové skupiny 67 – Výnosy z transferů, a to </w:t>
      </w:r>
      <w:r w:rsidRPr="00D83463">
        <w:t>v</w:t>
      </w:r>
      <w:r w:rsidR="001D29B0" w:rsidRPr="00D83463">
        <w:t>e výši</w:t>
      </w:r>
      <w:r w:rsidRPr="00D83463">
        <w:t> část</w:t>
      </w:r>
      <w:r w:rsidR="001D29B0" w:rsidRPr="00D83463">
        <w:t>ky</w:t>
      </w:r>
      <w:r w:rsidRPr="00D83463">
        <w:t xml:space="preserve"> </w:t>
      </w:r>
      <w:r w:rsidR="00E45EC5" w:rsidRPr="00D83463">
        <w:t>účtované na uvedené nákladové účty</w:t>
      </w:r>
      <w:r w:rsidRPr="00D83463">
        <w:t xml:space="preserve"> </w:t>
      </w:r>
      <w:r w:rsidR="006A7A66" w:rsidRPr="00D83463">
        <w:t>násobené transferovým podílem</w:t>
      </w:r>
      <w:r w:rsidR="00813EDD" w:rsidRPr="00D83463">
        <w:t xml:space="preserve"> podle </w:t>
      </w:r>
      <w:r w:rsidRPr="00D83463">
        <w:t xml:space="preserve">tohoto standardu nebo podle </w:t>
      </w:r>
      <w:r w:rsidR="00813EDD" w:rsidRPr="00D83463">
        <w:t>Českého účetního standardu č. 708 – Odpisování dlouhodobého majetku</w:t>
      </w:r>
      <w:r w:rsidR="006A7A66" w:rsidRPr="00D83463">
        <w:t>.</w:t>
      </w:r>
    </w:p>
    <w:p w14:paraId="44939AEA" w14:textId="77777777" w:rsidR="00C771E7" w:rsidRPr="00D83463" w:rsidRDefault="00C771E7" w:rsidP="00A077B6">
      <w:pPr>
        <w:jc w:val="both"/>
      </w:pPr>
    </w:p>
    <w:p w14:paraId="6DAACEE8" w14:textId="77777777" w:rsidR="00E45EC5" w:rsidRPr="00D83463" w:rsidRDefault="00E45EC5" w:rsidP="00C12A0A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účtování o zvýšení ocenění dlouhodobého majetku podle bodu </w:t>
      </w:r>
      <w:r w:rsidR="009575D0" w:rsidRPr="00D83463">
        <w:t>3.2.3.</w:t>
      </w:r>
      <w:r w:rsidRPr="00D83463">
        <w:t xml:space="preserve"> </w:t>
      </w:r>
      <w:r w:rsidR="001D29B0" w:rsidRPr="00D83463">
        <w:t xml:space="preserve">zejména </w:t>
      </w:r>
      <w:r w:rsidRPr="00D83463">
        <w:t xml:space="preserve">prostřednictvím účtu 556 – Tvorba a zúčtování opravných položek účtuje účetní jednotka zároveň o časovém rozlišení příslušného přijatého investičního transferu podle bodu </w:t>
      </w:r>
      <w:r w:rsidR="009575D0" w:rsidRPr="00D83463">
        <w:t>3.2.3.</w:t>
      </w:r>
      <w:r w:rsidRPr="00D83463">
        <w:t xml:space="preserve"> na stranu MÁ DÁTI příslušného syntetického účtu účtové skupiny 67 – Výnosy z transferů se souvztažným zápisem na stranu DAL účtu 403 – Transfery na pořízení dlouhodobého majetku, a to v</w:t>
      </w:r>
      <w:r w:rsidR="001D29B0" w:rsidRPr="00D83463">
        <w:t>e výši</w:t>
      </w:r>
      <w:r w:rsidRPr="00D83463">
        <w:t> </w:t>
      </w:r>
      <w:r w:rsidR="001B3167" w:rsidRPr="00D83463">
        <w:t>tohoto zvýšení ocenění</w:t>
      </w:r>
      <w:r w:rsidRPr="00D83463">
        <w:t xml:space="preserve"> násobené transferovým podílem podle tohoto standardu nebo podle Českého účetního standardu č. 708 – Odpisování dlouhodobého majetku.</w:t>
      </w:r>
    </w:p>
    <w:p w14:paraId="4CD09A8F" w14:textId="77777777" w:rsidR="00C771E7" w:rsidRPr="00D83463" w:rsidRDefault="00C771E7" w:rsidP="00A077B6">
      <w:pPr>
        <w:pStyle w:val="Odstavecseseznamem"/>
      </w:pPr>
    </w:p>
    <w:p w14:paraId="79C63896" w14:textId="77777777" w:rsidR="00C771E7" w:rsidRPr="00D83463" w:rsidRDefault="00D368AF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účtování o snížení ocenění dlouhodobého majetku podle bodu </w:t>
      </w:r>
      <w:r w:rsidR="009575D0" w:rsidRPr="00D83463">
        <w:t>3.2.3.</w:t>
      </w:r>
      <w:r w:rsidRPr="00D83463">
        <w:t xml:space="preserve">, který byl podle § 64 vyhlášky oceněn reálnou hodnotou, </w:t>
      </w:r>
      <w:r w:rsidR="001D29B0" w:rsidRPr="00D83463">
        <w:t xml:space="preserve">zejména </w:t>
      </w:r>
      <w:r w:rsidRPr="00D83463">
        <w:t xml:space="preserve">prostřednictvím účtů 547 – Manka a škody, 552 – Prodaný dlouhodobý nehmotný majetek, 553 – Prodaný dlouhodobý hmotný majetek, 554 – Prodané pozemky nebo 561 – Prodané cenné papíry a podíly účtuje účetní jednotka zároveň o časovém rozlišení příslušného přijatého investičního transferu podle bodu </w:t>
      </w:r>
      <w:r w:rsidR="009575D0" w:rsidRPr="00D83463">
        <w:t>3.2.3.</w:t>
      </w:r>
      <w:r w:rsidRPr="00D83463">
        <w:t xml:space="preserve"> na stranu MÁ DÁTI účtu 403 – Transfery na pořízení dlouhodobého majetku se souvztažným zápisem na stranu DAL příslušného syntetického účtu účtové skupiny 67 – Výnosy z transferů, a to ve výši přijatého investičního transferu na pořízení tohoto majetku, která k tomuto okamžiku nebyla ve věcné a časové souvislosti rozlišena.</w:t>
      </w:r>
    </w:p>
    <w:p w14:paraId="4475CE20" w14:textId="77777777" w:rsidR="00C771E7" w:rsidRPr="00D83463" w:rsidRDefault="00C771E7" w:rsidP="00A077B6">
      <w:pPr>
        <w:jc w:val="both"/>
      </w:pPr>
    </w:p>
    <w:p w14:paraId="7671705F" w14:textId="77777777" w:rsidR="00C771E7" w:rsidRPr="00D83463" w:rsidRDefault="0083466A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Pokud dochází k vypořádání investičního transferu podle Českého účetního standardu č. 703 – Transfery až po uvedení příslušného dlouhodobého nehmotného nebo dlouhodobého hmotného majetku do stavu způsobilého k užívání, účtuje účetní jednotka k okamžiku tohoto vypořádání ve výši případného nepřesného odhadu výše přijatého investičního transferu na příslušnou stranu účtu 403 – Transfery na pořízení dlouhodobého majetku se souvztažným zápisem na příslušnou stranu příslušného syntetického účtu účtové skupiny 67 – Výnosy z</w:t>
      </w:r>
      <w:r w:rsidR="00D82F8A" w:rsidRPr="00D83463">
        <w:t xml:space="preserve"> </w:t>
      </w:r>
      <w:r w:rsidRPr="00D83463">
        <w:t>transferů</w:t>
      </w:r>
      <w:r w:rsidR="00D82F8A" w:rsidRPr="00D83463">
        <w:t>.</w:t>
      </w:r>
      <w:r w:rsidRPr="00D83463">
        <w:t xml:space="preserve"> Výše transferového podílu k příslušnému dlouhodobému majetku se v tomto případě nemění.</w:t>
      </w:r>
      <w:r w:rsidR="001C2E8C" w:rsidRPr="00D83463">
        <w:t xml:space="preserve"> </w:t>
      </w:r>
      <w:r w:rsidR="00D82F8A" w:rsidRPr="00D83463">
        <w:t>Nevypořádává-li účetní jednotka nepřesný odhad, ale provádí opravu chyby, způsobem</w:t>
      </w:r>
      <w:r w:rsidR="001C2E8C" w:rsidRPr="00D83463">
        <w:t xml:space="preserve"> </w:t>
      </w:r>
      <w:r w:rsidR="00307B2D" w:rsidRPr="00D83463">
        <w:t xml:space="preserve">uvedeným ve větě první </w:t>
      </w:r>
      <w:r w:rsidR="006D5761" w:rsidRPr="00D83463">
        <w:t xml:space="preserve">neúčtuje </w:t>
      </w:r>
      <w:r w:rsidR="00D82F8A" w:rsidRPr="00D83463">
        <w:t xml:space="preserve">a </w:t>
      </w:r>
      <w:r w:rsidR="001C2E8C" w:rsidRPr="00D83463">
        <w:t>upraví příslušným způsobem výši transferového podílu k příslušnému dlouhodobému majetku.</w:t>
      </w:r>
    </w:p>
    <w:p w14:paraId="78F0E90A" w14:textId="77777777" w:rsidR="00C771E7" w:rsidRPr="00D83463" w:rsidRDefault="00C771E7" w:rsidP="00A077B6">
      <w:pPr>
        <w:jc w:val="both"/>
      </w:pPr>
    </w:p>
    <w:p w14:paraId="4D2920A3" w14:textId="77777777" w:rsidR="003D1D76" w:rsidRPr="00D83463" w:rsidRDefault="00A67047" w:rsidP="003D1D7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Pokud účetní jednotka </w:t>
      </w:r>
      <w:r w:rsidR="003D1D76" w:rsidRPr="00D83463">
        <w:t>aktivuje dlouhodobý majetek</w:t>
      </w:r>
      <w:r w:rsidRPr="00D83463">
        <w:t xml:space="preserve"> a </w:t>
      </w:r>
      <w:r w:rsidR="003D1D76" w:rsidRPr="00D83463">
        <w:t xml:space="preserve">na </w:t>
      </w:r>
      <w:r w:rsidR="008549C2" w:rsidRPr="00D83463">
        <w:t>pokrytí</w:t>
      </w:r>
      <w:r w:rsidR="003D1D76" w:rsidRPr="00D83463">
        <w:t xml:space="preserve"> příslušných nákladů byl určen</w:t>
      </w:r>
      <w:r w:rsidR="005F511F" w:rsidRPr="00D83463">
        <w:t xml:space="preserve"> transfer, o kterém tato účetní jednotka účtovala jako o </w:t>
      </w:r>
      <w:r w:rsidR="003D1D76" w:rsidRPr="00D83463">
        <w:t>jin</w:t>
      </w:r>
      <w:r w:rsidR="005F511F" w:rsidRPr="00D83463">
        <w:t>ém</w:t>
      </w:r>
      <w:r w:rsidR="003D1D76" w:rsidRPr="00D83463">
        <w:t xml:space="preserve"> než investiční</w:t>
      </w:r>
      <w:r w:rsidR="005F511F" w:rsidRPr="00D83463">
        <w:t>m</w:t>
      </w:r>
      <w:r w:rsidR="003D1D76" w:rsidRPr="00D83463">
        <w:t xml:space="preserve"> transfer</w:t>
      </w:r>
      <w:r w:rsidR="005F511F" w:rsidRPr="00D83463">
        <w:t>u</w:t>
      </w:r>
      <w:r w:rsidR="003D1D76" w:rsidRPr="00D83463">
        <w:t xml:space="preserve">, účtuje k okamžiku této aktivace na stranu MÁ DÁTI příslušného syntetického účtu </w:t>
      </w:r>
      <w:r w:rsidR="003D1D76" w:rsidRPr="00D83463">
        <w:lastRenderedPageBreak/>
        <w:t>účtové skupiny 67 se souvztažným zápisem na stranu DAL účtu 403 – Transfery na pořízení dlouhodobého majetku.</w:t>
      </w:r>
    </w:p>
    <w:p w14:paraId="3DD5FEBB" w14:textId="77777777" w:rsidR="00474AA7" w:rsidRPr="00D83463" w:rsidRDefault="00474AA7" w:rsidP="00474AA7">
      <w:pPr>
        <w:jc w:val="both"/>
        <w:rPr>
          <w:b/>
        </w:rPr>
      </w:pPr>
    </w:p>
    <w:p w14:paraId="559A2CE4" w14:textId="77777777" w:rsidR="0054100F" w:rsidRPr="00D83463" w:rsidRDefault="0054100F" w:rsidP="0054100F">
      <w:pPr>
        <w:numPr>
          <w:ilvl w:val="1"/>
          <w:numId w:val="27"/>
        </w:numPr>
        <w:tabs>
          <w:tab w:val="clear" w:pos="792"/>
          <w:tab w:val="num" w:pos="540"/>
        </w:tabs>
        <w:ind w:left="0" w:firstLine="0"/>
        <w:jc w:val="both"/>
        <w:rPr>
          <w:b/>
        </w:rPr>
      </w:pPr>
      <w:r w:rsidRPr="00D83463">
        <w:rPr>
          <w:b/>
        </w:rPr>
        <w:t xml:space="preserve">Postup účtování </w:t>
      </w:r>
      <w:r w:rsidR="00AA2707" w:rsidRPr="00D83463">
        <w:rPr>
          <w:b/>
        </w:rPr>
        <w:t>na</w:t>
      </w:r>
      <w:r w:rsidRPr="00D83463">
        <w:rPr>
          <w:b/>
        </w:rPr>
        <w:t> účtu 407 – Jiné oceňovací rozdíly</w:t>
      </w:r>
    </w:p>
    <w:p w14:paraId="16B90252" w14:textId="77777777" w:rsidR="00F14F8A" w:rsidRPr="00D83463" w:rsidRDefault="00F14F8A" w:rsidP="0049631F">
      <w:pPr>
        <w:jc w:val="both"/>
      </w:pPr>
    </w:p>
    <w:p w14:paraId="529AAEF2" w14:textId="24C5F338" w:rsidR="00935B18" w:rsidRPr="00D83463" w:rsidRDefault="008A6AA8" w:rsidP="00925C33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případě, </w:t>
      </w:r>
      <w:r w:rsidR="00254F98" w:rsidRPr="00D83463">
        <w:t>že rozdíl z přecenění majetku na reálnou hodnotu</w:t>
      </w:r>
      <w:r w:rsidRPr="00D83463">
        <w:t xml:space="preserve"> </w:t>
      </w:r>
      <w:r w:rsidR="00254F98" w:rsidRPr="00D83463">
        <w:t xml:space="preserve">je </w:t>
      </w:r>
      <w:r w:rsidRPr="00D83463">
        <w:t xml:space="preserve">kladný, </w:t>
      </w:r>
      <w:r w:rsidR="00935B18" w:rsidRPr="00D83463">
        <w:t>účtuje účetní jednotka o zrušení případných opráve</w:t>
      </w:r>
      <w:r w:rsidRPr="00D83463">
        <w:t>k k tomuto majetku na stranu MÁ </w:t>
      </w:r>
      <w:r w:rsidR="00935B18" w:rsidRPr="00D83463">
        <w:t xml:space="preserve">DÁTI příslušného syntetického účtu </w:t>
      </w:r>
      <w:r w:rsidR="00E1598C" w:rsidRPr="00D83463">
        <w:t xml:space="preserve">účtových skupin 07 nebo 08 </w:t>
      </w:r>
      <w:r w:rsidR="00935B18" w:rsidRPr="00D83463">
        <w:t xml:space="preserve">a zároveň o zrušení případné opravné položky k tomuto </w:t>
      </w:r>
      <w:r w:rsidR="0034385D" w:rsidRPr="00D83463">
        <w:t>majetku na stranu MÁ </w:t>
      </w:r>
      <w:r w:rsidR="00935B18" w:rsidRPr="00D83463">
        <w:t xml:space="preserve">DÁTI příslušného syntetického účtu </w:t>
      </w:r>
      <w:r w:rsidR="00E1598C" w:rsidRPr="00D83463">
        <w:t>účtov</w:t>
      </w:r>
      <w:r w:rsidR="0073223F" w:rsidRPr="00D83463">
        <w:t>é</w:t>
      </w:r>
      <w:r w:rsidR="00E1598C" w:rsidRPr="00D83463">
        <w:t xml:space="preserve"> skupin</w:t>
      </w:r>
      <w:r w:rsidR="0073223F" w:rsidRPr="00D83463">
        <w:t>y</w:t>
      </w:r>
      <w:r w:rsidR="00E1598C" w:rsidRPr="00D83463">
        <w:t xml:space="preserve"> 1</w:t>
      </w:r>
      <w:r w:rsidR="0073223F" w:rsidRPr="00D83463">
        <w:t>5</w:t>
      </w:r>
      <w:r w:rsidR="00E1598C" w:rsidRPr="00D83463">
        <w:t xml:space="preserve"> </w:t>
      </w:r>
      <w:r w:rsidR="0073223F" w:rsidRPr="00D83463">
        <w:t>nebo 16</w:t>
      </w:r>
      <w:r w:rsidR="00096420" w:rsidRPr="00D83463">
        <w:t xml:space="preserve">, a to se souvztažným zápisem na stranu DAL účtu 407 – Jiné oceňovací rozdíly </w:t>
      </w:r>
      <w:r w:rsidR="00D66019" w:rsidRPr="00D83463">
        <w:t xml:space="preserve">ve výši </w:t>
      </w:r>
      <w:r w:rsidRPr="00D83463">
        <w:t xml:space="preserve">tohoto </w:t>
      </w:r>
      <w:r w:rsidR="00096420" w:rsidRPr="00D83463">
        <w:t xml:space="preserve">rozdílu </w:t>
      </w:r>
      <w:r w:rsidR="00254F98" w:rsidRPr="00D83463">
        <w:t xml:space="preserve">z přecenění majetku na </w:t>
      </w:r>
      <w:r w:rsidR="00254F98" w:rsidRPr="009615DF">
        <w:t xml:space="preserve">reálnou hodnotu </w:t>
      </w:r>
      <w:r w:rsidR="00096420" w:rsidRPr="009615DF">
        <w:t>a zároveň na příslušnou stranu příslušného syntetického účtu</w:t>
      </w:r>
      <w:r w:rsidR="00D66019" w:rsidRPr="009615DF">
        <w:t xml:space="preserve"> </w:t>
      </w:r>
      <w:r w:rsidR="00791394" w:rsidRPr="009615DF">
        <w:t xml:space="preserve">účtové </w:t>
      </w:r>
      <w:r w:rsidR="000B1FA2" w:rsidRPr="009615DF">
        <w:t>skupiny 01, 02</w:t>
      </w:r>
      <w:r w:rsidR="00B51074" w:rsidRPr="009615DF">
        <w:t>, 04</w:t>
      </w:r>
      <w:r w:rsidR="000E5C2F" w:rsidRPr="009615DF">
        <w:t>,</w:t>
      </w:r>
      <w:r w:rsidR="000B1FA2" w:rsidRPr="009615DF">
        <w:t xml:space="preserve"> účtu 031 </w:t>
      </w:r>
      <w:r w:rsidR="000E5C2F" w:rsidRPr="009615DF">
        <w:t>–</w:t>
      </w:r>
      <w:r w:rsidR="000B1FA2" w:rsidRPr="009615DF">
        <w:t xml:space="preserve"> Pozemky</w:t>
      </w:r>
      <w:r w:rsidR="000E5C2F" w:rsidRPr="009615DF">
        <w:t xml:space="preserve"> nebo účtu 032 – Kulturní předměty</w:t>
      </w:r>
      <w:r w:rsidR="000B1FA2" w:rsidRPr="009615DF">
        <w:t xml:space="preserve"> </w:t>
      </w:r>
      <w:r w:rsidR="00096420" w:rsidRPr="009615DF">
        <w:t xml:space="preserve">o </w:t>
      </w:r>
      <w:r w:rsidR="0034385D" w:rsidRPr="009615DF">
        <w:t xml:space="preserve">zvýšení nebo </w:t>
      </w:r>
      <w:r w:rsidR="00096420" w:rsidRPr="009615DF">
        <w:t>snížení ocenění</w:t>
      </w:r>
      <w:r w:rsidR="00791394" w:rsidRPr="00D83463">
        <w:t xml:space="preserve"> </w:t>
      </w:r>
      <w:r w:rsidRPr="00D83463">
        <w:t xml:space="preserve">tohoto </w:t>
      </w:r>
      <w:r w:rsidR="00791394" w:rsidRPr="00D83463">
        <w:t>majetku</w:t>
      </w:r>
      <w:r w:rsidR="00096420" w:rsidRPr="00D83463">
        <w:t>.</w:t>
      </w:r>
    </w:p>
    <w:p w14:paraId="13366BBC" w14:textId="77777777" w:rsidR="0034385D" w:rsidRPr="00D83463" w:rsidRDefault="0034385D" w:rsidP="0049631F">
      <w:pPr>
        <w:jc w:val="both"/>
      </w:pPr>
    </w:p>
    <w:p w14:paraId="29CFBB67" w14:textId="5910626A" w:rsidR="00096420" w:rsidRDefault="008A6AA8" w:rsidP="00925C33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případě, </w:t>
      </w:r>
      <w:r w:rsidR="00336E86" w:rsidRPr="00D83463">
        <w:t>že rozdíl z přecenění majetku na reálnou hodnotu</w:t>
      </w:r>
      <w:r w:rsidRPr="00D83463">
        <w:t xml:space="preserve"> je záporný, </w:t>
      </w:r>
      <w:r w:rsidR="00096420" w:rsidRPr="00D83463">
        <w:t>účtuje účetní jednotka o zrušení případných opráve</w:t>
      </w:r>
      <w:r w:rsidR="00BD2005" w:rsidRPr="00D83463">
        <w:t>k k tomuto majetku na stranu MÁ </w:t>
      </w:r>
      <w:r w:rsidR="00096420" w:rsidRPr="00D83463">
        <w:t xml:space="preserve">DÁTI příslušného syntetického účtu </w:t>
      </w:r>
      <w:r w:rsidR="00E1598C" w:rsidRPr="00D83463">
        <w:t>účtových skupin 07 nebo 08</w:t>
      </w:r>
      <w:r w:rsidR="00096420" w:rsidRPr="00D83463">
        <w:t xml:space="preserve">, </w:t>
      </w:r>
      <w:r w:rsidR="00336E86" w:rsidRPr="00D83463">
        <w:t xml:space="preserve">současně účtuje účetní jednotka </w:t>
      </w:r>
      <w:r w:rsidR="00096420" w:rsidRPr="00D83463">
        <w:t xml:space="preserve">o zrušení případné opravné položky k tomuto </w:t>
      </w:r>
      <w:r w:rsidR="0034385D" w:rsidRPr="00D83463">
        <w:t>majetku na stranu MÁ </w:t>
      </w:r>
      <w:r w:rsidR="00096420" w:rsidRPr="00D83463">
        <w:t xml:space="preserve">DÁTI příslušného syntetického účtu </w:t>
      </w:r>
      <w:r w:rsidR="0073223F" w:rsidRPr="00D83463">
        <w:t>účtové skupiny 15 nebo 16</w:t>
      </w:r>
      <w:r w:rsidR="00096420" w:rsidRPr="00D83463">
        <w:t xml:space="preserve"> a zároveň </w:t>
      </w:r>
      <w:r w:rsidR="00D66019" w:rsidRPr="00D83463">
        <w:t xml:space="preserve">ve výši </w:t>
      </w:r>
      <w:r w:rsidR="00336E86" w:rsidRPr="00D83463">
        <w:t xml:space="preserve">tohoto rozdílu z přecenění majetku na reálnou hodnotu </w:t>
      </w:r>
      <w:r w:rsidR="00096420" w:rsidRPr="00D83463">
        <w:t>na stranu MÁ DÁTI účtu 407 – Jiné oceňovací rozdíly, a to se souvztažným zápisem na stranu</w:t>
      </w:r>
      <w:r w:rsidR="0034385D" w:rsidRPr="00D83463">
        <w:t xml:space="preserve"> DAL</w:t>
      </w:r>
      <w:r w:rsidR="00096420" w:rsidRPr="00D83463">
        <w:t xml:space="preserve"> příslušného syntetického účtu </w:t>
      </w:r>
      <w:r w:rsidR="00791394" w:rsidRPr="00D83463">
        <w:t xml:space="preserve">účtové </w:t>
      </w:r>
      <w:r w:rsidR="000B1FA2" w:rsidRPr="009615DF">
        <w:t>skupiny 01, 02</w:t>
      </w:r>
      <w:r w:rsidR="00B51074" w:rsidRPr="009615DF">
        <w:t>, 04</w:t>
      </w:r>
      <w:r w:rsidR="000E5C2F" w:rsidRPr="009615DF">
        <w:t>,</w:t>
      </w:r>
      <w:r w:rsidR="000B1FA2" w:rsidRPr="009615DF">
        <w:t xml:space="preserve"> účtu 031 – Pozemky</w:t>
      </w:r>
      <w:r w:rsidR="000E5C2F" w:rsidRPr="009615DF">
        <w:t xml:space="preserve"> nebo účtu 032 – Kulturní předměty</w:t>
      </w:r>
      <w:r w:rsidR="000B1FA2" w:rsidRPr="009615DF">
        <w:t xml:space="preserve"> </w:t>
      </w:r>
      <w:r w:rsidR="00096420" w:rsidRPr="009615DF">
        <w:t>o snížení ocenění</w:t>
      </w:r>
      <w:r w:rsidR="00791394" w:rsidRPr="009615DF">
        <w:t xml:space="preserve"> </w:t>
      </w:r>
      <w:r w:rsidR="00BD2005" w:rsidRPr="009615DF">
        <w:t>tohoto</w:t>
      </w:r>
      <w:r w:rsidR="00BD2005" w:rsidRPr="00D83463">
        <w:t xml:space="preserve"> </w:t>
      </w:r>
      <w:r w:rsidR="00791394" w:rsidRPr="00D83463">
        <w:t>majetku</w:t>
      </w:r>
      <w:r w:rsidR="00096420" w:rsidRPr="00D83463">
        <w:t>.</w:t>
      </w:r>
    </w:p>
    <w:p w14:paraId="2155296C" w14:textId="77777777" w:rsidR="00C3142C" w:rsidRDefault="00C3142C" w:rsidP="00C3142C">
      <w:pPr>
        <w:jc w:val="both"/>
      </w:pPr>
    </w:p>
    <w:p w14:paraId="5B22E741" w14:textId="3E595154" w:rsidR="00C3142C" w:rsidRPr="009615DF" w:rsidRDefault="00C3142C" w:rsidP="00C3142C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9615DF">
        <w:t>K okamžiku přecenění majetku na reálnou hodnotu podle § 64 vyhlášky účetní jednotka účtuje</w:t>
      </w:r>
      <w:r w:rsidR="00F74F9E" w:rsidRPr="009615DF">
        <w:t xml:space="preserve"> ve výši ocenění tohoto majetku</w:t>
      </w:r>
      <w:r w:rsidR="006651F4" w:rsidRPr="009615DF">
        <w:t xml:space="preserve"> </w:t>
      </w:r>
      <w:r w:rsidRPr="009615DF">
        <w:t>na stranu MÁ DÁTI účtu 035 – Dlouhodobý nehmotný majetek určený k prodeji nebo 036 – Dlouhodobý hmotný majetek určený k prodeji se souvztažným zápisem na stranu DAL příslušného syntetického účtu účtové skupiny 01, 02, 04</w:t>
      </w:r>
      <w:r w:rsidR="000E5C2F" w:rsidRPr="009615DF">
        <w:t>,</w:t>
      </w:r>
      <w:r w:rsidRPr="009615DF">
        <w:t xml:space="preserve"> účtu 031 – Pozemky</w:t>
      </w:r>
      <w:r w:rsidR="000E5C2F" w:rsidRPr="009615DF">
        <w:t xml:space="preserve"> nebo účtu 032 – Kulturní předměty</w:t>
      </w:r>
      <w:r w:rsidRPr="009615DF">
        <w:t xml:space="preserve">. </w:t>
      </w:r>
    </w:p>
    <w:p w14:paraId="650E8C57" w14:textId="77777777" w:rsidR="00C76748" w:rsidRPr="00D83463" w:rsidRDefault="00C76748" w:rsidP="0049631F">
      <w:pPr>
        <w:jc w:val="both"/>
      </w:pPr>
    </w:p>
    <w:p w14:paraId="7A2ADCBD" w14:textId="15C67F68" w:rsidR="00F14F8A" w:rsidRPr="009615DF" w:rsidRDefault="00F14F8A" w:rsidP="00925C33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 případě </w:t>
      </w:r>
      <w:r w:rsidR="000E3EE1" w:rsidRPr="00D83463">
        <w:t xml:space="preserve">významného </w:t>
      </w:r>
      <w:r w:rsidRPr="00D83463">
        <w:t>zvýšení reálné hodnoty majetku určeného k prodeji podle § 64 vyhlášky k </w:t>
      </w:r>
      <w:r w:rsidRPr="009615DF">
        <w:t>okamžiku, který následuje po okamžiku podle § 64 odst. 2 vyhlášky</w:t>
      </w:r>
      <w:r w:rsidR="007637FC" w:rsidRPr="009615DF">
        <w:t>,</w:t>
      </w:r>
      <w:r w:rsidRPr="009615DF">
        <w:t xml:space="preserve"> účtuje účetní jednotka o tomto zvýšení na stranu MÁ DÁTI </w:t>
      </w:r>
      <w:r w:rsidR="000B1FA2" w:rsidRPr="009615DF">
        <w:t>účtu 035 – Dlouhodobý nehmotný majetek určený k prodeji nebo 036 – Dlouhodobý hmotný majetek určený k prodeji</w:t>
      </w:r>
      <w:r w:rsidR="00791394" w:rsidRPr="009615DF">
        <w:t xml:space="preserve"> </w:t>
      </w:r>
      <w:r w:rsidRPr="009615DF">
        <w:t>se souvztažným zápisem na stranu DAL účtu 407 – Jiné oceňovací rozdíly, a to k okamžiku zjištění této skutečnosti.</w:t>
      </w:r>
    </w:p>
    <w:p w14:paraId="59633785" w14:textId="77777777" w:rsidR="00F14F8A" w:rsidRPr="009615DF" w:rsidRDefault="00F14F8A" w:rsidP="00F14F8A">
      <w:pPr>
        <w:jc w:val="both"/>
      </w:pPr>
    </w:p>
    <w:p w14:paraId="4E55C2B5" w14:textId="0E98FD17" w:rsidR="00F14F8A" w:rsidRPr="009615DF" w:rsidRDefault="00F14F8A" w:rsidP="00925C33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9615DF">
        <w:t xml:space="preserve">V případě </w:t>
      </w:r>
      <w:r w:rsidR="000E3EE1" w:rsidRPr="009615DF">
        <w:t xml:space="preserve">významného </w:t>
      </w:r>
      <w:r w:rsidRPr="009615DF">
        <w:t>snížení reálné hodnoty majetku určeného k prodeji podle § 64 vyhlášky k okamžiku, který následuje po okamžiku podle § 64 odst. 2 vyhlášky</w:t>
      </w:r>
      <w:r w:rsidR="007637FC" w:rsidRPr="009615DF">
        <w:t>,</w:t>
      </w:r>
      <w:r w:rsidRPr="009615DF">
        <w:t xml:space="preserve"> účtuje účetní jednotka o tomto snížení na stranu MÁ DÁTI účtu 407 – Jiné oceňovací rozdíly se souvztažným zápisem na stranu DAL </w:t>
      </w:r>
      <w:r w:rsidR="000B1FA2" w:rsidRPr="009615DF">
        <w:t>účtu 035 – Dlouhodobý nehmotný majetek určený k prodeji nebo 036 – Dlouhodobý hmotný majetek určený k prodeji</w:t>
      </w:r>
      <w:r w:rsidRPr="009615DF">
        <w:t>, a to k okamžiku zjištění této skutečnosti.</w:t>
      </w:r>
    </w:p>
    <w:p w14:paraId="4B1B67FB" w14:textId="77777777" w:rsidR="00935B18" w:rsidRPr="00D83463" w:rsidRDefault="00935B18" w:rsidP="0049631F">
      <w:pPr>
        <w:jc w:val="both"/>
      </w:pPr>
    </w:p>
    <w:p w14:paraId="7570D3EF" w14:textId="1E320B63" w:rsidR="00F14F8A" w:rsidRPr="00D83463" w:rsidRDefault="00F14F8A" w:rsidP="00925C33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K okamžiku prodeje majetku oceněného reálnou hodnotou podle </w:t>
      </w:r>
      <w:r w:rsidR="000E3EE1" w:rsidRPr="00D83463">
        <w:t>§ 27 odst. 1 písm. h) zákona</w:t>
      </w:r>
      <w:r w:rsidRPr="00D83463">
        <w:t xml:space="preserve"> účtuje účetní jednotka o zrušení celého</w:t>
      </w:r>
      <w:r w:rsidR="000E3EE1" w:rsidRPr="00D83463">
        <w:t xml:space="preserve"> kladného</w:t>
      </w:r>
      <w:r w:rsidRPr="00D83463">
        <w:t xml:space="preserve"> </w:t>
      </w:r>
      <w:r w:rsidR="000E3EE1" w:rsidRPr="00D83463">
        <w:t xml:space="preserve">rozdílu z přecenění tohoto majetku na reálnou hodnotu </w:t>
      </w:r>
      <w:r w:rsidRPr="00D83463">
        <w:t>na stranu MÁ DÁTI účtu 407 – Jiné oceňovací rozdíly se souvztažným zápisem na stranu DAL účtu 664 – Výnosy z přecenění reálnou hodnotou.</w:t>
      </w:r>
    </w:p>
    <w:p w14:paraId="047F6A2B" w14:textId="77777777" w:rsidR="00F14F8A" w:rsidRPr="00D83463" w:rsidRDefault="00F14F8A" w:rsidP="00F14F8A">
      <w:pPr>
        <w:jc w:val="both"/>
      </w:pPr>
    </w:p>
    <w:p w14:paraId="2718AE4B" w14:textId="00EB9901" w:rsidR="00F14F8A" w:rsidRDefault="00F14F8A" w:rsidP="00925C33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K okamžiku prodeje majetku oceněného reálnou hodnotou podle </w:t>
      </w:r>
      <w:r w:rsidR="000E3EE1" w:rsidRPr="00D83463">
        <w:t>§ 27 odst. 1 písm. h) zákona</w:t>
      </w:r>
      <w:r w:rsidR="000E3EE1" w:rsidRPr="00D83463" w:rsidDel="000E3EE1">
        <w:t xml:space="preserve"> </w:t>
      </w:r>
      <w:r w:rsidRPr="00D83463">
        <w:t xml:space="preserve">účtuje účetní jednotka </w:t>
      </w:r>
      <w:r w:rsidR="007637FC" w:rsidRPr="00D83463">
        <w:t>o zrušení celého</w:t>
      </w:r>
      <w:r w:rsidR="000E3EE1" w:rsidRPr="00D83463">
        <w:t xml:space="preserve"> záporného</w:t>
      </w:r>
      <w:r w:rsidR="007637FC" w:rsidRPr="00D83463">
        <w:t xml:space="preserve"> </w:t>
      </w:r>
      <w:r w:rsidR="000E3EE1" w:rsidRPr="00D83463">
        <w:t>rozdílu z přecenění tohoto majetku na reálnou hodnotu</w:t>
      </w:r>
      <w:r w:rsidR="000E3EE1" w:rsidRPr="00D83463" w:rsidDel="000E3EE1">
        <w:t xml:space="preserve"> </w:t>
      </w:r>
      <w:r w:rsidRPr="00D83463">
        <w:t>na stranu MÁ DÁTI účtu 564 – Náklady z přecenění reálnou hodnotou se souvztažným zápisem na stranu DAL účtu 407 – Jiné oceňovací rozdíly.</w:t>
      </w:r>
    </w:p>
    <w:p w14:paraId="78E32F56" w14:textId="77777777" w:rsidR="001B5D24" w:rsidRPr="00D83463" w:rsidRDefault="001B5D24" w:rsidP="001B5D24">
      <w:pPr>
        <w:jc w:val="both"/>
      </w:pPr>
    </w:p>
    <w:p w14:paraId="3E9BEA02" w14:textId="0D7B6285" w:rsidR="00CE3F0C" w:rsidRPr="009615DF" w:rsidRDefault="001B5D24" w:rsidP="001B5D24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9615DF">
        <w:t>Pokud u majetku oceněného podle § 27 odst. 1 písm. h) zákona nastane skutečnost, která má za následek zánik povinnosti tohoto ocenění reálnou hodnotou, účetní jednotka účtuje</w:t>
      </w:r>
      <w:r w:rsidR="00F74F9E" w:rsidRPr="009615DF">
        <w:t xml:space="preserve"> ve výši ocenění tohoto majetku</w:t>
      </w:r>
      <w:r w:rsidR="006651F4" w:rsidRPr="009615DF">
        <w:t xml:space="preserve"> </w:t>
      </w:r>
      <w:r w:rsidRPr="009615DF">
        <w:t>na stranu MÁ DÁTI příslušného syntetického účtu účtové skupiny 01, 02, 04</w:t>
      </w:r>
      <w:r w:rsidR="000E5C2F" w:rsidRPr="009615DF">
        <w:t>,</w:t>
      </w:r>
      <w:r w:rsidRPr="009615DF">
        <w:t xml:space="preserve"> účtu 031 – Pozemky</w:t>
      </w:r>
      <w:r w:rsidR="000E5C2F" w:rsidRPr="009615DF">
        <w:t xml:space="preserve"> nebo účtu 032 – Kulturní předměty</w:t>
      </w:r>
      <w:r w:rsidRPr="009615DF">
        <w:t xml:space="preserve"> se souvztažným zápisem na stranu DAL účtu 035 – Dlouhodobý nehmotný majetek určený k prodeji nebo 036 – Dlouhodobý hmotný majetek určený k prodeji.</w:t>
      </w:r>
    </w:p>
    <w:p w14:paraId="7E6D1AA0" w14:textId="77777777" w:rsidR="001B5D24" w:rsidRPr="001B5D24" w:rsidRDefault="001B5D24" w:rsidP="001B5D24">
      <w:pPr>
        <w:jc w:val="both"/>
        <w:rPr>
          <w:strike/>
        </w:rPr>
      </w:pPr>
    </w:p>
    <w:p w14:paraId="3AA36C67" w14:textId="26968470" w:rsidR="00C771E7" w:rsidRPr="009615DF" w:rsidRDefault="00BF7D75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Pokud u majetku oceněného podle § 27 odst. 1 písm. h) zákona nastane skutečnost, která má za následek zánik povinnosti tohoto ocenění reálnou hodnotou, účetní jednotka </w:t>
      </w:r>
      <w:r w:rsidR="00F10555" w:rsidRPr="00D83463">
        <w:t xml:space="preserve">účtuje ve výši </w:t>
      </w:r>
      <w:r w:rsidR="00782FAB" w:rsidRPr="00D83463">
        <w:t xml:space="preserve">případných </w:t>
      </w:r>
      <w:r w:rsidRPr="00D83463">
        <w:t xml:space="preserve">zrušených </w:t>
      </w:r>
      <w:r w:rsidR="00F10555" w:rsidRPr="00D83463">
        <w:t xml:space="preserve">oprávek </w:t>
      </w:r>
      <w:r w:rsidR="00782FAB" w:rsidRPr="00D83463">
        <w:t>k </w:t>
      </w:r>
      <w:r w:rsidRPr="00D83463">
        <w:t xml:space="preserve">tomuto </w:t>
      </w:r>
      <w:r w:rsidR="00782FAB" w:rsidRPr="00D83463">
        <w:t xml:space="preserve">majetku </w:t>
      </w:r>
      <w:r w:rsidR="00474AA7" w:rsidRPr="00D83463">
        <w:t>po</w:t>
      </w:r>
      <w:r w:rsidR="007637FC" w:rsidRPr="00D83463">
        <w:t>dle bod</w:t>
      </w:r>
      <w:r w:rsidRPr="00D83463">
        <w:t>ů</w:t>
      </w:r>
      <w:r w:rsidR="00474AA7" w:rsidRPr="00D83463">
        <w:t xml:space="preserve"> </w:t>
      </w:r>
      <w:r w:rsidR="00813EDD" w:rsidRPr="00D83463">
        <w:t>4</w:t>
      </w:r>
      <w:r w:rsidR="00474AA7" w:rsidRPr="00D83463">
        <w:t>.</w:t>
      </w:r>
      <w:r w:rsidRPr="00D83463">
        <w:t>3</w:t>
      </w:r>
      <w:r w:rsidR="00F10555" w:rsidRPr="00D83463">
        <w:t>.</w:t>
      </w:r>
      <w:r w:rsidR="00F14F8A" w:rsidRPr="00D83463">
        <w:t>1</w:t>
      </w:r>
      <w:r w:rsidR="00F10555" w:rsidRPr="00D83463">
        <w:t>.</w:t>
      </w:r>
      <w:r w:rsidRPr="00D83463">
        <w:t xml:space="preserve"> nebo 4.3.2.</w:t>
      </w:r>
      <w:r w:rsidR="00F10555" w:rsidRPr="00D83463">
        <w:t xml:space="preserve"> na stranu DAL příslušného syntetického účtu </w:t>
      </w:r>
      <w:r w:rsidR="00E1598C" w:rsidRPr="00D83463">
        <w:t>účtových skupin 07 nebo 08</w:t>
      </w:r>
      <w:r w:rsidR="00782FAB" w:rsidRPr="00D83463">
        <w:t xml:space="preserve"> a ve výši </w:t>
      </w:r>
      <w:r w:rsidR="00782FAB" w:rsidRPr="009615DF">
        <w:t xml:space="preserve">případných </w:t>
      </w:r>
      <w:r w:rsidRPr="009615DF">
        <w:t xml:space="preserve">zrušených </w:t>
      </w:r>
      <w:r w:rsidR="00782FAB" w:rsidRPr="009615DF">
        <w:t>opravných položek k </w:t>
      </w:r>
      <w:r w:rsidRPr="009615DF">
        <w:t xml:space="preserve">tomuto </w:t>
      </w:r>
      <w:r w:rsidR="007637FC" w:rsidRPr="009615DF">
        <w:t>majetku podle bod</w:t>
      </w:r>
      <w:r w:rsidRPr="009615DF">
        <w:t>ů 4.3.1. nebo 4.3.2.</w:t>
      </w:r>
      <w:r w:rsidR="00782FAB" w:rsidRPr="009615DF">
        <w:t xml:space="preserve"> na stranu DAL příslušného syntetického účtu </w:t>
      </w:r>
      <w:r w:rsidR="0073223F" w:rsidRPr="009615DF">
        <w:t>účtové skupiny 15 nebo 16</w:t>
      </w:r>
      <w:r w:rsidR="00782FAB" w:rsidRPr="009615DF">
        <w:t xml:space="preserve">, a to se souvztažným zápisem na stranu MÁ DÁTI účtu 407 – Jiné oceňovací rozdíly ve výši </w:t>
      </w:r>
      <w:r w:rsidR="009926AD" w:rsidRPr="009615DF">
        <w:t>kladného rozdílu z přecenění tohoto majetku na reálnou hodnotu</w:t>
      </w:r>
      <w:r w:rsidR="00A56139" w:rsidRPr="009615DF">
        <w:t xml:space="preserve"> podle bodu </w:t>
      </w:r>
      <w:r w:rsidR="002E2B75" w:rsidRPr="009615DF">
        <w:t>4</w:t>
      </w:r>
      <w:r w:rsidR="00A56139" w:rsidRPr="009615DF">
        <w:t>.</w:t>
      </w:r>
      <w:r w:rsidR="009926AD" w:rsidRPr="009615DF">
        <w:t>3</w:t>
      </w:r>
      <w:r w:rsidR="00A56139" w:rsidRPr="009615DF">
        <w:t>.1.</w:t>
      </w:r>
      <w:r w:rsidR="00782FAB" w:rsidRPr="009615DF">
        <w:t xml:space="preserve"> a na příslušnou stranu příslušného syntetického účtu </w:t>
      </w:r>
      <w:r w:rsidR="009926AD" w:rsidRPr="009615DF">
        <w:t xml:space="preserve">účtové </w:t>
      </w:r>
      <w:r w:rsidR="000B1FA2" w:rsidRPr="009615DF">
        <w:t>skupiny 01, 02</w:t>
      </w:r>
      <w:r w:rsidR="00B51074" w:rsidRPr="009615DF">
        <w:t>, 04</w:t>
      </w:r>
      <w:r w:rsidR="000E5C2F" w:rsidRPr="009615DF">
        <w:t>,</w:t>
      </w:r>
      <w:r w:rsidR="000B1FA2" w:rsidRPr="009615DF">
        <w:t xml:space="preserve"> účtu 031 </w:t>
      </w:r>
      <w:r w:rsidR="000E5C2F" w:rsidRPr="009615DF">
        <w:t>–</w:t>
      </w:r>
      <w:r w:rsidR="000B1FA2" w:rsidRPr="009615DF">
        <w:t xml:space="preserve"> Pozemky</w:t>
      </w:r>
      <w:r w:rsidR="000E5C2F" w:rsidRPr="009615DF">
        <w:t xml:space="preserve"> nebo účtu 032 – Kulturní předměty</w:t>
      </w:r>
      <w:r w:rsidR="000B1FA2" w:rsidRPr="009615DF">
        <w:t xml:space="preserve"> </w:t>
      </w:r>
      <w:r w:rsidR="00782FAB" w:rsidRPr="009615DF">
        <w:t>o snížení nebo zvýšení jeho ocenění.</w:t>
      </w:r>
    </w:p>
    <w:p w14:paraId="2A82840F" w14:textId="77777777" w:rsidR="00782FAB" w:rsidRPr="009615DF" w:rsidRDefault="00782FAB" w:rsidP="0034385D">
      <w:pPr>
        <w:jc w:val="both"/>
      </w:pPr>
    </w:p>
    <w:p w14:paraId="6C1108B7" w14:textId="3DB5E2B7" w:rsidR="00C771E7" w:rsidRPr="009615DF" w:rsidRDefault="009926AD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9615DF">
        <w:t>Pokud u majetku oceněného podle § 27 odst. 1 písm. h) zákona nastane skutečnost, která má za následek zánik povinnosti tohoto ocenění reálnou hodnotou</w:t>
      </w:r>
      <w:r w:rsidR="00782FAB" w:rsidRPr="009615DF">
        <w:t xml:space="preserve">, účetní jednotka </w:t>
      </w:r>
      <w:r w:rsidRPr="009615DF">
        <w:t xml:space="preserve">účtuje </w:t>
      </w:r>
      <w:r w:rsidR="00782FAB" w:rsidRPr="009615DF">
        <w:t xml:space="preserve">ve výši případných </w:t>
      </w:r>
      <w:r w:rsidRPr="009615DF">
        <w:t xml:space="preserve">zrušených </w:t>
      </w:r>
      <w:r w:rsidR="00782FAB" w:rsidRPr="009615DF">
        <w:t>oprávek k </w:t>
      </w:r>
      <w:r w:rsidRPr="009615DF">
        <w:t xml:space="preserve">tomuto </w:t>
      </w:r>
      <w:r w:rsidR="00782FAB" w:rsidRPr="009615DF">
        <w:t>majetk</w:t>
      </w:r>
      <w:r w:rsidR="00E60557" w:rsidRPr="009615DF">
        <w:t>u podle bod</w:t>
      </w:r>
      <w:r w:rsidRPr="009615DF">
        <w:t>ů</w:t>
      </w:r>
      <w:r w:rsidR="00474AA7" w:rsidRPr="009615DF">
        <w:t xml:space="preserve"> </w:t>
      </w:r>
      <w:r w:rsidRPr="009615DF">
        <w:t>4.3.1. nebo 4.3.2</w:t>
      </w:r>
      <w:r w:rsidR="00782FAB" w:rsidRPr="009615DF">
        <w:t xml:space="preserve">. na stranu DAL příslušného syntetického </w:t>
      </w:r>
      <w:r w:rsidR="00A56139" w:rsidRPr="009615DF">
        <w:t xml:space="preserve">účtu </w:t>
      </w:r>
      <w:r w:rsidR="00E1598C" w:rsidRPr="009615DF">
        <w:t>účtových skupin 07 nebo 08</w:t>
      </w:r>
      <w:r w:rsidR="00A56139" w:rsidRPr="009615DF">
        <w:t>,</w:t>
      </w:r>
      <w:r w:rsidR="00782FAB" w:rsidRPr="009615DF">
        <w:t xml:space="preserve"> ve výši případných </w:t>
      </w:r>
      <w:r w:rsidRPr="009615DF">
        <w:t xml:space="preserve">zrušených </w:t>
      </w:r>
      <w:r w:rsidR="00782FAB" w:rsidRPr="009615DF">
        <w:t>opravných položek k </w:t>
      </w:r>
      <w:r w:rsidRPr="009615DF">
        <w:t xml:space="preserve">tomuto </w:t>
      </w:r>
      <w:r w:rsidR="00782FAB" w:rsidRPr="009615DF">
        <w:t>majetk</w:t>
      </w:r>
      <w:r w:rsidR="00F14F8A" w:rsidRPr="009615DF">
        <w:t xml:space="preserve">u </w:t>
      </w:r>
      <w:r w:rsidR="00E60557" w:rsidRPr="009615DF">
        <w:t>podle bod</w:t>
      </w:r>
      <w:r w:rsidRPr="009615DF">
        <w:t>ů 4.3.1. nebo</w:t>
      </w:r>
      <w:r w:rsidR="00474AA7" w:rsidRPr="009615DF">
        <w:t xml:space="preserve"> </w:t>
      </w:r>
      <w:r w:rsidR="00813EDD" w:rsidRPr="009615DF">
        <w:t>4</w:t>
      </w:r>
      <w:r w:rsidR="00474AA7" w:rsidRPr="009615DF">
        <w:t>.</w:t>
      </w:r>
      <w:r w:rsidRPr="009615DF">
        <w:t>3</w:t>
      </w:r>
      <w:r w:rsidR="00F14F8A" w:rsidRPr="009615DF">
        <w:t>.2</w:t>
      </w:r>
      <w:r w:rsidR="00782FAB" w:rsidRPr="009615DF">
        <w:t xml:space="preserve">. na stranu DAL příslušného syntetického účtu </w:t>
      </w:r>
      <w:r w:rsidR="0073223F" w:rsidRPr="009615DF">
        <w:t>účtové skupiny 15 nebo 16</w:t>
      </w:r>
      <w:r w:rsidR="00A56139" w:rsidRPr="009615DF">
        <w:t xml:space="preserve"> a </w:t>
      </w:r>
      <w:r w:rsidRPr="009615DF">
        <w:t xml:space="preserve">ve výši záporného rozdílu z přecenění tohoto majetku na reálnou hodnotu podle bodu 4.3.2. </w:t>
      </w:r>
      <w:r w:rsidR="00A56139" w:rsidRPr="009615DF">
        <w:t xml:space="preserve">na stranu DAL účtu 407 – Jiné oceňovací rozdíly, a to se souvztažným zápisem na stranu MÁ DÁTI příslušného syntetického účtu </w:t>
      </w:r>
      <w:r w:rsidRPr="009615DF">
        <w:t xml:space="preserve">účtové </w:t>
      </w:r>
      <w:r w:rsidR="000B1FA2" w:rsidRPr="009615DF">
        <w:t>skupiny 01, 02</w:t>
      </w:r>
      <w:r w:rsidR="00B51074" w:rsidRPr="009615DF">
        <w:t>, 04</w:t>
      </w:r>
      <w:r w:rsidR="000E5C2F" w:rsidRPr="009615DF">
        <w:t>,</w:t>
      </w:r>
      <w:r w:rsidR="000B1FA2" w:rsidRPr="009615DF">
        <w:t xml:space="preserve"> účtu 031 </w:t>
      </w:r>
      <w:r w:rsidR="000E5C2F" w:rsidRPr="009615DF">
        <w:t>–</w:t>
      </w:r>
      <w:r w:rsidR="000B1FA2" w:rsidRPr="009615DF">
        <w:t xml:space="preserve"> Pozemky</w:t>
      </w:r>
      <w:r w:rsidR="000E5C2F" w:rsidRPr="009615DF">
        <w:t xml:space="preserve"> nebo účtu 032 – Kulturní předměty</w:t>
      </w:r>
      <w:r w:rsidR="000B1FA2" w:rsidRPr="009615DF">
        <w:t xml:space="preserve"> </w:t>
      </w:r>
      <w:r w:rsidR="00A56139" w:rsidRPr="009615DF">
        <w:t>o zvýšení jeho ocenění.</w:t>
      </w:r>
    </w:p>
    <w:p w14:paraId="64884971" w14:textId="77777777" w:rsidR="00C771E7" w:rsidRPr="00D83463" w:rsidRDefault="00C771E7" w:rsidP="00A077B6">
      <w:pPr>
        <w:jc w:val="both"/>
      </w:pPr>
    </w:p>
    <w:p w14:paraId="5B7662B8" w14:textId="77777777" w:rsidR="00BC78B0" w:rsidRPr="00D83463" w:rsidRDefault="003F2C18" w:rsidP="00BC78B0">
      <w:pPr>
        <w:numPr>
          <w:ilvl w:val="1"/>
          <w:numId w:val="27"/>
        </w:numPr>
        <w:tabs>
          <w:tab w:val="clear" w:pos="792"/>
          <w:tab w:val="num" w:pos="540"/>
        </w:tabs>
        <w:ind w:left="0" w:firstLine="0"/>
        <w:jc w:val="both"/>
        <w:rPr>
          <w:b/>
        </w:rPr>
      </w:pPr>
      <w:r w:rsidRPr="00D83463">
        <w:rPr>
          <w:b/>
        </w:rPr>
        <w:t>Některé další</w:t>
      </w:r>
      <w:r w:rsidR="00BC78B0" w:rsidRPr="00D83463">
        <w:rPr>
          <w:b/>
        </w:rPr>
        <w:t xml:space="preserve"> postupy účtování</w:t>
      </w:r>
    </w:p>
    <w:p w14:paraId="67B6118C" w14:textId="77777777" w:rsidR="00C771E7" w:rsidRPr="00D83463" w:rsidRDefault="00C771E7" w:rsidP="00A077B6">
      <w:pPr>
        <w:jc w:val="both"/>
        <w:rPr>
          <w:b/>
        </w:rPr>
      </w:pPr>
    </w:p>
    <w:p w14:paraId="4ECC067E" w14:textId="77777777" w:rsidR="00C771E7" w:rsidRPr="00D83463" w:rsidRDefault="0083466A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V případě přírůstku pohledávky z titulu bezúplatného nabytí podle</w:t>
      </w:r>
      <w:r w:rsidR="00FF5F87" w:rsidRPr="00D83463">
        <w:t xml:space="preserve"> § 25 odst. 6 zákona</w:t>
      </w:r>
      <w:r w:rsidRPr="00D83463">
        <w:t xml:space="preserve"> účtuje účetní jednotka ve výši ocenění této pohledávky podle § 25 odst. 1 písm. g) zákona na stranu MÁ DÁTI příslušného syntetického účtu účtové třídy 3 nebo účtové skupiny 46</w:t>
      </w:r>
      <w:r w:rsidR="003B7EB0" w:rsidRPr="00D83463">
        <w:t xml:space="preserve"> </w:t>
      </w:r>
      <w:r w:rsidRPr="00D83463">
        <w:t xml:space="preserve">se souvztažným zápisem </w:t>
      </w:r>
      <w:r w:rsidR="00FF5F87" w:rsidRPr="00D83463">
        <w:t xml:space="preserve">ve výši rozdílu mezi oceněním této pohledávky podle § 25 odst. 1 písm. g) zákona a výší případné opravné položky k této pohledávce </w:t>
      </w:r>
      <w:r w:rsidRPr="00D83463">
        <w:t>na stranu DAL účtu 649 – Ostatní výnosy z</w:t>
      </w:r>
      <w:r w:rsidR="00FF5F87" w:rsidRPr="00D83463">
        <w:t> </w:t>
      </w:r>
      <w:r w:rsidRPr="00D83463">
        <w:t>činnosti</w:t>
      </w:r>
      <w:r w:rsidR="00FF5F87" w:rsidRPr="00D83463">
        <w:t xml:space="preserve"> a ve výši případné opravné položky k </w:t>
      </w:r>
      <w:r w:rsidRPr="00D83463">
        <w:t>této pohledávce na stranu DAL příslušného syntetického účtu účtové skupiny 14 nebo 19</w:t>
      </w:r>
      <w:r w:rsidR="003D367F" w:rsidRPr="00D83463">
        <w:t>.</w:t>
      </w:r>
    </w:p>
    <w:p w14:paraId="0421F96D" w14:textId="77777777" w:rsidR="00C771E7" w:rsidRPr="00D83463" w:rsidRDefault="00C771E7" w:rsidP="00A077B6">
      <w:pPr>
        <w:jc w:val="both"/>
        <w:rPr>
          <w:b/>
        </w:rPr>
      </w:pPr>
    </w:p>
    <w:p w14:paraId="266A826C" w14:textId="77777777" w:rsidR="00D86355" w:rsidRPr="00D83463" w:rsidRDefault="00D86355" w:rsidP="00C34559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V případě přírůstku pohledávky z titulu bezúplatného nabytí od subjektu, který není vybranou účetní jednotkou, účtuje účetní jednotka ve výši ocenění této pohledávky podle § 25 odst. 1 písm. g) zákona na stranu MÁ DÁTI příslušného syntetického účtu účtové třídy 3 nebo účtové skupiny 46 se souvztažným zápisem na stranu DAL účtu 649 – Ostatní výnosy z činnosti.</w:t>
      </w:r>
    </w:p>
    <w:p w14:paraId="5F1A2912" w14:textId="77777777" w:rsidR="00D86355" w:rsidRPr="00D83463" w:rsidRDefault="00D86355" w:rsidP="00A077B6">
      <w:pPr>
        <w:jc w:val="both"/>
        <w:rPr>
          <w:b/>
        </w:rPr>
      </w:pPr>
    </w:p>
    <w:p w14:paraId="09A68E74" w14:textId="77777777" w:rsidR="00C771E7" w:rsidRPr="00D83463" w:rsidRDefault="0083466A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 xml:space="preserve">V případě úbytku pohledávky z titulu bezúplatného pozbytí podle </w:t>
      </w:r>
      <w:r w:rsidR="00FF5F87" w:rsidRPr="00D83463">
        <w:t xml:space="preserve">§ 25 odst. 6 zákona </w:t>
      </w:r>
      <w:r w:rsidRPr="00D83463">
        <w:t xml:space="preserve">účtuje účetní jednotka </w:t>
      </w:r>
      <w:r w:rsidR="00083007" w:rsidRPr="00D83463">
        <w:t>ve výši rozdílu mezi oceněním této pohledávky podle § 25 odst. 1 písm. g) zákona</w:t>
      </w:r>
      <w:r w:rsidRPr="00D83463">
        <w:t xml:space="preserve"> </w:t>
      </w:r>
      <w:r w:rsidR="00083007" w:rsidRPr="00D83463">
        <w:t xml:space="preserve">a výší případné opravné položky k této </w:t>
      </w:r>
      <w:r w:rsidR="003B7EB0" w:rsidRPr="00D83463">
        <w:t xml:space="preserve">pohledávce </w:t>
      </w:r>
      <w:r w:rsidRPr="00D83463">
        <w:t>na stranu MÁ DÁTI účtu 549 – Ostatní náklady z činnosti a ve výši případné opravné položky k této pohledávce na stranu MÁ DÁTI příslušného syntetického účtu účtové skupiny 14 nebo 19, a</w:t>
      </w:r>
      <w:r w:rsidR="003B7EB0" w:rsidRPr="00D83463">
        <w:t xml:space="preserve"> to</w:t>
      </w:r>
      <w:r w:rsidR="00083007" w:rsidRPr="00D83463">
        <w:t xml:space="preserve"> </w:t>
      </w:r>
      <w:r w:rsidRPr="00D83463">
        <w:t xml:space="preserve">se souvztažným zápisem </w:t>
      </w:r>
      <w:r w:rsidR="00083007" w:rsidRPr="00D83463">
        <w:t xml:space="preserve">ve výši ocenění této pohledávky podle § 25 odst. 1 písm. g) zákona </w:t>
      </w:r>
      <w:r w:rsidRPr="00D83463">
        <w:t>na stranu DAL příslušného syntetického účtu účtové třídy 3 nebo účtové skupiny 46</w:t>
      </w:r>
      <w:r w:rsidR="00EC41C5" w:rsidRPr="00D83463">
        <w:t>; v tomto případě účetní jednotka nepoužije ustanovení bodu 3.10. Českého účetního standardu č. 706 – Opravné položky a vyřazení pohledávek</w:t>
      </w:r>
      <w:r w:rsidR="003D367F" w:rsidRPr="00D83463">
        <w:t>.</w:t>
      </w:r>
    </w:p>
    <w:p w14:paraId="55B3B5BB" w14:textId="77777777" w:rsidR="00C771E7" w:rsidRPr="00D83463" w:rsidRDefault="00C771E7" w:rsidP="00A077B6">
      <w:pPr>
        <w:pStyle w:val="Odstavecseseznamem"/>
      </w:pPr>
    </w:p>
    <w:p w14:paraId="6A4FAC9C" w14:textId="77777777" w:rsidR="00C771E7" w:rsidRPr="00D83463" w:rsidRDefault="003D367F" w:rsidP="00A077B6">
      <w:pPr>
        <w:numPr>
          <w:ilvl w:val="2"/>
          <w:numId w:val="27"/>
        </w:numPr>
        <w:tabs>
          <w:tab w:val="clear" w:pos="1440"/>
          <w:tab w:val="num" w:pos="720"/>
        </w:tabs>
        <w:ind w:left="0" w:firstLine="0"/>
        <w:jc w:val="both"/>
      </w:pPr>
      <w:r w:rsidRPr="00D83463">
        <w:t>V případě úbytku pohledávky z titulu bezúplatného pozbytí vůči subjektu, který není vybranou účetní jednotkou, účtuje účetní jednotka ve výši rozdílu mezi oceněním této pohledávky podle § 25 odst. 1 písm. g) zákona a výší případné opravné položky k této pohledávce na stranu MÁ DÁTI účtu 543 – Dary a ve výši případné opravné položky k této pohledávce na stranu MÁ DÁTI příslušného syntetického účtu účtové skupiny 14 nebo 19, a</w:t>
      </w:r>
      <w:r w:rsidR="0010600A" w:rsidRPr="00D83463">
        <w:t> </w:t>
      </w:r>
      <w:r w:rsidRPr="00D83463">
        <w:t>to se souvztažným zápisem ve výši ocenění této pohledávky podle § 25 odst. 1 písm. g) zákona na stranu DAL příslušného syntetického účtu účtové třídy 3 nebo účtové skupiny 46; v tomto případě účetní jednotka nepoužije ustanovení bodu 3.10. Českého účetního standardu č. 706 – Opravné položky a vyřazení pohledávek.</w:t>
      </w:r>
    </w:p>
    <w:p w14:paraId="0D9DC92C" w14:textId="77777777" w:rsidR="00C771E7" w:rsidRPr="00D83463" w:rsidRDefault="00C771E7" w:rsidP="00A077B6">
      <w:pPr>
        <w:jc w:val="both"/>
      </w:pPr>
    </w:p>
    <w:p w14:paraId="793B510E" w14:textId="77777777" w:rsidR="00C771E7" w:rsidRPr="00D83463" w:rsidRDefault="00C771E7" w:rsidP="00A077B6">
      <w:pPr>
        <w:jc w:val="both"/>
      </w:pPr>
    </w:p>
    <w:p w14:paraId="73A18F80" w14:textId="77777777" w:rsidR="00C771E7" w:rsidRPr="00F74F9E" w:rsidRDefault="0083466A" w:rsidP="00A077B6">
      <w:pPr>
        <w:numPr>
          <w:ilvl w:val="0"/>
          <w:numId w:val="27"/>
        </w:numPr>
        <w:rPr>
          <w:b/>
        </w:rPr>
      </w:pPr>
      <w:r w:rsidRPr="00F74F9E">
        <w:rPr>
          <w:b/>
        </w:rPr>
        <w:t>Přechodná ustanovení</w:t>
      </w:r>
    </w:p>
    <w:p w14:paraId="180B26CD" w14:textId="77777777" w:rsidR="00C771E7" w:rsidRPr="00F74F9E" w:rsidRDefault="00C771E7" w:rsidP="00A077B6">
      <w:pPr>
        <w:jc w:val="both"/>
      </w:pPr>
    </w:p>
    <w:p w14:paraId="7EDC3F57" w14:textId="77777777" w:rsidR="00C771E7" w:rsidRPr="00F74F9E" w:rsidRDefault="0083466A" w:rsidP="00A077B6">
      <w:pPr>
        <w:numPr>
          <w:ilvl w:val="1"/>
          <w:numId w:val="27"/>
        </w:numPr>
        <w:tabs>
          <w:tab w:val="clear" w:pos="792"/>
          <w:tab w:val="num" w:pos="540"/>
        </w:tabs>
        <w:ind w:left="0" w:firstLine="0"/>
        <w:jc w:val="both"/>
      </w:pPr>
      <w:r w:rsidRPr="00F74F9E">
        <w:t xml:space="preserve">Pokud účetní jednotka přede dnem účinnosti tohoto standardu neúčtovala o zrušení případných oprávek a opravných položek k majetku, který byl před účinností tohoto standardu oceněn reálnou hodnotou podle § 27 odst. 1 písm. h) zákona, postupem stanoveným v bodech 4.3.1., 4.3.2. </w:t>
      </w:r>
      <w:r w:rsidR="007E131F" w:rsidRPr="00F74F9E">
        <w:t>nebo 3.4.10</w:t>
      </w:r>
      <w:r w:rsidRPr="00F74F9E">
        <w:t>., účtuje ke dni účinnosti tohoto standardu</w:t>
      </w:r>
    </w:p>
    <w:p w14:paraId="6276E7A3" w14:textId="77777777" w:rsidR="00C771E7" w:rsidRPr="00F74F9E" w:rsidRDefault="00C771E7" w:rsidP="00A077B6">
      <w:pPr>
        <w:jc w:val="both"/>
      </w:pPr>
    </w:p>
    <w:p w14:paraId="06A13BF3" w14:textId="77777777" w:rsidR="00C771E7" w:rsidRPr="00F74F9E" w:rsidRDefault="0083466A" w:rsidP="00A077B6">
      <w:pPr>
        <w:widowControl w:val="0"/>
        <w:numPr>
          <w:ilvl w:val="0"/>
          <w:numId w:val="50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</w:pPr>
      <w:r w:rsidRPr="00F74F9E">
        <w:t>o zrušení případných oprávek k tomuto majetku na stranu MÁ DÁTI příslušného syntetického účtu účtové skupiny 07 nebo 08 se souvztažným zápisem na stranu DAL účtu 407 – Jiné oceňovací rozdíly a</w:t>
      </w:r>
    </w:p>
    <w:p w14:paraId="728583AF" w14:textId="77777777" w:rsidR="00C771E7" w:rsidRPr="00F74F9E" w:rsidRDefault="0083466A" w:rsidP="00A077B6">
      <w:pPr>
        <w:widowControl w:val="0"/>
        <w:numPr>
          <w:ilvl w:val="0"/>
          <w:numId w:val="50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</w:pPr>
      <w:r w:rsidRPr="00F74F9E">
        <w:t>o zrušení případných opravných položek k tomuto majetku na stranu MÁ DÁTI příslušného syntetického účtu účtové skupiny 15 nebo 16 se souvztažným zápisem na stranu DAL účtu 407 – Jiné oceňovací rozdíly.</w:t>
      </w:r>
    </w:p>
    <w:p w14:paraId="0719C970" w14:textId="77777777" w:rsidR="00C771E7" w:rsidRDefault="00C771E7" w:rsidP="00A077B6">
      <w:pPr>
        <w:jc w:val="both"/>
      </w:pPr>
    </w:p>
    <w:p w14:paraId="68C3BAB4" w14:textId="77777777" w:rsidR="00C771E7" w:rsidRDefault="00C771E7" w:rsidP="00A077B6">
      <w:pPr>
        <w:jc w:val="both"/>
      </w:pPr>
    </w:p>
    <w:sectPr w:rsidR="00C771E7" w:rsidSect="00D64702">
      <w:headerReference w:type="default" r:id="rId9"/>
      <w:footerReference w:type="even" r:id="rId10"/>
      <w:footerReference w:type="default" r:id="rId11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2E560" w14:textId="77777777" w:rsidR="001F30F1" w:rsidRDefault="001F30F1" w:rsidP="00402A6E">
      <w:pPr>
        <w:pStyle w:val="Zkladntext"/>
      </w:pPr>
      <w:r>
        <w:separator/>
      </w:r>
    </w:p>
  </w:endnote>
  <w:endnote w:type="continuationSeparator" w:id="0">
    <w:p w14:paraId="056AA87C" w14:textId="77777777" w:rsidR="001F30F1" w:rsidRDefault="001F30F1" w:rsidP="00402A6E">
      <w:pPr>
        <w:pStyle w:val="Zklad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EBF85" w14:textId="77777777" w:rsidR="00125010" w:rsidRDefault="00125010" w:rsidP="00402A6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65F942" w14:textId="77777777" w:rsidR="00125010" w:rsidRDefault="0012501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17C1A" w14:textId="77777777" w:rsidR="00125010" w:rsidRDefault="00125010" w:rsidP="00402A6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C1165">
      <w:rPr>
        <w:rStyle w:val="slostrnky"/>
        <w:noProof/>
      </w:rPr>
      <w:t>1</w:t>
    </w:r>
    <w:r>
      <w:rPr>
        <w:rStyle w:val="slostrnky"/>
      </w:rPr>
      <w:fldChar w:fldCharType="end"/>
    </w:r>
  </w:p>
  <w:p w14:paraId="2A52AC6A" w14:textId="77777777" w:rsidR="00125010" w:rsidRDefault="001250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868B3" w14:textId="77777777" w:rsidR="001F30F1" w:rsidRDefault="001F30F1" w:rsidP="00402A6E">
      <w:pPr>
        <w:pStyle w:val="Zkladntext"/>
      </w:pPr>
      <w:r>
        <w:separator/>
      </w:r>
    </w:p>
  </w:footnote>
  <w:footnote w:type="continuationSeparator" w:id="0">
    <w:p w14:paraId="3C486F33" w14:textId="77777777" w:rsidR="001F30F1" w:rsidRDefault="001F30F1" w:rsidP="00402A6E">
      <w:pPr>
        <w:pStyle w:val="Zkladntext"/>
      </w:pPr>
      <w:r>
        <w:continuationSeparator/>
      </w:r>
    </w:p>
  </w:footnote>
  <w:footnote w:id="1">
    <w:p w14:paraId="02F6287D" w14:textId="77777777" w:rsidR="00125010" w:rsidRDefault="00125010" w:rsidP="00265B6F">
      <w:pPr>
        <w:pStyle w:val="Textpoznpodarou"/>
      </w:pPr>
      <w:r>
        <w:rPr>
          <w:rStyle w:val="Znakapoznpodarou"/>
        </w:rPr>
        <w:footnoteRef/>
      </w:r>
      <w:r>
        <w:t xml:space="preserve"> Změna příslušnosti hospodařit s majetkem státu podle zákona č. 219/2000 Sb., o majetku České republiky a jejím vystupování v právních vztazích, ve znění pozdějších předpisů, svěření majetku do správy a bezúplatný převod od zřizovatele podle zákona č. 250/2000 Sb., o rozpočtových pravidlech územních rozpočtů, ve znění pozdějších předpisů.</w:t>
      </w:r>
    </w:p>
  </w:footnote>
  <w:footnote w:id="2">
    <w:p w14:paraId="387C0845" w14:textId="77777777" w:rsidR="00125010" w:rsidRDefault="00125010">
      <w:pPr>
        <w:pStyle w:val="Textpoznpodarou"/>
      </w:pPr>
      <w:r>
        <w:rPr>
          <w:rStyle w:val="Znakapoznpodarou"/>
        </w:rPr>
        <w:footnoteRef/>
      </w:r>
      <w:r>
        <w:t xml:space="preserve"> Zejména zákon č. 218/2000 Sb., rozpočtová pravidla, ve znění pozdějších předpisů.</w:t>
      </w:r>
    </w:p>
  </w:footnote>
  <w:footnote w:id="3">
    <w:p w14:paraId="09561624" w14:textId="77777777" w:rsidR="00125010" w:rsidRDefault="00125010" w:rsidP="00A077B6">
      <w:pPr>
        <w:jc w:val="both"/>
      </w:pPr>
      <w:r>
        <w:rPr>
          <w:rStyle w:val="Znakapoznpodarou"/>
        </w:rPr>
        <w:footnoteRef/>
      </w:r>
      <w:r>
        <w:t xml:space="preserve"> </w:t>
      </w:r>
      <w:r w:rsidRPr="00D2345C">
        <w:rPr>
          <w:sz w:val="20"/>
          <w:szCs w:val="20"/>
        </w:rPr>
        <w:t xml:space="preserve">§ </w:t>
      </w:r>
      <w:r>
        <w:rPr>
          <w:sz w:val="20"/>
          <w:szCs w:val="20"/>
        </w:rPr>
        <w:t xml:space="preserve">11 a § </w:t>
      </w:r>
      <w:r w:rsidRPr="00D2345C">
        <w:rPr>
          <w:sz w:val="20"/>
          <w:szCs w:val="20"/>
        </w:rPr>
        <w:t>13 zákona č. 219/2000 Sb., o majetku České republiky a jejím vystupování v právních vztazích, ve znění pozdějších předpisů.</w:t>
      </w:r>
    </w:p>
  </w:footnote>
  <w:footnote w:id="4">
    <w:p w14:paraId="469C09BE" w14:textId="77777777" w:rsidR="00125010" w:rsidRDefault="00125010" w:rsidP="00A077B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Zákon č. 218/2000 Sb., rozpočtová pravidla, ve znění pozdějších předpisů a zákon č. 250/2000 Sb. o rozpočtových pravidlech územních rozpočtů,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46C6B" w14:textId="1C9091BB" w:rsidR="00125010" w:rsidRDefault="00125010" w:rsidP="006A735C">
    <w:pPr>
      <w:pStyle w:val="Zhlav"/>
      <w:rPr>
        <w:b/>
        <w:i/>
      </w:rPr>
    </w:pPr>
  </w:p>
  <w:p w14:paraId="04302874" w14:textId="77777777" w:rsidR="00125010" w:rsidRDefault="00125010" w:rsidP="006A735C">
    <w:pPr>
      <w:pStyle w:val="Zhlav"/>
      <w:rPr>
        <w:b/>
        <w:i/>
      </w:rPr>
    </w:pPr>
  </w:p>
  <w:p w14:paraId="468CACFA" w14:textId="77777777" w:rsidR="00125010" w:rsidRDefault="0012501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AAC"/>
    <w:multiLevelType w:val="hybridMultilevel"/>
    <w:tmpl w:val="99E67F48"/>
    <w:lvl w:ilvl="0" w:tplc="6D30253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C63A3"/>
    <w:multiLevelType w:val="hybridMultilevel"/>
    <w:tmpl w:val="4AA28D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7115E"/>
    <w:multiLevelType w:val="multilevel"/>
    <w:tmpl w:val="DE389A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D176B"/>
    <w:multiLevelType w:val="hybridMultilevel"/>
    <w:tmpl w:val="274E561E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06367F6D"/>
    <w:multiLevelType w:val="hybridMultilevel"/>
    <w:tmpl w:val="791CBF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7257B3"/>
    <w:multiLevelType w:val="hybridMultilevel"/>
    <w:tmpl w:val="539E62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65222A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0E3F2CDB"/>
    <w:multiLevelType w:val="hybridMultilevel"/>
    <w:tmpl w:val="2042D1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5853E4"/>
    <w:multiLevelType w:val="multilevel"/>
    <w:tmpl w:val="DE389A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677F67"/>
    <w:multiLevelType w:val="hybridMultilevel"/>
    <w:tmpl w:val="AEA2F4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5B76A7"/>
    <w:multiLevelType w:val="hybridMultilevel"/>
    <w:tmpl w:val="6D62C0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5901C6"/>
    <w:multiLevelType w:val="hybridMultilevel"/>
    <w:tmpl w:val="A6A0B720"/>
    <w:lvl w:ilvl="0" w:tplc="2FA4093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ECA7370"/>
    <w:multiLevelType w:val="hybridMultilevel"/>
    <w:tmpl w:val="6D62C0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E62CF4"/>
    <w:multiLevelType w:val="hybridMultilevel"/>
    <w:tmpl w:val="99D89F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0D0642"/>
    <w:multiLevelType w:val="multilevel"/>
    <w:tmpl w:val="DE389A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A9530E"/>
    <w:multiLevelType w:val="hybridMultilevel"/>
    <w:tmpl w:val="C2C480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089E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7204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B26BAA"/>
    <w:multiLevelType w:val="hybridMultilevel"/>
    <w:tmpl w:val="8C40D6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CD26DAB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507C77"/>
    <w:multiLevelType w:val="multilevel"/>
    <w:tmpl w:val="1D48C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79534E"/>
    <w:multiLevelType w:val="multilevel"/>
    <w:tmpl w:val="54105C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29E6274D"/>
    <w:multiLevelType w:val="hybridMultilevel"/>
    <w:tmpl w:val="0AF6B8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FD19CB"/>
    <w:multiLevelType w:val="multilevel"/>
    <w:tmpl w:val="96D28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2F917F7E"/>
    <w:multiLevelType w:val="hybridMultilevel"/>
    <w:tmpl w:val="C2C480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089E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7204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59052E"/>
    <w:multiLevelType w:val="multilevel"/>
    <w:tmpl w:val="54105C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DED7081"/>
    <w:multiLevelType w:val="hybridMultilevel"/>
    <w:tmpl w:val="A300C35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127A3D"/>
    <w:multiLevelType w:val="multilevel"/>
    <w:tmpl w:val="54105C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2A74DF5"/>
    <w:multiLevelType w:val="multilevel"/>
    <w:tmpl w:val="7D5CC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>
    <w:nsid w:val="4410567B"/>
    <w:multiLevelType w:val="hybridMultilevel"/>
    <w:tmpl w:val="0AF6B8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935527"/>
    <w:multiLevelType w:val="hybridMultilevel"/>
    <w:tmpl w:val="0D748E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030663"/>
    <w:multiLevelType w:val="hybridMultilevel"/>
    <w:tmpl w:val="67CA415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8953FF0"/>
    <w:multiLevelType w:val="multilevel"/>
    <w:tmpl w:val="54105C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0">
    <w:nsid w:val="4E4025C0"/>
    <w:multiLevelType w:val="hybridMultilevel"/>
    <w:tmpl w:val="EC6EF9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1C076F"/>
    <w:multiLevelType w:val="multilevel"/>
    <w:tmpl w:val="1CD462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5BB3CC3"/>
    <w:multiLevelType w:val="multilevel"/>
    <w:tmpl w:val="96D28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C8B0383"/>
    <w:multiLevelType w:val="hybridMultilevel"/>
    <w:tmpl w:val="C30416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D17DE9"/>
    <w:multiLevelType w:val="hybridMultilevel"/>
    <w:tmpl w:val="0AF6B8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4B10BD"/>
    <w:multiLevelType w:val="multilevel"/>
    <w:tmpl w:val="4A283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6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>
    <w:nsid w:val="6D760ADF"/>
    <w:multiLevelType w:val="hybridMultilevel"/>
    <w:tmpl w:val="8DFED4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CB42FF"/>
    <w:multiLevelType w:val="hybridMultilevel"/>
    <w:tmpl w:val="D83E3F0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E644FC"/>
    <w:multiLevelType w:val="hybridMultilevel"/>
    <w:tmpl w:val="D5C44A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C953D9"/>
    <w:multiLevelType w:val="hybridMultilevel"/>
    <w:tmpl w:val="0AF6B8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D04424"/>
    <w:multiLevelType w:val="hybridMultilevel"/>
    <w:tmpl w:val="CA84A2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F6AE5"/>
    <w:multiLevelType w:val="multilevel"/>
    <w:tmpl w:val="6C6495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8F31E5"/>
    <w:multiLevelType w:val="hybridMultilevel"/>
    <w:tmpl w:val="CE9CCF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A0512A"/>
    <w:multiLevelType w:val="multilevel"/>
    <w:tmpl w:val="7D5CC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5">
    <w:nsid w:val="773D1E6D"/>
    <w:multiLevelType w:val="hybridMultilevel"/>
    <w:tmpl w:val="CE9CCF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761EBC"/>
    <w:multiLevelType w:val="hybridMultilevel"/>
    <w:tmpl w:val="6D62C0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8D96791"/>
    <w:multiLevelType w:val="multilevel"/>
    <w:tmpl w:val="DE389A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F0304F"/>
    <w:multiLevelType w:val="hybridMultilevel"/>
    <w:tmpl w:val="F99214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F124D5"/>
    <w:multiLevelType w:val="multilevel"/>
    <w:tmpl w:val="4A30777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1"/>
  </w:num>
  <w:num w:numId="3">
    <w:abstractNumId w:val="16"/>
  </w:num>
  <w:num w:numId="4">
    <w:abstractNumId w:val="0"/>
  </w:num>
  <w:num w:numId="5">
    <w:abstractNumId w:val="1"/>
  </w:num>
  <w:num w:numId="6">
    <w:abstractNumId w:val="28"/>
  </w:num>
  <w:num w:numId="7">
    <w:abstractNumId w:val="9"/>
  </w:num>
  <w:num w:numId="8">
    <w:abstractNumId w:val="5"/>
  </w:num>
  <w:num w:numId="9">
    <w:abstractNumId w:val="27"/>
  </w:num>
  <w:num w:numId="10">
    <w:abstractNumId w:val="41"/>
  </w:num>
  <w:num w:numId="11">
    <w:abstractNumId w:val="15"/>
  </w:num>
  <w:num w:numId="12">
    <w:abstractNumId w:val="7"/>
  </w:num>
  <w:num w:numId="13">
    <w:abstractNumId w:val="22"/>
  </w:num>
  <w:num w:numId="14">
    <w:abstractNumId w:val="13"/>
  </w:num>
  <w:num w:numId="15">
    <w:abstractNumId w:val="48"/>
  </w:num>
  <w:num w:numId="16">
    <w:abstractNumId w:val="3"/>
  </w:num>
  <w:num w:numId="17">
    <w:abstractNumId w:val="11"/>
  </w:num>
  <w:num w:numId="18">
    <w:abstractNumId w:val="49"/>
  </w:num>
  <w:num w:numId="19">
    <w:abstractNumId w:val="42"/>
  </w:num>
  <w:num w:numId="20">
    <w:abstractNumId w:val="47"/>
  </w:num>
  <w:num w:numId="21">
    <w:abstractNumId w:val="14"/>
  </w:num>
  <w:num w:numId="22">
    <w:abstractNumId w:val="2"/>
  </w:num>
  <w:num w:numId="23">
    <w:abstractNumId w:val="29"/>
  </w:num>
  <w:num w:numId="24">
    <w:abstractNumId w:val="8"/>
  </w:num>
  <w:num w:numId="25">
    <w:abstractNumId w:val="17"/>
  </w:num>
  <w:num w:numId="26">
    <w:abstractNumId w:val="24"/>
  </w:num>
  <w:num w:numId="27">
    <w:abstractNumId w:val="32"/>
  </w:num>
  <w:num w:numId="28">
    <w:abstractNumId w:val="18"/>
  </w:num>
  <w:num w:numId="29">
    <w:abstractNumId w:val="26"/>
  </w:num>
  <w:num w:numId="30">
    <w:abstractNumId w:val="4"/>
  </w:num>
  <w:num w:numId="31">
    <w:abstractNumId w:val="20"/>
  </w:num>
  <w:num w:numId="32">
    <w:abstractNumId w:val="25"/>
  </w:num>
  <w:num w:numId="33">
    <w:abstractNumId w:val="10"/>
  </w:num>
  <w:num w:numId="34">
    <w:abstractNumId w:val="45"/>
  </w:num>
  <w:num w:numId="35">
    <w:abstractNumId w:val="33"/>
  </w:num>
  <w:num w:numId="36">
    <w:abstractNumId w:val="30"/>
  </w:num>
  <w:num w:numId="37">
    <w:abstractNumId w:val="37"/>
  </w:num>
  <w:num w:numId="38">
    <w:abstractNumId w:val="23"/>
  </w:num>
  <w:num w:numId="39">
    <w:abstractNumId w:val="44"/>
  </w:num>
  <w:num w:numId="40">
    <w:abstractNumId w:val="36"/>
  </w:num>
  <w:num w:numId="41">
    <w:abstractNumId w:val="31"/>
  </w:num>
  <w:num w:numId="42">
    <w:abstractNumId w:val="38"/>
  </w:num>
  <w:num w:numId="43">
    <w:abstractNumId w:val="46"/>
  </w:num>
  <w:num w:numId="44">
    <w:abstractNumId w:val="12"/>
  </w:num>
  <w:num w:numId="45">
    <w:abstractNumId w:val="6"/>
  </w:num>
  <w:num w:numId="46">
    <w:abstractNumId w:val="19"/>
  </w:num>
  <w:num w:numId="47">
    <w:abstractNumId w:val="39"/>
  </w:num>
  <w:num w:numId="48">
    <w:abstractNumId w:val="43"/>
  </w:num>
  <w:num w:numId="49">
    <w:abstractNumId w:val="40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DB"/>
    <w:rsid w:val="0000757E"/>
    <w:rsid w:val="00011274"/>
    <w:rsid w:val="00015962"/>
    <w:rsid w:val="0002116B"/>
    <w:rsid w:val="0002255F"/>
    <w:rsid w:val="000228F8"/>
    <w:rsid w:val="00026577"/>
    <w:rsid w:val="000271C6"/>
    <w:rsid w:val="0003270F"/>
    <w:rsid w:val="0003310A"/>
    <w:rsid w:val="00033639"/>
    <w:rsid w:val="000336CC"/>
    <w:rsid w:val="000337E6"/>
    <w:rsid w:val="00041C51"/>
    <w:rsid w:val="000621DE"/>
    <w:rsid w:val="00070286"/>
    <w:rsid w:val="0007041F"/>
    <w:rsid w:val="00071319"/>
    <w:rsid w:val="00071EB9"/>
    <w:rsid w:val="00073532"/>
    <w:rsid w:val="00075240"/>
    <w:rsid w:val="00083007"/>
    <w:rsid w:val="000907C8"/>
    <w:rsid w:val="00096420"/>
    <w:rsid w:val="000B1FA2"/>
    <w:rsid w:val="000C4AD8"/>
    <w:rsid w:val="000D3319"/>
    <w:rsid w:val="000D7ADA"/>
    <w:rsid w:val="000E141E"/>
    <w:rsid w:val="000E3EE1"/>
    <w:rsid w:val="000E42E5"/>
    <w:rsid w:val="000E5C2F"/>
    <w:rsid w:val="000F0A89"/>
    <w:rsid w:val="000F4053"/>
    <w:rsid w:val="00100356"/>
    <w:rsid w:val="00103A3F"/>
    <w:rsid w:val="0010403F"/>
    <w:rsid w:val="0010600A"/>
    <w:rsid w:val="00110229"/>
    <w:rsid w:val="00110FB2"/>
    <w:rsid w:val="00111050"/>
    <w:rsid w:val="00117AEF"/>
    <w:rsid w:val="00121733"/>
    <w:rsid w:val="00121C98"/>
    <w:rsid w:val="00124133"/>
    <w:rsid w:val="00125010"/>
    <w:rsid w:val="00126853"/>
    <w:rsid w:val="001268AD"/>
    <w:rsid w:val="00134B3E"/>
    <w:rsid w:val="001416B6"/>
    <w:rsid w:val="0014230F"/>
    <w:rsid w:val="00143F41"/>
    <w:rsid w:val="0014585E"/>
    <w:rsid w:val="0014586F"/>
    <w:rsid w:val="00154ADB"/>
    <w:rsid w:val="001561B1"/>
    <w:rsid w:val="00157310"/>
    <w:rsid w:val="00157D92"/>
    <w:rsid w:val="0016049F"/>
    <w:rsid w:val="00163B02"/>
    <w:rsid w:val="0016442B"/>
    <w:rsid w:val="00170670"/>
    <w:rsid w:val="00171FA5"/>
    <w:rsid w:val="001735F0"/>
    <w:rsid w:val="00175D25"/>
    <w:rsid w:val="00180871"/>
    <w:rsid w:val="00183021"/>
    <w:rsid w:val="001859B2"/>
    <w:rsid w:val="001B05E8"/>
    <w:rsid w:val="001B0640"/>
    <w:rsid w:val="001B3167"/>
    <w:rsid w:val="001B5D24"/>
    <w:rsid w:val="001C1EDB"/>
    <w:rsid w:val="001C2E8C"/>
    <w:rsid w:val="001C3E32"/>
    <w:rsid w:val="001C527D"/>
    <w:rsid w:val="001D29B0"/>
    <w:rsid w:val="001D2B0D"/>
    <w:rsid w:val="001D3B5F"/>
    <w:rsid w:val="001D62EC"/>
    <w:rsid w:val="001D7384"/>
    <w:rsid w:val="001E121A"/>
    <w:rsid w:val="001E5379"/>
    <w:rsid w:val="001E5F5E"/>
    <w:rsid w:val="001F1C40"/>
    <w:rsid w:val="001F30F1"/>
    <w:rsid w:val="001F3CAC"/>
    <w:rsid w:val="0020140F"/>
    <w:rsid w:val="00206FC1"/>
    <w:rsid w:val="00210351"/>
    <w:rsid w:val="00211F4B"/>
    <w:rsid w:val="002129C4"/>
    <w:rsid w:val="0021341E"/>
    <w:rsid w:val="00217830"/>
    <w:rsid w:val="0022005D"/>
    <w:rsid w:val="002209AB"/>
    <w:rsid w:val="00225502"/>
    <w:rsid w:val="0023260B"/>
    <w:rsid w:val="00232798"/>
    <w:rsid w:val="0024360A"/>
    <w:rsid w:val="00245DB1"/>
    <w:rsid w:val="00254F98"/>
    <w:rsid w:val="002564A6"/>
    <w:rsid w:val="00265B6F"/>
    <w:rsid w:val="00270110"/>
    <w:rsid w:val="002718F3"/>
    <w:rsid w:val="00273990"/>
    <w:rsid w:val="00274F95"/>
    <w:rsid w:val="00275FF7"/>
    <w:rsid w:val="0027662D"/>
    <w:rsid w:val="002814AA"/>
    <w:rsid w:val="00281C00"/>
    <w:rsid w:val="00281F4D"/>
    <w:rsid w:val="00286F8A"/>
    <w:rsid w:val="00290459"/>
    <w:rsid w:val="00295195"/>
    <w:rsid w:val="002955C8"/>
    <w:rsid w:val="00295F97"/>
    <w:rsid w:val="00296412"/>
    <w:rsid w:val="002A5FD2"/>
    <w:rsid w:val="002A75DB"/>
    <w:rsid w:val="002C7CD9"/>
    <w:rsid w:val="002D41C8"/>
    <w:rsid w:val="002D693F"/>
    <w:rsid w:val="002E003E"/>
    <w:rsid w:val="002E2B75"/>
    <w:rsid w:val="002E429C"/>
    <w:rsid w:val="002E5815"/>
    <w:rsid w:val="002F2A4A"/>
    <w:rsid w:val="002F68FF"/>
    <w:rsid w:val="002F6B02"/>
    <w:rsid w:val="0030283F"/>
    <w:rsid w:val="00306B08"/>
    <w:rsid w:val="00307B2D"/>
    <w:rsid w:val="00312E01"/>
    <w:rsid w:val="00313514"/>
    <w:rsid w:val="00320719"/>
    <w:rsid w:val="003249F3"/>
    <w:rsid w:val="00326924"/>
    <w:rsid w:val="003269B0"/>
    <w:rsid w:val="00336E86"/>
    <w:rsid w:val="00342027"/>
    <w:rsid w:val="0034385D"/>
    <w:rsid w:val="003442EF"/>
    <w:rsid w:val="00344E25"/>
    <w:rsid w:val="00345AE7"/>
    <w:rsid w:val="00345D76"/>
    <w:rsid w:val="00350BBA"/>
    <w:rsid w:val="00361246"/>
    <w:rsid w:val="0036394B"/>
    <w:rsid w:val="00364113"/>
    <w:rsid w:val="003642AA"/>
    <w:rsid w:val="00371246"/>
    <w:rsid w:val="00372E73"/>
    <w:rsid w:val="003801C2"/>
    <w:rsid w:val="00381434"/>
    <w:rsid w:val="003840A1"/>
    <w:rsid w:val="0038544B"/>
    <w:rsid w:val="00386429"/>
    <w:rsid w:val="00386D6B"/>
    <w:rsid w:val="0039023C"/>
    <w:rsid w:val="0039138A"/>
    <w:rsid w:val="00391CC6"/>
    <w:rsid w:val="00393C33"/>
    <w:rsid w:val="00397005"/>
    <w:rsid w:val="0039749F"/>
    <w:rsid w:val="003A11A4"/>
    <w:rsid w:val="003A754C"/>
    <w:rsid w:val="003B2318"/>
    <w:rsid w:val="003B4F39"/>
    <w:rsid w:val="003B7EAE"/>
    <w:rsid w:val="003B7EB0"/>
    <w:rsid w:val="003B7FAE"/>
    <w:rsid w:val="003C31D8"/>
    <w:rsid w:val="003C42F0"/>
    <w:rsid w:val="003C5205"/>
    <w:rsid w:val="003C7751"/>
    <w:rsid w:val="003C7A59"/>
    <w:rsid w:val="003C7BBD"/>
    <w:rsid w:val="003D096A"/>
    <w:rsid w:val="003D1D76"/>
    <w:rsid w:val="003D367F"/>
    <w:rsid w:val="003D479B"/>
    <w:rsid w:val="003D4C73"/>
    <w:rsid w:val="003E4D2F"/>
    <w:rsid w:val="003E53C0"/>
    <w:rsid w:val="003E58A7"/>
    <w:rsid w:val="003F20C3"/>
    <w:rsid w:val="003F2934"/>
    <w:rsid w:val="003F2C18"/>
    <w:rsid w:val="00402A6E"/>
    <w:rsid w:val="004070D2"/>
    <w:rsid w:val="00411A76"/>
    <w:rsid w:val="004164E0"/>
    <w:rsid w:val="00416C2B"/>
    <w:rsid w:val="0042375A"/>
    <w:rsid w:val="004311A2"/>
    <w:rsid w:val="00436107"/>
    <w:rsid w:val="004415F2"/>
    <w:rsid w:val="00441D06"/>
    <w:rsid w:val="00445F72"/>
    <w:rsid w:val="00455CE8"/>
    <w:rsid w:val="0046139A"/>
    <w:rsid w:val="00466F11"/>
    <w:rsid w:val="00473BEC"/>
    <w:rsid w:val="004740A3"/>
    <w:rsid w:val="00474AA7"/>
    <w:rsid w:val="00481F14"/>
    <w:rsid w:val="00484348"/>
    <w:rsid w:val="00490F6B"/>
    <w:rsid w:val="0049612C"/>
    <w:rsid w:val="0049631F"/>
    <w:rsid w:val="004A0E3F"/>
    <w:rsid w:val="004A2899"/>
    <w:rsid w:val="004A2C87"/>
    <w:rsid w:val="004A75B2"/>
    <w:rsid w:val="004A7909"/>
    <w:rsid w:val="004B42E2"/>
    <w:rsid w:val="004C7429"/>
    <w:rsid w:val="004D0340"/>
    <w:rsid w:val="004D31AE"/>
    <w:rsid w:val="004D4388"/>
    <w:rsid w:val="004E2C99"/>
    <w:rsid w:val="004E72B2"/>
    <w:rsid w:val="004E7DB9"/>
    <w:rsid w:val="004F3BE5"/>
    <w:rsid w:val="004F45E4"/>
    <w:rsid w:val="004F7831"/>
    <w:rsid w:val="004F7BB2"/>
    <w:rsid w:val="00501951"/>
    <w:rsid w:val="005072D1"/>
    <w:rsid w:val="00512A86"/>
    <w:rsid w:val="0052006B"/>
    <w:rsid w:val="005216BB"/>
    <w:rsid w:val="00524A3B"/>
    <w:rsid w:val="00526D51"/>
    <w:rsid w:val="005305BD"/>
    <w:rsid w:val="0054100F"/>
    <w:rsid w:val="00543A66"/>
    <w:rsid w:val="005507E6"/>
    <w:rsid w:val="00550EDB"/>
    <w:rsid w:val="00551DF9"/>
    <w:rsid w:val="00556F45"/>
    <w:rsid w:val="0056111D"/>
    <w:rsid w:val="00561173"/>
    <w:rsid w:val="005634AA"/>
    <w:rsid w:val="00572011"/>
    <w:rsid w:val="00576CC2"/>
    <w:rsid w:val="00587541"/>
    <w:rsid w:val="00592EC8"/>
    <w:rsid w:val="0059325A"/>
    <w:rsid w:val="0059591B"/>
    <w:rsid w:val="00595CDC"/>
    <w:rsid w:val="005979A3"/>
    <w:rsid w:val="005A2165"/>
    <w:rsid w:val="005A2349"/>
    <w:rsid w:val="005A2471"/>
    <w:rsid w:val="005A5B20"/>
    <w:rsid w:val="005A746E"/>
    <w:rsid w:val="005A7862"/>
    <w:rsid w:val="005B2C86"/>
    <w:rsid w:val="005B3BDC"/>
    <w:rsid w:val="005C2263"/>
    <w:rsid w:val="005C57B9"/>
    <w:rsid w:val="005C770A"/>
    <w:rsid w:val="005D37AA"/>
    <w:rsid w:val="005D38ED"/>
    <w:rsid w:val="005F1CC3"/>
    <w:rsid w:val="005F511F"/>
    <w:rsid w:val="005F63EA"/>
    <w:rsid w:val="00603989"/>
    <w:rsid w:val="00607A8D"/>
    <w:rsid w:val="00610640"/>
    <w:rsid w:val="00610EA6"/>
    <w:rsid w:val="00614A0A"/>
    <w:rsid w:val="00616183"/>
    <w:rsid w:val="006173A3"/>
    <w:rsid w:val="00620727"/>
    <w:rsid w:val="00627EB4"/>
    <w:rsid w:val="0063270C"/>
    <w:rsid w:val="006329A3"/>
    <w:rsid w:val="00633A81"/>
    <w:rsid w:val="00634CFD"/>
    <w:rsid w:val="006360C2"/>
    <w:rsid w:val="006409C3"/>
    <w:rsid w:val="00642087"/>
    <w:rsid w:val="00642FE7"/>
    <w:rsid w:val="0064556A"/>
    <w:rsid w:val="00645A37"/>
    <w:rsid w:val="00656255"/>
    <w:rsid w:val="0066208B"/>
    <w:rsid w:val="006651F4"/>
    <w:rsid w:val="00665EBB"/>
    <w:rsid w:val="00670840"/>
    <w:rsid w:val="00671E75"/>
    <w:rsid w:val="0068791A"/>
    <w:rsid w:val="00691C23"/>
    <w:rsid w:val="00697CC1"/>
    <w:rsid w:val="006A0660"/>
    <w:rsid w:val="006A093C"/>
    <w:rsid w:val="006A233B"/>
    <w:rsid w:val="006A62A1"/>
    <w:rsid w:val="006A735C"/>
    <w:rsid w:val="006A762E"/>
    <w:rsid w:val="006A7A66"/>
    <w:rsid w:val="006B557D"/>
    <w:rsid w:val="006B5974"/>
    <w:rsid w:val="006B5B66"/>
    <w:rsid w:val="006B65C0"/>
    <w:rsid w:val="006B67C5"/>
    <w:rsid w:val="006B6A4C"/>
    <w:rsid w:val="006C1165"/>
    <w:rsid w:val="006C2992"/>
    <w:rsid w:val="006C490C"/>
    <w:rsid w:val="006C5412"/>
    <w:rsid w:val="006C6486"/>
    <w:rsid w:val="006D0A5B"/>
    <w:rsid w:val="006D3206"/>
    <w:rsid w:val="006D5761"/>
    <w:rsid w:val="006D5E43"/>
    <w:rsid w:val="006E03A3"/>
    <w:rsid w:val="006E2B34"/>
    <w:rsid w:val="006E52F2"/>
    <w:rsid w:val="006E61AF"/>
    <w:rsid w:val="006F4E2D"/>
    <w:rsid w:val="006F4EB7"/>
    <w:rsid w:val="006F724F"/>
    <w:rsid w:val="007019B7"/>
    <w:rsid w:val="00702929"/>
    <w:rsid w:val="00703B7C"/>
    <w:rsid w:val="0070420A"/>
    <w:rsid w:val="00705F2F"/>
    <w:rsid w:val="0070780C"/>
    <w:rsid w:val="00707B43"/>
    <w:rsid w:val="007130F4"/>
    <w:rsid w:val="0071627C"/>
    <w:rsid w:val="0072548A"/>
    <w:rsid w:val="0073122D"/>
    <w:rsid w:val="00731CD6"/>
    <w:rsid w:val="0073223F"/>
    <w:rsid w:val="00735C3B"/>
    <w:rsid w:val="0073704D"/>
    <w:rsid w:val="00743214"/>
    <w:rsid w:val="00745354"/>
    <w:rsid w:val="0074611B"/>
    <w:rsid w:val="00754A6D"/>
    <w:rsid w:val="007637FC"/>
    <w:rsid w:val="00765BD6"/>
    <w:rsid w:val="007660B6"/>
    <w:rsid w:val="00780071"/>
    <w:rsid w:val="00782FAB"/>
    <w:rsid w:val="00791394"/>
    <w:rsid w:val="007952B1"/>
    <w:rsid w:val="0079613F"/>
    <w:rsid w:val="007A3382"/>
    <w:rsid w:val="007A3614"/>
    <w:rsid w:val="007A4C59"/>
    <w:rsid w:val="007A53BE"/>
    <w:rsid w:val="007A6E6D"/>
    <w:rsid w:val="007A6E80"/>
    <w:rsid w:val="007B0D39"/>
    <w:rsid w:val="007B364A"/>
    <w:rsid w:val="007B37D9"/>
    <w:rsid w:val="007C43D9"/>
    <w:rsid w:val="007D37E4"/>
    <w:rsid w:val="007D47B5"/>
    <w:rsid w:val="007D5551"/>
    <w:rsid w:val="007D761F"/>
    <w:rsid w:val="007D7CD9"/>
    <w:rsid w:val="007E131F"/>
    <w:rsid w:val="007F17BD"/>
    <w:rsid w:val="007F5928"/>
    <w:rsid w:val="007F72A7"/>
    <w:rsid w:val="007F7B56"/>
    <w:rsid w:val="008001F8"/>
    <w:rsid w:val="008014C6"/>
    <w:rsid w:val="00801E54"/>
    <w:rsid w:val="00806929"/>
    <w:rsid w:val="00806A5C"/>
    <w:rsid w:val="00806D14"/>
    <w:rsid w:val="0081341D"/>
    <w:rsid w:val="008135F2"/>
    <w:rsid w:val="00813EDD"/>
    <w:rsid w:val="0081533A"/>
    <w:rsid w:val="0081650C"/>
    <w:rsid w:val="00821A68"/>
    <w:rsid w:val="00821FE1"/>
    <w:rsid w:val="00824BC9"/>
    <w:rsid w:val="00827163"/>
    <w:rsid w:val="00827D88"/>
    <w:rsid w:val="00830CD8"/>
    <w:rsid w:val="008322A2"/>
    <w:rsid w:val="0083466A"/>
    <w:rsid w:val="008402B8"/>
    <w:rsid w:val="00844D87"/>
    <w:rsid w:val="00853B41"/>
    <w:rsid w:val="00854907"/>
    <w:rsid w:val="008549C2"/>
    <w:rsid w:val="00860A96"/>
    <w:rsid w:val="008612DD"/>
    <w:rsid w:val="00863E60"/>
    <w:rsid w:val="00864853"/>
    <w:rsid w:val="00864FDA"/>
    <w:rsid w:val="00865FBA"/>
    <w:rsid w:val="00872393"/>
    <w:rsid w:val="0087387D"/>
    <w:rsid w:val="00875057"/>
    <w:rsid w:val="00875315"/>
    <w:rsid w:val="00876CF4"/>
    <w:rsid w:val="00882200"/>
    <w:rsid w:val="008827A4"/>
    <w:rsid w:val="00882F60"/>
    <w:rsid w:val="00886751"/>
    <w:rsid w:val="00887345"/>
    <w:rsid w:val="00890317"/>
    <w:rsid w:val="00890D4D"/>
    <w:rsid w:val="008916A0"/>
    <w:rsid w:val="008A1233"/>
    <w:rsid w:val="008A165E"/>
    <w:rsid w:val="008A2482"/>
    <w:rsid w:val="008A4CCF"/>
    <w:rsid w:val="008A6AA8"/>
    <w:rsid w:val="008B0CC4"/>
    <w:rsid w:val="008B10A2"/>
    <w:rsid w:val="008B197B"/>
    <w:rsid w:val="008B7B66"/>
    <w:rsid w:val="008C0561"/>
    <w:rsid w:val="008C5F96"/>
    <w:rsid w:val="008D6389"/>
    <w:rsid w:val="008D7F81"/>
    <w:rsid w:val="008F673A"/>
    <w:rsid w:val="008F7604"/>
    <w:rsid w:val="00900381"/>
    <w:rsid w:val="009013BC"/>
    <w:rsid w:val="00905C01"/>
    <w:rsid w:val="00907E99"/>
    <w:rsid w:val="00910AF7"/>
    <w:rsid w:val="00922E80"/>
    <w:rsid w:val="00925C33"/>
    <w:rsid w:val="0093273E"/>
    <w:rsid w:val="00935B18"/>
    <w:rsid w:val="00936AA9"/>
    <w:rsid w:val="009563C5"/>
    <w:rsid w:val="009575D0"/>
    <w:rsid w:val="00960631"/>
    <w:rsid w:val="009615DF"/>
    <w:rsid w:val="00964DDF"/>
    <w:rsid w:val="00965A72"/>
    <w:rsid w:val="0096706F"/>
    <w:rsid w:val="009900E0"/>
    <w:rsid w:val="009926AD"/>
    <w:rsid w:val="00992FE9"/>
    <w:rsid w:val="009953B3"/>
    <w:rsid w:val="0099666B"/>
    <w:rsid w:val="009A0697"/>
    <w:rsid w:val="009A1184"/>
    <w:rsid w:val="009A4DA0"/>
    <w:rsid w:val="009B2072"/>
    <w:rsid w:val="009B460F"/>
    <w:rsid w:val="009B6772"/>
    <w:rsid w:val="009C5EA8"/>
    <w:rsid w:val="009D211D"/>
    <w:rsid w:val="009D7BA1"/>
    <w:rsid w:val="009E1999"/>
    <w:rsid w:val="009E588C"/>
    <w:rsid w:val="009F65E1"/>
    <w:rsid w:val="00A077B6"/>
    <w:rsid w:val="00A10E53"/>
    <w:rsid w:val="00A15330"/>
    <w:rsid w:val="00A21053"/>
    <w:rsid w:val="00A21937"/>
    <w:rsid w:val="00A21AEC"/>
    <w:rsid w:val="00A32D1C"/>
    <w:rsid w:val="00A431E7"/>
    <w:rsid w:val="00A50258"/>
    <w:rsid w:val="00A56139"/>
    <w:rsid w:val="00A61073"/>
    <w:rsid w:val="00A65D0E"/>
    <w:rsid w:val="00A67047"/>
    <w:rsid w:val="00A75A2B"/>
    <w:rsid w:val="00A769F3"/>
    <w:rsid w:val="00A77E1C"/>
    <w:rsid w:val="00A80DE1"/>
    <w:rsid w:val="00A87DF7"/>
    <w:rsid w:val="00A9098F"/>
    <w:rsid w:val="00A92C31"/>
    <w:rsid w:val="00A97AAE"/>
    <w:rsid w:val="00AA05FF"/>
    <w:rsid w:val="00AA2707"/>
    <w:rsid w:val="00AA2D52"/>
    <w:rsid w:val="00AA39C4"/>
    <w:rsid w:val="00AA5F9B"/>
    <w:rsid w:val="00AA73D8"/>
    <w:rsid w:val="00AB1C4A"/>
    <w:rsid w:val="00AB5397"/>
    <w:rsid w:val="00AB7F78"/>
    <w:rsid w:val="00AC1456"/>
    <w:rsid w:val="00AC3F3A"/>
    <w:rsid w:val="00AD34AC"/>
    <w:rsid w:val="00AD4FB2"/>
    <w:rsid w:val="00AD586C"/>
    <w:rsid w:val="00AE04DC"/>
    <w:rsid w:val="00AF64FA"/>
    <w:rsid w:val="00AF7BE4"/>
    <w:rsid w:val="00AF7E80"/>
    <w:rsid w:val="00B00967"/>
    <w:rsid w:val="00B042FB"/>
    <w:rsid w:val="00B05B24"/>
    <w:rsid w:val="00B061D7"/>
    <w:rsid w:val="00B108FD"/>
    <w:rsid w:val="00B1507C"/>
    <w:rsid w:val="00B150A4"/>
    <w:rsid w:val="00B15820"/>
    <w:rsid w:val="00B168FE"/>
    <w:rsid w:val="00B21382"/>
    <w:rsid w:val="00B21747"/>
    <w:rsid w:val="00B2455C"/>
    <w:rsid w:val="00B31A61"/>
    <w:rsid w:val="00B3479F"/>
    <w:rsid w:val="00B37972"/>
    <w:rsid w:val="00B424EA"/>
    <w:rsid w:val="00B42AF5"/>
    <w:rsid w:val="00B42D2F"/>
    <w:rsid w:val="00B44652"/>
    <w:rsid w:val="00B457A3"/>
    <w:rsid w:val="00B5022D"/>
    <w:rsid w:val="00B505D3"/>
    <w:rsid w:val="00B51074"/>
    <w:rsid w:val="00B51620"/>
    <w:rsid w:val="00B52D37"/>
    <w:rsid w:val="00B53042"/>
    <w:rsid w:val="00B534E1"/>
    <w:rsid w:val="00B57799"/>
    <w:rsid w:val="00B65097"/>
    <w:rsid w:val="00B66B2B"/>
    <w:rsid w:val="00B709AE"/>
    <w:rsid w:val="00B728C2"/>
    <w:rsid w:val="00B73981"/>
    <w:rsid w:val="00B95629"/>
    <w:rsid w:val="00B95821"/>
    <w:rsid w:val="00B95F1B"/>
    <w:rsid w:val="00B95FEF"/>
    <w:rsid w:val="00BA2AE2"/>
    <w:rsid w:val="00BA2E53"/>
    <w:rsid w:val="00BA3859"/>
    <w:rsid w:val="00BB0152"/>
    <w:rsid w:val="00BB27D1"/>
    <w:rsid w:val="00BB4494"/>
    <w:rsid w:val="00BC24C0"/>
    <w:rsid w:val="00BC3306"/>
    <w:rsid w:val="00BC5512"/>
    <w:rsid w:val="00BC78B0"/>
    <w:rsid w:val="00BD0A5B"/>
    <w:rsid w:val="00BD2005"/>
    <w:rsid w:val="00BD38F7"/>
    <w:rsid w:val="00BD79D3"/>
    <w:rsid w:val="00BE1139"/>
    <w:rsid w:val="00BE3742"/>
    <w:rsid w:val="00BF45DE"/>
    <w:rsid w:val="00BF7D75"/>
    <w:rsid w:val="00C02EA3"/>
    <w:rsid w:val="00C05176"/>
    <w:rsid w:val="00C052AB"/>
    <w:rsid w:val="00C1091B"/>
    <w:rsid w:val="00C12A0A"/>
    <w:rsid w:val="00C13259"/>
    <w:rsid w:val="00C16797"/>
    <w:rsid w:val="00C25FCC"/>
    <w:rsid w:val="00C3142C"/>
    <w:rsid w:val="00C34559"/>
    <w:rsid w:val="00C35405"/>
    <w:rsid w:val="00C4201E"/>
    <w:rsid w:val="00C42510"/>
    <w:rsid w:val="00C44CAF"/>
    <w:rsid w:val="00C45CBC"/>
    <w:rsid w:val="00C462E4"/>
    <w:rsid w:val="00C537E3"/>
    <w:rsid w:val="00C5508A"/>
    <w:rsid w:val="00C55363"/>
    <w:rsid w:val="00C56A83"/>
    <w:rsid w:val="00C71085"/>
    <w:rsid w:val="00C75A7E"/>
    <w:rsid w:val="00C76581"/>
    <w:rsid w:val="00C76748"/>
    <w:rsid w:val="00C771E7"/>
    <w:rsid w:val="00C81ACF"/>
    <w:rsid w:val="00C90C09"/>
    <w:rsid w:val="00C91AF5"/>
    <w:rsid w:val="00CA0761"/>
    <w:rsid w:val="00CA2391"/>
    <w:rsid w:val="00CB5CD6"/>
    <w:rsid w:val="00CC0E94"/>
    <w:rsid w:val="00CC2AE6"/>
    <w:rsid w:val="00CC4CE7"/>
    <w:rsid w:val="00CC62F3"/>
    <w:rsid w:val="00CD03F6"/>
    <w:rsid w:val="00CD0A42"/>
    <w:rsid w:val="00CD5A39"/>
    <w:rsid w:val="00CD7976"/>
    <w:rsid w:val="00CE0FC0"/>
    <w:rsid w:val="00CE170B"/>
    <w:rsid w:val="00CE3712"/>
    <w:rsid w:val="00CE3F0C"/>
    <w:rsid w:val="00D05F37"/>
    <w:rsid w:val="00D07089"/>
    <w:rsid w:val="00D155F3"/>
    <w:rsid w:val="00D15769"/>
    <w:rsid w:val="00D201EF"/>
    <w:rsid w:val="00D208CD"/>
    <w:rsid w:val="00D20A6C"/>
    <w:rsid w:val="00D2345C"/>
    <w:rsid w:val="00D23737"/>
    <w:rsid w:val="00D26D54"/>
    <w:rsid w:val="00D312C2"/>
    <w:rsid w:val="00D3325A"/>
    <w:rsid w:val="00D35235"/>
    <w:rsid w:val="00D368AF"/>
    <w:rsid w:val="00D376C2"/>
    <w:rsid w:val="00D406A7"/>
    <w:rsid w:val="00D50D29"/>
    <w:rsid w:val="00D545F4"/>
    <w:rsid w:val="00D55B64"/>
    <w:rsid w:val="00D5651A"/>
    <w:rsid w:val="00D6016C"/>
    <w:rsid w:val="00D63DC0"/>
    <w:rsid w:val="00D64702"/>
    <w:rsid w:val="00D66019"/>
    <w:rsid w:val="00D72B57"/>
    <w:rsid w:val="00D7450E"/>
    <w:rsid w:val="00D82F8A"/>
    <w:rsid w:val="00D83463"/>
    <w:rsid w:val="00D86355"/>
    <w:rsid w:val="00D97345"/>
    <w:rsid w:val="00DA4589"/>
    <w:rsid w:val="00DA47E9"/>
    <w:rsid w:val="00DB59B3"/>
    <w:rsid w:val="00DB7686"/>
    <w:rsid w:val="00DB768C"/>
    <w:rsid w:val="00DC0EB5"/>
    <w:rsid w:val="00DC1771"/>
    <w:rsid w:val="00DC1F82"/>
    <w:rsid w:val="00DC22DB"/>
    <w:rsid w:val="00DC4B9F"/>
    <w:rsid w:val="00DC7606"/>
    <w:rsid w:val="00DD1E32"/>
    <w:rsid w:val="00DD4C03"/>
    <w:rsid w:val="00DD5199"/>
    <w:rsid w:val="00DE7160"/>
    <w:rsid w:val="00DF150E"/>
    <w:rsid w:val="00DF281E"/>
    <w:rsid w:val="00DF5EBC"/>
    <w:rsid w:val="00E034F0"/>
    <w:rsid w:val="00E110A4"/>
    <w:rsid w:val="00E12192"/>
    <w:rsid w:val="00E12220"/>
    <w:rsid w:val="00E1598C"/>
    <w:rsid w:val="00E207E0"/>
    <w:rsid w:val="00E23575"/>
    <w:rsid w:val="00E301B0"/>
    <w:rsid w:val="00E317F9"/>
    <w:rsid w:val="00E33974"/>
    <w:rsid w:val="00E34C52"/>
    <w:rsid w:val="00E41F83"/>
    <w:rsid w:val="00E4528F"/>
    <w:rsid w:val="00E4599C"/>
    <w:rsid w:val="00E45EC5"/>
    <w:rsid w:val="00E60557"/>
    <w:rsid w:val="00E64DDE"/>
    <w:rsid w:val="00E717B9"/>
    <w:rsid w:val="00E74FF3"/>
    <w:rsid w:val="00E771C6"/>
    <w:rsid w:val="00E84599"/>
    <w:rsid w:val="00E9224C"/>
    <w:rsid w:val="00E94881"/>
    <w:rsid w:val="00EA20DF"/>
    <w:rsid w:val="00EA6C10"/>
    <w:rsid w:val="00EA7E6E"/>
    <w:rsid w:val="00EB08AB"/>
    <w:rsid w:val="00EB116F"/>
    <w:rsid w:val="00EB300C"/>
    <w:rsid w:val="00EB37D1"/>
    <w:rsid w:val="00EB4C10"/>
    <w:rsid w:val="00EC1FE9"/>
    <w:rsid w:val="00EC2481"/>
    <w:rsid w:val="00EC2891"/>
    <w:rsid w:val="00EC41C5"/>
    <w:rsid w:val="00EC6E8B"/>
    <w:rsid w:val="00ED0C73"/>
    <w:rsid w:val="00ED1549"/>
    <w:rsid w:val="00ED20F6"/>
    <w:rsid w:val="00ED3005"/>
    <w:rsid w:val="00ED4505"/>
    <w:rsid w:val="00ED4CDB"/>
    <w:rsid w:val="00ED7CD9"/>
    <w:rsid w:val="00EE0122"/>
    <w:rsid w:val="00EE058A"/>
    <w:rsid w:val="00EE17FF"/>
    <w:rsid w:val="00EE6299"/>
    <w:rsid w:val="00F007D8"/>
    <w:rsid w:val="00F01F30"/>
    <w:rsid w:val="00F040C4"/>
    <w:rsid w:val="00F04F20"/>
    <w:rsid w:val="00F06979"/>
    <w:rsid w:val="00F10052"/>
    <w:rsid w:val="00F10555"/>
    <w:rsid w:val="00F14F8A"/>
    <w:rsid w:val="00F16CC6"/>
    <w:rsid w:val="00F17E24"/>
    <w:rsid w:val="00F2623A"/>
    <w:rsid w:val="00F26C81"/>
    <w:rsid w:val="00F30F5F"/>
    <w:rsid w:val="00F34C76"/>
    <w:rsid w:val="00F36504"/>
    <w:rsid w:val="00F45F42"/>
    <w:rsid w:val="00F5035A"/>
    <w:rsid w:val="00F5070B"/>
    <w:rsid w:val="00F568E6"/>
    <w:rsid w:val="00F651DE"/>
    <w:rsid w:val="00F73E10"/>
    <w:rsid w:val="00F74F9E"/>
    <w:rsid w:val="00F7594B"/>
    <w:rsid w:val="00F80582"/>
    <w:rsid w:val="00F80C27"/>
    <w:rsid w:val="00F82A5A"/>
    <w:rsid w:val="00F8573A"/>
    <w:rsid w:val="00F86303"/>
    <w:rsid w:val="00F913EE"/>
    <w:rsid w:val="00F93788"/>
    <w:rsid w:val="00F97B99"/>
    <w:rsid w:val="00FA3A3D"/>
    <w:rsid w:val="00FA479E"/>
    <w:rsid w:val="00FA6D73"/>
    <w:rsid w:val="00FA737D"/>
    <w:rsid w:val="00FB5750"/>
    <w:rsid w:val="00FC2AE5"/>
    <w:rsid w:val="00FC34D6"/>
    <w:rsid w:val="00FC4340"/>
    <w:rsid w:val="00FC4F10"/>
    <w:rsid w:val="00FC6553"/>
    <w:rsid w:val="00FD2FFB"/>
    <w:rsid w:val="00FD4C56"/>
    <w:rsid w:val="00FD5249"/>
    <w:rsid w:val="00FD626E"/>
    <w:rsid w:val="00FD69E8"/>
    <w:rsid w:val="00FD7DB6"/>
    <w:rsid w:val="00FE1FD0"/>
    <w:rsid w:val="00FF0FEA"/>
    <w:rsid w:val="00FF2100"/>
    <w:rsid w:val="00FF262A"/>
    <w:rsid w:val="00FF5595"/>
    <w:rsid w:val="00FF5F87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E90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68AF"/>
    <w:rPr>
      <w:sz w:val="24"/>
      <w:szCs w:val="24"/>
    </w:rPr>
  </w:style>
  <w:style w:type="paragraph" w:styleId="Nadpis2">
    <w:name w:val="heading 2"/>
    <w:basedOn w:val="Normln"/>
    <w:next w:val="Normln"/>
    <w:qFormat/>
    <w:rsid w:val="00F16CC6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Verdana" w:hAnsi="Verdana"/>
      <w:b/>
      <w:b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A75DB"/>
    <w:rPr>
      <w:rFonts w:ascii="Verdana" w:hAnsi="Verdana"/>
      <w:b/>
      <w:bCs/>
      <w:sz w:val="22"/>
      <w:szCs w:val="21"/>
    </w:rPr>
  </w:style>
  <w:style w:type="paragraph" w:styleId="Zkladntext2">
    <w:name w:val="Body Text 2"/>
    <w:basedOn w:val="Normln"/>
    <w:rsid w:val="00344E25"/>
    <w:pPr>
      <w:spacing w:after="120" w:line="480" w:lineRule="auto"/>
    </w:pPr>
  </w:style>
  <w:style w:type="paragraph" w:styleId="Textbubliny">
    <w:name w:val="Balloon Text"/>
    <w:basedOn w:val="Normln"/>
    <w:semiHidden/>
    <w:rsid w:val="00344E25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1C527D"/>
  </w:style>
  <w:style w:type="character" w:customStyle="1" w:styleId="zprava1">
    <w:name w:val="zprava1"/>
    <w:rsid w:val="001C527D"/>
    <w:rPr>
      <w:vanish w:val="0"/>
      <w:webHidden w:val="0"/>
      <w:sz w:val="26"/>
      <w:szCs w:val="26"/>
      <w:specVanish w:val="0"/>
    </w:rPr>
  </w:style>
  <w:style w:type="paragraph" w:styleId="Zpat">
    <w:name w:val="footer"/>
    <w:basedOn w:val="Normln"/>
    <w:rsid w:val="0038544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8544B"/>
  </w:style>
  <w:style w:type="paragraph" w:styleId="Nzev">
    <w:name w:val="Title"/>
    <w:basedOn w:val="Normln"/>
    <w:qFormat/>
    <w:rsid w:val="00F16CC6"/>
    <w:pPr>
      <w:widowControl w:val="0"/>
      <w:autoSpaceDE w:val="0"/>
      <w:autoSpaceDN w:val="0"/>
      <w:adjustRightInd w:val="0"/>
      <w:jc w:val="center"/>
    </w:pPr>
    <w:rPr>
      <w:rFonts w:ascii="Verdana" w:hAnsi="Verdana"/>
      <w:b/>
      <w:bCs/>
      <w:szCs w:val="21"/>
    </w:rPr>
  </w:style>
  <w:style w:type="character" w:styleId="Odkaznakoment">
    <w:name w:val="annotation reference"/>
    <w:semiHidden/>
    <w:rsid w:val="00B65097"/>
    <w:rPr>
      <w:sz w:val="16"/>
      <w:szCs w:val="16"/>
    </w:rPr>
  </w:style>
  <w:style w:type="paragraph" w:styleId="Textkomente">
    <w:name w:val="annotation text"/>
    <w:basedOn w:val="Normln"/>
    <w:semiHidden/>
    <w:rsid w:val="00B6509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65097"/>
    <w:rPr>
      <w:b/>
      <w:bCs/>
    </w:rPr>
  </w:style>
  <w:style w:type="paragraph" w:customStyle="1" w:styleId="n00">
    <w:name w:val="n00"/>
    <w:basedOn w:val="Normln"/>
    <w:rsid w:val="00B37972"/>
    <w:pPr>
      <w:spacing w:before="120"/>
      <w:jc w:val="both"/>
    </w:pPr>
    <w:rPr>
      <w:sz w:val="26"/>
      <w:szCs w:val="20"/>
    </w:rPr>
  </w:style>
  <w:style w:type="character" w:customStyle="1" w:styleId="normodsazenChar">
    <w:name w:val="norm.odsazení Char"/>
    <w:link w:val="normodsazen"/>
    <w:locked/>
    <w:rsid w:val="00B37972"/>
    <w:rPr>
      <w:rFonts w:ascii="Arial" w:hAnsi="Arial" w:cs="Arial"/>
      <w:color w:val="000000"/>
    </w:rPr>
  </w:style>
  <w:style w:type="paragraph" w:customStyle="1" w:styleId="normodsazen">
    <w:name w:val="norm.odsazení"/>
    <w:basedOn w:val="Normln"/>
    <w:link w:val="normodsazenChar"/>
    <w:rsid w:val="00B37972"/>
    <w:pPr>
      <w:spacing w:before="100"/>
      <w:ind w:firstLine="425"/>
      <w:jc w:val="both"/>
    </w:pPr>
    <w:rPr>
      <w:rFonts w:ascii="Arial" w:hAnsi="Arial"/>
      <w:color w:val="000000"/>
      <w:sz w:val="20"/>
      <w:szCs w:val="20"/>
    </w:rPr>
  </w:style>
  <w:style w:type="character" w:customStyle="1" w:styleId="normodrpsmChar">
    <w:name w:val="norm.odráž.písm Char"/>
    <w:link w:val="normodrpsm"/>
    <w:locked/>
    <w:rsid w:val="00B37972"/>
    <w:rPr>
      <w:rFonts w:ascii="Arial" w:hAnsi="Arial" w:cs="Arial"/>
      <w:color w:val="000000"/>
    </w:rPr>
  </w:style>
  <w:style w:type="paragraph" w:customStyle="1" w:styleId="normodrpsm">
    <w:name w:val="norm.odráž.písm"/>
    <w:basedOn w:val="Normln"/>
    <w:link w:val="normodrpsmChar"/>
    <w:rsid w:val="00B37972"/>
    <w:pPr>
      <w:spacing w:before="100"/>
      <w:ind w:left="283" w:hanging="283"/>
      <w:jc w:val="both"/>
    </w:pPr>
    <w:rPr>
      <w:rFonts w:ascii="Arial" w:hAnsi="Arial"/>
      <w:color w:val="000000"/>
      <w:sz w:val="20"/>
      <w:szCs w:val="20"/>
    </w:rPr>
  </w:style>
  <w:style w:type="paragraph" w:styleId="Zkladntextodsazen">
    <w:name w:val="Body Text Indent"/>
    <w:basedOn w:val="Normln"/>
    <w:rsid w:val="00041C51"/>
    <w:pPr>
      <w:spacing w:after="120"/>
      <w:ind w:left="283"/>
    </w:pPr>
  </w:style>
  <w:style w:type="paragraph" w:styleId="Textpoznpodarou">
    <w:name w:val="footnote text"/>
    <w:basedOn w:val="Normln"/>
    <w:semiHidden/>
    <w:rsid w:val="00143F41"/>
    <w:rPr>
      <w:sz w:val="20"/>
      <w:szCs w:val="20"/>
    </w:rPr>
  </w:style>
  <w:style w:type="character" w:styleId="Znakapoznpodarou">
    <w:name w:val="footnote reference"/>
    <w:semiHidden/>
    <w:rsid w:val="00143F41"/>
    <w:rPr>
      <w:vertAlign w:val="superscript"/>
    </w:rPr>
  </w:style>
  <w:style w:type="paragraph" w:styleId="Zhlav">
    <w:name w:val="header"/>
    <w:basedOn w:val="Normln"/>
    <w:link w:val="ZhlavChar"/>
    <w:rsid w:val="00B534E1"/>
    <w:pPr>
      <w:tabs>
        <w:tab w:val="center" w:pos="4536"/>
        <w:tab w:val="right" w:pos="9072"/>
      </w:tabs>
    </w:pPr>
  </w:style>
  <w:style w:type="paragraph" w:customStyle="1" w:styleId="Textbodu">
    <w:name w:val="Text bodu"/>
    <w:basedOn w:val="Normln"/>
    <w:rsid w:val="0014585E"/>
    <w:pPr>
      <w:numPr>
        <w:ilvl w:val="2"/>
        <w:numId w:val="40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14585E"/>
    <w:pPr>
      <w:numPr>
        <w:ilvl w:val="1"/>
        <w:numId w:val="40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14585E"/>
    <w:pPr>
      <w:numPr>
        <w:numId w:val="40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910AF7"/>
    <w:pPr>
      <w:ind w:left="708"/>
    </w:pPr>
  </w:style>
  <w:style w:type="character" w:customStyle="1" w:styleId="ZhlavChar">
    <w:name w:val="Záhlaví Char"/>
    <w:link w:val="Zhlav"/>
    <w:rsid w:val="006A73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68AF"/>
    <w:rPr>
      <w:sz w:val="24"/>
      <w:szCs w:val="24"/>
    </w:rPr>
  </w:style>
  <w:style w:type="paragraph" w:styleId="Nadpis2">
    <w:name w:val="heading 2"/>
    <w:basedOn w:val="Normln"/>
    <w:next w:val="Normln"/>
    <w:qFormat/>
    <w:rsid w:val="00F16CC6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Verdana" w:hAnsi="Verdana"/>
      <w:b/>
      <w:b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A75DB"/>
    <w:rPr>
      <w:rFonts w:ascii="Verdana" w:hAnsi="Verdana"/>
      <w:b/>
      <w:bCs/>
      <w:sz w:val="22"/>
      <w:szCs w:val="21"/>
    </w:rPr>
  </w:style>
  <w:style w:type="paragraph" w:styleId="Zkladntext2">
    <w:name w:val="Body Text 2"/>
    <w:basedOn w:val="Normln"/>
    <w:rsid w:val="00344E25"/>
    <w:pPr>
      <w:spacing w:after="120" w:line="480" w:lineRule="auto"/>
    </w:pPr>
  </w:style>
  <w:style w:type="paragraph" w:styleId="Textbubliny">
    <w:name w:val="Balloon Text"/>
    <w:basedOn w:val="Normln"/>
    <w:semiHidden/>
    <w:rsid w:val="00344E25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1C527D"/>
  </w:style>
  <w:style w:type="character" w:customStyle="1" w:styleId="zprava1">
    <w:name w:val="zprava1"/>
    <w:rsid w:val="001C527D"/>
    <w:rPr>
      <w:vanish w:val="0"/>
      <w:webHidden w:val="0"/>
      <w:sz w:val="26"/>
      <w:szCs w:val="26"/>
      <w:specVanish w:val="0"/>
    </w:rPr>
  </w:style>
  <w:style w:type="paragraph" w:styleId="Zpat">
    <w:name w:val="footer"/>
    <w:basedOn w:val="Normln"/>
    <w:rsid w:val="0038544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8544B"/>
  </w:style>
  <w:style w:type="paragraph" w:styleId="Nzev">
    <w:name w:val="Title"/>
    <w:basedOn w:val="Normln"/>
    <w:qFormat/>
    <w:rsid w:val="00F16CC6"/>
    <w:pPr>
      <w:widowControl w:val="0"/>
      <w:autoSpaceDE w:val="0"/>
      <w:autoSpaceDN w:val="0"/>
      <w:adjustRightInd w:val="0"/>
      <w:jc w:val="center"/>
    </w:pPr>
    <w:rPr>
      <w:rFonts w:ascii="Verdana" w:hAnsi="Verdana"/>
      <w:b/>
      <w:bCs/>
      <w:szCs w:val="21"/>
    </w:rPr>
  </w:style>
  <w:style w:type="character" w:styleId="Odkaznakoment">
    <w:name w:val="annotation reference"/>
    <w:semiHidden/>
    <w:rsid w:val="00B65097"/>
    <w:rPr>
      <w:sz w:val="16"/>
      <w:szCs w:val="16"/>
    </w:rPr>
  </w:style>
  <w:style w:type="paragraph" w:styleId="Textkomente">
    <w:name w:val="annotation text"/>
    <w:basedOn w:val="Normln"/>
    <w:semiHidden/>
    <w:rsid w:val="00B6509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65097"/>
    <w:rPr>
      <w:b/>
      <w:bCs/>
    </w:rPr>
  </w:style>
  <w:style w:type="paragraph" w:customStyle="1" w:styleId="n00">
    <w:name w:val="n00"/>
    <w:basedOn w:val="Normln"/>
    <w:rsid w:val="00B37972"/>
    <w:pPr>
      <w:spacing w:before="120"/>
      <w:jc w:val="both"/>
    </w:pPr>
    <w:rPr>
      <w:sz w:val="26"/>
      <w:szCs w:val="20"/>
    </w:rPr>
  </w:style>
  <w:style w:type="character" w:customStyle="1" w:styleId="normodsazenChar">
    <w:name w:val="norm.odsazení Char"/>
    <w:link w:val="normodsazen"/>
    <w:locked/>
    <w:rsid w:val="00B37972"/>
    <w:rPr>
      <w:rFonts w:ascii="Arial" w:hAnsi="Arial" w:cs="Arial"/>
      <w:color w:val="000000"/>
    </w:rPr>
  </w:style>
  <w:style w:type="paragraph" w:customStyle="1" w:styleId="normodsazen">
    <w:name w:val="norm.odsazení"/>
    <w:basedOn w:val="Normln"/>
    <w:link w:val="normodsazenChar"/>
    <w:rsid w:val="00B37972"/>
    <w:pPr>
      <w:spacing w:before="100"/>
      <w:ind w:firstLine="425"/>
      <w:jc w:val="both"/>
    </w:pPr>
    <w:rPr>
      <w:rFonts w:ascii="Arial" w:hAnsi="Arial"/>
      <w:color w:val="000000"/>
      <w:sz w:val="20"/>
      <w:szCs w:val="20"/>
    </w:rPr>
  </w:style>
  <w:style w:type="character" w:customStyle="1" w:styleId="normodrpsmChar">
    <w:name w:val="norm.odráž.písm Char"/>
    <w:link w:val="normodrpsm"/>
    <w:locked/>
    <w:rsid w:val="00B37972"/>
    <w:rPr>
      <w:rFonts w:ascii="Arial" w:hAnsi="Arial" w:cs="Arial"/>
      <w:color w:val="000000"/>
    </w:rPr>
  </w:style>
  <w:style w:type="paragraph" w:customStyle="1" w:styleId="normodrpsm">
    <w:name w:val="norm.odráž.písm"/>
    <w:basedOn w:val="Normln"/>
    <w:link w:val="normodrpsmChar"/>
    <w:rsid w:val="00B37972"/>
    <w:pPr>
      <w:spacing w:before="100"/>
      <w:ind w:left="283" w:hanging="283"/>
      <w:jc w:val="both"/>
    </w:pPr>
    <w:rPr>
      <w:rFonts w:ascii="Arial" w:hAnsi="Arial"/>
      <w:color w:val="000000"/>
      <w:sz w:val="20"/>
      <w:szCs w:val="20"/>
    </w:rPr>
  </w:style>
  <w:style w:type="paragraph" w:styleId="Zkladntextodsazen">
    <w:name w:val="Body Text Indent"/>
    <w:basedOn w:val="Normln"/>
    <w:rsid w:val="00041C51"/>
    <w:pPr>
      <w:spacing w:after="120"/>
      <w:ind w:left="283"/>
    </w:pPr>
  </w:style>
  <w:style w:type="paragraph" w:styleId="Textpoznpodarou">
    <w:name w:val="footnote text"/>
    <w:basedOn w:val="Normln"/>
    <w:semiHidden/>
    <w:rsid w:val="00143F41"/>
    <w:rPr>
      <w:sz w:val="20"/>
      <w:szCs w:val="20"/>
    </w:rPr>
  </w:style>
  <w:style w:type="character" w:styleId="Znakapoznpodarou">
    <w:name w:val="footnote reference"/>
    <w:semiHidden/>
    <w:rsid w:val="00143F41"/>
    <w:rPr>
      <w:vertAlign w:val="superscript"/>
    </w:rPr>
  </w:style>
  <w:style w:type="paragraph" w:styleId="Zhlav">
    <w:name w:val="header"/>
    <w:basedOn w:val="Normln"/>
    <w:link w:val="ZhlavChar"/>
    <w:rsid w:val="00B534E1"/>
    <w:pPr>
      <w:tabs>
        <w:tab w:val="center" w:pos="4536"/>
        <w:tab w:val="right" w:pos="9072"/>
      </w:tabs>
    </w:pPr>
  </w:style>
  <w:style w:type="paragraph" w:customStyle="1" w:styleId="Textbodu">
    <w:name w:val="Text bodu"/>
    <w:basedOn w:val="Normln"/>
    <w:rsid w:val="0014585E"/>
    <w:pPr>
      <w:numPr>
        <w:ilvl w:val="2"/>
        <w:numId w:val="40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14585E"/>
    <w:pPr>
      <w:numPr>
        <w:ilvl w:val="1"/>
        <w:numId w:val="40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14585E"/>
    <w:pPr>
      <w:numPr>
        <w:numId w:val="40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910AF7"/>
    <w:pPr>
      <w:ind w:left="708"/>
    </w:pPr>
  </w:style>
  <w:style w:type="character" w:customStyle="1" w:styleId="ZhlavChar">
    <w:name w:val="Záhlaví Char"/>
    <w:link w:val="Zhlav"/>
    <w:rsid w:val="006A73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CB025-2C01-41AA-BDCC-578D6FD3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4557</Words>
  <Characters>26893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Výsledek hospodaření v účetnictví</vt:lpstr>
    </vt:vector>
  </TitlesOfParts>
  <Company>Ministerstvo financí</Company>
  <LinksUpToDate>false</LinksUpToDate>
  <CharactersWithSpaces>31388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Výsledek hospodaření v účetnictví</dc:title>
  <dc:creator>MF</dc:creator>
  <cp:lastModifiedBy>Grünerová Markéta Ing.</cp:lastModifiedBy>
  <cp:revision>12</cp:revision>
  <cp:lastPrinted>2012-06-06T15:31:00Z</cp:lastPrinted>
  <dcterms:created xsi:type="dcterms:W3CDTF">2014-01-08T11:45:00Z</dcterms:created>
  <dcterms:modified xsi:type="dcterms:W3CDTF">2014-02-19T15:49:00Z</dcterms:modified>
</cp:coreProperties>
</file>