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D8A" w:rsidRPr="005D5808" w:rsidRDefault="009B3D8A" w:rsidP="005D5808">
      <w:pPr>
        <w:pStyle w:val="Zkladntext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B3D8A" w:rsidRPr="005D5808" w:rsidRDefault="00B90E0B" w:rsidP="005D5808">
      <w:pPr>
        <w:pStyle w:val="Zkladntext"/>
        <w:jc w:val="center"/>
        <w:rPr>
          <w:rFonts w:ascii="Times New Roman" w:hAnsi="Times New Roman"/>
          <w:sz w:val="24"/>
          <w:szCs w:val="24"/>
        </w:rPr>
      </w:pPr>
      <w:r w:rsidRPr="005D5808">
        <w:rPr>
          <w:rFonts w:ascii="Times New Roman" w:hAnsi="Times New Roman"/>
          <w:sz w:val="24"/>
          <w:szCs w:val="24"/>
        </w:rPr>
        <w:t xml:space="preserve">Český účetní standard pro některé vybrané účetní jednotky č. 702 </w:t>
      </w:r>
    </w:p>
    <w:p w:rsidR="009B3D8A" w:rsidRPr="005D5808" w:rsidRDefault="009B3D8A" w:rsidP="005D5808">
      <w:pPr>
        <w:pStyle w:val="Zkladntext"/>
        <w:jc w:val="center"/>
        <w:rPr>
          <w:rFonts w:ascii="Times New Roman" w:hAnsi="Times New Roman"/>
          <w:sz w:val="24"/>
          <w:szCs w:val="24"/>
        </w:rPr>
      </w:pPr>
    </w:p>
    <w:p w:rsidR="009B3D8A" w:rsidRPr="005D5808" w:rsidRDefault="00B90E0B" w:rsidP="005D5808">
      <w:pPr>
        <w:pStyle w:val="Zkladntext"/>
        <w:jc w:val="center"/>
        <w:rPr>
          <w:rFonts w:ascii="Times New Roman" w:hAnsi="Times New Roman"/>
          <w:sz w:val="24"/>
          <w:szCs w:val="24"/>
        </w:rPr>
      </w:pPr>
      <w:r w:rsidRPr="005D5808">
        <w:rPr>
          <w:rFonts w:ascii="Times New Roman" w:hAnsi="Times New Roman"/>
          <w:sz w:val="24"/>
          <w:szCs w:val="24"/>
        </w:rPr>
        <w:t xml:space="preserve">Otevírání a uzavírání účetních knih </w:t>
      </w:r>
    </w:p>
    <w:p w:rsidR="009B3D8A" w:rsidRDefault="009B3D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9B3D8A" w:rsidRPr="005D5808" w:rsidRDefault="00B90E0B" w:rsidP="005D58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580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1. Cíl </w:t>
      </w:r>
    </w:p>
    <w:p w:rsidR="009B3D8A" w:rsidRDefault="009B3D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9B3D8A" w:rsidRDefault="00B90E0B" w:rsidP="005D5808">
      <w:pPr>
        <w:pStyle w:val="Zkladntext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Cílem tohoto standardu je v souladu se zákonem č. </w:t>
      </w:r>
      <w:hyperlink r:id="rId5" w:history="1">
        <w:r w:rsidRPr="005D5808">
          <w:rPr>
            <w:rFonts w:ascii="Times New Roman" w:hAnsi="Times New Roman"/>
            <w:b w:val="0"/>
            <w:bCs w:val="0"/>
            <w:sz w:val="24"/>
            <w:szCs w:val="24"/>
          </w:rPr>
          <w:t>563/1991 Sb.</w:t>
        </w:r>
      </w:hyperlink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, o účetnictví, ve znění pozdějších předpisů (dále jen „zákon“) a vyhláškou č. </w:t>
      </w:r>
      <w:hyperlink r:id="rId6" w:history="1">
        <w:r w:rsidRPr="005D5808">
          <w:rPr>
            <w:rFonts w:ascii="Times New Roman" w:hAnsi="Times New Roman"/>
            <w:b w:val="0"/>
            <w:bCs w:val="0"/>
            <w:sz w:val="24"/>
            <w:szCs w:val="24"/>
          </w:rPr>
          <w:t>410/2009 Sb.</w:t>
        </w:r>
      </w:hyperlink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, kterou se provádějí některá ustanovení zákona č. </w:t>
      </w:r>
      <w:hyperlink r:id="rId7" w:history="1">
        <w:r w:rsidRPr="005D5808">
          <w:rPr>
            <w:rFonts w:ascii="Times New Roman" w:hAnsi="Times New Roman"/>
            <w:b w:val="0"/>
            <w:bCs w:val="0"/>
            <w:sz w:val="24"/>
            <w:szCs w:val="24"/>
          </w:rPr>
          <w:t>563/1991 Sb.</w:t>
        </w:r>
      </w:hyperlink>
      <w:r w:rsidRPr="005D5808">
        <w:rPr>
          <w:rFonts w:ascii="Times New Roman" w:hAnsi="Times New Roman"/>
          <w:b w:val="0"/>
          <w:bCs w:val="0"/>
          <w:sz w:val="24"/>
          <w:szCs w:val="24"/>
        </w:rPr>
        <w:t>, o účetnictví, ve znění pozdějších předpisů, pro některé vybrané účetní jednotky (dále jen „vyhláška“) stanovit základní postupy účtování při otevírání a uzavírání účetních knih za účelem docílení souladu při používání účetních metod účetními jednotkami.</w:t>
      </w:r>
      <w:r>
        <w:rPr>
          <w:rFonts w:ascii="Arial" w:hAnsi="Arial" w:cs="Arial"/>
          <w:sz w:val="16"/>
          <w:szCs w:val="16"/>
        </w:rPr>
        <w:t xml:space="preserve"> </w:t>
      </w:r>
    </w:p>
    <w:p w:rsidR="005D5808" w:rsidRDefault="005D5808" w:rsidP="005D5808">
      <w:pPr>
        <w:pStyle w:val="Zkladntext"/>
        <w:jc w:val="both"/>
        <w:rPr>
          <w:rFonts w:ascii="Arial" w:hAnsi="Arial" w:cs="Arial"/>
          <w:sz w:val="16"/>
          <w:szCs w:val="16"/>
        </w:rPr>
      </w:pPr>
    </w:p>
    <w:p w:rsidR="009B3D8A" w:rsidRDefault="00B90E0B" w:rsidP="005D580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 w:rsidRPr="005D5808">
        <w:rPr>
          <w:rFonts w:ascii="Times New Roman" w:eastAsia="Times New Roman" w:hAnsi="Times New Roman" w:cs="Times New Roman"/>
          <w:b/>
          <w:sz w:val="24"/>
          <w:szCs w:val="24"/>
        </w:rPr>
        <w:t>2. Postup při otevírání a uzavírání účetních knih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9B3D8A" w:rsidRDefault="009B3D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ab/>
        <w:t xml:space="preserve">Při otevírání a uzavírání účetních knih postupují účetní jednotky v souladu s ustanoveními </w:t>
      </w:r>
      <w:hyperlink r:id="rId8" w:history="1">
        <w:r w:rsidRPr="005D5808">
          <w:rPr>
            <w:rFonts w:ascii="Times New Roman" w:hAnsi="Times New Roman"/>
            <w:b w:val="0"/>
            <w:bCs w:val="0"/>
            <w:sz w:val="24"/>
            <w:szCs w:val="24"/>
          </w:rPr>
          <w:t>§ 17 zákona</w:t>
        </w:r>
      </w:hyperlink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.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ab/>
        <w:t xml:space="preserve">2.1. Otevírání účetních knih je činnost, při níž </w:t>
      </w:r>
      <w:proofErr w:type="gramStart"/>
      <w:r w:rsidRPr="005D5808">
        <w:rPr>
          <w:rFonts w:ascii="Times New Roman" w:hAnsi="Times New Roman"/>
          <w:b w:val="0"/>
          <w:bCs w:val="0"/>
          <w:sz w:val="24"/>
          <w:szCs w:val="24"/>
        </w:rPr>
        <w:t>se v souladu</w:t>
      </w:r>
      <w:proofErr w:type="gram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s ustanoveními zákona: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a) účty hlavní knihy otevírají účetními zápisy,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b) stavy jednotlivých rozvahových položek (aktiva a pasiva) účtu 491 - Počáteční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navazují na stavy jednotlivých rozvahových položek (aktiva a pasiva) vykázané na účtu 492 - Konečný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c) účetními zápisy na stranu MÁ DÁTI účtu 491 - Počáteční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a na stranu DAL příslušných nově otevíraných účtů pasiv a účetními zápisy na stranu DAL účtu 491 - Počáteční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a na stranu MÁ DÁTI příslušných nově otevíraných účtů aktiv se zaúčtují jejich počáteční zůstatky,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d) zisk, popř. ztráta plynoucí z činností některých vybraných účetních jednotek (hlavní a hospodářské činnosti), zaúčtovaný na stranu DAL, popř. na stranu MÁ DÁTI účtu 492 - Konečný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se při otevírání účtů hlavní knihy </w:t>
      </w:r>
      <w:proofErr w:type="gramStart"/>
      <w:r w:rsidRPr="005D5808">
        <w:rPr>
          <w:rFonts w:ascii="Times New Roman" w:hAnsi="Times New Roman"/>
          <w:b w:val="0"/>
          <w:bCs w:val="0"/>
          <w:sz w:val="24"/>
          <w:szCs w:val="24"/>
        </w:rPr>
        <w:t>zaúčtuje</w:t>
      </w:r>
      <w:proofErr w:type="gram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na stranu </w:t>
      </w:r>
      <w:proofErr w:type="gramStart"/>
      <w:r w:rsidRPr="005D5808">
        <w:rPr>
          <w:rFonts w:ascii="Times New Roman" w:hAnsi="Times New Roman"/>
          <w:b w:val="0"/>
          <w:bCs w:val="0"/>
          <w:sz w:val="24"/>
          <w:szCs w:val="24"/>
        </w:rPr>
        <w:t>DAL</w:t>
      </w:r>
      <w:proofErr w:type="gram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, příp. na stranu MÁ DÁTI účtu 431 - Výsledek hospodaření ve schvalovacím řízení se souvztažným zápisem na stranu MÁ DÁTI, příp. na stranu DAL účtu 491 - Počáteční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e) rozdíl příjmů a výdajů (499 - Zúčtování na základě zvláštních předpisů) zaúčtovaný na stranu MÁ DÁTI nebo na stranu DAL účtu 492 - Konečný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se při otevírání účtů hlavní knihy </w:t>
      </w:r>
      <w:proofErr w:type="gramStart"/>
      <w:r w:rsidRPr="005D5808">
        <w:rPr>
          <w:rFonts w:ascii="Times New Roman" w:hAnsi="Times New Roman"/>
          <w:b w:val="0"/>
          <w:bCs w:val="0"/>
          <w:sz w:val="24"/>
          <w:szCs w:val="24"/>
        </w:rPr>
        <w:t>zaúčtuje</w:t>
      </w:r>
      <w:proofErr w:type="gram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na stranu </w:t>
      </w:r>
      <w:proofErr w:type="gramStart"/>
      <w:r w:rsidRPr="005D5808">
        <w:rPr>
          <w:rFonts w:ascii="Times New Roman" w:hAnsi="Times New Roman"/>
          <w:b w:val="0"/>
          <w:bCs w:val="0"/>
          <w:sz w:val="24"/>
          <w:szCs w:val="24"/>
        </w:rPr>
        <w:t>MÁ</w:t>
      </w:r>
      <w:proofErr w:type="gram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DÁTI nebo na stranu DAL účtu 404 - Agregované příjmy a výdaje minulých let.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ab/>
        <w:t xml:space="preserve">2.2. Uzavírání účetních knih je činnost, při níž </w:t>
      </w:r>
      <w:proofErr w:type="gramStart"/>
      <w:r w:rsidRPr="005D5808">
        <w:rPr>
          <w:rFonts w:ascii="Times New Roman" w:hAnsi="Times New Roman"/>
          <w:b w:val="0"/>
          <w:bCs w:val="0"/>
          <w:sz w:val="24"/>
          <w:szCs w:val="24"/>
        </w:rPr>
        <w:t>se v souladu</w:t>
      </w:r>
      <w:proofErr w:type="gram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s ustanoveními zákona: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a) </w:t>
      </w:r>
      <w:proofErr w:type="gramStart"/>
      <w:r w:rsidRPr="005D5808">
        <w:rPr>
          <w:rFonts w:ascii="Times New Roman" w:hAnsi="Times New Roman"/>
          <w:b w:val="0"/>
          <w:bCs w:val="0"/>
          <w:sz w:val="24"/>
          <w:szCs w:val="24"/>
        </w:rPr>
        <w:t>zjišťují</w:t>
      </w:r>
      <w:proofErr w:type="gram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obraty stran </w:t>
      </w:r>
      <w:proofErr w:type="gramStart"/>
      <w:r w:rsidRPr="005D5808">
        <w:rPr>
          <w:rFonts w:ascii="Times New Roman" w:hAnsi="Times New Roman"/>
          <w:b w:val="0"/>
          <w:bCs w:val="0"/>
          <w:sz w:val="24"/>
          <w:szCs w:val="24"/>
        </w:rPr>
        <w:t>MÁ</w:t>
      </w:r>
      <w:proofErr w:type="gram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DÁTI a DAL jednotlivých syntetických účtů, analytických účtů a podrozvahových účtů,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b) zjišťují konečné zůstatky aktivních a pasivních účtů a konečné stavy účtů nákladů a výnosů,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lastRenderedPageBreak/>
        <w:t xml:space="preserve">c) u hlavní i hospodářské činnosti se převádí nákladové a výnosové účty na účet 493 - Výsledek hospodaření běžného účetního období,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d) provede se převod konečného zůstatku účtu 222 - Příjmový účet organizačních složek státu a konečného zůstatku účtu 223 - Zvláštní výdajový účet a v případě Ministerstva financí konečného zůstatku účtu, na kterém je zobrazen schodek nebo přebytek státního rozpočtu, na účet 499 Zúčtování na základě zvláštních předpisů,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e) konečné zůstatky účtů aktiv a pasiv se převedou na účet 492 - Konečný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f) konečné zůstatky účtů 493 - Výsledek hospodaření běžného účetního období a 499 - Zúčtování na základě zvláštních předpisů se převedou na účet 492 - Konečný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. </w:t>
      </w:r>
    </w:p>
    <w:p w:rsidR="005D5808" w:rsidRPr="005D5808" w:rsidRDefault="005D5808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9B3D8A" w:rsidRDefault="00B90E0B" w:rsidP="005D580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 w:rsidRPr="005D5808">
        <w:rPr>
          <w:rFonts w:ascii="Times New Roman" w:eastAsia="Times New Roman" w:hAnsi="Times New Roman" w:cs="Times New Roman"/>
          <w:b/>
          <w:sz w:val="24"/>
          <w:szCs w:val="24"/>
        </w:rPr>
        <w:t>3. Postup účetní jednotky k 1. lednu 2010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9B3D8A" w:rsidRDefault="009B3D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ab/>
        <w:t xml:space="preserve">3.1. Účetní jednotka uzavírá účetní knihy k 31. prosinci 2009 v souladu s příslušnými ustanoveními vyhlášky č. </w:t>
      </w:r>
      <w:hyperlink r:id="rId9" w:history="1">
        <w:r w:rsidRPr="005D5808">
          <w:rPr>
            <w:rFonts w:ascii="Times New Roman" w:hAnsi="Times New Roman"/>
            <w:b w:val="0"/>
            <w:bCs w:val="0"/>
            <w:sz w:val="24"/>
            <w:szCs w:val="24"/>
          </w:rPr>
          <w:t>505/2002 Sb.</w:t>
        </w:r>
      </w:hyperlink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, ve znění pozdějších předpisů a Českého účetního standardu č. 502 - Otevírání a uzavírání účetních knih1).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ab/>
        <w:t xml:space="preserve">3.2. Účetní jednotka k 1. lednu 2010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a) sestaví účtový rozvrh podle </w:t>
      </w:r>
      <w:hyperlink r:id="rId10" w:history="1">
        <w:r w:rsidRPr="005D5808">
          <w:rPr>
            <w:rFonts w:ascii="Times New Roman" w:hAnsi="Times New Roman"/>
            <w:b w:val="0"/>
            <w:bCs w:val="0"/>
            <w:sz w:val="24"/>
            <w:szCs w:val="24"/>
          </w:rPr>
          <w:t>§ 78 vyhlášky</w:t>
        </w:r>
      </w:hyperlink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b) stanoví převodový můstek v souladu se vzorem uvedeným v příloze tohoto standardu a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c) otevře účetní knihy v souladu s příslušnými ustanoveními vyhlášky a Českými účetními standardy účinnými k 1. lednu 2010.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ab/>
        <w:t xml:space="preserve">3.3. Při otevření účetních knih k 1. lednu 2010 musí navazovat stavy jednotlivých rozvahových položek (aktiva a pasiva) účtu 491 - Počáteční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na stav účtu 962 - Konečný účet </w:t>
      </w:r>
      <w:proofErr w:type="spellStart"/>
      <w:r w:rsidRPr="005D5808">
        <w:rPr>
          <w:rFonts w:ascii="Times New Roman" w:hAnsi="Times New Roman"/>
          <w:b w:val="0"/>
          <w:bCs w:val="0"/>
          <w:sz w:val="24"/>
          <w:szCs w:val="24"/>
        </w:rPr>
        <w:t>rozvažný</w:t>
      </w:r>
      <w:proofErr w:type="spellEnd"/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, a to v souladu s převodovým můstkem, zajišťujícím též bilanční kontinuitu. </w:t>
      </w: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D580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B3D8A" w:rsidRDefault="00B90E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_______________</w:t>
      </w:r>
    </w:p>
    <w:p w:rsidR="009B3D8A" w:rsidRDefault="009B3D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B3D8A" w:rsidRPr="005D5808" w:rsidRDefault="00B90E0B" w:rsidP="005D5808">
      <w:pPr>
        <w:pStyle w:val="Zkladntext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5D5808">
        <w:rPr>
          <w:rFonts w:ascii="Times New Roman" w:hAnsi="Times New Roman"/>
          <w:b w:val="0"/>
          <w:bCs w:val="0"/>
          <w:sz w:val="20"/>
          <w:szCs w:val="20"/>
        </w:rPr>
        <w:tab/>
        <w:t xml:space="preserve">1) Český účetní standard č. 502 - Otevírání a uzavírání účetních knih, pro účetní jednotky, které účtují podle vyhlášky č. </w:t>
      </w:r>
      <w:hyperlink r:id="rId11" w:history="1">
        <w:r w:rsidRPr="005D5808">
          <w:rPr>
            <w:rFonts w:ascii="Times New Roman" w:hAnsi="Times New Roman"/>
            <w:b w:val="0"/>
            <w:bCs w:val="0"/>
            <w:sz w:val="20"/>
            <w:szCs w:val="20"/>
          </w:rPr>
          <w:t>505/2002 Sb.</w:t>
        </w:r>
      </w:hyperlink>
      <w:r w:rsidRPr="005D5808">
        <w:rPr>
          <w:rFonts w:ascii="Times New Roman" w:hAnsi="Times New Roman"/>
          <w:b w:val="0"/>
          <w:bCs w:val="0"/>
          <w:sz w:val="20"/>
          <w:szCs w:val="20"/>
        </w:rPr>
        <w:t xml:space="preserve">, ve znění pozdějších předpisů, zveřejněný pod č. 50 ve Finančním zpravodaji č. 11-12/2/2003 ze dne </w:t>
      </w:r>
      <w:proofErr w:type="gramStart"/>
      <w:r w:rsidRPr="005D5808">
        <w:rPr>
          <w:rFonts w:ascii="Times New Roman" w:hAnsi="Times New Roman"/>
          <w:b w:val="0"/>
          <w:bCs w:val="0"/>
          <w:sz w:val="20"/>
          <w:szCs w:val="20"/>
        </w:rPr>
        <w:t>31.12.2003</w:t>
      </w:r>
      <w:proofErr w:type="gramEnd"/>
      <w:r w:rsidRPr="005D5808">
        <w:rPr>
          <w:rFonts w:ascii="Times New Roman" w:hAnsi="Times New Roman"/>
          <w:b w:val="0"/>
          <w:bCs w:val="0"/>
          <w:sz w:val="20"/>
          <w:szCs w:val="20"/>
        </w:rPr>
        <w:t xml:space="preserve">, ve znění změn a oprav. </w:t>
      </w:r>
    </w:p>
    <w:p w:rsidR="009B3D8A" w:rsidRDefault="009B3D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9B3D8A" w:rsidRPr="005D5808" w:rsidRDefault="00B90E0B" w:rsidP="005D58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 w:rsidRPr="005D5808">
        <w:rPr>
          <w:rFonts w:ascii="Times New Roman" w:eastAsia="Times New Roman" w:hAnsi="Times New Roman" w:cs="Times New Roman"/>
          <w:b/>
          <w:sz w:val="24"/>
          <w:szCs w:val="24"/>
        </w:rPr>
        <w:t xml:space="preserve">Příloha: Vzor převodového můstku k 1. lednu 2010 </w:t>
      </w:r>
    </w:p>
    <w:p w:rsidR="009B3D8A" w:rsidRPr="005D5808" w:rsidRDefault="009B3D8A" w:rsidP="005D58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3D8A" w:rsidRPr="005D5808" w:rsidRDefault="00B90E0B" w:rsidP="005D58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580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Převodový můstek </w:t>
      </w:r>
    </w:p>
    <w:p w:rsidR="009B3D8A" w:rsidRDefault="009B3D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9B3D8A" w:rsidRPr="005D5808" w:rsidRDefault="00B90E0B" w:rsidP="005D58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" w:hAnsi="Courier" w:cs="Courier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9B3D8A" w:rsidRPr="005D5808">
      <w:pgSz w:w="11907" w:h="16840"/>
      <w:pgMar w:top="1418" w:right="1418" w:bottom="1418" w:left="141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0B"/>
    <w:rsid w:val="005D5808"/>
    <w:rsid w:val="006E4DCC"/>
    <w:rsid w:val="009B3D8A"/>
    <w:rsid w:val="00B9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5D5808"/>
    <w:pPr>
      <w:spacing w:after="0" w:line="240" w:lineRule="auto"/>
    </w:pPr>
    <w:rPr>
      <w:rFonts w:ascii="Verdana" w:eastAsia="Times New Roman" w:hAnsi="Verdana" w:cs="Times New Roman"/>
      <w:b/>
      <w:bCs/>
      <w:szCs w:val="21"/>
    </w:rPr>
  </w:style>
  <w:style w:type="character" w:customStyle="1" w:styleId="ZkladntextChar">
    <w:name w:val="Základní text Char"/>
    <w:basedOn w:val="Standardnpsmoodstavce"/>
    <w:link w:val="Zkladntext"/>
    <w:rsid w:val="005D5808"/>
    <w:rPr>
      <w:rFonts w:ascii="Verdana" w:eastAsia="Times New Roman" w:hAnsi="Verdana" w:cs="Times New Roman"/>
      <w:b/>
      <w:bCs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5D5808"/>
    <w:pPr>
      <w:spacing w:after="0" w:line="240" w:lineRule="auto"/>
    </w:pPr>
    <w:rPr>
      <w:rFonts w:ascii="Verdana" w:eastAsia="Times New Roman" w:hAnsi="Verdana" w:cs="Times New Roman"/>
      <w:b/>
      <w:bCs/>
      <w:szCs w:val="21"/>
    </w:rPr>
  </w:style>
  <w:style w:type="character" w:customStyle="1" w:styleId="ZkladntextChar">
    <w:name w:val="Základní text Char"/>
    <w:basedOn w:val="Standardnpsmoodstavce"/>
    <w:link w:val="Zkladntext"/>
    <w:rsid w:val="005D5808"/>
    <w:rPr>
      <w:rFonts w:ascii="Verdana" w:eastAsia="Times New Roman" w:hAnsi="Verdana" w:cs="Times New Roman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563/1991%20Sb.%252317'&amp;ucin-k-dni='30.12.9999'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563/1991%20Sb.%2523'&amp;ucin-k-dni='30.12.9999'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spi://module='ASPI'&amp;link='410/2009%20Sb.%2523'&amp;ucin-k-dni='30.12.9999'" TargetMode="External"/><Relationship Id="rId11" Type="http://schemas.openxmlformats.org/officeDocument/2006/relationships/hyperlink" Target="aspi://module='ASPI'&amp;link='505/2002%20Sb.%2523'&amp;ucin-k-dni='30.12.9999'" TargetMode="External"/><Relationship Id="rId5" Type="http://schemas.openxmlformats.org/officeDocument/2006/relationships/hyperlink" Target="aspi://module='ASPI'&amp;link='563/1991%20Sb.%2523'&amp;ucin-k-dni='30.12.9999'" TargetMode="External"/><Relationship Id="rId10" Type="http://schemas.openxmlformats.org/officeDocument/2006/relationships/hyperlink" Target="aspi://module='ASPI'&amp;link='410/2009%20Sb.%252378'&amp;ucin-k-dni='30.12.9999'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505/2002%20Sb.%2523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725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Grünerová Markéta Ing.</cp:lastModifiedBy>
  <cp:revision>4</cp:revision>
  <dcterms:created xsi:type="dcterms:W3CDTF">2014-02-03T09:47:00Z</dcterms:created>
  <dcterms:modified xsi:type="dcterms:W3CDTF">2014-02-19T15:46:00Z</dcterms:modified>
</cp:coreProperties>
</file>