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1DA0E8" w14:textId="77777777" w:rsidR="009F019E" w:rsidRPr="00AA409D" w:rsidRDefault="009F019E" w:rsidP="009F019E">
      <w:pPr>
        <w:pStyle w:val="Zkladntext"/>
        <w:jc w:val="center"/>
        <w:rPr>
          <w:rFonts w:ascii="Times New Roman" w:hAnsi="Times New Roman"/>
          <w:bCs w:val="0"/>
          <w:sz w:val="24"/>
          <w:szCs w:val="24"/>
        </w:rPr>
      </w:pPr>
      <w:bookmarkStart w:id="0" w:name="_GoBack"/>
      <w:bookmarkEnd w:id="0"/>
      <w:r w:rsidRPr="00AA409D">
        <w:rPr>
          <w:rFonts w:ascii="Times New Roman" w:hAnsi="Times New Roman"/>
          <w:sz w:val="24"/>
          <w:szCs w:val="24"/>
        </w:rPr>
        <w:t xml:space="preserve">Český účetní standard </w:t>
      </w:r>
      <w:r w:rsidRPr="00AA409D">
        <w:rPr>
          <w:rFonts w:ascii="Times New Roman" w:hAnsi="Times New Roman"/>
          <w:bCs w:val="0"/>
          <w:sz w:val="24"/>
          <w:szCs w:val="24"/>
        </w:rPr>
        <w:t>pro některé vybrané účetní jednotky</w:t>
      </w:r>
    </w:p>
    <w:p w14:paraId="07B2BB6D" w14:textId="77777777" w:rsidR="009F019E" w:rsidRPr="00AA409D" w:rsidRDefault="009F019E" w:rsidP="009F019E">
      <w:pPr>
        <w:pStyle w:val="Zkladntext"/>
        <w:jc w:val="center"/>
        <w:rPr>
          <w:rFonts w:ascii="Times New Roman" w:hAnsi="Times New Roman"/>
          <w:bCs w:val="0"/>
          <w:sz w:val="24"/>
          <w:szCs w:val="24"/>
        </w:rPr>
      </w:pPr>
    </w:p>
    <w:p w14:paraId="6ECD0196" w14:textId="77777777" w:rsidR="009F019E" w:rsidRPr="005A4C61" w:rsidRDefault="009F019E" w:rsidP="005A4C61">
      <w:pPr>
        <w:pStyle w:val="Zkladntext"/>
        <w:jc w:val="center"/>
        <w:rPr>
          <w:rFonts w:ascii="Times New Roman" w:hAnsi="Times New Roman"/>
          <w:sz w:val="24"/>
          <w:szCs w:val="24"/>
        </w:rPr>
      </w:pPr>
      <w:r w:rsidRPr="005A4C61">
        <w:rPr>
          <w:rFonts w:ascii="Times New Roman" w:hAnsi="Times New Roman"/>
          <w:sz w:val="24"/>
          <w:szCs w:val="24"/>
        </w:rPr>
        <w:t>č. 703</w:t>
      </w:r>
    </w:p>
    <w:p w14:paraId="49C2D226" w14:textId="77777777" w:rsidR="009F019E" w:rsidRPr="005A4C61" w:rsidRDefault="009F019E" w:rsidP="005A4C61">
      <w:pPr>
        <w:pStyle w:val="Zkladntext"/>
        <w:jc w:val="center"/>
        <w:rPr>
          <w:rFonts w:ascii="Times New Roman" w:hAnsi="Times New Roman"/>
          <w:sz w:val="24"/>
          <w:szCs w:val="24"/>
        </w:rPr>
      </w:pPr>
    </w:p>
    <w:p w14:paraId="5204E2FB" w14:textId="77777777" w:rsidR="009F019E" w:rsidRPr="005A4C61" w:rsidRDefault="009F019E" w:rsidP="005A4C61">
      <w:pPr>
        <w:pStyle w:val="Zkladntext"/>
        <w:jc w:val="center"/>
        <w:rPr>
          <w:rFonts w:ascii="Times New Roman" w:hAnsi="Times New Roman"/>
          <w:sz w:val="24"/>
          <w:szCs w:val="24"/>
        </w:rPr>
      </w:pPr>
      <w:r w:rsidRPr="005A4C61">
        <w:rPr>
          <w:rFonts w:ascii="Times New Roman" w:hAnsi="Times New Roman"/>
          <w:sz w:val="24"/>
          <w:szCs w:val="24"/>
        </w:rPr>
        <w:t>Transfery</w:t>
      </w:r>
    </w:p>
    <w:p w14:paraId="20849598" w14:textId="77777777" w:rsidR="009F019E" w:rsidRPr="00AA409D" w:rsidRDefault="009F019E" w:rsidP="009F019E">
      <w:pPr>
        <w:jc w:val="center"/>
      </w:pPr>
    </w:p>
    <w:p w14:paraId="196BBCF7" w14:textId="77777777" w:rsidR="009F019E" w:rsidRPr="00AA409D" w:rsidRDefault="009F019E" w:rsidP="009F019E">
      <w:pPr>
        <w:rPr>
          <w:b/>
        </w:rPr>
      </w:pPr>
      <w:r>
        <w:rPr>
          <w:b/>
        </w:rPr>
        <w:t xml:space="preserve">1. </w:t>
      </w:r>
      <w:r w:rsidRPr="00AA409D">
        <w:rPr>
          <w:b/>
        </w:rPr>
        <w:t>Cíl</w:t>
      </w:r>
    </w:p>
    <w:p w14:paraId="553D13EA" w14:textId="77777777" w:rsidR="009F019E" w:rsidRPr="00AA409D" w:rsidRDefault="009F019E" w:rsidP="009F019E">
      <w:pPr>
        <w:pStyle w:val="Zkladntext"/>
        <w:jc w:val="both"/>
        <w:rPr>
          <w:rFonts w:ascii="Times New Roman" w:hAnsi="Times New Roman"/>
          <w:b w:val="0"/>
          <w:bCs w:val="0"/>
          <w:sz w:val="24"/>
          <w:szCs w:val="24"/>
        </w:rPr>
      </w:pPr>
    </w:p>
    <w:p w14:paraId="2331DD17" w14:textId="77777777" w:rsidR="009F019E" w:rsidRPr="00AA409D" w:rsidRDefault="009F019E" w:rsidP="009F019E">
      <w:pPr>
        <w:pStyle w:val="Zkladntext"/>
        <w:jc w:val="both"/>
        <w:rPr>
          <w:rFonts w:ascii="Times New Roman" w:hAnsi="Times New Roman"/>
          <w:b w:val="0"/>
          <w:bCs w:val="0"/>
          <w:sz w:val="24"/>
          <w:szCs w:val="24"/>
        </w:rPr>
      </w:pPr>
      <w:r w:rsidRPr="00AA409D">
        <w:rPr>
          <w:rFonts w:ascii="Times New Roman" w:hAnsi="Times New Roman"/>
          <w:b w:val="0"/>
          <w:bCs w:val="0"/>
          <w:sz w:val="24"/>
          <w:szCs w:val="24"/>
        </w:rPr>
        <w:t xml:space="preserve">Cílem tohoto standardu je stanovit podle zákona č. 563/1991 Sb., o účetnictví, ve znění pozdějších předpisů, (dále jen „zákon“) a vyhlášky č. 410/2009 Sb., kterou se provádějí některá ustanovení zákona č. 563/1991 Sb., o účetnictví, ve znění pozdějších předpisů, pro některé vybrané účetní jednotky, ve znění pozdějších předpisů, (dále jen „vyhláška“) základní postupy účtování transferů za účelem docílení souladu při používání účetních metod </w:t>
      </w:r>
      <w:r w:rsidRPr="00D15B6B">
        <w:rPr>
          <w:rFonts w:ascii="Times New Roman" w:hAnsi="Times New Roman"/>
          <w:b w:val="0"/>
          <w:bCs w:val="0"/>
          <w:sz w:val="24"/>
          <w:szCs w:val="24"/>
        </w:rPr>
        <w:t>vybranými účetními jednotkami zejména</w:t>
      </w:r>
      <w:r>
        <w:rPr>
          <w:rFonts w:ascii="Times New Roman" w:hAnsi="Times New Roman"/>
          <w:b w:val="0"/>
          <w:bCs w:val="0"/>
          <w:sz w:val="24"/>
          <w:szCs w:val="24"/>
        </w:rPr>
        <w:t xml:space="preserve"> </w:t>
      </w:r>
      <w:r w:rsidRPr="00AA409D">
        <w:rPr>
          <w:rFonts w:ascii="Times New Roman" w:hAnsi="Times New Roman"/>
          <w:b w:val="0"/>
          <w:bCs w:val="0"/>
          <w:sz w:val="24"/>
          <w:szCs w:val="24"/>
        </w:rPr>
        <w:t>v položkách</w:t>
      </w:r>
    </w:p>
    <w:p w14:paraId="4AFB701B" w14:textId="77777777" w:rsidR="009F019E" w:rsidRPr="00AA409D" w:rsidRDefault="009F019E" w:rsidP="009F019E">
      <w:pPr>
        <w:pStyle w:val="Zkladntext"/>
        <w:jc w:val="both"/>
        <w:rPr>
          <w:rFonts w:ascii="Times New Roman" w:hAnsi="Times New Roman"/>
          <w:b w:val="0"/>
          <w:bCs w:val="0"/>
          <w:sz w:val="24"/>
          <w:szCs w:val="24"/>
        </w:rPr>
      </w:pPr>
    </w:p>
    <w:p w14:paraId="2B0890DB" w14:textId="77777777" w:rsidR="009F019E" w:rsidRDefault="009F019E" w:rsidP="009F019E">
      <w:pPr>
        <w:pStyle w:val="Zkladntext"/>
        <w:tabs>
          <w:tab w:val="left" w:pos="2880"/>
          <w:tab w:val="right" w:pos="8820"/>
        </w:tabs>
        <w:jc w:val="both"/>
        <w:rPr>
          <w:rFonts w:ascii="Times New Roman" w:hAnsi="Times New Roman"/>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9"/>
        <w:gridCol w:w="6293"/>
        <w:gridCol w:w="1296"/>
      </w:tblGrid>
      <w:tr w:rsidR="009F019E" w:rsidRPr="00AA409D" w14:paraId="59BF7801" w14:textId="77777777" w:rsidTr="009E39F1">
        <w:trPr>
          <w:trHeight w:val="559"/>
        </w:trPr>
        <w:tc>
          <w:tcPr>
            <w:tcW w:w="1699" w:type="dxa"/>
            <w:shd w:val="clear" w:color="auto" w:fill="E0E0E0"/>
          </w:tcPr>
          <w:p w14:paraId="02A9DB42" w14:textId="77777777" w:rsidR="009F019E" w:rsidRPr="00816088" w:rsidRDefault="009F019E" w:rsidP="009E39F1">
            <w:pPr>
              <w:pStyle w:val="Zkladntext"/>
              <w:jc w:val="both"/>
              <w:rPr>
                <w:rFonts w:ascii="Times New Roman" w:hAnsi="Times New Roman"/>
                <w:sz w:val="24"/>
                <w:szCs w:val="24"/>
              </w:rPr>
            </w:pPr>
            <w:r w:rsidRPr="00816088">
              <w:rPr>
                <w:rFonts w:ascii="Times New Roman" w:hAnsi="Times New Roman"/>
                <w:sz w:val="24"/>
                <w:szCs w:val="24"/>
              </w:rPr>
              <w:t>Číslo položky</w:t>
            </w:r>
          </w:p>
          <w:p w14:paraId="494D2135" w14:textId="77777777" w:rsidR="009F019E" w:rsidRPr="00816088" w:rsidRDefault="009F019E" w:rsidP="009E39F1">
            <w:pPr>
              <w:pStyle w:val="Zkladntext"/>
              <w:jc w:val="both"/>
              <w:rPr>
                <w:rFonts w:ascii="Times New Roman" w:hAnsi="Times New Roman"/>
                <w:sz w:val="24"/>
                <w:szCs w:val="24"/>
              </w:rPr>
            </w:pPr>
            <w:r w:rsidRPr="00816088">
              <w:rPr>
                <w:rFonts w:ascii="Times New Roman" w:hAnsi="Times New Roman"/>
                <w:sz w:val="24"/>
                <w:szCs w:val="24"/>
              </w:rPr>
              <w:t>rozvahy</w:t>
            </w:r>
          </w:p>
        </w:tc>
        <w:tc>
          <w:tcPr>
            <w:tcW w:w="6293" w:type="dxa"/>
            <w:shd w:val="clear" w:color="auto" w:fill="E0E0E0"/>
            <w:vAlign w:val="center"/>
          </w:tcPr>
          <w:p w14:paraId="2EFFCADE" w14:textId="77777777" w:rsidR="009F019E" w:rsidRPr="00816088" w:rsidRDefault="009F019E" w:rsidP="009E39F1">
            <w:pPr>
              <w:pStyle w:val="Zkladntext"/>
              <w:rPr>
                <w:rFonts w:ascii="Times New Roman" w:hAnsi="Times New Roman"/>
                <w:sz w:val="24"/>
                <w:szCs w:val="24"/>
              </w:rPr>
            </w:pPr>
            <w:r w:rsidRPr="00816088">
              <w:rPr>
                <w:rFonts w:ascii="Times New Roman" w:hAnsi="Times New Roman"/>
                <w:sz w:val="24"/>
                <w:szCs w:val="24"/>
              </w:rPr>
              <w:t>Název položky rozvahy</w:t>
            </w:r>
          </w:p>
        </w:tc>
        <w:tc>
          <w:tcPr>
            <w:tcW w:w="1296" w:type="dxa"/>
            <w:shd w:val="clear" w:color="auto" w:fill="E0E0E0"/>
          </w:tcPr>
          <w:p w14:paraId="2616849C" w14:textId="77777777" w:rsidR="009F019E" w:rsidRPr="00816088" w:rsidRDefault="009F019E" w:rsidP="009E39F1">
            <w:pPr>
              <w:pStyle w:val="Zkladntext"/>
              <w:jc w:val="center"/>
              <w:rPr>
                <w:rFonts w:ascii="Times New Roman" w:hAnsi="Times New Roman"/>
                <w:sz w:val="24"/>
                <w:szCs w:val="24"/>
              </w:rPr>
            </w:pPr>
            <w:r w:rsidRPr="00816088">
              <w:rPr>
                <w:rFonts w:ascii="Times New Roman" w:hAnsi="Times New Roman"/>
                <w:sz w:val="24"/>
                <w:szCs w:val="24"/>
              </w:rPr>
              <w:t>Syntetický</w:t>
            </w:r>
          </w:p>
          <w:p w14:paraId="48EA25F8" w14:textId="77777777" w:rsidR="009F019E" w:rsidRPr="00816088" w:rsidRDefault="009F019E" w:rsidP="009E39F1">
            <w:pPr>
              <w:pStyle w:val="Zkladntext"/>
              <w:jc w:val="center"/>
              <w:rPr>
                <w:rFonts w:ascii="Times New Roman" w:hAnsi="Times New Roman"/>
                <w:sz w:val="24"/>
                <w:szCs w:val="24"/>
              </w:rPr>
            </w:pPr>
            <w:r w:rsidRPr="00816088">
              <w:rPr>
                <w:rFonts w:ascii="Times New Roman" w:hAnsi="Times New Roman"/>
                <w:sz w:val="24"/>
                <w:szCs w:val="24"/>
              </w:rPr>
              <w:t>účet</w:t>
            </w:r>
          </w:p>
        </w:tc>
      </w:tr>
      <w:tr w:rsidR="009F019E" w:rsidRPr="00AA409D" w14:paraId="7AD16CF2" w14:textId="77777777" w:rsidTr="009E39F1">
        <w:tc>
          <w:tcPr>
            <w:tcW w:w="1699" w:type="dxa"/>
            <w:vAlign w:val="center"/>
          </w:tcPr>
          <w:p w14:paraId="216BA132"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C.IV.1.</w:t>
            </w:r>
          </w:p>
        </w:tc>
        <w:tc>
          <w:tcPr>
            <w:tcW w:w="6293" w:type="dxa"/>
            <w:vAlign w:val="center"/>
          </w:tcPr>
          <w:p w14:paraId="3913C50B"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Příjmový účet organizačních složek státu</w:t>
            </w:r>
          </w:p>
        </w:tc>
        <w:tc>
          <w:tcPr>
            <w:tcW w:w="1296" w:type="dxa"/>
            <w:vAlign w:val="center"/>
          </w:tcPr>
          <w:p w14:paraId="467B1495"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222</w:t>
            </w:r>
          </w:p>
        </w:tc>
      </w:tr>
      <w:tr w:rsidR="009F019E" w:rsidRPr="00AA409D" w14:paraId="575B2E55" w14:textId="77777777" w:rsidTr="009E39F1">
        <w:tc>
          <w:tcPr>
            <w:tcW w:w="1699" w:type="dxa"/>
            <w:vAlign w:val="center"/>
          </w:tcPr>
          <w:p w14:paraId="4F4D716E"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C.IV.2.</w:t>
            </w:r>
          </w:p>
        </w:tc>
        <w:tc>
          <w:tcPr>
            <w:tcW w:w="6293" w:type="dxa"/>
            <w:vAlign w:val="center"/>
          </w:tcPr>
          <w:p w14:paraId="690569FE"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Zvláštní výdajový účet</w:t>
            </w:r>
          </w:p>
        </w:tc>
        <w:tc>
          <w:tcPr>
            <w:tcW w:w="1296" w:type="dxa"/>
            <w:vAlign w:val="center"/>
          </w:tcPr>
          <w:p w14:paraId="0FC017BC"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223</w:t>
            </w:r>
          </w:p>
        </w:tc>
      </w:tr>
      <w:tr w:rsidR="009F019E" w:rsidRPr="00AA409D" w14:paraId="25E94D3F" w14:textId="77777777" w:rsidTr="009E39F1">
        <w:tc>
          <w:tcPr>
            <w:tcW w:w="1699" w:type="dxa"/>
            <w:vAlign w:val="center"/>
          </w:tcPr>
          <w:p w14:paraId="600D6511"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B.III.13.</w:t>
            </w:r>
          </w:p>
        </w:tc>
        <w:tc>
          <w:tcPr>
            <w:tcW w:w="6293" w:type="dxa"/>
            <w:vAlign w:val="center"/>
          </w:tcPr>
          <w:p w14:paraId="7CEB367B"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Běžné účty státních fondů</w:t>
            </w:r>
          </w:p>
        </w:tc>
        <w:tc>
          <w:tcPr>
            <w:tcW w:w="1296" w:type="dxa"/>
            <w:vAlign w:val="center"/>
          </w:tcPr>
          <w:p w14:paraId="66960FCE"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224</w:t>
            </w:r>
          </w:p>
        </w:tc>
      </w:tr>
      <w:tr w:rsidR="009F019E" w:rsidRPr="00AA409D" w14:paraId="01DC8E41" w14:textId="77777777" w:rsidTr="009E39F1">
        <w:tc>
          <w:tcPr>
            <w:tcW w:w="1699" w:type="dxa"/>
            <w:vAlign w:val="center"/>
          </w:tcPr>
          <w:p w14:paraId="02452396"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B.III.11.</w:t>
            </w:r>
          </w:p>
        </w:tc>
        <w:tc>
          <w:tcPr>
            <w:tcW w:w="6293" w:type="dxa"/>
            <w:vAlign w:val="center"/>
          </w:tcPr>
          <w:p w14:paraId="3172DFB9"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Základní běžný účet územních samosprávných celků</w:t>
            </w:r>
          </w:p>
        </w:tc>
        <w:tc>
          <w:tcPr>
            <w:tcW w:w="1296" w:type="dxa"/>
            <w:vAlign w:val="center"/>
          </w:tcPr>
          <w:p w14:paraId="1EFD98D3"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231</w:t>
            </w:r>
          </w:p>
        </w:tc>
      </w:tr>
      <w:tr w:rsidR="009F019E" w:rsidRPr="00AA409D" w14:paraId="3D94BC40" w14:textId="77777777" w:rsidTr="009E39F1">
        <w:tc>
          <w:tcPr>
            <w:tcW w:w="1699" w:type="dxa"/>
            <w:vAlign w:val="center"/>
          </w:tcPr>
          <w:p w14:paraId="0549FE8D"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B.III.9.</w:t>
            </w:r>
          </w:p>
        </w:tc>
        <w:tc>
          <w:tcPr>
            <w:tcW w:w="6293" w:type="dxa"/>
            <w:vAlign w:val="center"/>
          </w:tcPr>
          <w:p w14:paraId="02B71DC7"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Běžný účet</w:t>
            </w:r>
          </w:p>
        </w:tc>
        <w:tc>
          <w:tcPr>
            <w:tcW w:w="1296" w:type="dxa"/>
            <w:vAlign w:val="center"/>
          </w:tcPr>
          <w:p w14:paraId="45FE0864"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241</w:t>
            </w:r>
          </w:p>
        </w:tc>
      </w:tr>
      <w:tr w:rsidR="009F019E" w:rsidRPr="00AA409D" w14:paraId="5D3B063F" w14:textId="77777777" w:rsidTr="009E39F1">
        <w:tc>
          <w:tcPr>
            <w:tcW w:w="1699" w:type="dxa"/>
            <w:vAlign w:val="center"/>
          </w:tcPr>
          <w:p w14:paraId="0E06B79F"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D.III.5.</w:t>
            </w:r>
          </w:p>
        </w:tc>
        <w:tc>
          <w:tcPr>
            <w:tcW w:w="6293" w:type="dxa"/>
            <w:vAlign w:val="center"/>
          </w:tcPr>
          <w:p w14:paraId="32BF1678"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Dodavatelé</w:t>
            </w:r>
          </w:p>
        </w:tc>
        <w:tc>
          <w:tcPr>
            <w:tcW w:w="1296" w:type="dxa"/>
            <w:vAlign w:val="center"/>
          </w:tcPr>
          <w:p w14:paraId="67CDCCE9"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321</w:t>
            </w:r>
          </w:p>
        </w:tc>
      </w:tr>
      <w:tr w:rsidR="009F019E" w:rsidRPr="00AA409D" w14:paraId="67DF79E7" w14:textId="77777777" w:rsidTr="009E39F1">
        <w:tc>
          <w:tcPr>
            <w:tcW w:w="1699" w:type="dxa"/>
            <w:vAlign w:val="center"/>
          </w:tcPr>
          <w:p w14:paraId="3C6B858A"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D.III.20.</w:t>
            </w:r>
          </w:p>
        </w:tc>
        <w:tc>
          <w:tcPr>
            <w:tcW w:w="6293" w:type="dxa"/>
            <w:vAlign w:val="center"/>
          </w:tcPr>
          <w:p w14:paraId="03EED322"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Závazky k osobám mimo vybrané vládní instituce</w:t>
            </w:r>
          </w:p>
        </w:tc>
        <w:tc>
          <w:tcPr>
            <w:tcW w:w="1296" w:type="dxa"/>
            <w:vAlign w:val="center"/>
          </w:tcPr>
          <w:p w14:paraId="7C266437"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345</w:t>
            </w:r>
          </w:p>
        </w:tc>
      </w:tr>
      <w:tr w:rsidR="009F019E" w:rsidRPr="00AA409D" w14:paraId="46C763B8" w14:textId="77777777" w:rsidTr="009E39F1">
        <w:tc>
          <w:tcPr>
            <w:tcW w:w="1699" w:type="dxa"/>
            <w:vAlign w:val="center"/>
          </w:tcPr>
          <w:p w14:paraId="035490BA"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B.II.16.</w:t>
            </w:r>
          </w:p>
        </w:tc>
        <w:tc>
          <w:tcPr>
            <w:tcW w:w="6293" w:type="dxa"/>
            <w:vAlign w:val="center"/>
          </w:tcPr>
          <w:p w14:paraId="5E40E212"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Pohledávky za vybranými ústředními vládními institucemi</w:t>
            </w:r>
          </w:p>
        </w:tc>
        <w:tc>
          <w:tcPr>
            <w:tcW w:w="1296" w:type="dxa"/>
            <w:vAlign w:val="center"/>
          </w:tcPr>
          <w:p w14:paraId="7A2DB6B6"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346</w:t>
            </w:r>
          </w:p>
        </w:tc>
      </w:tr>
      <w:tr w:rsidR="009F019E" w:rsidRPr="00AA409D" w14:paraId="53FFC8E5" w14:textId="77777777" w:rsidTr="009E39F1">
        <w:tc>
          <w:tcPr>
            <w:tcW w:w="1699" w:type="dxa"/>
            <w:vAlign w:val="center"/>
          </w:tcPr>
          <w:p w14:paraId="6A497091"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D.III.21.</w:t>
            </w:r>
          </w:p>
        </w:tc>
        <w:tc>
          <w:tcPr>
            <w:tcW w:w="6293" w:type="dxa"/>
            <w:vAlign w:val="center"/>
          </w:tcPr>
          <w:p w14:paraId="1E706C01"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Závazky k vybraným ústředním vládním institucím</w:t>
            </w:r>
          </w:p>
        </w:tc>
        <w:tc>
          <w:tcPr>
            <w:tcW w:w="1296" w:type="dxa"/>
            <w:vAlign w:val="center"/>
          </w:tcPr>
          <w:p w14:paraId="59EC2978"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347</w:t>
            </w:r>
          </w:p>
        </w:tc>
      </w:tr>
      <w:tr w:rsidR="009F019E" w:rsidRPr="00AA409D" w14:paraId="04C08A9D" w14:textId="77777777" w:rsidTr="009E39F1">
        <w:tc>
          <w:tcPr>
            <w:tcW w:w="1699" w:type="dxa"/>
            <w:vAlign w:val="center"/>
          </w:tcPr>
          <w:p w14:paraId="16CACD0A"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B.II.17.</w:t>
            </w:r>
          </w:p>
        </w:tc>
        <w:tc>
          <w:tcPr>
            <w:tcW w:w="6293" w:type="dxa"/>
            <w:vAlign w:val="center"/>
          </w:tcPr>
          <w:p w14:paraId="7D28B5EC"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Pohledávky za vybranými místními vládními institucemi</w:t>
            </w:r>
          </w:p>
        </w:tc>
        <w:tc>
          <w:tcPr>
            <w:tcW w:w="1296" w:type="dxa"/>
            <w:vAlign w:val="center"/>
          </w:tcPr>
          <w:p w14:paraId="1DD80EE8"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348</w:t>
            </w:r>
          </w:p>
        </w:tc>
      </w:tr>
      <w:tr w:rsidR="009F019E" w:rsidRPr="00AA409D" w14:paraId="2D6DC296" w14:textId="77777777" w:rsidTr="009E39F1">
        <w:tc>
          <w:tcPr>
            <w:tcW w:w="1699" w:type="dxa"/>
            <w:vAlign w:val="center"/>
          </w:tcPr>
          <w:p w14:paraId="69926294"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D.III.22.</w:t>
            </w:r>
          </w:p>
        </w:tc>
        <w:tc>
          <w:tcPr>
            <w:tcW w:w="6293" w:type="dxa"/>
            <w:vAlign w:val="center"/>
          </w:tcPr>
          <w:p w14:paraId="2FDCB4CA"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Závazky k vybraným místním vládním institucím</w:t>
            </w:r>
          </w:p>
        </w:tc>
        <w:tc>
          <w:tcPr>
            <w:tcW w:w="1296" w:type="dxa"/>
            <w:vAlign w:val="center"/>
          </w:tcPr>
          <w:p w14:paraId="411067E0"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349</w:t>
            </w:r>
          </w:p>
        </w:tc>
      </w:tr>
      <w:tr w:rsidR="009F019E" w:rsidRPr="00AA409D" w14:paraId="29F3E7ED" w14:textId="77777777" w:rsidTr="009E39F1">
        <w:tc>
          <w:tcPr>
            <w:tcW w:w="1699" w:type="dxa"/>
            <w:vAlign w:val="center"/>
          </w:tcPr>
          <w:p w14:paraId="66CEAF89"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B.II.23.</w:t>
            </w:r>
          </w:p>
        </w:tc>
        <w:tc>
          <w:tcPr>
            <w:tcW w:w="6293" w:type="dxa"/>
            <w:vAlign w:val="center"/>
          </w:tcPr>
          <w:p w14:paraId="2230F9B5"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Krátkodobé pohledávky z nástrojů spolufinancovaných ze zahraničí</w:t>
            </w:r>
          </w:p>
        </w:tc>
        <w:tc>
          <w:tcPr>
            <w:tcW w:w="1296" w:type="dxa"/>
            <w:vAlign w:val="center"/>
          </w:tcPr>
          <w:p w14:paraId="4BE84D8D"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371</w:t>
            </w:r>
          </w:p>
        </w:tc>
      </w:tr>
      <w:tr w:rsidR="009F019E" w:rsidRPr="00AA409D" w14:paraId="5FE8B5FC" w14:textId="77777777" w:rsidTr="009E39F1">
        <w:tc>
          <w:tcPr>
            <w:tcW w:w="1699" w:type="dxa"/>
            <w:vAlign w:val="center"/>
          </w:tcPr>
          <w:p w14:paraId="0D153070"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D.III.29.</w:t>
            </w:r>
          </w:p>
        </w:tc>
        <w:tc>
          <w:tcPr>
            <w:tcW w:w="6293" w:type="dxa"/>
            <w:vAlign w:val="center"/>
          </w:tcPr>
          <w:p w14:paraId="00EFFB27"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Krátkodobé závazky z nástrojů spolufinancovaných ze zahraničí</w:t>
            </w:r>
          </w:p>
        </w:tc>
        <w:tc>
          <w:tcPr>
            <w:tcW w:w="1296" w:type="dxa"/>
            <w:vAlign w:val="center"/>
          </w:tcPr>
          <w:p w14:paraId="1182BF11"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372</w:t>
            </w:r>
          </w:p>
        </w:tc>
      </w:tr>
      <w:tr w:rsidR="009F019E" w:rsidRPr="00AA409D" w14:paraId="084FF92A" w14:textId="77777777" w:rsidTr="009E39F1">
        <w:tc>
          <w:tcPr>
            <w:tcW w:w="1699" w:type="dxa"/>
            <w:vAlign w:val="center"/>
          </w:tcPr>
          <w:p w14:paraId="7D9A5C79"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B.II.24.</w:t>
            </w:r>
          </w:p>
        </w:tc>
        <w:tc>
          <w:tcPr>
            <w:tcW w:w="6293" w:type="dxa"/>
            <w:vAlign w:val="center"/>
          </w:tcPr>
          <w:p w14:paraId="25DA80E6"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Krátkodobé poskytnuté zálohy na transfery</w:t>
            </w:r>
          </w:p>
        </w:tc>
        <w:tc>
          <w:tcPr>
            <w:tcW w:w="1296" w:type="dxa"/>
            <w:vAlign w:val="center"/>
          </w:tcPr>
          <w:p w14:paraId="4A8FC39B"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373</w:t>
            </w:r>
          </w:p>
        </w:tc>
      </w:tr>
      <w:tr w:rsidR="009F019E" w:rsidRPr="00AA409D" w14:paraId="706CE4B9" w14:textId="77777777" w:rsidTr="009E39F1">
        <w:tc>
          <w:tcPr>
            <w:tcW w:w="1699" w:type="dxa"/>
            <w:vAlign w:val="center"/>
          </w:tcPr>
          <w:p w14:paraId="7F166A4A"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D.III.30.</w:t>
            </w:r>
          </w:p>
        </w:tc>
        <w:tc>
          <w:tcPr>
            <w:tcW w:w="6293" w:type="dxa"/>
            <w:vAlign w:val="center"/>
          </w:tcPr>
          <w:p w14:paraId="19F89544"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Krátkodobé přijaté zálohy na transfery</w:t>
            </w:r>
          </w:p>
        </w:tc>
        <w:tc>
          <w:tcPr>
            <w:tcW w:w="1296" w:type="dxa"/>
            <w:vAlign w:val="center"/>
          </w:tcPr>
          <w:p w14:paraId="70831942"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374</w:t>
            </w:r>
          </w:p>
        </w:tc>
      </w:tr>
      <w:tr w:rsidR="009F019E" w:rsidRPr="00AA409D" w14:paraId="31A69DD0" w14:textId="77777777" w:rsidTr="009E39F1">
        <w:tc>
          <w:tcPr>
            <w:tcW w:w="1699" w:type="dxa"/>
            <w:vAlign w:val="center"/>
          </w:tcPr>
          <w:p w14:paraId="1C8F6ED7"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B.II.27.</w:t>
            </w:r>
          </w:p>
        </w:tc>
        <w:tc>
          <w:tcPr>
            <w:tcW w:w="6293" w:type="dxa"/>
            <w:vAlign w:val="center"/>
          </w:tcPr>
          <w:p w14:paraId="459BFBA8"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Dohadné účty aktivní</w:t>
            </w:r>
          </w:p>
        </w:tc>
        <w:tc>
          <w:tcPr>
            <w:tcW w:w="1296" w:type="dxa"/>
            <w:vAlign w:val="center"/>
          </w:tcPr>
          <w:p w14:paraId="0C1235CD"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388</w:t>
            </w:r>
          </w:p>
        </w:tc>
      </w:tr>
      <w:tr w:rsidR="009F019E" w:rsidRPr="00AA409D" w14:paraId="5DF3558C" w14:textId="77777777" w:rsidTr="009E39F1">
        <w:tc>
          <w:tcPr>
            <w:tcW w:w="1699" w:type="dxa"/>
            <w:vAlign w:val="center"/>
          </w:tcPr>
          <w:p w14:paraId="60011212"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D.III.33.</w:t>
            </w:r>
          </w:p>
        </w:tc>
        <w:tc>
          <w:tcPr>
            <w:tcW w:w="6293" w:type="dxa"/>
            <w:vAlign w:val="center"/>
          </w:tcPr>
          <w:p w14:paraId="241F30C1"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Dohadné účty pasivní</w:t>
            </w:r>
          </w:p>
        </w:tc>
        <w:tc>
          <w:tcPr>
            <w:tcW w:w="1296" w:type="dxa"/>
            <w:vAlign w:val="center"/>
          </w:tcPr>
          <w:p w14:paraId="5B9E2B63"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389</w:t>
            </w:r>
          </w:p>
        </w:tc>
      </w:tr>
      <w:tr w:rsidR="009F019E" w:rsidRPr="00AA409D" w14:paraId="1DF83E17" w14:textId="77777777" w:rsidTr="009E39F1">
        <w:tc>
          <w:tcPr>
            <w:tcW w:w="1699" w:type="dxa"/>
            <w:vAlign w:val="center"/>
          </w:tcPr>
          <w:p w14:paraId="5B25BADE"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C.I.1.</w:t>
            </w:r>
          </w:p>
        </w:tc>
        <w:tc>
          <w:tcPr>
            <w:tcW w:w="6293" w:type="dxa"/>
            <w:vAlign w:val="center"/>
          </w:tcPr>
          <w:p w14:paraId="517EBCC6"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Jmění účetní jednotky</w:t>
            </w:r>
          </w:p>
        </w:tc>
        <w:tc>
          <w:tcPr>
            <w:tcW w:w="1296" w:type="dxa"/>
            <w:vAlign w:val="center"/>
          </w:tcPr>
          <w:p w14:paraId="061CE7E0"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401</w:t>
            </w:r>
          </w:p>
        </w:tc>
      </w:tr>
      <w:tr w:rsidR="009F019E" w:rsidRPr="00AA409D" w14:paraId="36D3EDC9" w14:textId="77777777" w:rsidTr="009E39F1">
        <w:tc>
          <w:tcPr>
            <w:tcW w:w="1699" w:type="dxa"/>
            <w:vAlign w:val="center"/>
          </w:tcPr>
          <w:p w14:paraId="5772B74B"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C.I.3.</w:t>
            </w:r>
          </w:p>
        </w:tc>
        <w:tc>
          <w:tcPr>
            <w:tcW w:w="6293" w:type="dxa"/>
            <w:vAlign w:val="center"/>
          </w:tcPr>
          <w:p w14:paraId="66EEA843"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Transfery na pořízení dlouhodobého majetku</w:t>
            </w:r>
          </w:p>
        </w:tc>
        <w:tc>
          <w:tcPr>
            <w:tcW w:w="1296" w:type="dxa"/>
            <w:vAlign w:val="center"/>
          </w:tcPr>
          <w:p w14:paraId="6CBA0162"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403</w:t>
            </w:r>
          </w:p>
        </w:tc>
      </w:tr>
      <w:tr w:rsidR="009F019E" w:rsidRPr="00AA409D" w14:paraId="5089AA51" w14:textId="77777777" w:rsidTr="009E39F1">
        <w:tc>
          <w:tcPr>
            <w:tcW w:w="1699" w:type="dxa"/>
            <w:vAlign w:val="center"/>
          </w:tcPr>
          <w:p w14:paraId="7B56021F"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A.IV.5.</w:t>
            </w:r>
          </w:p>
        </w:tc>
        <w:tc>
          <w:tcPr>
            <w:tcW w:w="6293" w:type="dxa"/>
            <w:vAlign w:val="center"/>
          </w:tcPr>
          <w:p w14:paraId="2D9C51C1"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Dlouhodobé pohledávky z nástrojů spolufinancovaných ze zahraničí</w:t>
            </w:r>
          </w:p>
        </w:tc>
        <w:tc>
          <w:tcPr>
            <w:tcW w:w="1296" w:type="dxa"/>
            <w:vAlign w:val="center"/>
          </w:tcPr>
          <w:p w14:paraId="60F92191"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468</w:t>
            </w:r>
          </w:p>
        </w:tc>
      </w:tr>
      <w:tr w:rsidR="009F019E" w:rsidRPr="00AA409D" w14:paraId="1EA6AE9A" w14:textId="77777777" w:rsidTr="009E39F1">
        <w:tc>
          <w:tcPr>
            <w:tcW w:w="1699" w:type="dxa"/>
            <w:vAlign w:val="center"/>
          </w:tcPr>
          <w:p w14:paraId="4C57BBD1"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D.II.7.</w:t>
            </w:r>
          </w:p>
        </w:tc>
        <w:tc>
          <w:tcPr>
            <w:tcW w:w="6293" w:type="dxa"/>
            <w:vAlign w:val="center"/>
          </w:tcPr>
          <w:p w14:paraId="5CCD2B53"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Dlouhodobé závazky z nástrojů spolufinancovaných ze zahraničí</w:t>
            </w:r>
          </w:p>
        </w:tc>
        <w:tc>
          <w:tcPr>
            <w:tcW w:w="1296" w:type="dxa"/>
            <w:vAlign w:val="center"/>
          </w:tcPr>
          <w:p w14:paraId="4603E64B"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458</w:t>
            </w:r>
          </w:p>
        </w:tc>
      </w:tr>
      <w:tr w:rsidR="009F019E" w:rsidRPr="00AA409D" w14:paraId="3A57C786" w14:textId="77777777" w:rsidTr="009E39F1">
        <w:tc>
          <w:tcPr>
            <w:tcW w:w="1699" w:type="dxa"/>
            <w:vAlign w:val="center"/>
          </w:tcPr>
          <w:p w14:paraId="7B851E3D"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A.IV.7.</w:t>
            </w:r>
          </w:p>
        </w:tc>
        <w:tc>
          <w:tcPr>
            <w:tcW w:w="6293" w:type="dxa"/>
            <w:vAlign w:val="center"/>
          </w:tcPr>
          <w:p w14:paraId="3CE5F143"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Dlouhodobé poskytnuté zálohy na transfery</w:t>
            </w:r>
          </w:p>
        </w:tc>
        <w:tc>
          <w:tcPr>
            <w:tcW w:w="1296" w:type="dxa"/>
            <w:vAlign w:val="center"/>
          </w:tcPr>
          <w:p w14:paraId="5C656EC8"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471</w:t>
            </w:r>
          </w:p>
        </w:tc>
      </w:tr>
      <w:tr w:rsidR="009F019E" w:rsidRPr="00AA409D" w14:paraId="74DF27A8" w14:textId="77777777" w:rsidTr="009E39F1">
        <w:tc>
          <w:tcPr>
            <w:tcW w:w="1699" w:type="dxa"/>
            <w:vAlign w:val="center"/>
          </w:tcPr>
          <w:p w14:paraId="548E237D"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D.II.9.</w:t>
            </w:r>
          </w:p>
        </w:tc>
        <w:tc>
          <w:tcPr>
            <w:tcW w:w="6293" w:type="dxa"/>
            <w:vAlign w:val="center"/>
          </w:tcPr>
          <w:p w14:paraId="6BF45B02"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Dlouhodobé přijaté zálohy na transfery</w:t>
            </w:r>
          </w:p>
        </w:tc>
        <w:tc>
          <w:tcPr>
            <w:tcW w:w="1296" w:type="dxa"/>
            <w:vAlign w:val="center"/>
          </w:tcPr>
          <w:p w14:paraId="18544B73" w14:textId="77777777" w:rsidR="009F019E" w:rsidRPr="00D15B6B" w:rsidRDefault="009F019E" w:rsidP="009E39F1">
            <w:pPr>
              <w:pStyle w:val="Zkladntext"/>
              <w:jc w:val="center"/>
              <w:rPr>
                <w:rFonts w:ascii="Times New Roman" w:hAnsi="Times New Roman"/>
                <w:b w:val="0"/>
                <w:bCs w:val="0"/>
                <w:sz w:val="24"/>
                <w:szCs w:val="24"/>
              </w:rPr>
            </w:pPr>
            <w:r w:rsidRPr="00D15B6B">
              <w:rPr>
                <w:rFonts w:ascii="Times New Roman" w:hAnsi="Times New Roman"/>
                <w:b w:val="0"/>
                <w:bCs w:val="0"/>
                <w:sz w:val="24"/>
                <w:szCs w:val="24"/>
              </w:rPr>
              <w:t>472</w:t>
            </w:r>
          </w:p>
        </w:tc>
      </w:tr>
    </w:tbl>
    <w:p w14:paraId="300150AB" w14:textId="77777777" w:rsidR="009F019E" w:rsidRDefault="009F019E" w:rsidP="009F019E">
      <w:pPr>
        <w:pStyle w:val="Zkladntext"/>
        <w:tabs>
          <w:tab w:val="left" w:pos="2880"/>
          <w:tab w:val="right" w:pos="8820"/>
        </w:tabs>
        <w:jc w:val="both"/>
        <w:rPr>
          <w:rFonts w:ascii="Times New Roman" w:hAnsi="Times New Roman"/>
          <w:b w:val="0"/>
          <w:bCs w:val="0"/>
          <w:sz w:val="24"/>
          <w:szCs w:val="24"/>
        </w:rPr>
      </w:pPr>
    </w:p>
    <w:p w14:paraId="3D8074AE" w14:textId="77777777" w:rsidR="009F019E" w:rsidRPr="00AA409D" w:rsidRDefault="009F019E" w:rsidP="009F019E">
      <w:pPr>
        <w:pStyle w:val="Zkladntext"/>
        <w:tabs>
          <w:tab w:val="left" w:pos="2880"/>
          <w:tab w:val="right" w:pos="8820"/>
        </w:tabs>
        <w:jc w:val="both"/>
        <w:rPr>
          <w:rFonts w:ascii="Times New Roman" w:hAnsi="Times New Roman"/>
          <w:b w:val="0"/>
          <w:bCs w:val="0"/>
          <w:sz w:val="24"/>
          <w:szCs w:val="24"/>
        </w:rPr>
      </w:pPr>
      <w:r>
        <w:rPr>
          <w:rFonts w:ascii="Times New Roman" w:hAnsi="Times New Roman"/>
          <w:b w:val="0"/>
          <w:bCs w:val="0"/>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6298"/>
        <w:gridCol w:w="1296"/>
      </w:tblGrid>
      <w:tr w:rsidR="009F019E" w:rsidRPr="00AA409D" w14:paraId="2BB0522B" w14:textId="77777777" w:rsidTr="009E39F1">
        <w:trPr>
          <w:trHeight w:val="844"/>
        </w:trPr>
        <w:tc>
          <w:tcPr>
            <w:tcW w:w="1694" w:type="dxa"/>
            <w:shd w:val="clear" w:color="auto" w:fill="E0E0E0"/>
          </w:tcPr>
          <w:p w14:paraId="040918C6" w14:textId="77777777" w:rsidR="009F019E" w:rsidRPr="00AA409D" w:rsidRDefault="009F019E" w:rsidP="009E39F1">
            <w:pPr>
              <w:pStyle w:val="Zkladntext"/>
              <w:jc w:val="both"/>
              <w:rPr>
                <w:rFonts w:ascii="Times New Roman" w:hAnsi="Times New Roman"/>
                <w:sz w:val="24"/>
                <w:szCs w:val="24"/>
              </w:rPr>
            </w:pPr>
            <w:r w:rsidRPr="00AA409D">
              <w:rPr>
                <w:rFonts w:ascii="Times New Roman" w:hAnsi="Times New Roman"/>
                <w:sz w:val="24"/>
                <w:szCs w:val="24"/>
              </w:rPr>
              <w:lastRenderedPageBreak/>
              <w:t>Číslo položky</w:t>
            </w:r>
          </w:p>
          <w:p w14:paraId="6C080412" w14:textId="77777777" w:rsidR="009F019E" w:rsidRPr="00AA409D" w:rsidRDefault="009F019E" w:rsidP="009E39F1">
            <w:pPr>
              <w:pStyle w:val="Zkladntext"/>
              <w:jc w:val="both"/>
              <w:rPr>
                <w:rFonts w:ascii="Times New Roman" w:hAnsi="Times New Roman"/>
                <w:sz w:val="24"/>
                <w:szCs w:val="24"/>
              </w:rPr>
            </w:pPr>
            <w:r w:rsidRPr="00AA409D">
              <w:rPr>
                <w:rFonts w:ascii="Times New Roman" w:hAnsi="Times New Roman"/>
                <w:sz w:val="24"/>
                <w:szCs w:val="24"/>
              </w:rPr>
              <w:t>výkazu zisku</w:t>
            </w:r>
          </w:p>
          <w:p w14:paraId="0A9123D3" w14:textId="77777777" w:rsidR="009F019E" w:rsidRPr="00AA409D" w:rsidRDefault="009F019E" w:rsidP="009E39F1">
            <w:pPr>
              <w:pStyle w:val="Zkladntext"/>
              <w:jc w:val="both"/>
              <w:rPr>
                <w:rFonts w:ascii="Times New Roman" w:hAnsi="Times New Roman"/>
                <w:sz w:val="24"/>
                <w:szCs w:val="24"/>
              </w:rPr>
            </w:pPr>
            <w:r w:rsidRPr="00AA409D">
              <w:rPr>
                <w:rFonts w:ascii="Times New Roman" w:hAnsi="Times New Roman"/>
                <w:sz w:val="24"/>
                <w:szCs w:val="24"/>
              </w:rPr>
              <w:t>a ztráty</w:t>
            </w:r>
          </w:p>
        </w:tc>
        <w:tc>
          <w:tcPr>
            <w:tcW w:w="6298" w:type="dxa"/>
            <w:shd w:val="clear" w:color="auto" w:fill="E0E0E0"/>
            <w:vAlign w:val="center"/>
          </w:tcPr>
          <w:p w14:paraId="7D17FDBC" w14:textId="77777777" w:rsidR="009F019E" w:rsidRPr="00AA409D" w:rsidRDefault="009F019E" w:rsidP="009E39F1">
            <w:pPr>
              <w:pStyle w:val="Zkladntext"/>
              <w:rPr>
                <w:rFonts w:ascii="Times New Roman" w:hAnsi="Times New Roman"/>
                <w:sz w:val="24"/>
                <w:szCs w:val="24"/>
              </w:rPr>
            </w:pPr>
            <w:r w:rsidRPr="00AA409D">
              <w:rPr>
                <w:rFonts w:ascii="Times New Roman" w:hAnsi="Times New Roman"/>
                <w:sz w:val="24"/>
                <w:szCs w:val="24"/>
              </w:rPr>
              <w:t>Název položky výkazu zisku a ztráty</w:t>
            </w:r>
          </w:p>
        </w:tc>
        <w:tc>
          <w:tcPr>
            <w:tcW w:w="1296" w:type="dxa"/>
            <w:shd w:val="clear" w:color="auto" w:fill="E0E0E0"/>
            <w:vAlign w:val="center"/>
          </w:tcPr>
          <w:p w14:paraId="1C6E1C52" w14:textId="77777777" w:rsidR="009F019E" w:rsidRPr="00AA409D" w:rsidRDefault="009F019E" w:rsidP="009E39F1">
            <w:pPr>
              <w:pStyle w:val="Zkladntext"/>
              <w:jc w:val="center"/>
              <w:rPr>
                <w:rFonts w:ascii="Times New Roman" w:hAnsi="Times New Roman"/>
                <w:sz w:val="24"/>
                <w:szCs w:val="24"/>
              </w:rPr>
            </w:pPr>
            <w:r w:rsidRPr="00AA409D">
              <w:rPr>
                <w:rFonts w:ascii="Times New Roman" w:hAnsi="Times New Roman"/>
                <w:sz w:val="24"/>
                <w:szCs w:val="24"/>
              </w:rPr>
              <w:t>Syntetický</w:t>
            </w:r>
          </w:p>
          <w:p w14:paraId="4741358E" w14:textId="77777777" w:rsidR="009F019E" w:rsidRPr="00AA409D" w:rsidRDefault="009F019E" w:rsidP="009E39F1">
            <w:pPr>
              <w:pStyle w:val="Zkladntext"/>
              <w:jc w:val="center"/>
              <w:rPr>
                <w:rFonts w:ascii="Times New Roman" w:hAnsi="Times New Roman"/>
                <w:sz w:val="24"/>
                <w:szCs w:val="24"/>
              </w:rPr>
            </w:pPr>
            <w:r w:rsidRPr="00AA409D">
              <w:rPr>
                <w:rFonts w:ascii="Times New Roman" w:hAnsi="Times New Roman"/>
                <w:sz w:val="24"/>
                <w:szCs w:val="24"/>
              </w:rPr>
              <w:t>účet</w:t>
            </w:r>
          </w:p>
        </w:tc>
      </w:tr>
      <w:tr w:rsidR="009F019E" w:rsidRPr="00AA409D" w14:paraId="60B7F5B0" w14:textId="77777777" w:rsidTr="009E39F1">
        <w:tc>
          <w:tcPr>
            <w:tcW w:w="1694" w:type="dxa"/>
            <w:tcBorders>
              <w:bottom w:val="single" w:sz="4" w:space="0" w:color="auto"/>
            </w:tcBorders>
            <w:vAlign w:val="center"/>
          </w:tcPr>
          <w:p w14:paraId="264CFD56" w14:textId="77777777" w:rsidR="009F019E" w:rsidRPr="00AA409D" w:rsidRDefault="009F019E" w:rsidP="009E39F1">
            <w:pPr>
              <w:pStyle w:val="Zkladntext"/>
              <w:rPr>
                <w:rFonts w:ascii="Times New Roman" w:hAnsi="Times New Roman"/>
                <w:b w:val="0"/>
                <w:sz w:val="24"/>
                <w:szCs w:val="24"/>
              </w:rPr>
            </w:pPr>
            <w:r w:rsidRPr="00AA409D">
              <w:rPr>
                <w:rFonts w:ascii="Times New Roman" w:hAnsi="Times New Roman"/>
                <w:b w:val="0"/>
                <w:bCs w:val="0"/>
                <w:sz w:val="24"/>
                <w:szCs w:val="24"/>
              </w:rPr>
              <w:t>A.III.1.</w:t>
            </w:r>
          </w:p>
        </w:tc>
        <w:tc>
          <w:tcPr>
            <w:tcW w:w="6298" w:type="dxa"/>
            <w:tcBorders>
              <w:bottom w:val="single" w:sz="4" w:space="0" w:color="auto"/>
            </w:tcBorders>
            <w:vAlign w:val="center"/>
          </w:tcPr>
          <w:p w14:paraId="729F8B2E" w14:textId="77777777" w:rsidR="009F019E" w:rsidRPr="00D15B6B" w:rsidRDefault="009F019E" w:rsidP="009E39F1">
            <w:pPr>
              <w:pStyle w:val="Zkladntext"/>
              <w:rPr>
                <w:rFonts w:ascii="Times New Roman" w:hAnsi="Times New Roman"/>
                <w:b w:val="0"/>
                <w:sz w:val="24"/>
                <w:szCs w:val="24"/>
              </w:rPr>
            </w:pPr>
            <w:r w:rsidRPr="00D15B6B">
              <w:rPr>
                <w:rFonts w:ascii="Times New Roman" w:hAnsi="Times New Roman"/>
                <w:b w:val="0"/>
                <w:bCs w:val="0"/>
                <w:sz w:val="24"/>
                <w:szCs w:val="24"/>
              </w:rPr>
              <w:t>Náklady vybraných ústředních vládních institucí na transfery</w:t>
            </w:r>
          </w:p>
        </w:tc>
        <w:tc>
          <w:tcPr>
            <w:tcW w:w="1296" w:type="dxa"/>
            <w:tcBorders>
              <w:bottom w:val="single" w:sz="4" w:space="0" w:color="auto"/>
            </w:tcBorders>
            <w:vAlign w:val="center"/>
          </w:tcPr>
          <w:p w14:paraId="6DAB53BA" w14:textId="77777777" w:rsidR="009F019E" w:rsidRPr="00AA409D" w:rsidRDefault="009F019E" w:rsidP="009E39F1">
            <w:pPr>
              <w:pStyle w:val="Zkladntext"/>
              <w:jc w:val="center"/>
              <w:rPr>
                <w:rFonts w:ascii="Times New Roman" w:hAnsi="Times New Roman"/>
                <w:b w:val="0"/>
                <w:sz w:val="24"/>
                <w:szCs w:val="24"/>
              </w:rPr>
            </w:pPr>
            <w:r w:rsidRPr="00AA409D">
              <w:rPr>
                <w:rFonts w:ascii="Times New Roman" w:hAnsi="Times New Roman"/>
                <w:b w:val="0"/>
                <w:bCs w:val="0"/>
                <w:sz w:val="24"/>
                <w:szCs w:val="24"/>
              </w:rPr>
              <w:t>571</w:t>
            </w:r>
          </w:p>
        </w:tc>
      </w:tr>
      <w:tr w:rsidR="009F019E" w:rsidRPr="00AA409D" w14:paraId="0918006C" w14:textId="77777777" w:rsidTr="009E39F1">
        <w:tc>
          <w:tcPr>
            <w:tcW w:w="1694" w:type="dxa"/>
            <w:tcBorders>
              <w:top w:val="single" w:sz="4" w:space="0" w:color="auto"/>
            </w:tcBorders>
            <w:vAlign w:val="center"/>
          </w:tcPr>
          <w:p w14:paraId="0C59492B"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A.III.2.</w:t>
            </w:r>
          </w:p>
        </w:tc>
        <w:tc>
          <w:tcPr>
            <w:tcW w:w="6298" w:type="dxa"/>
            <w:tcBorders>
              <w:top w:val="single" w:sz="4" w:space="0" w:color="auto"/>
            </w:tcBorders>
            <w:vAlign w:val="center"/>
          </w:tcPr>
          <w:p w14:paraId="58589D22"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Náklady vybraných místních vládních institucí na transfery</w:t>
            </w:r>
          </w:p>
        </w:tc>
        <w:tc>
          <w:tcPr>
            <w:tcW w:w="1296" w:type="dxa"/>
            <w:tcBorders>
              <w:top w:val="single" w:sz="4" w:space="0" w:color="auto"/>
            </w:tcBorders>
            <w:vAlign w:val="center"/>
          </w:tcPr>
          <w:p w14:paraId="5A910920" w14:textId="77777777" w:rsidR="009F019E" w:rsidRPr="00AA409D" w:rsidRDefault="009F019E" w:rsidP="009E39F1">
            <w:pPr>
              <w:pStyle w:val="Zkladntext"/>
              <w:jc w:val="center"/>
              <w:rPr>
                <w:rFonts w:ascii="Times New Roman" w:hAnsi="Times New Roman"/>
                <w:b w:val="0"/>
                <w:bCs w:val="0"/>
                <w:sz w:val="24"/>
                <w:szCs w:val="24"/>
              </w:rPr>
            </w:pPr>
            <w:r w:rsidRPr="00AA409D">
              <w:rPr>
                <w:rFonts w:ascii="Times New Roman" w:hAnsi="Times New Roman"/>
                <w:b w:val="0"/>
                <w:bCs w:val="0"/>
                <w:sz w:val="24"/>
                <w:szCs w:val="24"/>
              </w:rPr>
              <w:t>572</w:t>
            </w:r>
          </w:p>
        </w:tc>
      </w:tr>
      <w:tr w:rsidR="009F019E" w:rsidRPr="00AA409D" w14:paraId="74ACD9B4" w14:textId="77777777" w:rsidTr="009E39F1">
        <w:tc>
          <w:tcPr>
            <w:tcW w:w="1694" w:type="dxa"/>
            <w:vAlign w:val="center"/>
          </w:tcPr>
          <w:p w14:paraId="78D4E302"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B.IV.1.</w:t>
            </w:r>
          </w:p>
        </w:tc>
        <w:tc>
          <w:tcPr>
            <w:tcW w:w="6298" w:type="dxa"/>
            <w:vAlign w:val="center"/>
          </w:tcPr>
          <w:p w14:paraId="1A15B146"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Výnosy vybraných ústředních vládních institucí z transferů</w:t>
            </w:r>
          </w:p>
        </w:tc>
        <w:tc>
          <w:tcPr>
            <w:tcW w:w="1296" w:type="dxa"/>
            <w:vAlign w:val="center"/>
          </w:tcPr>
          <w:p w14:paraId="4D3E937C" w14:textId="77777777" w:rsidR="009F019E" w:rsidRPr="00AA409D" w:rsidRDefault="009F019E" w:rsidP="009E39F1">
            <w:pPr>
              <w:pStyle w:val="Zkladntext"/>
              <w:jc w:val="center"/>
              <w:rPr>
                <w:rFonts w:ascii="Times New Roman" w:hAnsi="Times New Roman"/>
                <w:b w:val="0"/>
                <w:bCs w:val="0"/>
                <w:sz w:val="24"/>
                <w:szCs w:val="24"/>
              </w:rPr>
            </w:pPr>
            <w:r w:rsidRPr="00AA409D">
              <w:rPr>
                <w:rFonts w:ascii="Times New Roman" w:hAnsi="Times New Roman"/>
                <w:b w:val="0"/>
                <w:bCs w:val="0"/>
                <w:sz w:val="24"/>
                <w:szCs w:val="24"/>
              </w:rPr>
              <w:t>671</w:t>
            </w:r>
          </w:p>
        </w:tc>
      </w:tr>
      <w:tr w:rsidR="009F019E" w:rsidRPr="00AA409D" w14:paraId="21AE93BC" w14:textId="77777777" w:rsidTr="009E39F1">
        <w:tc>
          <w:tcPr>
            <w:tcW w:w="1694" w:type="dxa"/>
            <w:vAlign w:val="center"/>
          </w:tcPr>
          <w:p w14:paraId="2628D08B"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B.IV.2.</w:t>
            </w:r>
          </w:p>
        </w:tc>
        <w:tc>
          <w:tcPr>
            <w:tcW w:w="6298" w:type="dxa"/>
            <w:vAlign w:val="center"/>
          </w:tcPr>
          <w:p w14:paraId="06D52B9B" w14:textId="77777777" w:rsidR="009F019E" w:rsidRPr="00D15B6B" w:rsidRDefault="009F019E" w:rsidP="009E39F1">
            <w:pPr>
              <w:pStyle w:val="Zkladntext"/>
              <w:rPr>
                <w:rFonts w:ascii="Times New Roman" w:hAnsi="Times New Roman"/>
                <w:b w:val="0"/>
                <w:bCs w:val="0"/>
                <w:sz w:val="24"/>
                <w:szCs w:val="24"/>
              </w:rPr>
            </w:pPr>
            <w:r w:rsidRPr="00D15B6B">
              <w:rPr>
                <w:rFonts w:ascii="Times New Roman" w:hAnsi="Times New Roman"/>
                <w:b w:val="0"/>
                <w:bCs w:val="0"/>
                <w:sz w:val="24"/>
                <w:szCs w:val="24"/>
              </w:rPr>
              <w:t>Výnosy vybraných místních vládních institucí z transferů</w:t>
            </w:r>
          </w:p>
        </w:tc>
        <w:tc>
          <w:tcPr>
            <w:tcW w:w="1296" w:type="dxa"/>
            <w:vAlign w:val="center"/>
          </w:tcPr>
          <w:p w14:paraId="3AF69B3F" w14:textId="77777777" w:rsidR="009F019E" w:rsidRPr="00AA409D" w:rsidRDefault="009F019E" w:rsidP="009E39F1">
            <w:pPr>
              <w:pStyle w:val="Zkladntext"/>
              <w:jc w:val="center"/>
              <w:rPr>
                <w:rFonts w:ascii="Times New Roman" w:hAnsi="Times New Roman"/>
                <w:b w:val="0"/>
                <w:bCs w:val="0"/>
                <w:sz w:val="24"/>
                <w:szCs w:val="24"/>
              </w:rPr>
            </w:pPr>
            <w:r w:rsidRPr="00AA409D">
              <w:rPr>
                <w:rFonts w:ascii="Times New Roman" w:hAnsi="Times New Roman"/>
                <w:b w:val="0"/>
                <w:bCs w:val="0"/>
                <w:sz w:val="24"/>
                <w:szCs w:val="24"/>
              </w:rPr>
              <w:t>672</w:t>
            </w:r>
          </w:p>
        </w:tc>
      </w:tr>
    </w:tbl>
    <w:p w14:paraId="41665097" w14:textId="77777777" w:rsidR="009F019E" w:rsidRPr="00AA409D" w:rsidRDefault="009F019E" w:rsidP="009F019E">
      <w:pPr>
        <w:pStyle w:val="Zkladntext"/>
        <w:tabs>
          <w:tab w:val="left" w:pos="1800"/>
          <w:tab w:val="right" w:pos="8820"/>
        </w:tabs>
        <w:jc w:val="both"/>
        <w:rPr>
          <w:rFonts w:ascii="Times New Roman" w:hAnsi="Times New Roman"/>
          <w:b w:val="0"/>
          <w:bCs w:val="0"/>
          <w:sz w:val="24"/>
          <w:szCs w:val="24"/>
        </w:rPr>
      </w:pPr>
    </w:p>
    <w:p w14:paraId="0D2E7AAA" w14:textId="77777777" w:rsidR="009F019E" w:rsidRPr="00AA409D" w:rsidRDefault="009F019E" w:rsidP="009F019E">
      <w:pPr>
        <w:pStyle w:val="Zkladntext"/>
        <w:tabs>
          <w:tab w:val="left" w:pos="1800"/>
          <w:tab w:val="right" w:pos="8820"/>
        </w:tabs>
        <w:jc w:val="both"/>
        <w:rPr>
          <w:rFonts w:ascii="Times New Roman" w:hAnsi="Times New Roman"/>
          <w:b w:val="0"/>
          <w:bCs w:val="0"/>
          <w:sz w:val="24"/>
          <w:szCs w:val="24"/>
        </w:rPr>
      </w:pPr>
      <w:r w:rsidRPr="00AA409D">
        <w:rPr>
          <w:rFonts w:ascii="Times New Roman" w:hAnsi="Times New Roman"/>
          <w:b w:val="0"/>
          <w:bCs w:val="0"/>
          <w:sz w:val="24"/>
          <w:szCs w:val="24"/>
        </w:rPr>
        <w:t>vykazovaných za podmínek stanovených vyhláškou.</w:t>
      </w:r>
    </w:p>
    <w:p w14:paraId="4B247C03" w14:textId="77777777" w:rsidR="009F019E" w:rsidRPr="00AA409D" w:rsidRDefault="009F019E" w:rsidP="009F019E">
      <w:pPr>
        <w:pStyle w:val="Zkladntext"/>
        <w:tabs>
          <w:tab w:val="left" w:pos="1800"/>
          <w:tab w:val="right" w:pos="8820"/>
        </w:tabs>
        <w:jc w:val="both"/>
        <w:rPr>
          <w:rFonts w:ascii="Times New Roman" w:hAnsi="Times New Roman"/>
          <w:b w:val="0"/>
          <w:bCs w:val="0"/>
          <w:sz w:val="24"/>
          <w:szCs w:val="24"/>
        </w:rPr>
      </w:pPr>
    </w:p>
    <w:p w14:paraId="51B65807" w14:textId="77777777" w:rsidR="009F019E" w:rsidRPr="00AA409D" w:rsidRDefault="009F019E" w:rsidP="009F019E">
      <w:pPr>
        <w:rPr>
          <w:b/>
        </w:rPr>
      </w:pPr>
      <w:r>
        <w:rPr>
          <w:b/>
        </w:rPr>
        <w:t xml:space="preserve">2. </w:t>
      </w:r>
      <w:r w:rsidRPr="00AA409D">
        <w:rPr>
          <w:b/>
        </w:rPr>
        <w:t>Předmět standardu</w:t>
      </w:r>
    </w:p>
    <w:p w14:paraId="5B5BF5AF" w14:textId="77777777" w:rsidR="009F019E" w:rsidRPr="00AA409D" w:rsidRDefault="009F019E" w:rsidP="009F019E"/>
    <w:p w14:paraId="71ED1F0D" w14:textId="77777777" w:rsidR="009F019E" w:rsidRPr="00AA409D" w:rsidRDefault="009F019E" w:rsidP="009F019E">
      <w:pPr>
        <w:pStyle w:val="Zkladntext"/>
        <w:tabs>
          <w:tab w:val="left" w:pos="2880"/>
          <w:tab w:val="right" w:pos="8820"/>
        </w:tabs>
        <w:jc w:val="both"/>
        <w:rPr>
          <w:rFonts w:ascii="Times New Roman" w:hAnsi="Times New Roman"/>
          <w:b w:val="0"/>
          <w:bCs w:val="0"/>
          <w:sz w:val="24"/>
          <w:szCs w:val="24"/>
        </w:rPr>
      </w:pPr>
      <w:r w:rsidRPr="00AA409D">
        <w:rPr>
          <w:rFonts w:ascii="Times New Roman" w:hAnsi="Times New Roman"/>
          <w:b w:val="0"/>
          <w:bCs w:val="0"/>
          <w:sz w:val="24"/>
          <w:szCs w:val="24"/>
        </w:rPr>
        <w:t>Standard upravuje:</w:t>
      </w:r>
    </w:p>
    <w:p w14:paraId="30CD25D1" w14:textId="77777777" w:rsidR="009F019E" w:rsidRPr="00AA409D" w:rsidRDefault="009F019E" w:rsidP="009F019E">
      <w:pPr>
        <w:pStyle w:val="Zkladntext"/>
        <w:tabs>
          <w:tab w:val="left" w:pos="2880"/>
          <w:tab w:val="right" w:pos="8820"/>
        </w:tabs>
        <w:jc w:val="both"/>
        <w:rPr>
          <w:rFonts w:ascii="Times New Roman" w:hAnsi="Times New Roman"/>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200"/>
      </w:tblGrid>
      <w:tr w:rsidR="009F019E" w:rsidRPr="00BD7BD6" w14:paraId="659015A2" w14:textId="77777777" w:rsidTr="009E39F1">
        <w:tc>
          <w:tcPr>
            <w:tcW w:w="1188" w:type="dxa"/>
            <w:vAlign w:val="center"/>
          </w:tcPr>
          <w:p w14:paraId="49309293" w14:textId="77777777" w:rsidR="009F019E" w:rsidRPr="00600928" w:rsidRDefault="009F019E" w:rsidP="009E39F1">
            <w:pPr>
              <w:pStyle w:val="Zkladntext"/>
              <w:rPr>
                <w:rFonts w:ascii="Times New Roman" w:hAnsi="Times New Roman"/>
                <w:bCs w:val="0"/>
                <w:sz w:val="24"/>
                <w:szCs w:val="24"/>
              </w:rPr>
            </w:pPr>
            <w:r w:rsidRPr="00600928">
              <w:rPr>
                <w:rFonts w:ascii="Times New Roman" w:hAnsi="Times New Roman"/>
                <w:bCs w:val="0"/>
                <w:sz w:val="24"/>
                <w:szCs w:val="24"/>
              </w:rPr>
              <w:t>Bod 3.</w:t>
            </w:r>
          </w:p>
        </w:tc>
        <w:tc>
          <w:tcPr>
            <w:tcW w:w="7200" w:type="dxa"/>
            <w:vAlign w:val="center"/>
          </w:tcPr>
          <w:p w14:paraId="6773EE76" w14:textId="77777777" w:rsidR="009F019E" w:rsidRPr="00600928" w:rsidRDefault="009F019E" w:rsidP="009E39F1">
            <w:pPr>
              <w:pStyle w:val="Zkladntext"/>
              <w:rPr>
                <w:rFonts w:ascii="Times New Roman" w:hAnsi="Times New Roman"/>
                <w:bCs w:val="0"/>
                <w:sz w:val="24"/>
                <w:szCs w:val="24"/>
              </w:rPr>
            </w:pPr>
            <w:r w:rsidRPr="00600928">
              <w:rPr>
                <w:rFonts w:ascii="Times New Roman" w:hAnsi="Times New Roman"/>
                <w:bCs w:val="0"/>
                <w:sz w:val="24"/>
                <w:szCs w:val="24"/>
              </w:rPr>
              <w:t>Vymezení pojmů</w:t>
            </w:r>
          </w:p>
        </w:tc>
      </w:tr>
      <w:tr w:rsidR="009F019E" w:rsidRPr="00BD7BD6" w14:paraId="2D617B2F" w14:textId="77777777" w:rsidTr="009E39F1">
        <w:tc>
          <w:tcPr>
            <w:tcW w:w="1188" w:type="dxa"/>
            <w:vAlign w:val="center"/>
          </w:tcPr>
          <w:p w14:paraId="639ACFDA" w14:textId="77777777" w:rsidR="009F019E" w:rsidRPr="00600928" w:rsidRDefault="009F019E" w:rsidP="009E39F1">
            <w:pPr>
              <w:pStyle w:val="Zkladntext"/>
              <w:rPr>
                <w:rFonts w:ascii="Times New Roman" w:hAnsi="Times New Roman"/>
                <w:bCs w:val="0"/>
                <w:sz w:val="24"/>
                <w:szCs w:val="24"/>
              </w:rPr>
            </w:pPr>
            <w:r w:rsidRPr="00600928">
              <w:rPr>
                <w:rFonts w:ascii="Times New Roman" w:hAnsi="Times New Roman"/>
                <w:bCs w:val="0"/>
                <w:sz w:val="24"/>
                <w:szCs w:val="24"/>
              </w:rPr>
              <w:t>Bod 4.</w:t>
            </w:r>
          </w:p>
        </w:tc>
        <w:tc>
          <w:tcPr>
            <w:tcW w:w="7200" w:type="dxa"/>
            <w:vAlign w:val="center"/>
          </w:tcPr>
          <w:p w14:paraId="4524BC88" w14:textId="77777777" w:rsidR="009F019E" w:rsidRPr="00600928" w:rsidRDefault="009F019E" w:rsidP="009E39F1">
            <w:pPr>
              <w:pStyle w:val="Zkladntext"/>
              <w:rPr>
                <w:rFonts w:ascii="Times New Roman" w:hAnsi="Times New Roman"/>
                <w:bCs w:val="0"/>
                <w:sz w:val="24"/>
                <w:szCs w:val="24"/>
              </w:rPr>
            </w:pPr>
            <w:r w:rsidRPr="00600928">
              <w:rPr>
                <w:rFonts w:ascii="Times New Roman" w:hAnsi="Times New Roman"/>
                <w:bCs w:val="0"/>
                <w:sz w:val="24"/>
                <w:szCs w:val="24"/>
              </w:rPr>
              <w:t>Obecné postupy účtování o transferech</w:t>
            </w:r>
          </w:p>
        </w:tc>
      </w:tr>
      <w:tr w:rsidR="009F019E" w:rsidRPr="00BD7BD6" w14:paraId="44ACA72F" w14:textId="77777777" w:rsidTr="009E39F1">
        <w:tc>
          <w:tcPr>
            <w:tcW w:w="1188" w:type="dxa"/>
            <w:vAlign w:val="center"/>
          </w:tcPr>
          <w:p w14:paraId="0FBF8262" w14:textId="77777777" w:rsidR="009F019E" w:rsidRPr="00600928" w:rsidRDefault="009F019E" w:rsidP="009E39F1">
            <w:pPr>
              <w:pStyle w:val="Zkladntext"/>
              <w:rPr>
                <w:rFonts w:ascii="Times New Roman" w:hAnsi="Times New Roman"/>
                <w:bCs w:val="0"/>
                <w:sz w:val="24"/>
                <w:szCs w:val="24"/>
              </w:rPr>
            </w:pPr>
            <w:r w:rsidRPr="00600928">
              <w:rPr>
                <w:rFonts w:ascii="Times New Roman" w:hAnsi="Times New Roman"/>
                <w:bCs w:val="0"/>
                <w:sz w:val="24"/>
                <w:szCs w:val="24"/>
              </w:rPr>
              <w:t>Bod 5.</w:t>
            </w:r>
          </w:p>
        </w:tc>
        <w:tc>
          <w:tcPr>
            <w:tcW w:w="7200" w:type="dxa"/>
            <w:vAlign w:val="center"/>
          </w:tcPr>
          <w:p w14:paraId="40F9A7F1" w14:textId="77777777" w:rsidR="009F019E" w:rsidRPr="00600928" w:rsidRDefault="009F019E" w:rsidP="009E39F1">
            <w:pPr>
              <w:pStyle w:val="Zkladntext"/>
              <w:rPr>
                <w:rFonts w:ascii="Times New Roman" w:hAnsi="Times New Roman"/>
                <w:bCs w:val="0"/>
                <w:sz w:val="24"/>
                <w:szCs w:val="24"/>
              </w:rPr>
            </w:pPr>
            <w:r w:rsidRPr="00600928">
              <w:rPr>
                <w:rFonts w:ascii="Times New Roman" w:hAnsi="Times New Roman"/>
                <w:bCs w:val="0"/>
                <w:sz w:val="24"/>
                <w:szCs w:val="24"/>
              </w:rPr>
              <w:t>Některé postupy účtování</w:t>
            </w:r>
          </w:p>
        </w:tc>
      </w:tr>
      <w:tr w:rsidR="009F019E" w:rsidRPr="00AA409D" w14:paraId="67EA9487" w14:textId="77777777" w:rsidTr="009E39F1">
        <w:tc>
          <w:tcPr>
            <w:tcW w:w="1188" w:type="dxa"/>
            <w:vAlign w:val="center"/>
          </w:tcPr>
          <w:p w14:paraId="2E969FB9"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Bod 5.1.</w:t>
            </w:r>
          </w:p>
        </w:tc>
        <w:tc>
          <w:tcPr>
            <w:tcW w:w="7200" w:type="dxa"/>
            <w:vAlign w:val="center"/>
          </w:tcPr>
          <w:p w14:paraId="637A5A64" w14:textId="77777777" w:rsidR="009F019E" w:rsidRPr="00AA409D" w:rsidRDefault="009F019E" w:rsidP="009E39F1">
            <w:pPr>
              <w:pStyle w:val="Zkladntext"/>
              <w:rPr>
                <w:rFonts w:ascii="Times New Roman" w:hAnsi="Times New Roman"/>
                <w:b w:val="0"/>
                <w:bCs w:val="0"/>
                <w:sz w:val="24"/>
                <w:szCs w:val="24"/>
              </w:rPr>
            </w:pPr>
            <w:r w:rsidRPr="00857361">
              <w:rPr>
                <w:rFonts w:ascii="Times New Roman" w:hAnsi="Times New Roman"/>
                <w:b w:val="0"/>
                <w:bCs w:val="0"/>
                <w:sz w:val="24"/>
                <w:szCs w:val="24"/>
              </w:rPr>
              <w:t>Účtování u zprostředkovatele</w:t>
            </w:r>
          </w:p>
        </w:tc>
      </w:tr>
      <w:tr w:rsidR="009F019E" w:rsidRPr="00AA409D" w14:paraId="77C42DE5" w14:textId="77777777" w:rsidTr="009E39F1">
        <w:tc>
          <w:tcPr>
            <w:tcW w:w="1188" w:type="dxa"/>
            <w:vAlign w:val="center"/>
          </w:tcPr>
          <w:p w14:paraId="2D50F5F5"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Bod 5.2.</w:t>
            </w:r>
          </w:p>
        </w:tc>
        <w:tc>
          <w:tcPr>
            <w:tcW w:w="7200" w:type="dxa"/>
            <w:vAlign w:val="center"/>
          </w:tcPr>
          <w:p w14:paraId="15F87599"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Účtování transferů s povinností finančního vypořádání – poskytovatel</w:t>
            </w:r>
          </w:p>
        </w:tc>
      </w:tr>
      <w:tr w:rsidR="009F019E" w:rsidRPr="00AA409D" w14:paraId="37141DEE" w14:textId="77777777" w:rsidTr="009E39F1">
        <w:tc>
          <w:tcPr>
            <w:tcW w:w="1188" w:type="dxa"/>
            <w:vAlign w:val="center"/>
          </w:tcPr>
          <w:p w14:paraId="3C2196B0"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Bod 5.3.</w:t>
            </w:r>
          </w:p>
        </w:tc>
        <w:tc>
          <w:tcPr>
            <w:tcW w:w="7200" w:type="dxa"/>
            <w:vAlign w:val="center"/>
          </w:tcPr>
          <w:p w14:paraId="6F9EB860"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Účtování transferů s povinností finančního vypořádání – příjemce</w:t>
            </w:r>
          </w:p>
        </w:tc>
      </w:tr>
      <w:tr w:rsidR="009F019E" w:rsidRPr="00AA409D" w14:paraId="32CCF7E6" w14:textId="77777777" w:rsidTr="009E39F1">
        <w:tc>
          <w:tcPr>
            <w:tcW w:w="1188" w:type="dxa"/>
            <w:vAlign w:val="center"/>
          </w:tcPr>
          <w:p w14:paraId="19CD1266"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Bod 5.4.</w:t>
            </w:r>
          </w:p>
        </w:tc>
        <w:tc>
          <w:tcPr>
            <w:tcW w:w="7200" w:type="dxa"/>
            <w:vAlign w:val="center"/>
          </w:tcPr>
          <w:p w14:paraId="6B478BD9"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Účtování transferů bez povinnosti finančního vypořádání – poskytovatel</w:t>
            </w:r>
          </w:p>
        </w:tc>
      </w:tr>
      <w:tr w:rsidR="009F019E" w:rsidRPr="00AA409D" w14:paraId="16BC00D2" w14:textId="77777777" w:rsidTr="009E39F1">
        <w:tc>
          <w:tcPr>
            <w:tcW w:w="1188" w:type="dxa"/>
            <w:vAlign w:val="center"/>
          </w:tcPr>
          <w:p w14:paraId="7C4EF3F7"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Bod 5.5.</w:t>
            </w:r>
          </w:p>
        </w:tc>
        <w:tc>
          <w:tcPr>
            <w:tcW w:w="7200" w:type="dxa"/>
            <w:vAlign w:val="center"/>
          </w:tcPr>
          <w:p w14:paraId="7BF23A85" w14:textId="77777777" w:rsidR="009F019E" w:rsidRPr="00AA409D" w:rsidRDefault="009F019E" w:rsidP="009E39F1">
            <w:pPr>
              <w:pStyle w:val="Zkladntext"/>
              <w:rPr>
                <w:rFonts w:ascii="Times New Roman" w:hAnsi="Times New Roman"/>
                <w:b w:val="0"/>
                <w:bCs w:val="0"/>
                <w:sz w:val="24"/>
                <w:szCs w:val="24"/>
              </w:rPr>
            </w:pPr>
            <w:r w:rsidRPr="00AA409D">
              <w:rPr>
                <w:rFonts w:ascii="Times New Roman" w:hAnsi="Times New Roman"/>
                <w:b w:val="0"/>
                <w:bCs w:val="0"/>
                <w:sz w:val="24"/>
                <w:szCs w:val="24"/>
              </w:rPr>
              <w:t>Účtování transferů bez povinnosti finančního vypořádání – příjemce</w:t>
            </w:r>
          </w:p>
        </w:tc>
      </w:tr>
    </w:tbl>
    <w:p w14:paraId="45783F8C" w14:textId="77777777" w:rsidR="009F019E" w:rsidRPr="00AA409D" w:rsidRDefault="009F019E" w:rsidP="009F019E">
      <w:pPr>
        <w:pStyle w:val="Zkladntext"/>
        <w:tabs>
          <w:tab w:val="left" w:pos="2880"/>
          <w:tab w:val="right" w:pos="8820"/>
        </w:tabs>
        <w:jc w:val="both"/>
        <w:rPr>
          <w:rFonts w:ascii="Times New Roman" w:hAnsi="Times New Roman"/>
          <w:b w:val="0"/>
          <w:bCs w:val="0"/>
          <w:sz w:val="24"/>
          <w:szCs w:val="24"/>
        </w:rPr>
      </w:pPr>
    </w:p>
    <w:p w14:paraId="312AADBC" w14:textId="77777777" w:rsidR="009F019E" w:rsidRPr="00F95FB9" w:rsidRDefault="009F019E" w:rsidP="009F019E">
      <w:pPr>
        <w:rPr>
          <w:b/>
        </w:rPr>
      </w:pPr>
      <w:r>
        <w:rPr>
          <w:b/>
        </w:rPr>
        <w:t xml:space="preserve">3. </w:t>
      </w:r>
      <w:r w:rsidRPr="00AA409D">
        <w:rPr>
          <w:b/>
        </w:rPr>
        <w:t>Vymezení pojmů</w:t>
      </w:r>
    </w:p>
    <w:p w14:paraId="4D57D0E6" w14:textId="77777777" w:rsidR="009F019E" w:rsidRPr="00AA409D" w:rsidRDefault="009F019E" w:rsidP="009F019E">
      <w:pPr>
        <w:rPr>
          <w:b/>
          <w:bCs/>
        </w:rPr>
      </w:pPr>
    </w:p>
    <w:p w14:paraId="3CF5EBF6" w14:textId="77777777" w:rsidR="009F019E" w:rsidRDefault="009F019E" w:rsidP="009F019E">
      <w:pPr>
        <w:jc w:val="both"/>
      </w:pPr>
      <w:r>
        <w:t xml:space="preserve">3.1. </w:t>
      </w:r>
      <w:r w:rsidRPr="00AA409D">
        <w:t>Pro účely tohoto standardu se rozumí</w:t>
      </w:r>
    </w:p>
    <w:p w14:paraId="4169FF21" w14:textId="77777777" w:rsidR="009F019E" w:rsidRPr="00AA409D" w:rsidRDefault="009F019E" w:rsidP="009F019E">
      <w:pPr>
        <w:jc w:val="both"/>
      </w:pPr>
    </w:p>
    <w:p w14:paraId="1A6D68C3" w14:textId="77777777" w:rsidR="009F019E" w:rsidRDefault="009F019E" w:rsidP="009F019E">
      <w:pPr>
        <w:jc w:val="both"/>
      </w:pPr>
      <w:r>
        <w:t xml:space="preserve">a) </w:t>
      </w:r>
      <w:r w:rsidRPr="00AA409D">
        <w:t xml:space="preserve">transferem poskytnutí peněžních prostředků z veřejných rozpočtů i přijetí peněžních prostředků veřejnými rozpočty, včetně prostředků ze zahraničí, zejména v případě státního rozpočtu, rozpočtů územních samospráv či státních fondů, tedy zejména dotace, granty, příspěvky, subvence, dávky, nenávratné finanční výpomoci, podpory či peněžní dary. Za </w:t>
      </w:r>
      <w:r w:rsidRPr="00D15B6B">
        <w:t>transfer se nepovažuje poskytnutí či přijetí peněžních prostředků v rámci dodavatelsko-odběratelských vztahů, informace o otevření limitu výdajů v případě organizačních složek státu, daně, poplatky a obdobné dávky, pokuty, penále, odvody a obdobné platby a také dotace zřizovatele</w:t>
      </w:r>
      <w:r w:rsidRPr="00AA409D">
        <w:t xml:space="preserve"> určené na pořízení dlouhodobého majetku jím zřizované příspěvkové organizaci,</w:t>
      </w:r>
    </w:p>
    <w:p w14:paraId="7258B729" w14:textId="77777777" w:rsidR="009F019E" w:rsidRPr="00AA409D" w:rsidRDefault="009F019E" w:rsidP="009F019E">
      <w:pPr>
        <w:jc w:val="both"/>
      </w:pPr>
    </w:p>
    <w:p w14:paraId="5077942F" w14:textId="77777777" w:rsidR="009F019E" w:rsidRDefault="009F019E" w:rsidP="009F019E">
      <w:pPr>
        <w:jc w:val="both"/>
      </w:pPr>
      <w:r>
        <w:t xml:space="preserve">b) </w:t>
      </w:r>
      <w:r w:rsidRPr="00AA409D">
        <w:t>poskytovatelem subjekt, který poskytuje transfer jeho příjemci na základě svého rozhodnutí nebo dohody s příjemcem,</w:t>
      </w:r>
    </w:p>
    <w:p w14:paraId="167CA552" w14:textId="77777777" w:rsidR="009F019E" w:rsidRPr="00AA409D" w:rsidRDefault="009F019E" w:rsidP="009F019E">
      <w:pPr>
        <w:jc w:val="both"/>
      </w:pPr>
    </w:p>
    <w:p w14:paraId="46DEF0E3" w14:textId="77777777" w:rsidR="009F019E" w:rsidRDefault="009F019E" w:rsidP="009F019E">
      <w:pPr>
        <w:jc w:val="both"/>
      </w:pPr>
      <w:r>
        <w:t xml:space="preserve">c) </w:t>
      </w:r>
      <w:r w:rsidRPr="00AA409D">
        <w:t>příjemcem subjekt, který přijímá transfer jako konečný příjemce s cílem zejména úhrady závazku nebo pořízení aktiva,</w:t>
      </w:r>
    </w:p>
    <w:p w14:paraId="71CC13D9" w14:textId="77777777" w:rsidR="009F019E" w:rsidRPr="00AA409D" w:rsidRDefault="009F019E" w:rsidP="009F019E">
      <w:pPr>
        <w:jc w:val="both"/>
      </w:pPr>
    </w:p>
    <w:p w14:paraId="3D224E70" w14:textId="77777777" w:rsidR="009F019E" w:rsidRPr="00AA409D" w:rsidRDefault="009F019E" w:rsidP="009F019E">
      <w:pPr>
        <w:jc w:val="both"/>
      </w:pPr>
      <w:r>
        <w:t xml:space="preserve">d) </w:t>
      </w:r>
      <w:r w:rsidRPr="00AA409D">
        <w:t>průtokovým transferem transfer,</w:t>
      </w:r>
    </w:p>
    <w:p w14:paraId="6827FA06" w14:textId="77777777" w:rsidR="009F019E" w:rsidRPr="00AA409D" w:rsidRDefault="009F019E" w:rsidP="009F019E">
      <w:pPr>
        <w:jc w:val="both"/>
      </w:pPr>
    </w:p>
    <w:p w14:paraId="60AFA220" w14:textId="77777777" w:rsidR="009F019E" w:rsidRPr="00AA409D" w:rsidRDefault="009F019E" w:rsidP="009F019E">
      <w:pPr>
        <w:widowControl w:val="0"/>
        <w:jc w:val="both"/>
      </w:pPr>
      <w:r>
        <w:t xml:space="preserve">1. </w:t>
      </w:r>
      <w:r w:rsidRPr="00AA409D">
        <w:t>o jehož výši rozhoduje účetní jednotka v rámci výkonu státní správy v přenesené působnosti</w:t>
      </w:r>
      <w:r w:rsidRPr="00AA409D" w:rsidDel="00CB46D9">
        <w:t xml:space="preserve"> </w:t>
      </w:r>
      <w:r w:rsidRPr="00AA409D">
        <w:t>nebo</w:t>
      </w:r>
    </w:p>
    <w:p w14:paraId="4CEB9FAF" w14:textId="77777777" w:rsidR="009F019E" w:rsidRPr="00AA409D" w:rsidRDefault="009F019E" w:rsidP="009F019E">
      <w:pPr>
        <w:widowControl w:val="0"/>
        <w:jc w:val="both"/>
      </w:pPr>
      <w:r>
        <w:t xml:space="preserve">2. </w:t>
      </w:r>
      <w:r w:rsidRPr="00AA409D">
        <w:t xml:space="preserve">u kterého jeho poskytovatel určil příjemce a výši transferu, a účetní jednotka je povinna </w:t>
      </w:r>
      <w:r w:rsidRPr="00AA409D">
        <w:lastRenderedPageBreak/>
        <w:t>poskytnout jej příjemci</w:t>
      </w:r>
      <w:r w:rsidRPr="00F95FB9">
        <w:rPr>
          <w:vertAlign w:val="superscript"/>
        </w:rPr>
        <w:footnoteReference w:id="1"/>
      </w:r>
      <w:r w:rsidRPr="00AA409D">
        <w:t>.</w:t>
      </w:r>
    </w:p>
    <w:p w14:paraId="0659D24C" w14:textId="77777777" w:rsidR="009F019E" w:rsidRPr="00AA409D" w:rsidRDefault="009F019E" w:rsidP="009F019E">
      <w:pPr>
        <w:widowControl w:val="0"/>
        <w:jc w:val="both"/>
      </w:pPr>
    </w:p>
    <w:p w14:paraId="3EE5594B" w14:textId="77777777" w:rsidR="009F019E" w:rsidRDefault="009F019E" w:rsidP="009F019E">
      <w:pPr>
        <w:jc w:val="both"/>
      </w:pPr>
      <w:r>
        <w:t xml:space="preserve">e) </w:t>
      </w:r>
      <w:r w:rsidRPr="00AA409D">
        <w:t>zprostředkovatelem vybraná účetní jednotka, která přijímá a zároveň poskytuje průtokový transfer; a dále organizační složka státu například Ministerstvo financí, Ministerstvo práce a sociálních věcí a Ministerstvo zemědělství, pokud poskytují prostředky získané od subjektu se sídlem v zahraničí (zahraniční transfer),</w:t>
      </w:r>
    </w:p>
    <w:p w14:paraId="7F9F681C" w14:textId="77777777" w:rsidR="009F019E" w:rsidRPr="00AA409D" w:rsidRDefault="009F019E" w:rsidP="009F019E">
      <w:pPr>
        <w:jc w:val="both"/>
      </w:pPr>
    </w:p>
    <w:p w14:paraId="216A0085" w14:textId="77777777" w:rsidR="009F019E" w:rsidRPr="00AA409D" w:rsidRDefault="009F019E" w:rsidP="009F019E">
      <w:pPr>
        <w:jc w:val="both"/>
      </w:pPr>
      <w:r w:rsidRPr="00412C02">
        <w:t xml:space="preserve">f) investičním transferem transfer, který je určen k financování dlouhodobého majetku </w:t>
      </w:r>
      <w:r w:rsidRPr="00D15B6B">
        <w:t>příjemce, který tento dlouhodobý majetek pořizuje, s výjimkou drobného dlouhodobého majetku.</w:t>
      </w:r>
    </w:p>
    <w:p w14:paraId="7AA2BC04" w14:textId="77777777" w:rsidR="009F019E" w:rsidRPr="00AA409D" w:rsidRDefault="009F019E" w:rsidP="009F019E">
      <w:pPr>
        <w:jc w:val="both"/>
      </w:pPr>
    </w:p>
    <w:p w14:paraId="5013CD27" w14:textId="77777777" w:rsidR="009F019E" w:rsidRPr="00AA409D" w:rsidRDefault="009F019E" w:rsidP="009F019E">
      <w:pPr>
        <w:jc w:val="both"/>
      </w:pPr>
      <w:r>
        <w:t xml:space="preserve">3.2. </w:t>
      </w:r>
      <w:r w:rsidRPr="00AA409D">
        <w:t>Na poskytnutí peněžních prostředků k přímému čerpání na určené bankovní účty, kdy  z titulu smluvního ujednání s bankou nebo z titulu podmínek poskytnutí prostředků dochází k uvolnění peněžních prostředků bankou, a to na základě doložení účelu čerpání, se hledí jako na transfer.</w:t>
      </w:r>
    </w:p>
    <w:p w14:paraId="22B239FF" w14:textId="77777777" w:rsidR="009F019E" w:rsidRPr="00AA409D" w:rsidRDefault="009F019E" w:rsidP="009F019E">
      <w:pPr>
        <w:jc w:val="both"/>
      </w:pPr>
    </w:p>
    <w:p w14:paraId="2A67A389" w14:textId="77777777" w:rsidR="009F019E" w:rsidRPr="00AA409D" w:rsidRDefault="009F019E" w:rsidP="009F019E">
      <w:pPr>
        <w:jc w:val="both"/>
      </w:pPr>
      <w:r>
        <w:t xml:space="preserve">3.3. </w:t>
      </w:r>
      <w:r w:rsidRPr="00AA409D">
        <w:t>Stanoví-li Český účetní standard č. 704 – Fondy účetní jednotky odlišný postup účtování o některém transferu, postupuje účetní jednotka podle příslušného ustanovení Českého účetního standardu č. 704 – Fondy účetní jednotky.</w:t>
      </w:r>
    </w:p>
    <w:p w14:paraId="64F98593" w14:textId="77777777" w:rsidR="009F019E" w:rsidRPr="00AA409D" w:rsidRDefault="009F019E" w:rsidP="009F019E">
      <w:pPr>
        <w:jc w:val="both"/>
      </w:pPr>
    </w:p>
    <w:p w14:paraId="53864B31" w14:textId="77777777" w:rsidR="009F019E" w:rsidRDefault="009F019E" w:rsidP="009F019E">
      <w:pPr>
        <w:jc w:val="both"/>
      </w:pPr>
      <w:r>
        <w:t xml:space="preserve">3.4. </w:t>
      </w:r>
      <w:r w:rsidRPr="00AA409D">
        <w:t xml:space="preserve">V případě transferu, který je realizován formou poskytnutí peněžních prostředků před splněním povinnosti jejich vyúčtování nejpozději k okamžiku provedení finančního vypořádání (dále jen „vypořádání“), se o takových peněžních částkách účtuje jako o zálohách. </w:t>
      </w:r>
    </w:p>
    <w:p w14:paraId="61FF7B21" w14:textId="77777777" w:rsidR="009F019E" w:rsidRPr="00D15B6B" w:rsidRDefault="009F019E" w:rsidP="009F019E">
      <w:pPr>
        <w:jc w:val="both"/>
      </w:pPr>
    </w:p>
    <w:p w14:paraId="21238326" w14:textId="77777777" w:rsidR="009F019E" w:rsidRPr="00D15B6B" w:rsidRDefault="009F019E" w:rsidP="009F019E">
      <w:pPr>
        <w:tabs>
          <w:tab w:val="num" w:pos="540"/>
        </w:tabs>
        <w:jc w:val="both"/>
      </w:pPr>
      <w:r w:rsidRPr="00D15B6B">
        <w:t>3.5. V případech, kdy bude od okamžiku poskytnutí nebo přijetí zálohy podle bodu 3.4. tato záloha vypořádána za období delší než jeden rok, považuje se tato záloha za dlouhodobou. Ostatní zálohy se považují za krátkodobé.</w:t>
      </w:r>
    </w:p>
    <w:p w14:paraId="6A6AFA54" w14:textId="77777777" w:rsidR="009F019E" w:rsidRPr="00D15B6B" w:rsidRDefault="009F019E" w:rsidP="009F019E">
      <w:pPr>
        <w:jc w:val="both"/>
      </w:pPr>
    </w:p>
    <w:p w14:paraId="25126B31" w14:textId="77777777" w:rsidR="009F019E" w:rsidRPr="00D15B6B" w:rsidRDefault="009F019E" w:rsidP="009F019E">
      <w:pPr>
        <w:tabs>
          <w:tab w:val="num" w:pos="540"/>
        </w:tabs>
        <w:jc w:val="both"/>
      </w:pPr>
      <w:r w:rsidRPr="00D15B6B">
        <w:t>3.6. Informace o otevření limitu výdajů nebo o blokovaných prostředcích v případě organizačních složek státu se nepovažuje za významnou.</w:t>
      </w:r>
    </w:p>
    <w:p w14:paraId="4EA7083F" w14:textId="77777777" w:rsidR="009F019E" w:rsidRPr="00AA409D" w:rsidRDefault="009F019E" w:rsidP="009F019E">
      <w:pPr>
        <w:pStyle w:val="Zkladntext2"/>
      </w:pPr>
    </w:p>
    <w:p w14:paraId="78F443BB" w14:textId="77777777" w:rsidR="009F019E" w:rsidRPr="00AA409D" w:rsidRDefault="009F019E" w:rsidP="009F019E">
      <w:pPr>
        <w:rPr>
          <w:b/>
        </w:rPr>
      </w:pPr>
      <w:r>
        <w:rPr>
          <w:b/>
        </w:rPr>
        <w:t xml:space="preserve">4. </w:t>
      </w:r>
      <w:r w:rsidRPr="00AA409D">
        <w:rPr>
          <w:b/>
        </w:rPr>
        <w:t>Obecné postupy účtování o transferech</w:t>
      </w:r>
    </w:p>
    <w:p w14:paraId="4DD75DE2" w14:textId="77777777" w:rsidR="009F019E" w:rsidRPr="00AA409D" w:rsidRDefault="009F019E" w:rsidP="009F019E">
      <w:pPr>
        <w:pStyle w:val="Zkladntext2"/>
        <w:rPr>
          <w:b/>
        </w:rPr>
      </w:pPr>
    </w:p>
    <w:p w14:paraId="5A39982B" w14:textId="77777777" w:rsidR="009F019E" w:rsidRPr="00AA409D" w:rsidRDefault="009F019E" w:rsidP="009F019E">
      <w:pPr>
        <w:tabs>
          <w:tab w:val="num" w:pos="540"/>
        </w:tabs>
        <w:jc w:val="both"/>
      </w:pPr>
      <w:r>
        <w:t xml:space="preserve">4.1. </w:t>
      </w:r>
      <w:r w:rsidRPr="00AA409D">
        <w:t>Zjistí-li poskytovatel, že došlo ke skutečnosti, která je natolik určitá a významná</w:t>
      </w:r>
      <w:r w:rsidRPr="00816088">
        <w:rPr>
          <w:vertAlign w:val="superscript"/>
        </w:rPr>
        <w:footnoteReference w:id="2"/>
      </w:r>
      <w:r w:rsidRPr="00AA409D">
        <w:t>, že zakládá možnost poskytnutí transferu, účtuje o této skutečnosti prostřednictvím účtu 973 – Krátkodobé podmíněné závazky z jiných smluv nebo 974 – Dlouhodobé podmíněné závazky z jiných smluv a účtu 999 – Vyrovnávací účet k podrozvahovým účtům.</w:t>
      </w:r>
    </w:p>
    <w:p w14:paraId="6E8F8721" w14:textId="77777777" w:rsidR="009F019E" w:rsidRPr="00AA409D" w:rsidRDefault="009F019E" w:rsidP="009F019E">
      <w:pPr>
        <w:jc w:val="both"/>
      </w:pPr>
    </w:p>
    <w:p w14:paraId="133FF135" w14:textId="77777777" w:rsidR="009F019E" w:rsidRDefault="009F019E" w:rsidP="009F019E">
      <w:pPr>
        <w:tabs>
          <w:tab w:val="num" w:pos="540"/>
        </w:tabs>
        <w:jc w:val="both"/>
      </w:pPr>
      <w:r>
        <w:t xml:space="preserve">4.2. </w:t>
      </w:r>
      <w:r w:rsidRPr="00AA409D">
        <w:t>Zjistí-li poskytovatel transferu, že nastaly skutečnosti, ze kterých vyplývá nezpochybnitelnost důvodu poskytnutí transferu, a je známa jeho výše a okamžik nebo lhůta poskytnutí transferu, účtuje o vzniku daného závazku prostřednictvím příslušného závazkového účtu se souvztažným zápisem na příslušném nákladovém účtu, pokud již neúčtoval prostřednictvím účtu 389 – Dohadné účty pasivní.</w:t>
      </w:r>
    </w:p>
    <w:p w14:paraId="1715273E" w14:textId="77777777" w:rsidR="009F019E" w:rsidRDefault="009F019E" w:rsidP="009F019E">
      <w:pPr>
        <w:jc w:val="both"/>
      </w:pPr>
    </w:p>
    <w:p w14:paraId="218F36B7" w14:textId="77777777" w:rsidR="009F019E" w:rsidRDefault="009F019E" w:rsidP="009F019E">
      <w:pPr>
        <w:tabs>
          <w:tab w:val="num" w:pos="540"/>
        </w:tabs>
        <w:jc w:val="both"/>
      </w:pPr>
      <w:r>
        <w:t xml:space="preserve">4.3. </w:t>
      </w:r>
      <w:r w:rsidRPr="00AA409D">
        <w:t>Pokud k rozvahovému dni běžného účetního období nebudou známy skutečnosti dokládající oprávněnost výše transferu ve věcné a časové souvislosti s běžným účetním obdobím, a proto může být zpochybněna jeho výše, účtuje poskytovatel transferu</w:t>
      </w:r>
      <w:r w:rsidRPr="00A51887">
        <w:t xml:space="preserve"> </w:t>
      </w:r>
      <w:r w:rsidRPr="00AA409D">
        <w:t>například na základě informace vyžádané od příjemce</w:t>
      </w:r>
      <w:r>
        <w:t>.</w:t>
      </w:r>
    </w:p>
    <w:p w14:paraId="0E32BF02" w14:textId="77777777" w:rsidR="009F019E" w:rsidRPr="00AA409D" w:rsidRDefault="009F019E" w:rsidP="009F019E">
      <w:pPr>
        <w:jc w:val="both"/>
      </w:pPr>
    </w:p>
    <w:p w14:paraId="4BD66FDD" w14:textId="77777777" w:rsidR="009F019E" w:rsidRPr="00AA409D" w:rsidRDefault="009F019E" w:rsidP="009F019E">
      <w:pPr>
        <w:tabs>
          <w:tab w:val="num" w:pos="540"/>
        </w:tabs>
        <w:jc w:val="both"/>
      </w:pPr>
      <w:r>
        <w:t xml:space="preserve">4.4. </w:t>
      </w:r>
      <w:r w:rsidRPr="00AA409D">
        <w:t>Příjemce transferu, jehož poskytovatelem je subjekt se sídlem v zahraničí, účtuje o podmíněné pohledávce na podrozvahových účtech v okamžiku, kdy podal žádost o tento transfer nebo došlo k jiné skutečnosti, která je natolik určitá, že zakládá možnost poskytnutí nebo zprostředkování určitého transferu příjemci, a to prostřednictvím účtu 939 – Krátkodobé podmíněné pohledávky z nástrojů spolufinancovaných ze zahraničí nebo 941 – Dlouhodobé podmíněné pohledávky z nástrojů spolufinancovaných ze zahraničí a účtu 999 – Vyrovnávací účet k podrozvahovým účtům.</w:t>
      </w:r>
    </w:p>
    <w:p w14:paraId="7C8E5DB4" w14:textId="77777777" w:rsidR="009F019E" w:rsidRPr="00331584" w:rsidRDefault="009F019E" w:rsidP="009F019E">
      <w:pPr>
        <w:jc w:val="both"/>
      </w:pPr>
    </w:p>
    <w:p w14:paraId="7CADBC38" w14:textId="77777777" w:rsidR="009F019E" w:rsidRPr="00AA409D" w:rsidRDefault="009F019E" w:rsidP="009F019E">
      <w:pPr>
        <w:tabs>
          <w:tab w:val="num" w:pos="540"/>
        </w:tabs>
        <w:jc w:val="both"/>
      </w:pPr>
      <w:r>
        <w:t xml:space="preserve">4.5. </w:t>
      </w:r>
      <w:r w:rsidRPr="00AA409D">
        <w:t xml:space="preserve">Zjistí-li příjemce, že došlo ke skutečnosti, která je natolik určitá a významná, že zakládá možnost poskytnutí transferu neuvedeného v bodu </w:t>
      </w:r>
      <w:r>
        <w:t>4.4.</w:t>
      </w:r>
      <w:r w:rsidRPr="00AA409D">
        <w:t>, účtuje o této skutečnosti prostřednictvím účtu 942 – Krátkodobé podmíněné pohledávky ze vztahu k jiným zdrojům nebo 943 – Dlouhodobé podmíněné pohledávky ze vztahu k jiným zdrojům a účtu 999 – Vyrovnávací účet k podrozvahovým účtům.</w:t>
      </w:r>
    </w:p>
    <w:p w14:paraId="301ABE09" w14:textId="77777777" w:rsidR="009F019E" w:rsidRPr="00331584" w:rsidRDefault="009F019E" w:rsidP="009F019E">
      <w:pPr>
        <w:jc w:val="both"/>
      </w:pPr>
    </w:p>
    <w:p w14:paraId="0CF92555" w14:textId="77777777" w:rsidR="009F019E" w:rsidRPr="00AA409D" w:rsidRDefault="009F019E" w:rsidP="009F019E">
      <w:pPr>
        <w:tabs>
          <w:tab w:val="num" w:pos="540"/>
        </w:tabs>
        <w:jc w:val="both"/>
      </w:pPr>
      <w:r>
        <w:t xml:space="preserve">4.6. </w:t>
      </w:r>
      <w:r w:rsidRPr="00AA409D">
        <w:t>Zjistí-li příjemce transferu, že nastaly skutečnosti, ze kterých vyplývá nezpochybnitelnost důvodu poskytnutí transferu a okamžik nebo lhůta poskytnutí transferu, a není známa výše transferu nebo je tato výše zpochybnitelná, účtuje prostřednictvím účtu 388 - Dohadný účet aktivní.</w:t>
      </w:r>
    </w:p>
    <w:p w14:paraId="4D19DAFC" w14:textId="77777777" w:rsidR="009F019E" w:rsidRPr="00AA409D" w:rsidRDefault="009F019E" w:rsidP="009F019E">
      <w:pPr>
        <w:jc w:val="both"/>
      </w:pPr>
    </w:p>
    <w:p w14:paraId="73F2DCB8" w14:textId="77777777" w:rsidR="009F019E" w:rsidRPr="00AA409D" w:rsidRDefault="009F019E" w:rsidP="009F019E">
      <w:pPr>
        <w:tabs>
          <w:tab w:val="num" w:pos="540"/>
        </w:tabs>
        <w:jc w:val="both"/>
      </w:pPr>
      <w:r>
        <w:t xml:space="preserve">4.7. </w:t>
      </w:r>
      <w:r w:rsidRPr="00AA409D">
        <w:t>Zjistí-li příjemce transferu, že nastaly skutečnosti, ze kterých vyplývá nezpochybnitelnost důvodu poskytnutí transferu, a je známa jeho výše a okamžik nebo lhůta poskytnutí transferu, účtuje o vzniku dané pohledávky k tomuto okamžiku</w:t>
      </w:r>
      <w:r>
        <w:t xml:space="preserve"> se souvztažným zápisem na příslušném syntetickém účtu účtové skupiny 67 nebo 40</w:t>
      </w:r>
      <w:r w:rsidRPr="00AA409D">
        <w:t xml:space="preserve">, pokud již neúčtoval prostřednictvím účtu 388 - Dohadný účet aktivní. </w:t>
      </w:r>
    </w:p>
    <w:p w14:paraId="470A839E" w14:textId="77777777" w:rsidR="009F019E" w:rsidRPr="00AA409D" w:rsidRDefault="009F019E" w:rsidP="009F019E">
      <w:pPr>
        <w:jc w:val="both"/>
      </w:pPr>
    </w:p>
    <w:p w14:paraId="79681924" w14:textId="77777777" w:rsidR="009F019E" w:rsidRDefault="009F019E" w:rsidP="009F019E">
      <w:pPr>
        <w:tabs>
          <w:tab w:val="num" w:pos="540"/>
        </w:tabs>
        <w:jc w:val="both"/>
      </w:pPr>
      <w:r w:rsidRPr="00412C02">
        <w:t xml:space="preserve">4.8. Příjemce transferu účtuje o zahraničním transferu prostřednictvím analytických účtů k syntetickým účtům </w:t>
      </w:r>
      <w:r w:rsidRPr="00D15B6B">
        <w:t>401 – Jmění účetní jednotky, 403 – Transfery na pořízení dlouhodobého majetku, 671 – Výnosy vybraných ústředních vládních institucí z transferů a 672 –</w:t>
      </w:r>
      <w:r w:rsidRPr="00D15B6B">
        <w:rPr>
          <w:strike/>
        </w:rPr>
        <w:t xml:space="preserve"> </w:t>
      </w:r>
      <w:r w:rsidRPr="00D15B6B">
        <w:t>Výnosy vybraných místních vládních institucí z transferů.</w:t>
      </w:r>
    </w:p>
    <w:p w14:paraId="299964A1" w14:textId="77777777" w:rsidR="009F019E" w:rsidRDefault="009F019E" w:rsidP="009F019E">
      <w:pPr>
        <w:jc w:val="both"/>
      </w:pPr>
    </w:p>
    <w:p w14:paraId="7CB6335A" w14:textId="77777777" w:rsidR="009F019E" w:rsidRPr="00AA409D" w:rsidRDefault="009F019E" w:rsidP="009F019E">
      <w:pPr>
        <w:tabs>
          <w:tab w:val="num" w:pos="540"/>
        </w:tabs>
        <w:jc w:val="both"/>
      </w:pPr>
      <w:r>
        <w:t xml:space="preserve">4.9. </w:t>
      </w:r>
      <w:r w:rsidRPr="00892AC7">
        <w:t>K okamžiku účtování o záloze podle bodu 3.4. a k okamžiku účtování o skutečnostech, ze kterých vyplývá nezpochybnitelnost důvodu poskytnutí nebo přijetí transferu a je známa jeho výše a okamžik nebo lhůta jeho poskytnutí, se provádí příslušný související zápis v knize podrozvahových účtů.</w:t>
      </w:r>
      <w:r w:rsidRPr="00AA409D">
        <w:t xml:space="preserve"> </w:t>
      </w:r>
    </w:p>
    <w:p w14:paraId="74DCECBE" w14:textId="77777777" w:rsidR="009F019E" w:rsidRPr="00331584" w:rsidRDefault="009F019E" w:rsidP="009F019E">
      <w:pPr>
        <w:jc w:val="both"/>
      </w:pPr>
    </w:p>
    <w:p w14:paraId="5A732856" w14:textId="77777777" w:rsidR="009F019E" w:rsidRDefault="009F019E" w:rsidP="009F019E">
      <w:pPr>
        <w:tabs>
          <w:tab w:val="num" w:pos="540"/>
        </w:tabs>
        <w:jc w:val="both"/>
      </w:pPr>
      <w:r>
        <w:t xml:space="preserve">4.10. </w:t>
      </w:r>
      <w:r w:rsidRPr="00AA409D">
        <w:t>V případě použití účetní metody časového rozlišení podle § 69 vyhlášky  lze při účtování o transferech použít tuto metodu též pro kratší období v</w:t>
      </w:r>
      <w:r>
        <w:t> průběhu účetního období.</w:t>
      </w:r>
    </w:p>
    <w:p w14:paraId="0EDF5A11" w14:textId="77777777" w:rsidR="009F019E" w:rsidRDefault="009F019E" w:rsidP="009F019E">
      <w:pPr>
        <w:tabs>
          <w:tab w:val="num" w:pos="540"/>
        </w:tabs>
        <w:jc w:val="both"/>
      </w:pPr>
    </w:p>
    <w:p w14:paraId="298EE417" w14:textId="77777777" w:rsidR="009F019E" w:rsidRPr="00D15B6B" w:rsidRDefault="009F019E" w:rsidP="009F019E">
      <w:pPr>
        <w:tabs>
          <w:tab w:val="num" w:pos="540"/>
        </w:tabs>
        <w:jc w:val="both"/>
      </w:pPr>
      <w:r w:rsidRPr="00D15B6B">
        <w:t>4.11. Příjemce transferu určeného na pořízení zásob, které v účetním období přijetí transferu nejsou spotřebovány nebo nedochází k jejich jinému úbytku, účtuje o příslušné výši tohoto transferu prostřednictvím účtu 384 – Výnosy příštích období.</w:t>
      </w:r>
    </w:p>
    <w:p w14:paraId="69D11CBF" w14:textId="77777777" w:rsidR="009F019E" w:rsidRPr="00D15B6B" w:rsidRDefault="009F019E" w:rsidP="009F019E">
      <w:pPr>
        <w:jc w:val="both"/>
      </w:pPr>
    </w:p>
    <w:p w14:paraId="1648B5CA" w14:textId="77777777" w:rsidR="009F019E" w:rsidRPr="00D15B6B" w:rsidRDefault="009F019E" w:rsidP="009F019E">
      <w:pPr>
        <w:tabs>
          <w:tab w:val="num" w:pos="540"/>
        </w:tabs>
        <w:jc w:val="both"/>
      </w:pPr>
      <w:r w:rsidRPr="00D15B6B">
        <w:t>4.12. V případě transferu, jenž je poskytován v cizí měně, se případné oceňovací rozdíly plynoucí z přepočtu částky transferu z cizí měny na peněžní jednotky české měny považují za kursový rozdíl.</w:t>
      </w:r>
    </w:p>
    <w:p w14:paraId="7E72B728" w14:textId="77777777" w:rsidR="009F019E" w:rsidRPr="00D15B6B" w:rsidRDefault="009F019E" w:rsidP="009F019E">
      <w:pPr>
        <w:jc w:val="both"/>
      </w:pPr>
    </w:p>
    <w:p w14:paraId="11E98341" w14:textId="77777777" w:rsidR="009F019E" w:rsidRPr="00D15B6B" w:rsidRDefault="009F019E" w:rsidP="009F019E">
      <w:pPr>
        <w:tabs>
          <w:tab w:val="num" w:pos="540"/>
        </w:tabs>
        <w:jc w:val="both"/>
      </w:pPr>
      <w:r w:rsidRPr="00D15B6B">
        <w:t>4.13. Pokud u organizační složky státu dochází k vyúčtování a inkasu přeplatku či úhradě doplatku jiné organizační složce státu nežli poskytovateli</w:t>
      </w:r>
    </w:p>
    <w:p w14:paraId="465D02B2" w14:textId="77777777" w:rsidR="009F019E" w:rsidRPr="00AA409D" w:rsidRDefault="009F019E" w:rsidP="009F019E">
      <w:pPr>
        <w:jc w:val="both"/>
      </w:pPr>
    </w:p>
    <w:p w14:paraId="793D3556" w14:textId="77777777" w:rsidR="009F019E" w:rsidRDefault="009F019E" w:rsidP="009F019E">
      <w:pPr>
        <w:jc w:val="both"/>
      </w:pPr>
      <w:r>
        <w:t xml:space="preserve">a) </w:t>
      </w:r>
      <w:r w:rsidRPr="00AA409D">
        <w:t xml:space="preserve">poskytovatel použije v případě inkasa přeplatku nebo úhrady doplatku jiné organizační složce státu místo účtu </w:t>
      </w:r>
      <w:r>
        <w:t>222 – Příjmový účet organizačních složek státu nebo 223 – Zvláštní výdajový účet syntetický</w:t>
      </w:r>
      <w:r w:rsidRPr="00AA409D">
        <w:t xml:space="preserve"> účet 401 – Jmění účetní jednotky a</w:t>
      </w:r>
    </w:p>
    <w:p w14:paraId="3C3419CE" w14:textId="77777777" w:rsidR="009F019E" w:rsidRPr="00AA409D" w:rsidRDefault="009F019E" w:rsidP="009F019E">
      <w:pPr>
        <w:jc w:val="both"/>
      </w:pPr>
    </w:p>
    <w:p w14:paraId="35CECD87" w14:textId="77777777" w:rsidR="009F019E" w:rsidRPr="00AA409D" w:rsidRDefault="009F019E" w:rsidP="009F019E">
      <w:pPr>
        <w:jc w:val="both"/>
      </w:pPr>
      <w:r>
        <w:t xml:space="preserve">b) </w:t>
      </w:r>
      <w:r w:rsidRPr="00AA409D">
        <w:t>jiná organizační složka státu v případě inkasa přeplatku od příjemce transferu účtuje na stranu MÁ DÁTI účtu 222 – Příjmový účet organizačních složek státu se souvztažným zápisem na stranu DAL účtu 401 – Jmění účetní jednotky a v případě úhrady doplatku příjemcem transferu účtuje na stranu MÁ DÁTI účtu 401 – Jmění účetní jednotky se souvztažným zápisem na stranu DAL účtu 223 – Zvláštní výdajový účet.</w:t>
      </w:r>
    </w:p>
    <w:p w14:paraId="59AF77C7" w14:textId="77777777" w:rsidR="009F019E" w:rsidRPr="00AA409D" w:rsidRDefault="009F019E" w:rsidP="009F019E">
      <w:pPr>
        <w:pStyle w:val="Zkladntext2"/>
      </w:pPr>
    </w:p>
    <w:p w14:paraId="3B92EEED" w14:textId="77777777" w:rsidR="009F019E" w:rsidRPr="00AA409D" w:rsidRDefault="009F019E" w:rsidP="009F019E">
      <w:pPr>
        <w:rPr>
          <w:b/>
        </w:rPr>
      </w:pPr>
      <w:r>
        <w:rPr>
          <w:b/>
        </w:rPr>
        <w:t xml:space="preserve">5. </w:t>
      </w:r>
      <w:r w:rsidRPr="00AA409D">
        <w:rPr>
          <w:b/>
        </w:rPr>
        <w:t>Některé postupy účtování</w:t>
      </w:r>
    </w:p>
    <w:p w14:paraId="0EE4C794" w14:textId="77777777" w:rsidR="009F019E" w:rsidRPr="00AA409D" w:rsidRDefault="009F019E" w:rsidP="009F019E">
      <w:pPr>
        <w:rPr>
          <w:b/>
        </w:rPr>
      </w:pPr>
    </w:p>
    <w:p w14:paraId="79C92532" w14:textId="77777777" w:rsidR="009F019E" w:rsidRPr="006B5F02" w:rsidRDefault="009F019E" w:rsidP="009F019E">
      <w:pPr>
        <w:tabs>
          <w:tab w:val="num" w:pos="540"/>
        </w:tabs>
        <w:jc w:val="both"/>
        <w:rPr>
          <w:b/>
        </w:rPr>
      </w:pPr>
      <w:r w:rsidRPr="006B5F02">
        <w:rPr>
          <w:b/>
        </w:rPr>
        <w:t>5.1. Účtování u zprostředkovatele</w:t>
      </w:r>
    </w:p>
    <w:p w14:paraId="34A4E45A" w14:textId="77777777" w:rsidR="009F019E" w:rsidRPr="00AA409D" w:rsidRDefault="009F019E" w:rsidP="009F019E">
      <w:pPr>
        <w:jc w:val="both"/>
      </w:pPr>
    </w:p>
    <w:p w14:paraId="34D92DD5" w14:textId="77777777" w:rsidR="009F019E" w:rsidRPr="00412C02" w:rsidRDefault="009F019E" w:rsidP="009F019E">
      <w:pPr>
        <w:tabs>
          <w:tab w:val="num" w:pos="720"/>
        </w:tabs>
        <w:jc w:val="both"/>
      </w:pPr>
      <w:r w:rsidRPr="00412C02">
        <w:t xml:space="preserve">5.1.1. O přijetí průtokového transferu na bankovní účet účtuje zprostředkovatel na stranu MÁ DÁTI příslušného syntetického účtu účtové skupiny 22, 23 nebo 24 se souvztažným </w:t>
      </w:r>
      <w:r w:rsidRPr="00D15B6B">
        <w:t>zápisem na stranu DAL účtu 374 – Krátkodobé přijaté zálohy na transfery nebo 472 – Dlouhodobé přijaté zálohy na transfery. O poskytnutí tohoto průtokového transferu dalšímu zprostředkovateli nebo příjemci z bankovního účtu účtuje zprostředkovatel na stranu MÁ DÁTI účtu 374 - Krátkodobé přijaté zálohy na transfery nebo 472 – Dlouhodobé přijaté zálohy na transfery</w:t>
      </w:r>
      <w:r w:rsidRPr="00412C02">
        <w:t xml:space="preserve"> se souvztažným zápisem na stranu DAL příslušného syntetického účtu účtové skupiny 22, 23 nebo 24. Stejným způsobem účtuje zprostředkovatel též o přeplatcích či doplatcích transferů.</w:t>
      </w:r>
    </w:p>
    <w:p w14:paraId="0AC015C1" w14:textId="77777777" w:rsidR="009F019E" w:rsidRPr="00412C02" w:rsidRDefault="009F019E" w:rsidP="009F019E">
      <w:pPr>
        <w:jc w:val="both"/>
      </w:pPr>
    </w:p>
    <w:p w14:paraId="060F4AA2" w14:textId="77777777" w:rsidR="009F019E" w:rsidRPr="00AA409D" w:rsidRDefault="009F019E" w:rsidP="009F019E">
      <w:pPr>
        <w:tabs>
          <w:tab w:val="num" w:pos="720"/>
        </w:tabs>
        <w:jc w:val="both"/>
      </w:pPr>
      <w:r w:rsidRPr="00412C02">
        <w:t xml:space="preserve">5.1.2. O přijetí zahraničního transferu na bankovní účet účtuje zprostředkovatel na stranu </w:t>
      </w:r>
      <w:r w:rsidRPr="00D15B6B">
        <w:t>MÁ DÁTI příslušného syntetického účtu účtové skupiny 22, 23 nebo 24 se souvztažným zápisem na stranu DAL účtu 372 – Krátkodobé závazky z nástrojů spolufinancovaných ze zahraničí nebo účtu 458 – Dlouhodobé závazky z nástrojů</w:t>
      </w:r>
      <w:r w:rsidRPr="00412C02">
        <w:t xml:space="preserve"> spolufinancovaných ze zahraničí. O poskytnutí zahraničního transferu dalšímu zprostředkovateli nebo příjemci z bankovního účtu účtuje zprostředkovatel na stranu MÁ DÁTI účtu 372 – Krátkodobé závazky z nástrojů spolufinancovaných ze zahraničí nebo účtu 458 – Dlouhodobé závazky z nástrojů spolufinancovaných ze zahraničí se souvztažným zápisem </w:t>
      </w:r>
      <w:r w:rsidRPr="00D15B6B">
        <w:t>na stranu DAL příslušného syntetického účtu účtové skupiny 22, 23 nebo 24. Stejným způsobem účtuje zprostředkovatel též o přeplatcích či doplatcích transferů.</w:t>
      </w:r>
    </w:p>
    <w:p w14:paraId="13AEE133" w14:textId="77777777" w:rsidR="009F019E" w:rsidRPr="00AA409D" w:rsidRDefault="009F019E" w:rsidP="009F019E">
      <w:pPr>
        <w:pStyle w:val="Zkladntext2"/>
      </w:pPr>
    </w:p>
    <w:p w14:paraId="37022BC8" w14:textId="77777777" w:rsidR="009F019E" w:rsidRPr="006B5F02" w:rsidRDefault="009F019E" w:rsidP="009F019E">
      <w:pPr>
        <w:tabs>
          <w:tab w:val="num" w:pos="540"/>
        </w:tabs>
        <w:jc w:val="both"/>
        <w:rPr>
          <w:b/>
        </w:rPr>
      </w:pPr>
      <w:bookmarkStart w:id="1" w:name="OLE_LINK1"/>
      <w:bookmarkStart w:id="2" w:name="OLE_LINK2"/>
      <w:r w:rsidRPr="006B5F02">
        <w:rPr>
          <w:b/>
        </w:rPr>
        <w:t>5.2. Účtování transferů s povinností finančního vypořádání – poskytovatel</w:t>
      </w:r>
    </w:p>
    <w:p w14:paraId="695671B8" w14:textId="77777777" w:rsidR="009F019E" w:rsidRPr="00AA409D" w:rsidRDefault="009F019E" w:rsidP="009F019E">
      <w:pPr>
        <w:jc w:val="both"/>
      </w:pPr>
    </w:p>
    <w:p w14:paraId="3455866C" w14:textId="77777777" w:rsidR="009F019E" w:rsidRPr="00412C02" w:rsidRDefault="009F019E" w:rsidP="009F019E">
      <w:pPr>
        <w:tabs>
          <w:tab w:val="num" w:pos="720"/>
        </w:tabs>
        <w:jc w:val="both"/>
      </w:pPr>
      <w:r w:rsidRPr="00412C02">
        <w:t xml:space="preserve">5.2.1. Vyplývá-li z jiného právního předpisu či ze smlouvy mezi poskytovatelem transferu a jeho příjemcem povinnost vypořádání, účtuje poskytovatel o poskytnutí zálohy podle bodu 3.4. na stranu MÁ DÁTI </w:t>
      </w:r>
      <w:r>
        <w:t>účtu 373</w:t>
      </w:r>
      <w:r w:rsidRPr="00D15B6B">
        <w:rPr>
          <w:b/>
        </w:rPr>
        <w:t xml:space="preserve"> -</w:t>
      </w:r>
      <w:r>
        <w:t xml:space="preserve"> </w:t>
      </w:r>
      <w:r w:rsidRPr="00D15B6B">
        <w:t>Krátkodobé poskytnuté zálohy na transfery nebo 471 – Dlouhodobé poskytnuté zálohy na transfery, a to se souvztažným zápisem na stranu DAL příslušného syntetického účtu účtové skupiny 22, 23 nebo 24.</w:t>
      </w:r>
    </w:p>
    <w:p w14:paraId="5012AA43" w14:textId="77777777" w:rsidR="009F019E" w:rsidRPr="00412C02" w:rsidRDefault="009F019E" w:rsidP="009F019E">
      <w:pPr>
        <w:pStyle w:val="Zkladntext2"/>
      </w:pPr>
    </w:p>
    <w:p w14:paraId="771A9BB0" w14:textId="77777777" w:rsidR="009F019E" w:rsidRPr="00D15B6B" w:rsidRDefault="009F019E" w:rsidP="009F019E">
      <w:pPr>
        <w:tabs>
          <w:tab w:val="num" w:pos="720"/>
        </w:tabs>
        <w:jc w:val="both"/>
      </w:pPr>
      <w:r w:rsidRPr="00412C02">
        <w:lastRenderedPageBreak/>
        <w:t>5.2.2. V případě vypořádání transferu realizovaného formou zálohy podle bodu 3.4. do účetního období, v jakém byl transfer poskytnut, účtuje poskytovatel o skutečné výši transferu na stranu MÁ DÁTI příslušného syntetického účtu účtové skupiny 57 se souvztažným zápisem na stranu DAL příslušného závazkového syntetického účtu účtové skupiny 34. O zúčtování zálohy podle bodu 3.4. účtuje poskytovatel na stranu MÁ DÁTI příslušného závazkového syntetického účtu účtové skupiny 34</w:t>
      </w:r>
      <w:r>
        <w:t xml:space="preserve"> </w:t>
      </w:r>
      <w:r w:rsidRPr="00412C02">
        <w:t xml:space="preserve">se souvztažným zápisem na stranu DAL </w:t>
      </w:r>
      <w:r w:rsidRPr="00D15B6B">
        <w:t>účtu 373</w:t>
      </w:r>
      <w:r w:rsidRPr="00D15B6B">
        <w:rPr>
          <w:b/>
        </w:rPr>
        <w:t xml:space="preserve"> -</w:t>
      </w:r>
      <w:r w:rsidRPr="00D15B6B">
        <w:t xml:space="preserve"> Krátkodobé poskytnuté zálohy na transfery nebo 471 – Dlouhodobé poskytnuté zálohy na transfery.</w:t>
      </w:r>
      <w:r w:rsidRPr="00412C02">
        <w:t xml:space="preserve"> O úhradě doplatku účtuje poskytovatel na stranu MÁ DÁTI příslušného závazkového syntetického účtu účtové skupiny 34 se souvztažným zápisem na stranu DAL příslušného syntetického účtu účtové skupiny 22, 23 nebo 24. O inkasu přeplatku účtuje poskytovatel na stranu MÁ DÁTI příslušného syntetického účtu účtové skupiny 22, 23 nebo 24 se souvztažným zápisem na stran</w:t>
      </w:r>
      <w:r>
        <w:t xml:space="preserve">u DAL </w:t>
      </w:r>
      <w:r w:rsidRPr="00D15B6B">
        <w:t>účtu 373</w:t>
      </w:r>
      <w:r w:rsidRPr="00D15B6B">
        <w:rPr>
          <w:b/>
        </w:rPr>
        <w:t xml:space="preserve"> -</w:t>
      </w:r>
      <w:r w:rsidRPr="00D15B6B">
        <w:t xml:space="preserve"> Krátkodobé poskytnuté zálohy na transfery nebo 471 – Dlouhodobé poskytnuté zálohy na transfery.</w:t>
      </w:r>
    </w:p>
    <w:p w14:paraId="52D3967D" w14:textId="77777777" w:rsidR="009F019E" w:rsidRPr="00412C02" w:rsidRDefault="009F019E" w:rsidP="009F019E">
      <w:pPr>
        <w:jc w:val="both"/>
      </w:pPr>
    </w:p>
    <w:p w14:paraId="1A411473" w14:textId="77777777" w:rsidR="009F019E" w:rsidRPr="00AA409D" w:rsidRDefault="009F019E" w:rsidP="009F019E">
      <w:pPr>
        <w:tabs>
          <w:tab w:val="num" w:pos="720"/>
        </w:tabs>
        <w:jc w:val="both"/>
      </w:pPr>
      <w:r w:rsidRPr="00412C02">
        <w:t xml:space="preserve">5.2.3. V případě, že dochází k vypořádání transferu realizovaného formou zálohy podle bodu 3.4. v ostatních případech, než je uvedeno v bodu 5.2.2., a proto může být zpochybněna jeho výše, účtuje poskytovatel v souladu s bodem 4.3. nejpozději ke každému rozvahovému dni, který předchází okamžiku vypořádání na stranu MÁ DÁTI příslušného syntetického účtu účtové skupiny 57 se souvztažným zápisem na stranu DAL účtu 389 – Dohadné účty pasivní. K okamžiku vypořádání účtuje poskytovatel </w:t>
      </w:r>
      <w:bookmarkEnd w:id="1"/>
      <w:bookmarkEnd w:id="2"/>
      <w:r w:rsidRPr="00412C02">
        <w:t xml:space="preserve">o zúčtování dohadného účtu na stranu MÁ DÁTI účtu 389 – Dohadné účty pasivní se souvztažným zápisem o skutečné výši transferu podle vyúčtování na stranu DAL příslušného závazkového syntetického účtu účtové skupiny 34 a se souvztažným zápisem na příslušnou stranu příslušného syntetického účtu účtové skupiny 57. O zúčtování zálohy podle bodu 3.4. účtuje poskytovatel na stranu MÁ DÁTI příslušného závazkového syntetického účtu účtové skupiny 34 se souvztažným </w:t>
      </w:r>
      <w:r>
        <w:t xml:space="preserve">zápisem na stranu DAL účtu 373 </w:t>
      </w:r>
      <w:r w:rsidRPr="00D15B6B">
        <w:rPr>
          <w:b/>
        </w:rPr>
        <w:t xml:space="preserve">- </w:t>
      </w:r>
      <w:r w:rsidRPr="00D15B6B">
        <w:t>Krátkodobé poskytnuté</w:t>
      </w:r>
      <w:r>
        <w:rPr>
          <w:b/>
        </w:rPr>
        <w:t xml:space="preserve"> </w:t>
      </w:r>
      <w:r w:rsidRPr="00412C02">
        <w:t>zálohy na transfery</w:t>
      </w:r>
      <w:r w:rsidRPr="00412C02">
        <w:rPr>
          <w:b/>
        </w:rPr>
        <w:t xml:space="preserve"> </w:t>
      </w:r>
      <w:r w:rsidRPr="00D15B6B">
        <w:t>nebo 471 – Dlouhodobé poskytnuté zálohy na transfery. O úhradě doplatku účtuje poskytovatel na stranu MÁ DÁTI příslušného</w:t>
      </w:r>
      <w:r w:rsidRPr="00412C02">
        <w:t xml:space="preserve"> závazkového syntetického účtu účtové skupiny 34</w:t>
      </w:r>
      <w:r>
        <w:t xml:space="preserve"> </w:t>
      </w:r>
      <w:r w:rsidRPr="00412C02">
        <w:t xml:space="preserve">se souvztažným zápisem na stranu DAL příslušného syntetického účtu účtové skupiny 22, 23 nebo 24. O inkasu přeplatku účtuje poskytovatel na stranu MÁ DÁTI příslušného syntetického účtu účtové skupiny 22, 23 nebo 24 se souvztažným </w:t>
      </w:r>
      <w:r>
        <w:t>zápisem na stranu DAL účtu 373</w:t>
      </w:r>
      <w:r w:rsidRPr="00D15B6B">
        <w:rPr>
          <w:b/>
        </w:rPr>
        <w:t xml:space="preserve"> -</w:t>
      </w:r>
      <w:r w:rsidRPr="00D15B6B">
        <w:t xml:space="preserve"> Krátkodobé poskytnuté zálohy na transfery nebo 471 – Dlouhodobé poskytnuté zálohy na transfery.</w:t>
      </w:r>
    </w:p>
    <w:p w14:paraId="4DBA4DDA" w14:textId="77777777" w:rsidR="009F019E" w:rsidRPr="00AA409D" w:rsidRDefault="009F019E" w:rsidP="009F019E">
      <w:pPr>
        <w:jc w:val="both"/>
      </w:pPr>
    </w:p>
    <w:p w14:paraId="7F49885F" w14:textId="77777777" w:rsidR="009F019E" w:rsidRPr="00AA409D" w:rsidRDefault="009F019E" w:rsidP="009F019E">
      <w:pPr>
        <w:tabs>
          <w:tab w:val="num" w:pos="720"/>
        </w:tabs>
        <w:jc w:val="both"/>
      </w:pPr>
      <w:r>
        <w:t xml:space="preserve">5.2.4. </w:t>
      </w:r>
      <w:r w:rsidRPr="00AA409D">
        <w:t>V</w:t>
      </w:r>
      <w:r>
        <w:t> </w:t>
      </w:r>
      <w:r w:rsidRPr="00AA409D">
        <w:t>případě, že poskytovatel před okamžikem vypořádání transferu podle bodu 5.2.2. zobrazuje věcnou a časovou souvislost nákladů a výnosů, účtuje o odhadované výši transferu prostřednictvím účtu 389 – Dohadné účty pasivní.</w:t>
      </w:r>
    </w:p>
    <w:p w14:paraId="43019F18" w14:textId="77777777" w:rsidR="009F019E" w:rsidRPr="00AA409D" w:rsidRDefault="009F019E" w:rsidP="009F019E">
      <w:pPr>
        <w:jc w:val="both"/>
      </w:pPr>
    </w:p>
    <w:p w14:paraId="30413BDA" w14:textId="77777777" w:rsidR="009F019E" w:rsidRPr="006B5F02" w:rsidRDefault="009F019E" w:rsidP="009F019E">
      <w:pPr>
        <w:tabs>
          <w:tab w:val="num" w:pos="540"/>
        </w:tabs>
        <w:jc w:val="both"/>
        <w:rPr>
          <w:b/>
        </w:rPr>
      </w:pPr>
      <w:r w:rsidRPr="006B5F02">
        <w:rPr>
          <w:b/>
          <w:bCs/>
        </w:rPr>
        <w:t>5.3. Účtování transferů s povinností finančního vypořádání – příjemce</w:t>
      </w:r>
    </w:p>
    <w:p w14:paraId="51A1F5C2" w14:textId="77777777" w:rsidR="009F019E" w:rsidRPr="00AA409D" w:rsidRDefault="009F019E" w:rsidP="009F019E">
      <w:pPr>
        <w:jc w:val="both"/>
      </w:pPr>
    </w:p>
    <w:p w14:paraId="4D5DEBF7" w14:textId="77777777" w:rsidR="009F019E" w:rsidRPr="00AA409D" w:rsidRDefault="009F019E" w:rsidP="009F019E">
      <w:pPr>
        <w:tabs>
          <w:tab w:val="num" w:pos="720"/>
        </w:tabs>
        <w:jc w:val="both"/>
      </w:pPr>
      <w:r w:rsidRPr="00412C02">
        <w:t xml:space="preserve">5.3.1. Vyplývá-li z jiného právního předpisu či ze smlouvy mezi poskytovatelem transferu a jeho příjemcem povinnost vypořádání, účtuje příjemce o přijetí zálohy podle bodu 3.4. na stranu MÁ DÁTI příslušného syntetického účtu účtové skupiny 22, 23 nebo </w:t>
      </w:r>
      <w:smartTag w:uri="urn:schemas-microsoft-com:office:smarttags" w:element="metricconverter">
        <w:smartTagPr>
          <w:attr w:name="ProductID" w:val="24, a"/>
        </w:smartTagPr>
        <w:r w:rsidRPr="00412C02">
          <w:t>24, a</w:t>
        </w:r>
      </w:smartTag>
      <w:r w:rsidRPr="00412C02">
        <w:t xml:space="preserve"> to se souvztažným zápisem na stranu DAL </w:t>
      </w:r>
      <w:r>
        <w:t>účtu 374</w:t>
      </w:r>
      <w:r w:rsidRPr="00D15B6B">
        <w:rPr>
          <w:b/>
        </w:rPr>
        <w:t xml:space="preserve"> -</w:t>
      </w:r>
      <w:r>
        <w:t xml:space="preserve"> </w:t>
      </w:r>
      <w:r w:rsidRPr="00D15B6B">
        <w:t>Krátkodobé přijaté zálohy na transfery nebo 472 – Dlouhodobé přijaté zálohy na transfery.</w:t>
      </w:r>
    </w:p>
    <w:p w14:paraId="2732506D" w14:textId="77777777" w:rsidR="009F019E" w:rsidRPr="00AA409D" w:rsidRDefault="009F019E" w:rsidP="009F019E">
      <w:pPr>
        <w:pStyle w:val="Zkladntext2"/>
      </w:pPr>
    </w:p>
    <w:p w14:paraId="50443C70" w14:textId="77777777" w:rsidR="009F019E" w:rsidRDefault="009F019E" w:rsidP="009F019E">
      <w:pPr>
        <w:tabs>
          <w:tab w:val="num" w:pos="720"/>
        </w:tabs>
        <w:jc w:val="both"/>
      </w:pPr>
      <w:r>
        <w:t xml:space="preserve">5.3.2. </w:t>
      </w:r>
      <w:r w:rsidRPr="00AA409D">
        <w:t>V případě vypořádání transferu realizovaného formou zálohy</w:t>
      </w:r>
      <w:r>
        <w:t xml:space="preserve"> podle bodu 3.4.</w:t>
      </w:r>
      <w:r w:rsidRPr="00AA409D">
        <w:t xml:space="preserve"> v účetním období, v jakém byl transfer poskytnut, tak</w:t>
      </w:r>
    </w:p>
    <w:p w14:paraId="64CF8288" w14:textId="77777777" w:rsidR="009F019E" w:rsidRPr="00AA409D" w:rsidRDefault="009F019E" w:rsidP="009F019E">
      <w:pPr>
        <w:tabs>
          <w:tab w:val="num" w:pos="720"/>
        </w:tabs>
        <w:jc w:val="both"/>
      </w:pPr>
    </w:p>
    <w:p w14:paraId="07CF8030" w14:textId="77777777" w:rsidR="009F019E" w:rsidRDefault="009F019E" w:rsidP="009F019E">
      <w:pPr>
        <w:jc w:val="both"/>
      </w:pPr>
      <w:r>
        <w:lastRenderedPageBreak/>
        <w:t xml:space="preserve">a) </w:t>
      </w:r>
      <w:r w:rsidRPr="00AA409D">
        <w:t>nejedná-li se o investiční transfer, účtuje příjemce na stranu MÁ DÁTI příslušného pohledávkového účtu účtové skupiny 34 se souvztažným zápisem na stranu DAL příslušného syntetického účtu účtové skupiny 67,</w:t>
      </w:r>
    </w:p>
    <w:p w14:paraId="3E7570AD" w14:textId="77777777" w:rsidR="009F019E" w:rsidRPr="00AA409D" w:rsidRDefault="009F019E" w:rsidP="009F019E">
      <w:pPr>
        <w:jc w:val="both"/>
      </w:pPr>
    </w:p>
    <w:p w14:paraId="3A708260" w14:textId="77777777" w:rsidR="009F019E" w:rsidRDefault="009F019E" w:rsidP="009F019E">
      <w:pPr>
        <w:jc w:val="both"/>
      </w:pPr>
      <w:r>
        <w:t xml:space="preserve">b) </w:t>
      </w:r>
      <w:r w:rsidRPr="00AA409D">
        <w:t>jedná-li se o investiční transfer, účtuje příjemce, který je organizační složkou státu na stranu MÁ DÁTI příslušného pohledávkového účtu účtové skupiny 34 se souvztažným zápisem na stranu DAL účtu 401 – Jmění účetní jednotky,</w:t>
      </w:r>
    </w:p>
    <w:p w14:paraId="09467B70" w14:textId="77777777" w:rsidR="009F019E" w:rsidRPr="00AA409D" w:rsidRDefault="009F019E" w:rsidP="009F019E">
      <w:pPr>
        <w:jc w:val="both"/>
      </w:pPr>
    </w:p>
    <w:p w14:paraId="6FFA3401" w14:textId="77777777" w:rsidR="009F019E" w:rsidRPr="00AA409D" w:rsidRDefault="009F019E" w:rsidP="009F019E">
      <w:pPr>
        <w:jc w:val="both"/>
      </w:pPr>
      <w:r>
        <w:t xml:space="preserve">c) </w:t>
      </w:r>
      <w:r w:rsidRPr="00AA409D">
        <w:t>jedná-li se o investiční transfer, účtuje příjemce, který není organizační složkou státu na stranu MÁ DÁTI příslušného pohledávkového účtu účtové skupiny 34 se souvztažným zápisem na stranu DAL účtu 403 – Transfery na pořízení dlouhodobého majetku.</w:t>
      </w:r>
    </w:p>
    <w:p w14:paraId="6CA9ECAB" w14:textId="77777777" w:rsidR="009F019E" w:rsidRPr="00AA409D" w:rsidRDefault="009F019E" w:rsidP="009F019E">
      <w:pPr>
        <w:jc w:val="both"/>
      </w:pPr>
    </w:p>
    <w:p w14:paraId="4DE941F3" w14:textId="77777777" w:rsidR="009F019E" w:rsidRPr="00412C02" w:rsidRDefault="009F019E" w:rsidP="009F019E">
      <w:pPr>
        <w:tabs>
          <w:tab w:val="num" w:pos="720"/>
        </w:tabs>
        <w:jc w:val="both"/>
      </w:pPr>
      <w:r w:rsidRPr="00412C02">
        <w:t>5.3.3. V případě vypořádání transferu realizovaného formou zálohy v účetním období, v jakém byl transfer poskytnut, o zúčtování zálohy podle bodu 3.4. účtuje příje</w:t>
      </w:r>
      <w:r>
        <w:t>mce na stranu MÁ DÁTI účtu 374</w:t>
      </w:r>
      <w:r w:rsidRPr="006F1485">
        <w:rPr>
          <w:b/>
        </w:rPr>
        <w:t xml:space="preserve"> -</w:t>
      </w:r>
      <w:r>
        <w:t xml:space="preserve"> </w:t>
      </w:r>
      <w:r w:rsidRPr="006F1485">
        <w:t xml:space="preserve">Krátkodobé přijaté </w:t>
      </w:r>
      <w:r w:rsidRPr="00412C02">
        <w:t>zálohy na transfery</w:t>
      </w:r>
      <w:r w:rsidRPr="00412C02">
        <w:rPr>
          <w:b/>
        </w:rPr>
        <w:t xml:space="preserve"> </w:t>
      </w:r>
      <w:r w:rsidRPr="006F1485">
        <w:t>nebo 472 – Dlouhodobé</w:t>
      </w:r>
      <w:r w:rsidRPr="00412C02">
        <w:rPr>
          <w:b/>
        </w:rPr>
        <w:t xml:space="preserve"> </w:t>
      </w:r>
      <w:r w:rsidRPr="006F1485">
        <w:t>přijaté zálohy na</w:t>
      </w:r>
      <w:r w:rsidRPr="00412C02">
        <w:rPr>
          <w:b/>
        </w:rPr>
        <w:t xml:space="preserve"> </w:t>
      </w:r>
      <w:r w:rsidRPr="006F1485">
        <w:t xml:space="preserve">transfery se souvztažným zápisem na stranu DAL příslušného pohledávkového </w:t>
      </w:r>
      <w:r w:rsidRPr="00412C02">
        <w:t xml:space="preserve">syntetického účtu účtové skupiny </w:t>
      </w:r>
      <w:smartTag w:uri="urn:schemas-microsoft-com:office:smarttags" w:element="metricconverter">
        <w:smartTagPr>
          <w:attr w:name="ProductID" w:val="34 a"/>
        </w:smartTagPr>
        <w:r w:rsidRPr="00412C02">
          <w:t>34 a</w:t>
        </w:r>
      </w:smartTag>
    </w:p>
    <w:p w14:paraId="0893DB6D" w14:textId="77777777" w:rsidR="009F019E" w:rsidRPr="00412C02" w:rsidRDefault="009F019E" w:rsidP="009F019E">
      <w:pPr>
        <w:tabs>
          <w:tab w:val="num" w:pos="720"/>
        </w:tabs>
        <w:jc w:val="both"/>
      </w:pPr>
    </w:p>
    <w:p w14:paraId="2B559767" w14:textId="77777777" w:rsidR="009F019E" w:rsidRPr="00412C02" w:rsidRDefault="009F019E" w:rsidP="009F019E">
      <w:pPr>
        <w:jc w:val="both"/>
      </w:pPr>
      <w:r w:rsidRPr="00412C02">
        <w:t>a) o inkasu doplatku účtuje příjemce na stranu MÁ DÁTI příslušného syntetického účtu účtové skupiny 22, 23 nebo 24 se souvztažným zápisem na stranu DAL příslušného pohledávkového syntetického účtu účtové skupiny 34 nebo</w:t>
      </w:r>
    </w:p>
    <w:p w14:paraId="0D9E03BE" w14:textId="77777777" w:rsidR="009F019E" w:rsidRPr="00412C02" w:rsidRDefault="009F019E" w:rsidP="009F019E">
      <w:pPr>
        <w:jc w:val="both"/>
      </w:pPr>
    </w:p>
    <w:p w14:paraId="020241C8" w14:textId="77777777" w:rsidR="009F019E" w:rsidRPr="00AA409D" w:rsidRDefault="009F019E" w:rsidP="009F019E">
      <w:pPr>
        <w:jc w:val="both"/>
      </w:pPr>
      <w:r w:rsidRPr="00412C02">
        <w:t>b) o úhradě přeplatku účtuje příje</w:t>
      </w:r>
      <w:r>
        <w:t>mce na stranu MÁ DÁTI účtu 374</w:t>
      </w:r>
      <w:r w:rsidRPr="006F1485">
        <w:rPr>
          <w:b/>
        </w:rPr>
        <w:t xml:space="preserve"> - </w:t>
      </w:r>
      <w:r w:rsidRPr="006F1485">
        <w:t>Krátkodobé</w:t>
      </w:r>
      <w:r w:rsidRPr="00412C02">
        <w:t xml:space="preserve"> </w:t>
      </w:r>
      <w:r w:rsidRPr="006F1485">
        <w:t>přijaté zálohy na transfery nebo 472 – Dlouhodobé přijaté zálohy na transfery se souvztažným zápisem na stranu DAL příslušného syntetického účtu účtové skupiny</w:t>
      </w:r>
      <w:r w:rsidRPr="00412C02">
        <w:t xml:space="preserve"> 22, 23 nebo 24.</w:t>
      </w:r>
    </w:p>
    <w:p w14:paraId="2BA23A26" w14:textId="77777777" w:rsidR="009F019E" w:rsidRPr="00AA409D" w:rsidRDefault="009F019E" w:rsidP="009F019E">
      <w:pPr>
        <w:jc w:val="both"/>
      </w:pPr>
    </w:p>
    <w:p w14:paraId="099D88E5" w14:textId="77777777" w:rsidR="009F019E" w:rsidRDefault="009F019E" w:rsidP="009F019E">
      <w:pPr>
        <w:tabs>
          <w:tab w:val="num" w:pos="720"/>
        </w:tabs>
        <w:jc w:val="both"/>
      </w:pPr>
      <w:r>
        <w:t xml:space="preserve">5.3.4. </w:t>
      </w:r>
      <w:r w:rsidRPr="00AA409D">
        <w:t>V případě, že dochází k vypořádání transferu realizovaného formou zálohy podle bodu 3.4. v ostatních případech, než je uvedeno v bodu 5.3.2., a proto může být zpochybněna jeho výše, tak</w:t>
      </w:r>
    </w:p>
    <w:p w14:paraId="7B996F70" w14:textId="77777777" w:rsidR="009F019E" w:rsidRPr="00AA409D" w:rsidRDefault="009F019E" w:rsidP="009F019E">
      <w:pPr>
        <w:tabs>
          <w:tab w:val="num" w:pos="720"/>
        </w:tabs>
        <w:jc w:val="both"/>
      </w:pPr>
    </w:p>
    <w:p w14:paraId="48550902" w14:textId="77777777" w:rsidR="009F019E" w:rsidRDefault="009F019E" w:rsidP="009F019E">
      <w:pPr>
        <w:jc w:val="both"/>
      </w:pPr>
      <w:r>
        <w:t xml:space="preserve">a) </w:t>
      </w:r>
      <w:r w:rsidRPr="00AA409D">
        <w:t xml:space="preserve">nejedná-li se o investiční transfer, účtuje příjemce na stranu MÁ DÁTI účtu 388 – Dohadné účty aktivní se souvztažným zápisem na stranu DAL příslušného syntetického účtu účtové skupiny </w:t>
      </w:r>
      <w:smartTag w:uri="urn:schemas-microsoft-com:office:smarttags" w:element="metricconverter">
        <w:smartTagPr>
          <w:attr w:name="ProductID" w:val="67, a"/>
        </w:smartTagPr>
        <w:r w:rsidRPr="00AA409D">
          <w:t>67, a</w:t>
        </w:r>
      </w:smartTag>
      <w:r w:rsidRPr="00AA409D">
        <w:t xml:space="preserve"> to nejpozději ke každému rozvahovému dni, kter</w:t>
      </w:r>
      <w:r>
        <w:t>ý předchází okamžiku vypořádání,</w:t>
      </w:r>
    </w:p>
    <w:p w14:paraId="01476C2B" w14:textId="77777777" w:rsidR="009F019E" w:rsidRPr="00AA409D" w:rsidRDefault="009F019E" w:rsidP="009F019E">
      <w:pPr>
        <w:jc w:val="both"/>
      </w:pPr>
    </w:p>
    <w:p w14:paraId="2C0D6A51" w14:textId="77777777" w:rsidR="009F019E" w:rsidRDefault="009F019E" w:rsidP="009F019E">
      <w:pPr>
        <w:jc w:val="both"/>
      </w:pPr>
      <w:r>
        <w:t xml:space="preserve">b) </w:t>
      </w:r>
      <w:r w:rsidRPr="00AA409D">
        <w:t>jedná-li se o investiční transfer, účtuje příjemce, který je organizační složkou státu, na stranu MÁ DÁTI účtu 388 – Dohadné účty aktivní se souvztažným zápisem na stranu DAL účtu 401 – Jmění účetní jednotky, a to nejpozději ke každému rozvahovému dni, který předchází okamžiku vypořádání nebo</w:t>
      </w:r>
    </w:p>
    <w:p w14:paraId="19B45DDA" w14:textId="77777777" w:rsidR="009F019E" w:rsidRPr="00AA409D" w:rsidRDefault="009F019E" w:rsidP="009F019E">
      <w:pPr>
        <w:jc w:val="both"/>
      </w:pPr>
    </w:p>
    <w:p w14:paraId="37812A8E" w14:textId="77777777" w:rsidR="009F019E" w:rsidRPr="00AA409D" w:rsidRDefault="009F019E" w:rsidP="009F019E">
      <w:pPr>
        <w:jc w:val="both"/>
      </w:pPr>
      <w:r>
        <w:t xml:space="preserve">c) </w:t>
      </w:r>
      <w:r w:rsidRPr="00AA409D">
        <w:t>jedná-li se o investiční transfer, účtuje příjemce, který  není organizační složkou státu, na stranu MÁ DÁTI účtu 388 – Dohadné účty aktivní se souvztažným zápisem na stranu DAL účtu 403 – Transfery na pořízení dlouhodobého majetku, a to k datu zařazení tohoto dlouhodobého majetku do užívání, nejpozději ke každému rozvahovému dni, který předchází okamžiku vypořádání.</w:t>
      </w:r>
    </w:p>
    <w:p w14:paraId="714A6E2D" w14:textId="77777777" w:rsidR="009F019E" w:rsidRPr="00AA409D" w:rsidRDefault="009F019E" w:rsidP="009F019E">
      <w:pPr>
        <w:tabs>
          <w:tab w:val="num" w:pos="720"/>
        </w:tabs>
        <w:jc w:val="both"/>
      </w:pPr>
    </w:p>
    <w:p w14:paraId="4F719BC0" w14:textId="77777777" w:rsidR="009F019E" w:rsidRDefault="009F019E" w:rsidP="009F019E">
      <w:pPr>
        <w:tabs>
          <w:tab w:val="num" w:pos="720"/>
        </w:tabs>
        <w:jc w:val="both"/>
      </w:pPr>
      <w:r>
        <w:t xml:space="preserve">5.3.5. </w:t>
      </w:r>
      <w:r w:rsidRPr="00AA409D">
        <w:t>V případě, že dochází k vypořádání transferu realizovaného formou zálohy podle bodu 3.4. v ostatních případech, než je uvedeno v bodu 5.3.2., a proto může být zpochybněna jeho výše, tak</w:t>
      </w:r>
    </w:p>
    <w:p w14:paraId="5470E1B3" w14:textId="77777777" w:rsidR="009F019E" w:rsidRPr="00AA409D" w:rsidRDefault="009F019E" w:rsidP="009F019E">
      <w:pPr>
        <w:tabs>
          <w:tab w:val="num" w:pos="720"/>
        </w:tabs>
        <w:jc w:val="both"/>
      </w:pPr>
    </w:p>
    <w:p w14:paraId="098F7EC6" w14:textId="77777777" w:rsidR="009F019E" w:rsidRDefault="009F019E" w:rsidP="009F019E">
      <w:pPr>
        <w:jc w:val="both"/>
      </w:pPr>
      <w:r>
        <w:lastRenderedPageBreak/>
        <w:t xml:space="preserve">a) </w:t>
      </w:r>
      <w:r w:rsidRPr="00AA409D">
        <w:t>nejedná-li se o investiční transfer, účtuje příjemce  k o</w:t>
      </w:r>
      <w:r>
        <w:t>kamžiku vypořádání na stranu MÁ </w:t>
      </w:r>
      <w:r w:rsidRPr="00AA409D">
        <w:t xml:space="preserve">DÁTI příslušného pohledávkového syntetického účtu účtové skupiny 34 se souvztažným zápisem na příslušnou stranu příslušného syntetického účtu účtové skupiny </w:t>
      </w:r>
      <w:smartTag w:uri="urn:schemas-microsoft-com:office:smarttags" w:element="metricconverter">
        <w:smartTagPr>
          <w:attr w:name="ProductID" w:val="67 a"/>
        </w:smartTagPr>
        <w:r w:rsidRPr="00AA409D">
          <w:t>67 a</w:t>
        </w:r>
      </w:smartTag>
      <w:r w:rsidRPr="00AA409D">
        <w:t xml:space="preserve"> o zúčtování dohadného účtu účtuje příjemce na stranu DAL účtu 388 – Dohadné účty aktivní,</w:t>
      </w:r>
    </w:p>
    <w:p w14:paraId="60FF373D" w14:textId="77777777" w:rsidR="009F019E" w:rsidRPr="00AA409D" w:rsidRDefault="009F019E" w:rsidP="009F019E">
      <w:pPr>
        <w:jc w:val="both"/>
      </w:pPr>
    </w:p>
    <w:p w14:paraId="39F6F9AD" w14:textId="77777777" w:rsidR="009F019E" w:rsidRDefault="009F019E" w:rsidP="009F019E">
      <w:pPr>
        <w:jc w:val="both"/>
      </w:pPr>
      <w:r>
        <w:t xml:space="preserve">b) </w:t>
      </w:r>
      <w:r w:rsidRPr="00AA409D">
        <w:t>jedná-li se o investiční transfer, jehož příjemcem je organizační složka státu, účtuje příjemce  k okamžiku vypořádání na stranu MÁ DÁTI příslušného pohledávkového syntetického účtu účtové skupiny 34 se souvztažným zápisem na příslušnou stranu účtu 401 – Jmění účetní jednotky a o zúčtování dohadného účtu účtuje příjemce na stranu DAL účtu 388 – Dohadné účty aktivní nebo</w:t>
      </w:r>
    </w:p>
    <w:p w14:paraId="52D52582" w14:textId="77777777" w:rsidR="009F019E" w:rsidRPr="00AA409D" w:rsidRDefault="009F019E" w:rsidP="009F019E">
      <w:pPr>
        <w:jc w:val="both"/>
      </w:pPr>
    </w:p>
    <w:p w14:paraId="560CC6E4" w14:textId="77777777" w:rsidR="009F019E" w:rsidRPr="00AA409D" w:rsidRDefault="009F019E" w:rsidP="009F019E">
      <w:pPr>
        <w:jc w:val="both"/>
      </w:pPr>
      <w:r>
        <w:t xml:space="preserve">c) </w:t>
      </w:r>
      <w:r w:rsidRPr="00AA409D">
        <w:t>jedná-li se o investiční transfer, jehož příjemcem není organizační složka státu, účtuje příjemce  k</w:t>
      </w:r>
      <w:r>
        <w:t> </w:t>
      </w:r>
      <w:r w:rsidRPr="00AA409D">
        <w:t xml:space="preserve">okamžiku vypořádání na stranu MÁ DÁTI příslušného pohledávkového syntetického účtu účtové skupiny 34 se souvztažným zápisem na příslušnou stranu účtu 403 – Transfery na pořízení dlouhodobého majetku a o zúčtování dohadného účtu účtuje příjemce na stranu DAL účtu 388 – Dohadné účty aktivní. </w:t>
      </w:r>
    </w:p>
    <w:p w14:paraId="4336EA6D" w14:textId="77777777" w:rsidR="009F019E" w:rsidRPr="00AA409D" w:rsidRDefault="009F019E" w:rsidP="009F019E">
      <w:pPr>
        <w:ind w:left="360"/>
        <w:jc w:val="both"/>
      </w:pPr>
    </w:p>
    <w:p w14:paraId="2CCC2A05" w14:textId="77777777" w:rsidR="009F019E" w:rsidRPr="00412C02" w:rsidRDefault="009F019E" w:rsidP="009F019E">
      <w:pPr>
        <w:jc w:val="both"/>
      </w:pPr>
      <w:r w:rsidRPr="00412C02">
        <w:t>5.3.6. V případě, že dochází k vypořádání transferu realizovaného formou zálohy podle bodu 3.4. v ostatních případech, než je uvedeno v bodu 5.3.3., a proto může být zpochybněna jeho výše, o zúčtování zálohy podle bodu 3.4. účtuje příjemce na stranu MÁ DÁTI účtu 374 –</w:t>
      </w:r>
      <w:r w:rsidRPr="00D15B6B">
        <w:t>Krátkodobé přijaté</w:t>
      </w:r>
      <w:r w:rsidRPr="00EF15EF">
        <w:rPr>
          <w:b/>
        </w:rPr>
        <w:t xml:space="preserve"> </w:t>
      </w:r>
      <w:r w:rsidRPr="00412C02">
        <w:t xml:space="preserve">zálohy na </w:t>
      </w:r>
      <w:r w:rsidRPr="00D15B6B">
        <w:t>transfery nebo 472 – Dlouhodobé přijaté zálohy na transfery</w:t>
      </w:r>
      <w:r w:rsidRPr="00412C02">
        <w:rPr>
          <w:b/>
        </w:rPr>
        <w:t xml:space="preserve"> </w:t>
      </w:r>
      <w:r w:rsidRPr="00412C02">
        <w:t xml:space="preserve">se souvztažným zápisem na stranu DAL příslušného pohledávkového syntetického účtu účtové skupiny </w:t>
      </w:r>
      <w:smartTag w:uri="urn:schemas-microsoft-com:office:smarttags" w:element="metricconverter">
        <w:smartTagPr>
          <w:attr w:name="ProductID" w:val="34 a"/>
        </w:smartTagPr>
        <w:r w:rsidRPr="00412C02">
          <w:t>34 a</w:t>
        </w:r>
      </w:smartTag>
    </w:p>
    <w:p w14:paraId="2F74D42A" w14:textId="77777777" w:rsidR="009F019E" w:rsidRPr="00412C02" w:rsidRDefault="009F019E" w:rsidP="009F019E">
      <w:pPr>
        <w:jc w:val="both"/>
      </w:pPr>
    </w:p>
    <w:p w14:paraId="2FFC1AA3" w14:textId="77777777" w:rsidR="009F019E" w:rsidRPr="00412C02" w:rsidRDefault="009F019E" w:rsidP="009F019E">
      <w:pPr>
        <w:jc w:val="both"/>
      </w:pPr>
      <w:r w:rsidRPr="00412C02">
        <w:t>a) o inkasu doplatku účtuje příjemce na stranu MÁ DÁTI příslušného syntetického účtu účtové skupiny 22, 23 nebo 24 se souvztažným zápisem na stranu DAL příslušného pohledávkového syntetického účtu účtové skupiny 34 nebo</w:t>
      </w:r>
    </w:p>
    <w:p w14:paraId="7596AEB6" w14:textId="77777777" w:rsidR="009F019E" w:rsidRPr="00412C02" w:rsidRDefault="009F019E" w:rsidP="009F019E">
      <w:pPr>
        <w:jc w:val="both"/>
      </w:pPr>
    </w:p>
    <w:p w14:paraId="30B9719B" w14:textId="77777777" w:rsidR="009F019E" w:rsidRPr="00AA409D" w:rsidRDefault="009F019E" w:rsidP="009F019E">
      <w:pPr>
        <w:jc w:val="both"/>
      </w:pPr>
      <w:r w:rsidRPr="00412C02">
        <w:t>b) o úhradě přeplatku účtuje příjemce na stranu MÁ DÁTI účtu 374</w:t>
      </w:r>
      <w:r w:rsidRPr="00D15B6B">
        <w:t xml:space="preserve"> – </w:t>
      </w:r>
      <w:r w:rsidRPr="006F1485">
        <w:t>Krátkodobé přijaté</w:t>
      </w:r>
      <w:r>
        <w:t xml:space="preserve"> </w:t>
      </w:r>
      <w:r w:rsidRPr="00412C02">
        <w:t xml:space="preserve">zálohy na transfery </w:t>
      </w:r>
      <w:r w:rsidRPr="00D15B6B">
        <w:t>nebo 472 – Dlouhodobé přijaté zálohy na transfery</w:t>
      </w:r>
      <w:r w:rsidRPr="00412C02">
        <w:rPr>
          <w:b/>
        </w:rPr>
        <w:t xml:space="preserve"> </w:t>
      </w:r>
      <w:r w:rsidRPr="00412C02">
        <w:t>se souvztažným zápisem na stranu DAL příslušného syntetického účtu účtové skupiny 22, 23 nebo 24.</w:t>
      </w:r>
    </w:p>
    <w:p w14:paraId="554819F4" w14:textId="77777777" w:rsidR="009F019E" w:rsidRPr="00AA409D" w:rsidRDefault="009F019E" w:rsidP="009F019E">
      <w:pPr>
        <w:jc w:val="both"/>
      </w:pPr>
    </w:p>
    <w:p w14:paraId="4A188CE4" w14:textId="77777777" w:rsidR="009F019E" w:rsidRPr="00AA409D" w:rsidRDefault="009F019E" w:rsidP="009F019E">
      <w:pPr>
        <w:tabs>
          <w:tab w:val="num" w:pos="720"/>
        </w:tabs>
        <w:jc w:val="both"/>
      </w:pPr>
      <w:r>
        <w:t xml:space="preserve">5.3.7. </w:t>
      </w:r>
      <w:r w:rsidRPr="00AA409D">
        <w:t>V případě, že příjemce před okamžikem vypořádání transferu podle bodu 5.3.2. nebo 5.3.4. a 5.3.5 zobrazuje věcnou a časovou souvislost nákladů a výnosů, účtuje o odhadované výši transferu prostřednictvím účtu 388 – Dohadné účty aktivní.</w:t>
      </w:r>
    </w:p>
    <w:p w14:paraId="2AE1EC35" w14:textId="77777777" w:rsidR="009F019E" w:rsidRPr="00AA409D" w:rsidRDefault="009F019E" w:rsidP="009F019E">
      <w:pPr>
        <w:jc w:val="both"/>
      </w:pPr>
    </w:p>
    <w:p w14:paraId="382F7DE1" w14:textId="77777777" w:rsidR="009F019E" w:rsidRPr="006B5F02" w:rsidRDefault="009F019E" w:rsidP="009F019E">
      <w:pPr>
        <w:tabs>
          <w:tab w:val="num" w:pos="720"/>
        </w:tabs>
        <w:jc w:val="both"/>
        <w:rPr>
          <w:b/>
        </w:rPr>
      </w:pPr>
      <w:r w:rsidRPr="006B5F02">
        <w:rPr>
          <w:b/>
        </w:rPr>
        <w:t>5.4. Účtování transferů bez povinnosti finančního vypořádání – poskytovatel</w:t>
      </w:r>
    </w:p>
    <w:p w14:paraId="10FCE54D" w14:textId="77777777" w:rsidR="009F019E" w:rsidRPr="00AA409D" w:rsidRDefault="009F019E" w:rsidP="009F019E">
      <w:pPr>
        <w:jc w:val="both"/>
      </w:pPr>
    </w:p>
    <w:p w14:paraId="50F5762A" w14:textId="77777777" w:rsidR="009F019E" w:rsidRPr="00412C02" w:rsidRDefault="009F019E" w:rsidP="009F019E">
      <w:pPr>
        <w:jc w:val="both"/>
      </w:pPr>
      <w:r w:rsidRPr="00412C02">
        <w:t>5.4.1. V případě transferu nerealizovaného formou zálohy podle bodu 3.4., a proto nemůže být zpochybněna jeho výše, účtuje poskytovatel o vzniku závazku z titulu poskytnutí transferu na stranu MÁ DÁTI příslušného syntetického účtu účtové skupiny 57 se souvztažným zápisem na stranu DAL příslušného syntetického účtu účtové skupiny 34.</w:t>
      </w:r>
    </w:p>
    <w:p w14:paraId="73C31620" w14:textId="77777777" w:rsidR="009F019E" w:rsidRPr="00412C02" w:rsidRDefault="009F019E" w:rsidP="009F019E">
      <w:pPr>
        <w:jc w:val="both"/>
      </w:pPr>
    </w:p>
    <w:p w14:paraId="1E34C6E8" w14:textId="77777777" w:rsidR="009F019E" w:rsidRPr="00AA409D" w:rsidRDefault="009F019E" w:rsidP="009F019E">
      <w:pPr>
        <w:jc w:val="both"/>
      </w:pPr>
      <w:r w:rsidRPr="00412C02">
        <w:t>5.4.2. O poskytnutí transferu účtuje poskytovatel na stranu MÁ DÁTI příslušného syntetického účtu účtové skupiny 34</w:t>
      </w:r>
      <w:r w:rsidRPr="00B31A66">
        <w:t xml:space="preserve"> </w:t>
      </w:r>
      <w:r w:rsidRPr="00412C02">
        <w:t>se souvztažným zápisem na stranu DAL příslušného syntetického účtu účtové skupiny 22, 23 nebo 24.</w:t>
      </w:r>
    </w:p>
    <w:p w14:paraId="69BF80BB" w14:textId="77777777" w:rsidR="009F019E" w:rsidRPr="00AA409D" w:rsidRDefault="009F019E" w:rsidP="009F019E">
      <w:pPr>
        <w:jc w:val="both"/>
      </w:pPr>
    </w:p>
    <w:p w14:paraId="72BA6697" w14:textId="77777777" w:rsidR="009F019E" w:rsidRPr="00840FC4" w:rsidRDefault="009F019E" w:rsidP="009F019E">
      <w:pPr>
        <w:tabs>
          <w:tab w:val="num" w:pos="720"/>
        </w:tabs>
        <w:jc w:val="both"/>
        <w:rPr>
          <w:b/>
        </w:rPr>
      </w:pPr>
      <w:r>
        <w:rPr>
          <w:b/>
        </w:rPr>
        <w:t xml:space="preserve">5.5. </w:t>
      </w:r>
      <w:r w:rsidRPr="00840FC4">
        <w:rPr>
          <w:b/>
        </w:rPr>
        <w:t>Účtování transferů bez povinnosti finančního vypořádání – příjemce</w:t>
      </w:r>
    </w:p>
    <w:p w14:paraId="73FE94D4" w14:textId="77777777" w:rsidR="009F019E" w:rsidRPr="00AA409D" w:rsidRDefault="009F019E" w:rsidP="009F019E">
      <w:pPr>
        <w:jc w:val="both"/>
      </w:pPr>
    </w:p>
    <w:p w14:paraId="08A09177" w14:textId="77777777" w:rsidR="009F019E" w:rsidRDefault="009F019E" w:rsidP="009F019E">
      <w:pPr>
        <w:tabs>
          <w:tab w:val="num" w:pos="720"/>
        </w:tabs>
        <w:jc w:val="both"/>
      </w:pPr>
      <w:r>
        <w:t xml:space="preserve">5.5.1. </w:t>
      </w:r>
      <w:r w:rsidRPr="00AA409D">
        <w:t xml:space="preserve">V případě transferu nerealizovaného formou zálohy podle bodu 3.4., a proto nemůže být zpochybněna jeho výše, účtuje příjemce o předpisu pohledávky z titulu poskytnutého </w:t>
      </w:r>
      <w:r w:rsidRPr="00AA409D">
        <w:lastRenderedPageBreak/>
        <w:t xml:space="preserve">transferu na stranu MÁ DÁTI příslušného pohledávkového syntetického účtu účtové skupiny 34 se souvztažným zápisem ve výši částky transferu, která věcně a časově </w:t>
      </w:r>
      <w:r>
        <w:t>ne</w:t>
      </w:r>
      <w:r w:rsidRPr="00AA409D">
        <w:t>souvisí s běžným účetním obdobím na stranu DAL účtu 384 – Výnosy příštích období a</w:t>
      </w:r>
      <w:r>
        <w:t xml:space="preserve"> ve výši částky transferu, která věcně a časově souvisí s běžným účetním obdobím,</w:t>
      </w:r>
    </w:p>
    <w:p w14:paraId="12F92CDE" w14:textId="77777777" w:rsidR="009F019E" w:rsidRPr="00AA409D" w:rsidRDefault="009F019E" w:rsidP="009F019E">
      <w:pPr>
        <w:tabs>
          <w:tab w:val="num" w:pos="720"/>
        </w:tabs>
        <w:jc w:val="both"/>
      </w:pPr>
    </w:p>
    <w:p w14:paraId="7C3B01AF" w14:textId="77777777" w:rsidR="009F019E" w:rsidRDefault="009F019E" w:rsidP="009F019E">
      <w:pPr>
        <w:jc w:val="both"/>
      </w:pPr>
      <w:r>
        <w:t xml:space="preserve">a) </w:t>
      </w:r>
      <w:r w:rsidRPr="00AA409D">
        <w:t>nejedná-li se o investiční transfer</w:t>
      </w:r>
      <w:r>
        <w:t>,</w:t>
      </w:r>
      <w:r w:rsidRPr="00AA409D">
        <w:t xml:space="preserve"> na stranu DAL příslušného synte</w:t>
      </w:r>
      <w:r>
        <w:t>tického účtu účtové skupiny 67,</w:t>
      </w:r>
    </w:p>
    <w:p w14:paraId="7EBC89E3" w14:textId="77777777" w:rsidR="009F019E" w:rsidRPr="00AA409D" w:rsidRDefault="009F019E" w:rsidP="009F019E">
      <w:pPr>
        <w:jc w:val="both"/>
      </w:pPr>
    </w:p>
    <w:p w14:paraId="2202B849" w14:textId="77777777" w:rsidR="009F019E" w:rsidRDefault="009F019E" w:rsidP="009F019E">
      <w:pPr>
        <w:jc w:val="both"/>
      </w:pPr>
      <w:r>
        <w:t xml:space="preserve">b) </w:t>
      </w:r>
      <w:r w:rsidRPr="00AA409D">
        <w:t>jedná-li se o investiční transfer, účtuje příjemce, který je organizační složkou státu, na stranu DAL úč</w:t>
      </w:r>
      <w:r>
        <w:t>tu 401 – Jmění účetní jednotky,</w:t>
      </w:r>
    </w:p>
    <w:p w14:paraId="5D6494DF" w14:textId="77777777" w:rsidR="009F019E" w:rsidRPr="00AA409D" w:rsidRDefault="009F019E" w:rsidP="009F019E">
      <w:pPr>
        <w:jc w:val="both"/>
      </w:pPr>
    </w:p>
    <w:p w14:paraId="76B00C5F" w14:textId="77777777" w:rsidR="009F019E" w:rsidRPr="00AA409D" w:rsidRDefault="009F019E" w:rsidP="009F019E">
      <w:pPr>
        <w:jc w:val="both"/>
      </w:pPr>
      <w:r>
        <w:t xml:space="preserve">c) </w:t>
      </w:r>
      <w:r w:rsidRPr="00AA409D">
        <w:t xml:space="preserve">jedná-li se o investiční transfer, účtuje příjemce, který není organizační složkou státu, na stranu DAL účtu 403 – Transfery na pořízení dlouhodobého majetku. </w:t>
      </w:r>
    </w:p>
    <w:p w14:paraId="5AD77ECA" w14:textId="77777777" w:rsidR="009F019E" w:rsidRPr="00AA409D" w:rsidRDefault="009F019E" w:rsidP="009F019E">
      <w:pPr>
        <w:tabs>
          <w:tab w:val="num" w:pos="720"/>
        </w:tabs>
        <w:jc w:val="both"/>
      </w:pPr>
    </w:p>
    <w:p w14:paraId="1827E2FA" w14:textId="77777777" w:rsidR="009F019E" w:rsidRDefault="009F019E" w:rsidP="009F019E">
      <w:pPr>
        <w:tabs>
          <w:tab w:val="num" w:pos="720"/>
        </w:tabs>
        <w:jc w:val="both"/>
      </w:pPr>
      <w:r>
        <w:t xml:space="preserve">5.5.2. </w:t>
      </w:r>
      <w:r w:rsidRPr="00AA409D">
        <w:t>V případě transferu nerealizovaného formou zálohy podle bodu 3.4., a proto nemůže být zpochybněna jeho výše, účtuje příjemce o přijetí transferu na stranu MÁ DÁTI příslušného syntetického účtu účtové skupiny 22, 23 nebo 24 se souvztažným zápisem na stranu DAL příslušného syntetického účtu účtové skupiny 34.</w:t>
      </w:r>
    </w:p>
    <w:p w14:paraId="4D3B5142" w14:textId="77777777" w:rsidR="009F019E" w:rsidRDefault="009F019E" w:rsidP="009F019E">
      <w:pPr>
        <w:jc w:val="both"/>
      </w:pPr>
    </w:p>
    <w:p w14:paraId="68C3BAB4" w14:textId="77777777" w:rsidR="00C771E7" w:rsidRPr="009F019E" w:rsidRDefault="00C771E7" w:rsidP="009F019E"/>
    <w:sectPr w:rsidR="00C771E7" w:rsidRPr="009F019E" w:rsidSect="00D64702">
      <w:headerReference w:type="default" r:id="rId9"/>
      <w:footerReference w:type="even" r:id="rId10"/>
      <w:footerReference w:type="default" r:id="rId11"/>
      <w:pgSz w:w="11906" w:h="16838"/>
      <w:pgMar w:top="1134"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A1213" w14:textId="77777777" w:rsidR="00DD402D" w:rsidRDefault="00DD402D" w:rsidP="00402A6E">
      <w:pPr>
        <w:pStyle w:val="Zkladntext"/>
      </w:pPr>
      <w:r>
        <w:separator/>
      </w:r>
    </w:p>
  </w:endnote>
  <w:endnote w:type="continuationSeparator" w:id="0">
    <w:p w14:paraId="71299101" w14:textId="77777777" w:rsidR="00DD402D" w:rsidRDefault="00DD402D" w:rsidP="00402A6E">
      <w:pPr>
        <w:pStyle w:val="Zkladn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EBF85" w14:textId="77777777" w:rsidR="00125010" w:rsidRDefault="00125010" w:rsidP="00402A6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765F942" w14:textId="77777777" w:rsidR="00125010" w:rsidRDefault="0012501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17C1A" w14:textId="77777777" w:rsidR="00125010" w:rsidRDefault="00125010" w:rsidP="00402A6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45C2F">
      <w:rPr>
        <w:rStyle w:val="slostrnky"/>
        <w:noProof/>
      </w:rPr>
      <w:t>1</w:t>
    </w:r>
    <w:r>
      <w:rPr>
        <w:rStyle w:val="slostrnky"/>
      </w:rPr>
      <w:fldChar w:fldCharType="end"/>
    </w:r>
  </w:p>
  <w:p w14:paraId="2A52AC6A" w14:textId="77777777" w:rsidR="00125010" w:rsidRDefault="0012501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5FC130" w14:textId="77777777" w:rsidR="00DD402D" w:rsidRDefault="00DD402D" w:rsidP="00402A6E">
      <w:pPr>
        <w:pStyle w:val="Zkladntext"/>
      </w:pPr>
      <w:r>
        <w:separator/>
      </w:r>
    </w:p>
  </w:footnote>
  <w:footnote w:type="continuationSeparator" w:id="0">
    <w:p w14:paraId="3BD7F004" w14:textId="77777777" w:rsidR="00DD402D" w:rsidRDefault="00DD402D" w:rsidP="00402A6E">
      <w:pPr>
        <w:pStyle w:val="Zkladntext"/>
      </w:pPr>
      <w:r>
        <w:continuationSeparator/>
      </w:r>
    </w:p>
  </w:footnote>
  <w:footnote w:id="1">
    <w:p w14:paraId="77A932E8" w14:textId="77777777" w:rsidR="009F019E" w:rsidRDefault="009F019E" w:rsidP="009F019E">
      <w:pPr>
        <w:pStyle w:val="Textpoznpodarou"/>
        <w:jc w:val="both"/>
      </w:pPr>
      <w:r>
        <w:rPr>
          <w:rStyle w:val="Znakapoznpodarou"/>
        </w:rPr>
        <w:footnoteRef/>
      </w:r>
      <w:r>
        <w:t xml:space="preserve"> Např. výplata příspěvku na péči obecním úřadem podle § 18 odst. 2 zákona č. 108/</w:t>
      </w:r>
      <w:r w:rsidRPr="00D15B6B">
        <w:t>2006 Sb., o sociálních službách, ve znění pozdějších předpisů nebo poskytnutí finančních prostředků krajským úřadem podle</w:t>
      </w:r>
      <w:r w:rsidRPr="00CE4837">
        <w:t xml:space="preserve"> § 161 zákona č. 561/2004 Sb., školský zákon, ve znění pozdějších předpisů.</w:t>
      </w:r>
    </w:p>
  </w:footnote>
  <w:footnote w:id="2">
    <w:p w14:paraId="3112D7A2" w14:textId="77777777" w:rsidR="009F019E" w:rsidRDefault="009F019E" w:rsidP="009F019E">
      <w:pPr>
        <w:pStyle w:val="Textpoznpodarou"/>
      </w:pPr>
      <w:r>
        <w:rPr>
          <w:rStyle w:val="Znakapoznpodarou"/>
        </w:rPr>
        <w:footnoteRef/>
      </w:r>
      <w:r>
        <w:t xml:space="preserve"> Např. ustanovení bodu</w:t>
      </w:r>
      <w:r w:rsidRPr="003E01C3">
        <w:t xml:space="preserve"> 5.2. </w:t>
      </w:r>
      <w:r>
        <w:t xml:space="preserve"> písm. </w:t>
      </w:r>
      <w:r w:rsidRPr="003E01C3">
        <w:t>c) a d) a 5.7. Českého účetního standardu č. 701 – Účty a zásady účtování na účtech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46C6B" w14:textId="1C9091BB" w:rsidR="00125010" w:rsidRDefault="00125010" w:rsidP="006A735C">
    <w:pPr>
      <w:pStyle w:val="Zhlav"/>
      <w:rPr>
        <w:b/>
        <w:i/>
      </w:rPr>
    </w:pPr>
  </w:p>
  <w:p w14:paraId="04302874" w14:textId="77777777" w:rsidR="00125010" w:rsidRDefault="00125010" w:rsidP="006A735C">
    <w:pPr>
      <w:pStyle w:val="Zhlav"/>
      <w:rPr>
        <w:b/>
        <w:i/>
      </w:rPr>
    </w:pPr>
  </w:p>
  <w:p w14:paraId="468CACFA" w14:textId="77777777" w:rsidR="00125010" w:rsidRDefault="001250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AAC"/>
    <w:multiLevelType w:val="hybridMultilevel"/>
    <w:tmpl w:val="99E67F48"/>
    <w:lvl w:ilvl="0" w:tplc="6D30253E">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2C63A3"/>
    <w:multiLevelType w:val="hybridMultilevel"/>
    <w:tmpl w:val="4AA28D2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37115E"/>
    <w:multiLevelType w:val="multilevel"/>
    <w:tmpl w:val="DE389AAC"/>
    <w:lvl w:ilvl="0">
      <w:start w:val="1"/>
      <w:numFmt w:val="lowerLetter"/>
      <w:lvlText w:val="%1)"/>
      <w:lvlJc w:val="left"/>
      <w:pPr>
        <w:tabs>
          <w:tab w:val="num" w:pos="720"/>
        </w:tabs>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058D176B"/>
    <w:multiLevelType w:val="hybridMultilevel"/>
    <w:tmpl w:val="274E561E"/>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
    <w:nsid w:val="06367F6D"/>
    <w:multiLevelType w:val="hybridMultilevel"/>
    <w:tmpl w:val="791CBFD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77257B3"/>
    <w:multiLevelType w:val="hybridMultilevel"/>
    <w:tmpl w:val="539E62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C65222A"/>
    <w:multiLevelType w:val="multilevel"/>
    <w:tmpl w:val="0694B834"/>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0E3F2CDB"/>
    <w:multiLevelType w:val="hybridMultilevel"/>
    <w:tmpl w:val="2042D1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35853E4"/>
    <w:multiLevelType w:val="multilevel"/>
    <w:tmpl w:val="DE389AAC"/>
    <w:lvl w:ilvl="0">
      <w:start w:val="1"/>
      <w:numFmt w:val="lowerLetter"/>
      <w:lvlText w:val="%1)"/>
      <w:lvlJc w:val="left"/>
      <w:pPr>
        <w:tabs>
          <w:tab w:val="num" w:pos="720"/>
        </w:tabs>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13677F67"/>
    <w:multiLevelType w:val="hybridMultilevel"/>
    <w:tmpl w:val="AEA2F4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95B76A7"/>
    <w:multiLevelType w:val="hybridMultilevel"/>
    <w:tmpl w:val="6D62C02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E5901C6"/>
    <w:multiLevelType w:val="hybridMultilevel"/>
    <w:tmpl w:val="A6A0B720"/>
    <w:lvl w:ilvl="0" w:tplc="2FA4093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nsid w:val="1ECA7370"/>
    <w:multiLevelType w:val="hybridMultilevel"/>
    <w:tmpl w:val="6D62C02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E62CF4"/>
    <w:multiLevelType w:val="hybridMultilevel"/>
    <w:tmpl w:val="99D89F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20D0642"/>
    <w:multiLevelType w:val="multilevel"/>
    <w:tmpl w:val="DE389AAC"/>
    <w:lvl w:ilvl="0">
      <w:start w:val="1"/>
      <w:numFmt w:val="lowerLetter"/>
      <w:lvlText w:val="%1)"/>
      <w:lvlJc w:val="left"/>
      <w:pPr>
        <w:tabs>
          <w:tab w:val="num" w:pos="720"/>
        </w:tabs>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3A9530E"/>
    <w:multiLevelType w:val="hybridMultilevel"/>
    <w:tmpl w:val="C2C48074"/>
    <w:lvl w:ilvl="0" w:tplc="0405000F">
      <w:start w:val="1"/>
      <w:numFmt w:val="decimal"/>
      <w:lvlText w:val="%1."/>
      <w:lvlJc w:val="left"/>
      <w:pPr>
        <w:tabs>
          <w:tab w:val="num" w:pos="720"/>
        </w:tabs>
        <w:ind w:left="720" w:hanging="360"/>
      </w:pPr>
    </w:lvl>
    <w:lvl w:ilvl="1" w:tplc="97089E9E">
      <w:numFmt w:val="bullet"/>
      <w:lvlText w:val="-"/>
      <w:lvlJc w:val="left"/>
      <w:pPr>
        <w:ind w:left="1440" w:hanging="360"/>
      </w:pPr>
      <w:rPr>
        <w:rFonts w:ascii="Times New Roman" w:eastAsia="Times New Roman" w:hAnsi="Times New Roman" w:cs="Times New Roman" w:hint="default"/>
      </w:rPr>
    </w:lvl>
    <w:lvl w:ilvl="2" w:tplc="8720486E">
      <w:start w:val="1"/>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4B26BAA"/>
    <w:multiLevelType w:val="hybridMultilevel"/>
    <w:tmpl w:val="8C40D640"/>
    <w:lvl w:ilvl="0" w:tplc="04050017">
      <w:start w:val="1"/>
      <w:numFmt w:val="lowerLetter"/>
      <w:lvlText w:val="%1)"/>
      <w:lvlJc w:val="left"/>
      <w:pPr>
        <w:ind w:left="720" w:hanging="360"/>
      </w:pPr>
    </w:lvl>
    <w:lvl w:ilvl="1" w:tplc="CD26DAB2">
      <w:start w:val="2"/>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6507C77"/>
    <w:multiLevelType w:val="multilevel"/>
    <w:tmpl w:val="1D48C8A6"/>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979534E"/>
    <w:multiLevelType w:val="multilevel"/>
    <w:tmpl w:val="54105C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29E6274D"/>
    <w:multiLevelType w:val="hybridMultilevel"/>
    <w:tmpl w:val="0AF6B8D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29FD19CB"/>
    <w:multiLevelType w:val="multilevel"/>
    <w:tmpl w:val="96D28A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917F7E"/>
    <w:multiLevelType w:val="hybridMultilevel"/>
    <w:tmpl w:val="C2C48074"/>
    <w:lvl w:ilvl="0" w:tplc="0405000F">
      <w:start w:val="1"/>
      <w:numFmt w:val="decimal"/>
      <w:lvlText w:val="%1."/>
      <w:lvlJc w:val="left"/>
      <w:pPr>
        <w:tabs>
          <w:tab w:val="num" w:pos="720"/>
        </w:tabs>
        <w:ind w:left="720" w:hanging="360"/>
      </w:pPr>
    </w:lvl>
    <w:lvl w:ilvl="1" w:tplc="97089E9E">
      <w:numFmt w:val="bullet"/>
      <w:lvlText w:val="-"/>
      <w:lvlJc w:val="left"/>
      <w:pPr>
        <w:ind w:left="1440" w:hanging="360"/>
      </w:pPr>
      <w:rPr>
        <w:rFonts w:ascii="Times New Roman" w:eastAsia="Times New Roman" w:hAnsi="Times New Roman" w:cs="Times New Roman" w:hint="default"/>
      </w:rPr>
    </w:lvl>
    <w:lvl w:ilvl="2" w:tplc="8720486E">
      <w:start w:val="1"/>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3459052E"/>
    <w:multiLevelType w:val="multilevel"/>
    <w:tmpl w:val="54105C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DED7081"/>
    <w:multiLevelType w:val="hybridMultilevel"/>
    <w:tmpl w:val="A300C35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3E127A3D"/>
    <w:multiLevelType w:val="multilevel"/>
    <w:tmpl w:val="54105C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42A74DF5"/>
    <w:multiLevelType w:val="multilevel"/>
    <w:tmpl w:val="7D5CC4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410567B"/>
    <w:multiLevelType w:val="hybridMultilevel"/>
    <w:tmpl w:val="0AF6B8D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45935527"/>
    <w:multiLevelType w:val="hybridMultilevel"/>
    <w:tmpl w:val="0D748E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7030663"/>
    <w:multiLevelType w:val="hybridMultilevel"/>
    <w:tmpl w:val="67CA415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nsid w:val="48953FF0"/>
    <w:multiLevelType w:val="multilevel"/>
    <w:tmpl w:val="54105C0E"/>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0">
    <w:nsid w:val="4E4025C0"/>
    <w:multiLevelType w:val="hybridMultilevel"/>
    <w:tmpl w:val="EC6EF9B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501C076F"/>
    <w:multiLevelType w:val="multilevel"/>
    <w:tmpl w:val="1CD4628C"/>
    <w:lvl w:ilvl="0">
      <w:start w:val="1"/>
      <w:numFmt w:val="decimal"/>
      <w:lvlText w:val="%1."/>
      <w:lvlJc w:val="left"/>
      <w:pPr>
        <w:ind w:left="360" w:hanging="360"/>
      </w:pPr>
    </w:lvl>
    <w:lvl w:ilvl="1">
      <w:start w:val="1"/>
      <w:numFmt w:val="decimal"/>
      <w:lvlText w:val="%1.%2."/>
      <w:lvlJc w:val="left"/>
      <w:pPr>
        <w:ind w:left="574"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5BB3CC3"/>
    <w:multiLevelType w:val="multilevel"/>
    <w:tmpl w:val="96D28A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5C8B0383"/>
    <w:multiLevelType w:val="hybridMultilevel"/>
    <w:tmpl w:val="C304163C"/>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60D17DE9"/>
    <w:multiLevelType w:val="hybridMultilevel"/>
    <w:tmpl w:val="0AF6B8D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24B10BD"/>
    <w:multiLevelType w:val="multilevel"/>
    <w:tmpl w:val="4A2832D6"/>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nsid w:val="6D760ADF"/>
    <w:multiLevelType w:val="hybridMultilevel"/>
    <w:tmpl w:val="8DFED4FC"/>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6ECB42FF"/>
    <w:multiLevelType w:val="hybridMultilevel"/>
    <w:tmpl w:val="D83E3F0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6EE644FC"/>
    <w:multiLevelType w:val="hybridMultilevel"/>
    <w:tmpl w:val="D5C44A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FC953D9"/>
    <w:multiLevelType w:val="hybridMultilevel"/>
    <w:tmpl w:val="0AF6B8D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6FD04424"/>
    <w:multiLevelType w:val="hybridMultilevel"/>
    <w:tmpl w:val="CA84A2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26F6AE5"/>
    <w:multiLevelType w:val="multilevel"/>
    <w:tmpl w:val="6C649520"/>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58F31E5"/>
    <w:multiLevelType w:val="hybridMultilevel"/>
    <w:tmpl w:val="CE9CCF7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nsid w:val="75A0512A"/>
    <w:multiLevelType w:val="multilevel"/>
    <w:tmpl w:val="7D5CC4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nsid w:val="773D1E6D"/>
    <w:multiLevelType w:val="hybridMultilevel"/>
    <w:tmpl w:val="CE9CCF7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nsid w:val="78761EBC"/>
    <w:multiLevelType w:val="hybridMultilevel"/>
    <w:tmpl w:val="6D62C02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nsid w:val="78D96791"/>
    <w:multiLevelType w:val="multilevel"/>
    <w:tmpl w:val="DE389AAC"/>
    <w:lvl w:ilvl="0">
      <w:start w:val="1"/>
      <w:numFmt w:val="lowerLetter"/>
      <w:lvlText w:val="%1)"/>
      <w:lvlJc w:val="left"/>
      <w:pPr>
        <w:tabs>
          <w:tab w:val="num" w:pos="720"/>
        </w:tabs>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nsid w:val="7DF0304F"/>
    <w:multiLevelType w:val="hybridMultilevel"/>
    <w:tmpl w:val="F99214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FF124D5"/>
    <w:multiLevelType w:val="multilevel"/>
    <w:tmpl w:val="4A30777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5"/>
  </w:num>
  <w:num w:numId="2">
    <w:abstractNumId w:val="21"/>
  </w:num>
  <w:num w:numId="3">
    <w:abstractNumId w:val="16"/>
  </w:num>
  <w:num w:numId="4">
    <w:abstractNumId w:val="0"/>
  </w:num>
  <w:num w:numId="5">
    <w:abstractNumId w:val="1"/>
  </w:num>
  <w:num w:numId="6">
    <w:abstractNumId w:val="28"/>
  </w:num>
  <w:num w:numId="7">
    <w:abstractNumId w:val="9"/>
  </w:num>
  <w:num w:numId="8">
    <w:abstractNumId w:val="5"/>
  </w:num>
  <w:num w:numId="9">
    <w:abstractNumId w:val="27"/>
  </w:num>
  <w:num w:numId="10">
    <w:abstractNumId w:val="41"/>
  </w:num>
  <w:num w:numId="11">
    <w:abstractNumId w:val="15"/>
  </w:num>
  <w:num w:numId="12">
    <w:abstractNumId w:val="7"/>
  </w:num>
  <w:num w:numId="13">
    <w:abstractNumId w:val="22"/>
  </w:num>
  <w:num w:numId="14">
    <w:abstractNumId w:val="13"/>
  </w:num>
  <w:num w:numId="15">
    <w:abstractNumId w:val="48"/>
  </w:num>
  <w:num w:numId="16">
    <w:abstractNumId w:val="3"/>
  </w:num>
  <w:num w:numId="17">
    <w:abstractNumId w:val="11"/>
  </w:num>
  <w:num w:numId="18">
    <w:abstractNumId w:val="49"/>
  </w:num>
  <w:num w:numId="19">
    <w:abstractNumId w:val="42"/>
  </w:num>
  <w:num w:numId="20">
    <w:abstractNumId w:val="47"/>
  </w:num>
  <w:num w:numId="21">
    <w:abstractNumId w:val="14"/>
  </w:num>
  <w:num w:numId="22">
    <w:abstractNumId w:val="2"/>
  </w:num>
  <w:num w:numId="23">
    <w:abstractNumId w:val="29"/>
  </w:num>
  <w:num w:numId="24">
    <w:abstractNumId w:val="8"/>
  </w:num>
  <w:num w:numId="25">
    <w:abstractNumId w:val="17"/>
  </w:num>
  <w:num w:numId="26">
    <w:abstractNumId w:val="24"/>
  </w:num>
  <w:num w:numId="27">
    <w:abstractNumId w:val="32"/>
  </w:num>
  <w:num w:numId="28">
    <w:abstractNumId w:val="18"/>
  </w:num>
  <w:num w:numId="29">
    <w:abstractNumId w:val="26"/>
  </w:num>
  <w:num w:numId="30">
    <w:abstractNumId w:val="4"/>
  </w:num>
  <w:num w:numId="31">
    <w:abstractNumId w:val="20"/>
  </w:num>
  <w:num w:numId="32">
    <w:abstractNumId w:val="25"/>
  </w:num>
  <w:num w:numId="33">
    <w:abstractNumId w:val="10"/>
  </w:num>
  <w:num w:numId="34">
    <w:abstractNumId w:val="45"/>
  </w:num>
  <w:num w:numId="35">
    <w:abstractNumId w:val="33"/>
  </w:num>
  <w:num w:numId="36">
    <w:abstractNumId w:val="30"/>
  </w:num>
  <w:num w:numId="37">
    <w:abstractNumId w:val="37"/>
  </w:num>
  <w:num w:numId="38">
    <w:abstractNumId w:val="23"/>
  </w:num>
  <w:num w:numId="39">
    <w:abstractNumId w:val="44"/>
  </w:num>
  <w:num w:numId="40">
    <w:abstractNumId w:val="36"/>
  </w:num>
  <w:num w:numId="41">
    <w:abstractNumId w:val="31"/>
  </w:num>
  <w:num w:numId="42">
    <w:abstractNumId w:val="38"/>
  </w:num>
  <w:num w:numId="43">
    <w:abstractNumId w:val="46"/>
  </w:num>
  <w:num w:numId="44">
    <w:abstractNumId w:val="12"/>
  </w:num>
  <w:num w:numId="45">
    <w:abstractNumId w:val="6"/>
  </w:num>
  <w:num w:numId="46">
    <w:abstractNumId w:val="19"/>
  </w:num>
  <w:num w:numId="47">
    <w:abstractNumId w:val="39"/>
  </w:num>
  <w:num w:numId="48">
    <w:abstractNumId w:val="43"/>
  </w:num>
  <w:num w:numId="49">
    <w:abstractNumId w:val="40"/>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DB"/>
    <w:rsid w:val="0000757E"/>
    <w:rsid w:val="00011274"/>
    <w:rsid w:val="00015962"/>
    <w:rsid w:val="0002116B"/>
    <w:rsid w:val="0002255F"/>
    <w:rsid w:val="000228F8"/>
    <w:rsid w:val="00026577"/>
    <w:rsid w:val="000271C6"/>
    <w:rsid w:val="0003270F"/>
    <w:rsid w:val="0003310A"/>
    <w:rsid w:val="00033639"/>
    <w:rsid w:val="000336CC"/>
    <w:rsid w:val="000337E6"/>
    <w:rsid w:val="00041C51"/>
    <w:rsid w:val="000621DE"/>
    <w:rsid w:val="00070286"/>
    <w:rsid w:val="0007041F"/>
    <w:rsid w:val="00071319"/>
    <w:rsid w:val="00071EB9"/>
    <w:rsid w:val="00073532"/>
    <w:rsid w:val="00075240"/>
    <w:rsid w:val="00083007"/>
    <w:rsid w:val="000907C8"/>
    <w:rsid w:val="00096420"/>
    <w:rsid w:val="000B1FA2"/>
    <w:rsid w:val="000C4AD8"/>
    <w:rsid w:val="000D3319"/>
    <w:rsid w:val="000D7ADA"/>
    <w:rsid w:val="000E141E"/>
    <w:rsid w:val="000E3EE1"/>
    <w:rsid w:val="000E42E5"/>
    <w:rsid w:val="000E5C2F"/>
    <w:rsid w:val="000F0A89"/>
    <w:rsid w:val="000F4053"/>
    <w:rsid w:val="00100356"/>
    <w:rsid w:val="00103A3F"/>
    <w:rsid w:val="0010403F"/>
    <w:rsid w:val="0010600A"/>
    <w:rsid w:val="00110229"/>
    <w:rsid w:val="00110FB2"/>
    <w:rsid w:val="00111050"/>
    <w:rsid w:val="00117AEF"/>
    <w:rsid w:val="00121733"/>
    <w:rsid w:val="00121C98"/>
    <w:rsid w:val="00124133"/>
    <w:rsid w:val="00125010"/>
    <w:rsid w:val="00126853"/>
    <w:rsid w:val="001268AD"/>
    <w:rsid w:val="00134B3E"/>
    <w:rsid w:val="001416B6"/>
    <w:rsid w:val="0014230F"/>
    <w:rsid w:val="00143F41"/>
    <w:rsid w:val="0014585E"/>
    <w:rsid w:val="0014586F"/>
    <w:rsid w:val="00145C2F"/>
    <w:rsid w:val="00154ADB"/>
    <w:rsid w:val="001561B1"/>
    <w:rsid w:val="00157310"/>
    <w:rsid w:val="00157D92"/>
    <w:rsid w:val="0016049F"/>
    <w:rsid w:val="00163B02"/>
    <w:rsid w:val="0016442B"/>
    <w:rsid w:val="00170670"/>
    <w:rsid w:val="00171FA5"/>
    <w:rsid w:val="001735F0"/>
    <w:rsid w:val="00175D25"/>
    <w:rsid w:val="00180871"/>
    <w:rsid w:val="00183021"/>
    <w:rsid w:val="001859B2"/>
    <w:rsid w:val="001B05E8"/>
    <w:rsid w:val="001B0640"/>
    <w:rsid w:val="001B3167"/>
    <w:rsid w:val="001B5D24"/>
    <w:rsid w:val="001C1EDB"/>
    <w:rsid w:val="001C2E8C"/>
    <w:rsid w:val="001C3E32"/>
    <w:rsid w:val="001C527D"/>
    <w:rsid w:val="001D29B0"/>
    <w:rsid w:val="001D2B0D"/>
    <w:rsid w:val="001D3B5F"/>
    <w:rsid w:val="001D62EC"/>
    <w:rsid w:val="001D7384"/>
    <w:rsid w:val="001E121A"/>
    <w:rsid w:val="001E5379"/>
    <w:rsid w:val="001E5F5E"/>
    <w:rsid w:val="001F1C40"/>
    <w:rsid w:val="001F3CAC"/>
    <w:rsid w:val="0020140F"/>
    <w:rsid w:val="00206FC1"/>
    <w:rsid w:val="00210351"/>
    <w:rsid w:val="00211F4B"/>
    <w:rsid w:val="002129C4"/>
    <w:rsid w:val="0021341E"/>
    <w:rsid w:val="00217830"/>
    <w:rsid w:val="0022005D"/>
    <w:rsid w:val="002209AB"/>
    <w:rsid w:val="00225502"/>
    <w:rsid w:val="0023260B"/>
    <w:rsid w:val="00232798"/>
    <w:rsid w:val="0024360A"/>
    <w:rsid w:val="00245DB1"/>
    <w:rsid w:val="00254F98"/>
    <w:rsid w:val="002564A6"/>
    <w:rsid w:val="00265B6F"/>
    <w:rsid w:val="00270110"/>
    <w:rsid w:val="002718F3"/>
    <w:rsid w:val="00273990"/>
    <w:rsid w:val="00274F95"/>
    <w:rsid w:val="00275FF7"/>
    <w:rsid w:val="0027662D"/>
    <w:rsid w:val="002814AA"/>
    <w:rsid w:val="00281C00"/>
    <w:rsid w:val="00281F4D"/>
    <w:rsid w:val="00286F8A"/>
    <w:rsid w:val="00290459"/>
    <w:rsid w:val="00295195"/>
    <w:rsid w:val="002955C8"/>
    <w:rsid w:val="00295F97"/>
    <w:rsid w:val="00296412"/>
    <w:rsid w:val="002A5FD2"/>
    <w:rsid w:val="002A75DB"/>
    <w:rsid w:val="002C7CD9"/>
    <w:rsid w:val="002D41C8"/>
    <w:rsid w:val="002D693F"/>
    <w:rsid w:val="002E003E"/>
    <w:rsid w:val="002E2B75"/>
    <w:rsid w:val="002E429C"/>
    <w:rsid w:val="002E5815"/>
    <w:rsid w:val="002F2A4A"/>
    <w:rsid w:val="002F68FF"/>
    <w:rsid w:val="002F6B02"/>
    <w:rsid w:val="0030283F"/>
    <w:rsid w:val="00306B08"/>
    <w:rsid w:val="00307B2D"/>
    <w:rsid w:val="00312E01"/>
    <w:rsid w:val="00313514"/>
    <w:rsid w:val="00320719"/>
    <w:rsid w:val="003249F3"/>
    <w:rsid w:val="00326924"/>
    <w:rsid w:val="003269B0"/>
    <w:rsid w:val="00336E86"/>
    <w:rsid w:val="00342027"/>
    <w:rsid w:val="0034385D"/>
    <w:rsid w:val="003442EF"/>
    <w:rsid w:val="00344E25"/>
    <w:rsid w:val="00345AE7"/>
    <w:rsid w:val="00345D76"/>
    <w:rsid w:val="00350BBA"/>
    <w:rsid w:val="00361246"/>
    <w:rsid w:val="0036394B"/>
    <w:rsid w:val="00364113"/>
    <w:rsid w:val="003642AA"/>
    <w:rsid w:val="00371246"/>
    <w:rsid w:val="00372E73"/>
    <w:rsid w:val="003801C2"/>
    <w:rsid w:val="00381434"/>
    <w:rsid w:val="003840A1"/>
    <w:rsid w:val="0038544B"/>
    <w:rsid w:val="00386429"/>
    <w:rsid w:val="00386D6B"/>
    <w:rsid w:val="0039023C"/>
    <w:rsid w:val="0039138A"/>
    <w:rsid w:val="00391CC6"/>
    <w:rsid w:val="00393C33"/>
    <w:rsid w:val="00397005"/>
    <w:rsid w:val="0039749F"/>
    <w:rsid w:val="003A11A4"/>
    <w:rsid w:val="003A754C"/>
    <w:rsid w:val="003B2318"/>
    <w:rsid w:val="003B4F39"/>
    <w:rsid w:val="003B7EAE"/>
    <w:rsid w:val="003B7EB0"/>
    <w:rsid w:val="003B7FAE"/>
    <w:rsid w:val="003C31D8"/>
    <w:rsid w:val="003C42F0"/>
    <w:rsid w:val="003C5205"/>
    <w:rsid w:val="003C7751"/>
    <w:rsid w:val="003C7A59"/>
    <w:rsid w:val="003C7BBD"/>
    <w:rsid w:val="003D096A"/>
    <w:rsid w:val="003D1D76"/>
    <w:rsid w:val="003D367F"/>
    <w:rsid w:val="003D479B"/>
    <w:rsid w:val="003D4C73"/>
    <w:rsid w:val="003E4D2F"/>
    <w:rsid w:val="003E53C0"/>
    <w:rsid w:val="003E58A7"/>
    <w:rsid w:val="003F20C3"/>
    <w:rsid w:val="003F2934"/>
    <w:rsid w:val="003F2C18"/>
    <w:rsid w:val="00402A6E"/>
    <w:rsid w:val="004070D2"/>
    <w:rsid w:val="00411A76"/>
    <w:rsid w:val="004164E0"/>
    <w:rsid w:val="00416C2B"/>
    <w:rsid w:val="0042375A"/>
    <w:rsid w:val="004311A2"/>
    <w:rsid w:val="00436107"/>
    <w:rsid w:val="004415F2"/>
    <w:rsid w:val="00441D06"/>
    <w:rsid w:val="00445F72"/>
    <w:rsid w:val="00455CE8"/>
    <w:rsid w:val="0046139A"/>
    <w:rsid w:val="00466F11"/>
    <w:rsid w:val="00473BEC"/>
    <w:rsid w:val="004740A3"/>
    <w:rsid w:val="00474AA7"/>
    <w:rsid w:val="00481F14"/>
    <w:rsid w:val="00484348"/>
    <w:rsid w:val="00490F6B"/>
    <w:rsid w:val="0049612C"/>
    <w:rsid w:val="0049631F"/>
    <w:rsid w:val="004A0E3F"/>
    <w:rsid w:val="004A2899"/>
    <w:rsid w:val="004A2C87"/>
    <w:rsid w:val="004A75B2"/>
    <w:rsid w:val="004A7909"/>
    <w:rsid w:val="004B42E2"/>
    <w:rsid w:val="004C7429"/>
    <w:rsid w:val="004D0340"/>
    <w:rsid w:val="004D31AE"/>
    <w:rsid w:val="004D4388"/>
    <w:rsid w:val="004E2C99"/>
    <w:rsid w:val="004E72B2"/>
    <w:rsid w:val="004E7DB9"/>
    <w:rsid w:val="004F3BE5"/>
    <w:rsid w:val="004F45E4"/>
    <w:rsid w:val="004F7831"/>
    <w:rsid w:val="004F7BB2"/>
    <w:rsid w:val="00501951"/>
    <w:rsid w:val="005072D1"/>
    <w:rsid w:val="00512A86"/>
    <w:rsid w:val="0052006B"/>
    <w:rsid w:val="005216BB"/>
    <w:rsid w:val="00524A3B"/>
    <w:rsid w:val="00526D51"/>
    <w:rsid w:val="005305BD"/>
    <w:rsid w:val="0054100F"/>
    <w:rsid w:val="00543A66"/>
    <w:rsid w:val="005507E6"/>
    <w:rsid w:val="00550EDB"/>
    <w:rsid w:val="00551DF9"/>
    <w:rsid w:val="00556F45"/>
    <w:rsid w:val="0056111D"/>
    <w:rsid w:val="00561173"/>
    <w:rsid w:val="005634AA"/>
    <w:rsid w:val="00572011"/>
    <w:rsid w:val="00576CC2"/>
    <w:rsid w:val="00587541"/>
    <w:rsid w:val="00592EC8"/>
    <w:rsid w:val="0059325A"/>
    <w:rsid w:val="0059591B"/>
    <w:rsid w:val="00595CDC"/>
    <w:rsid w:val="005979A3"/>
    <w:rsid w:val="005A2165"/>
    <w:rsid w:val="005A2349"/>
    <w:rsid w:val="005A2471"/>
    <w:rsid w:val="005A4C61"/>
    <w:rsid w:val="005A5B20"/>
    <w:rsid w:val="005A746E"/>
    <w:rsid w:val="005A7862"/>
    <w:rsid w:val="005B2C86"/>
    <w:rsid w:val="005B3BDC"/>
    <w:rsid w:val="005C2263"/>
    <w:rsid w:val="005C57B9"/>
    <w:rsid w:val="005C770A"/>
    <w:rsid w:val="005D37AA"/>
    <w:rsid w:val="005D38ED"/>
    <w:rsid w:val="005F1CC3"/>
    <w:rsid w:val="005F511F"/>
    <w:rsid w:val="005F63EA"/>
    <w:rsid w:val="00603989"/>
    <w:rsid w:val="00607A8D"/>
    <w:rsid w:val="00610640"/>
    <w:rsid w:val="00610EA6"/>
    <w:rsid w:val="00614A0A"/>
    <w:rsid w:val="00616183"/>
    <w:rsid w:val="006173A3"/>
    <w:rsid w:val="00620727"/>
    <w:rsid w:val="00627EB4"/>
    <w:rsid w:val="0063270C"/>
    <w:rsid w:val="006329A3"/>
    <w:rsid w:val="00633A81"/>
    <w:rsid w:val="00634CFD"/>
    <w:rsid w:val="006360C2"/>
    <w:rsid w:val="006409C3"/>
    <w:rsid w:val="00642087"/>
    <w:rsid w:val="00642FE7"/>
    <w:rsid w:val="0064556A"/>
    <w:rsid w:val="00645A37"/>
    <w:rsid w:val="00656255"/>
    <w:rsid w:val="0066208B"/>
    <w:rsid w:val="006651F4"/>
    <w:rsid w:val="00665EBB"/>
    <w:rsid w:val="00670840"/>
    <w:rsid w:val="00671E75"/>
    <w:rsid w:val="0068791A"/>
    <w:rsid w:val="00691C23"/>
    <w:rsid w:val="00697CC1"/>
    <w:rsid w:val="006A0660"/>
    <w:rsid w:val="006A093C"/>
    <w:rsid w:val="006A233B"/>
    <w:rsid w:val="006A62A1"/>
    <w:rsid w:val="006A735C"/>
    <w:rsid w:val="006A762E"/>
    <w:rsid w:val="006A7A66"/>
    <w:rsid w:val="006B557D"/>
    <w:rsid w:val="006B5974"/>
    <w:rsid w:val="006B5B66"/>
    <w:rsid w:val="006B65C0"/>
    <w:rsid w:val="006B67C5"/>
    <w:rsid w:val="006B6A4C"/>
    <w:rsid w:val="006C2992"/>
    <w:rsid w:val="006C490C"/>
    <w:rsid w:val="006C5412"/>
    <w:rsid w:val="006C6486"/>
    <w:rsid w:val="006D0A5B"/>
    <w:rsid w:val="006D3206"/>
    <w:rsid w:val="006D5761"/>
    <w:rsid w:val="006D5E43"/>
    <w:rsid w:val="006E03A3"/>
    <w:rsid w:val="006E2B34"/>
    <w:rsid w:val="006E52F2"/>
    <w:rsid w:val="006E61AF"/>
    <w:rsid w:val="006F4E2D"/>
    <w:rsid w:val="006F4EB7"/>
    <w:rsid w:val="006F724F"/>
    <w:rsid w:val="007019B7"/>
    <w:rsid w:val="00702929"/>
    <w:rsid w:val="00703B7C"/>
    <w:rsid w:val="0070420A"/>
    <w:rsid w:val="00705F2F"/>
    <w:rsid w:val="0070780C"/>
    <w:rsid w:val="00707B43"/>
    <w:rsid w:val="007130F4"/>
    <w:rsid w:val="0071627C"/>
    <w:rsid w:val="0072548A"/>
    <w:rsid w:val="0073122D"/>
    <w:rsid w:val="00731CD6"/>
    <w:rsid w:val="0073223F"/>
    <w:rsid w:val="00735C3B"/>
    <w:rsid w:val="0073704D"/>
    <w:rsid w:val="00743214"/>
    <w:rsid w:val="00745354"/>
    <w:rsid w:val="0074611B"/>
    <w:rsid w:val="00754A6D"/>
    <w:rsid w:val="007637FC"/>
    <w:rsid w:val="00765BD6"/>
    <w:rsid w:val="007660B6"/>
    <w:rsid w:val="00780071"/>
    <w:rsid w:val="00782FAB"/>
    <w:rsid w:val="00791394"/>
    <w:rsid w:val="007952B1"/>
    <w:rsid w:val="0079613F"/>
    <w:rsid w:val="007A3382"/>
    <w:rsid w:val="007A3614"/>
    <w:rsid w:val="007A4C59"/>
    <w:rsid w:val="007A53BE"/>
    <w:rsid w:val="007A6E6D"/>
    <w:rsid w:val="007A6E80"/>
    <w:rsid w:val="007B0D39"/>
    <w:rsid w:val="007B364A"/>
    <w:rsid w:val="007B37D9"/>
    <w:rsid w:val="007C43D9"/>
    <w:rsid w:val="007D37E4"/>
    <w:rsid w:val="007D47B5"/>
    <w:rsid w:val="007D5551"/>
    <w:rsid w:val="007D761F"/>
    <w:rsid w:val="007D7CD9"/>
    <w:rsid w:val="007E131F"/>
    <w:rsid w:val="007F17BD"/>
    <w:rsid w:val="007F5928"/>
    <w:rsid w:val="007F72A7"/>
    <w:rsid w:val="007F7B56"/>
    <w:rsid w:val="008001F8"/>
    <w:rsid w:val="008014C6"/>
    <w:rsid w:val="00801E54"/>
    <w:rsid w:val="00806929"/>
    <w:rsid w:val="00806A5C"/>
    <w:rsid w:val="00806D14"/>
    <w:rsid w:val="0081341D"/>
    <w:rsid w:val="008135F2"/>
    <w:rsid w:val="00813EDD"/>
    <w:rsid w:val="0081533A"/>
    <w:rsid w:val="0081650C"/>
    <w:rsid w:val="00821A68"/>
    <w:rsid w:val="00821FE1"/>
    <w:rsid w:val="00824BC9"/>
    <w:rsid w:val="00827163"/>
    <w:rsid w:val="00827D88"/>
    <w:rsid w:val="00830CD8"/>
    <w:rsid w:val="008322A2"/>
    <w:rsid w:val="0083466A"/>
    <w:rsid w:val="008402B8"/>
    <w:rsid w:val="00844D87"/>
    <w:rsid w:val="00853B41"/>
    <w:rsid w:val="00854907"/>
    <w:rsid w:val="008549C2"/>
    <w:rsid w:val="00860A96"/>
    <w:rsid w:val="008612DD"/>
    <w:rsid w:val="00863E60"/>
    <w:rsid w:val="00864853"/>
    <w:rsid w:val="00864FDA"/>
    <w:rsid w:val="00865FBA"/>
    <w:rsid w:val="00872393"/>
    <w:rsid w:val="0087387D"/>
    <w:rsid w:val="00875057"/>
    <w:rsid w:val="00875315"/>
    <w:rsid w:val="00876CF4"/>
    <w:rsid w:val="00882200"/>
    <w:rsid w:val="008827A4"/>
    <w:rsid w:val="00882F60"/>
    <w:rsid w:val="00886751"/>
    <w:rsid w:val="00887345"/>
    <w:rsid w:val="00890317"/>
    <w:rsid w:val="00890D4D"/>
    <w:rsid w:val="008916A0"/>
    <w:rsid w:val="008A1233"/>
    <w:rsid w:val="008A165E"/>
    <w:rsid w:val="008A2482"/>
    <w:rsid w:val="008A4CCF"/>
    <w:rsid w:val="008A6AA8"/>
    <w:rsid w:val="008B0CC4"/>
    <w:rsid w:val="008B10A2"/>
    <w:rsid w:val="008B197B"/>
    <w:rsid w:val="008B7B66"/>
    <w:rsid w:val="008C0561"/>
    <w:rsid w:val="008C5F96"/>
    <w:rsid w:val="008D6389"/>
    <w:rsid w:val="008D7F81"/>
    <w:rsid w:val="008F673A"/>
    <w:rsid w:val="008F7604"/>
    <w:rsid w:val="00900381"/>
    <w:rsid w:val="009013BC"/>
    <w:rsid w:val="00905C01"/>
    <w:rsid w:val="00907E99"/>
    <w:rsid w:val="00910AF7"/>
    <w:rsid w:val="00922E80"/>
    <w:rsid w:val="00925C33"/>
    <w:rsid w:val="0093273E"/>
    <w:rsid w:val="00935B18"/>
    <w:rsid w:val="00936AA9"/>
    <w:rsid w:val="009563C5"/>
    <w:rsid w:val="009575D0"/>
    <w:rsid w:val="00960631"/>
    <w:rsid w:val="009615DF"/>
    <w:rsid w:val="00964DDF"/>
    <w:rsid w:val="00965A72"/>
    <w:rsid w:val="0096706F"/>
    <w:rsid w:val="009900E0"/>
    <w:rsid w:val="009926AD"/>
    <w:rsid w:val="00992FE9"/>
    <w:rsid w:val="009953B3"/>
    <w:rsid w:val="0099666B"/>
    <w:rsid w:val="009A0697"/>
    <w:rsid w:val="009A1184"/>
    <w:rsid w:val="009A4DA0"/>
    <w:rsid w:val="009B2072"/>
    <w:rsid w:val="009B460F"/>
    <w:rsid w:val="009B6772"/>
    <w:rsid w:val="009C5EA8"/>
    <w:rsid w:val="009D211D"/>
    <w:rsid w:val="009D7BA1"/>
    <w:rsid w:val="009E1999"/>
    <w:rsid w:val="009E588C"/>
    <w:rsid w:val="009F019E"/>
    <w:rsid w:val="009F65E1"/>
    <w:rsid w:val="00A077B6"/>
    <w:rsid w:val="00A10E53"/>
    <w:rsid w:val="00A15330"/>
    <w:rsid w:val="00A21053"/>
    <w:rsid w:val="00A21937"/>
    <w:rsid w:val="00A21AEC"/>
    <w:rsid w:val="00A32D1C"/>
    <w:rsid w:val="00A431E7"/>
    <w:rsid w:val="00A50258"/>
    <w:rsid w:val="00A56139"/>
    <w:rsid w:val="00A61073"/>
    <w:rsid w:val="00A65D0E"/>
    <w:rsid w:val="00A67047"/>
    <w:rsid w:val="00A75A2B"/>
    <w:rsid w:val="00A769F3"/>
    <w:rsid w:val="00A77E1C"/>
    <w:rsid w:val="00A80DE1"/>
    <w:rsid w:val="00A87DF7"/>
    <w:rsid w:val="00A9098F"/>
    <w:rsid w:val="00A92C31"/>
    <w:rsid w:val="00A97AAE"/>
    <w:rsid w:val="00AA05FF"/>
    <w:rsid w:val="00AA2707"/>
    <w:rsid w:val="00AA2D52"/>
    <w:rsid w:val="00AA39C4"/>
    <w:rsid w:val="00AA5F9B"/>
    <w:rsid w:val="00AA73D8"/>
    <w:rsid w:val="00AB1C4A"/>
    <w:rsid w:val="00AB5397"/>
    <w:rsid w:val="00AB7F78"/>
    <w:rsid w:val="00AC1456"/>
    <w:rsid w:val="00AC3F3A"/>
    <w:rsid w:val="00AD34AC"/>
    <w:rsid w:val="00AD4FB2"/>
    <w:rsid w:val="00AD586C"/>
    <w:rsid w:val="00AE04DC"/>
    <w:rsid w:val="00AF64FA"/>
    <w:rsid w:val="00AF7BE4"/>
    <w:rsid w:val="00AF7E80"/>
    <w:rsid w:val="00B00967"/>
    <w:rsid w:val="00B042FB"/>
    <w:rsid w:val="00B05B24"/>
    <w:rsid w:val="00B061D7"/>
    <w:rsid w:val="00B108FD"/>
    <w:rsid w:val="00B1507C"/>
    <w:rsid w:val="00B150A4"/>
    <w:rsid w:val="00B15820"/>
    <w:rsid w:val="00B168FE"/>
    <w:rsid w:val="00B21382"/>
    <w:rsid w:val="00B21747"/>
    <w:rsid w:val="00B2455C"/>
    <w:rsid w:val="00B31A61"/>
    <w:rsid w:val="00B3479F"/>
    <w:rsid w:val="00B37972"/>
    <w:rsid w:val="00B424EA"/>
    <w:rsid w:val="00B42AF5"/>
    <w:rsid w:val="00B42D2F"/>
    <w:rsid w:val="00B44652"/>
    <w:rsid w:val="00B457A3"/>
    <w:rsid w:val="00B5022D"/>
    <w:rsid w:val="00B505D3"/>
    <w:rsid w:val="00B51074"/>
    <w:rsid w:val="00B51620"/>
    <w:rsid w:val="00B52D37"/>
    <w:rsid w:val="00B53042"/>
    <w:rsid w:val="00B534E1"/>
    <w:rsid w:val="00B57799"/>
    <w:rsid w:val="00B65097"/>
    <w:rsid w:val="00B66B2B"/>
    <w:rsid w:val="00B709AE"/>
    <w:rsid w:val="00B728C2"/>
    <w:rsid w:val="00B73981"/>
    <w:rsid w:val="00B95629"/>
    <w:rsid w:val="00B95821"/>
    <w:rsid w:val="00B95F1B"/>
    <w:rsid w:val="00B95FEF"/>
    <w:rsid w:val="00BA2AE2"/>
    <w:rsid w:val="00BA2E53"/>
    <w:rsid w:val="00BA3859"/>
    <w:rsid w:val="00BB0152"/>
    <w:rsid w:val="00BB27D1"/>
    <w:rsid w:val="00BB4494"/>
    <w:rsid w:val="00BC24C0"/>
    <w:rsid w:val="00BC3306"/>
    <w:rsid w:val="00BC5512"/>
    <w:rsid w:val="00BC78B0"/>
    <w:rsid w:val="00BD0A5B"/>
    <w:rsid w:val="00BD2005"/>
    <w:rsid w:val="00BD38F7"/>
    <w:rsid w:val="00BD79D3"/>
    <w:rsid w:val="00BE1139"/>
    <w:rsid w:val="00BE3742"/>
    <w:rsid w:val="00BF45DE"/>
    <w:rsid w:val="00BF7D75"/>
    <w:rsid w:val="00C02EA3"/>
    <w:rsid w:val="00C05176"/>
    <w:rsid w:val="00C052AB"/>
    <w:rsid w:val="00C1091B"/>
    <w:rsid w:val="00C12A0A"/>
    <w:rsid w:val="00C13259"/>
    <w:rsid w:val="00C16797"/>
    <w:rsid w:val="00C25FCC"/>
    <w:rsid w:val="00C3142C"/>
    <w:rsid w:val="00C34559"/>
    <w:rsid w:val="00C35405"/>
    <w:rsid w:val="00C4201E"/>
    <w:rsid w:val="00C42510"/>
    <w:rsid w:val="00C44CAF"/>
    <w:rsid w:val="00C45CBC"/>
    <w:rsid w:val="00C462E4"/>
    <w:rsid w:val="00C537E3"/>
    <w:rsid w:val="00C5508A"/>
    <w:rsid w:val="00C55363"/>
    <w:rsid w:val="00C56A83"/>
    <w:rsid w:val="00C71085"/>
    <w:rsid w:val="00C75A7E"/>
    <w:rsid w:val="00C76581"/>
    <w:rsid w:val="00C76748"/>
    <w:rsid w:val="00C771E7"/>
    <w:rsid w:val="00C81ACF"/>
    <w:rsid w:val="00C90C09"/>
    <w:rsid w:val="00C91AF5"/>
    <w:rsid w:val="00CA0761"/>
    <w:rsid w:val="00CA2391"/>
    <w:rsid w:val="00CB5CD6"/>
    <w:rsid w:val="00CC0E94"/>
    <w:rsid w:val="00CC2AE6"/>
    <w:rsid w:val="00CC4CE7"/>
    <w:rsid w:val="00CC62F3"/>
    <w:rsid w:val="00CD03F6"/>
    <w:rsid w:val="00CD0A42"/>
    <w:rsid w:val="00CD5A39"/>
    <w:rsid w:val="00CD7976"/>
    <w:rsid w:val="00CE0FC0"/>
    <w:rsid w:val="00CE170B"/>
    <w:rsid w:val="00CE3712"/>
    <w:rsid w:val="00CE3F0C"/>
    <w:rsid w:val="00D05F37"/>
    <w:rsid w:val="00D07089"/>
    <w:rsid w:val="00D155F3"/>
    <w:rsid w:val="00D15769"/>
    <w:rsid w:val="00D201EF"/>
    <w:rsid w:val="00D208CD"/>
    <w:rsid w:val="00D20A6C"/>
    <w:rsid w:val="00D2345C"/>
    <w:rsid w:val="00D23737"/>
    <w:rsid w:val="00D26D54"/>
    <w:rsid w:val="00D312C2"/>
    <w:rsid w:val="00D3325A"/>
    <w:rsid w:val="00D35235"/>
    <w:rsid w:val="00D368AF"/>
    <w:rsid w:val="00D376C2"/>
    <w:rsid w:val="00D406A7"/>
    <w:rsid w:val="00D50D29"/>
    <w:rsid w:val="00D545F4"/>
    <w:rsid w:val="00D55B64"/>
    <w:rsid w:val="00D5651A"/>
    <w:rsid w:val="00D6016C"/>
    <w:rsid w:val="00D63DC0"/>
    <w:rsid w:val="00D64702"/>
    <w:rsid w:val="00D66019"/>
    <w:rsid w:val="00D72B57"/>
    <w:rsid w:val="00D7450E"/>
    <w:rsid w:val="00D82F8A"/>
    <w:rsid w:val="00D83463"/>
    <w:rsid w:val="00D86355"/>
    <w:rsid w:val="00D97345"/>
    <w:rsid w:val="00DA4589"/>
    <w:rsid w:val="00DA47E9"/>
    <w:rsid w:val="00DB59B3"/>
    <w:rsid w:val="00DB7686"/>
    <w:rsid w:val="00DB768C"/>
    <w:rsid w:val="00DC0EB5"/>
    <w:rsid w:val="00DC1771"/>
    <w:rsid w:val="00DC1F82"/>
    <w:rsid w:val="00DC22DB"/>
    <w:rsid w:val="00DC4B9F"/>
    <w:rsid w:val="00DC7606"/>
    <w:rsid w:val="00DD1E32"/>
    <w:rsid w:val="00DD402D"/>
    <w:rsid w:val="00DD4C03"/>
    <w:rsid w:val="00DD5199"/>
    <w:rsid w:val="00DE7160"/>
    <w:rsid w:val="00DF150E"/>
    <w:rsid w:val="00DF281E"/>
    <w:rsid w:val="00DF5EBC"/>
    <w:rsid w:val="00E034F0"/>
    <w:rsid w:val="00E110A4"/>
    <w:rsid w:val="00E12192"/>
    <w:rsid w:val="00E12220"/>
    <w:rsid w:val="00E1598C"/>
    <w:rsid w:val="00E207E0"/>
    <w:rsid w:val="00E23575"/>
    <w:rsid w:val="00E301B0"/>
    <w:rsid w:val="00E317F9"/>
    <w:rsid w:val="00E33974"/>
    <w:rsid w:val="00E34C52"/>
    <w:rsid w:val="00E41F83"/>
    <w:rsid w:val="00E4528F"/>
    <w:rsid w:val="00E4599C"/>
    <w:rsid w:val="00E45EC5"/>
    <w:rsid w:val="00E60557"/>
    <w:rsid w:val="00E64DDE"/>
    <w:rsid w:val="00E717B9"/>
    <w:rsid w:val="00E74FF3"/>
    <w:rsid w:val="00E771C6"/>
    <w:rsid w:val="00E84599"/>
    <w:rsid w:val="00E9224C"/>
    <w:rsid w:val="00E94881"/>
    <w:rsid w:val="00EA20DF"/>
    <w:rsid w:val="00EA6C10"/>
    <w:rsid w:val="00EA7E6E"/>
    <w:rsid w:val="00EB08AB"/>
    <w:rsid w:val="00EB116F"/>
    <w:rsid w:val="00EB300C"/>
    <w:rsid w:val="00EB37D1"/>
    <w:rsid w:val="00EB4C10"/>
    <w:rsid w:val="00EC1FE9"/>
    <w:rsid w:val="00EC2481"/>
    <w:rsid w:val="00EC2891"/>
    <w:rsid w:val="00EC41C5"/>
    <w:rsid w:val="00EC6E8B"/>
    <w:rsid w:val="00ED0C73"/>
    <w:rsid w:val="00ED1549"/>
    <w:rsid w:val="00ED20F6"/>
    <w:rsid w:val="00ED3005"/>
    <w:rsid w:val="00ED4505"/>
    <w:rsid w:val="00ED4CDB"/>
    <w:rsid w:val="00ED7CD9"/>
    <w:rsid w:val="00EE0122"/>
    <w:rsid w:val="00EE058A"/>
    <w:rsid w:val="00EE17FF"/>
    <w:rsid w:val="00EE6299"/>
    <w:rsid w:val="00F007D8"/>
    <w:rsid w:val="00F01F30"/>
    <w:rsid w:val="00F040C4"/>
    <w:rsid w:val="00F04F20"/>
    <w:rsid w:val="00F06979"/>
    <w:rsid w:val="00F10052"/>
    <w:rsid w:val="00F10555"/>
    <w:rsid w:val="00F14F8A"/>
    <w:rsid w:val="00F16CC6"/>
    <w:rsid w:val="00F17E24"/>
    <w:rsid w:val="00F2623A"/>
    <w:rsid w:val="00F26C81"/>
    <w:rsid w:val="00F30F5F"/>
    <w:rsid w:val="00F34C76"/>
    <w:rsid w:val="00F36504"/>
    <w:rsid w:val="00F45F42"/>
    <w:rsid w:val="00F5035A"/>
    <w:rsid w:val="00F5070B"/>
    <w:rsid w:val="00F568E6"/>
    <w:rsid w:val="00F651DE"/>
    <w:rsid w:val="00F73E10"/>
    <w:rsid w:val="00F74F9E"/>
    <w:rsid w:val="00F7594B"/>
    <w:rsid w:val="00F80582"/>
    <w:rsid w:val="00F80C27"/>
    <w:rsid w:val="00F82A5A"/>
    <w:rsid w:val="00F8573A"/>
    <w:rsid w:val="00F86303"/>
    <w:rsid w:val="00F913EE"/>
    <w:rsid w:val="00F93788"/>
    <w:rsid w:val="00F97B99"/>
    <w:rsid w:val="00FA3A3D"/>
    <w:rsid w:val="00FA479E"/>
    <w:rsid w:val="00FA6D73"/>
    <w:rsid w:val="00FA737D"/>
    <w:rsid w:val="00FB5750"/>
    <w:rsid w:val="00FC2AE5"/>
    <w:rsid w:val="00FC34D6"/>
    <w:rsid w:val="00FC4340"/>
    <w:rsid w:val="00FC4F10"/>
    <w:rsid w:val="00FC6553"/>
    <w:rsid w:val="00FD2FFB"/>
    <w:rsid w:val="00FD4C56"/>
    <w:rsid w:val="00FD5249"/>
    <w:rsid w:val="00FD626E"/>
    <w:rsid w:val="00FD69E8"/>
    <w:rsid w:val="00FD7DB6"/>
    <w:rsid w:val="00FE1FD0"/>
    <w:rsid w:val="00FF0FEA"/>
    <w:rsid w:val="00FF2100"/>
    <w:rsid w:val="00FF262A"/>
    <w:rsid w:val="00FF5595"/>
    <w:rsid w:val="00FF5F87"/>
    <w:rsid w:val="00FF66E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3E90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368AF"/>
    <w:rPr>
      <w:sz w:val="24"/>
      <w:szCs w:val="24"/>
    </w:rPr>
  </w:style>
  <w:style w:type="paragraph" w:styleId="Nadpis1">
    <w:name w:val="heading 1"/>
    <w:basedOn w:val="Normln"/>
    <w:next w:val="Normln"/>
    <w:link w:val="Nadpis1Char"/>
    <w:qFormat/>
    <w:rsid w:val="009F01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qFormat/>
    <w:rsid w:val="00F16CC6"/>
    <w:pPr>
      <w:keepNext/>
      <w:widowControl w:val="0"/>
      <w:autoSpaceDE w:val="0"/>
      <w:autoSpaceDN w:val="0"/>
      <w:adjustRightInd w:val="0"/>
      <w:jc w:val="center"/>
      <w:outlineLvl w:val="1"/>
    </w:pPr>
    <w:rPr>
      <w:rFonts w:ascii="Verdana" w:hAnsi="Verdana"/>
      <w:b/>
      <w:b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2A75DB"/>
    <w:rPr>
      <w:rFonts w:ascii="Verdana" w:hAnsi="Verdana"/>
      <w:b/>
      <w:bCs/>
      <w:sz w:val="22"/>
      <w:szCs w:val="21"/>
    </w:rPr>
  </w:style>
  <w:style w:type="paragraph" w:styleId="Zkladntext2">
    <w:name w:val="Body Text 2"/>
    <w:basedOn w:val="Normln"/>
    <w:rsid w:val="00344E25"/>
    <w:pPr>
      <w:spacing w:after="120" w:line="480" w:lineRule="auto"/>
    </w:pPr>
  </w:style>
  <w:style w:type="paragraph" w:styleId="Textbubliny">
    <w:name w:val="Balloon Text"/>
    <w:basedOn w:val="Normln"/>
    <w:semiHidden/>
    <w:rsid w:val="00344E25"/>
    <w:rPr>
      <w:rFonts w:ascii="Tahoma" w:hAnsi="Tahoma" w:cs="Tahoma"/>
      <w:sz w:val="16"/>
      <w:szCs w:val="16"/>
    </w:rPr>
  </w:style>
  <w:style w:type="paragraph" w:styleId="Normlnweb">
    <w:name w:val="Normal (Web)"/>
    <w:basedOn w:val="Normln"/>
    <w:rsid w:val="001C527D"/>
  </w:style>
  <w:style w:type="character" w:customStyle="1" w:styleId="zprava1">
    <w:name w:val="zprava1"/>
    <w:rsid w:val="001C527D"/>
    <w:rPr>
      <w:vanish w:val="0"/>
      <w:webHidden w:val="0"/>
      <w:sz w:val="26"/>
      <w:szCs w:val="26"/>
      <w:specVanish w:val="0"/>
    </w:rPr>
  </w:style>
  <w:style w:type="paragraph" w:styleId="Zpat">
    <w:name w:val="footer"/>
    <w:basedOn w:val="Normln"/>
    <w:rsid w:val="0038544B"/>
    <w:pPr>
      <w:tabs>
        <w:tab w:val="center" w:pos="4536"/>
        <w:tab w:val="right" w:pos="9072"/>
      </w:tabs>
    </w:pPr>
  </w:style>
  <w:style w:type="character" w:styleId="slostrnky">
    <w:name w:val="page number"/>
    <w:basedOn w:val="Standardnpsmoodstavce"/>
    <w:rsid w:val="0038544B"/>
  </w:style>
  <w:style w:type="paragraph" w:styleId="Nzev">
    <w:name w:val="Title"/>
    <w:basedOn w:val="Normln"/>
    <w:qFormat/>
    <w:rsid w:val="00F16CC6"/>
    <w:pPr>
      <w:widowControl w:val="0"/>
      <w:autoSpaceDE w:val="0"/>
      <w:autoSpaceDN w:val="0"/>
      <w:adjustRightInd w:val="0"/>
      <w:jc w:val="center"/>
    </w:pPr>
    <w:rPr>
      <w:rFonts w:ascii="Verdana" w:hAnsi="Verdana"/>
      <w:b/>
      <w:bCs/>
      <w:szCs w:val="21"/>
    </w:rPr>
  </w:style>
  <w:style w:type="character" w:styleId="Odkaznakoment">
    <w:name w:val="annotation reference"/>
    <w:semiHidden/>
    <w:rsid w:val="00B65097"/>
    <w:rPr>
      <w:sz w:val="16"/>
      <w:szCs w:val="16"/>
    </w:rPr>
  </w:style>
  <w:style w:type="paragraph" w:styleId="Textkomente">
    <w:name w:val="annotation text"/>
    <w:basedOn w:val="Normln"/>
    <w:semiHidden/>
    <w:rsid w:val="00B65097"/>
    <w:rPr>
      <w:sz w:val="20"/>
      <w:szCs w:val="20"/>
    </w:rPr>
  </w:style>
  <w:style w:type="paragraph" w:styleId="Pedmtkomente">
    <w:name w:val="annotation subject"/>
    <w:basedOn w:val="Textkomente"/>
    <w:next w:val="Textkomente"/>
    <w:semiHidden/>
    <w:rsid w:val="00B65097"/>
    <w:rPr>
      <w:b/>
      <w:bCs/>
    </w:rPr>
  </w:style>
  <w:style w:type="paragraph" w:customStyle="1" w:styleId="n00">
    <w:name w:val="n00"/>
    <w:basedOn w:val="Normln"/>
    <w:rsid w:val="00B37972"/>
    <w:pPr>
      <w:spacing w:before="120"/>
      <w:jc w:val="both"/>
    </w:pPr>
    <w:rPr>
      <w:sz w:val="26"/>
      <w:szCs w:val="20"/>
    </w:rPr>
  </w:style>
  <w:style w:type="character" w:customStyle="1" w:styleId="normodsazenChar">
    <w:name w:val="norm.odsazení Char"/>
    <w:link w:val="normodsazen"/>
    <w:locked/>
    <w:rsid w:val="00B37972"/>
    <w:rPr>
      <w:rFonts w:ascii="Arial" w:hAnsi="Arial" w:cs="Arial"/>
      <w:color w:val="000000"/>
    </w:rPr>
  </w:style>
  <w:style w:type="paragraph" w:customStyle="1" w:styleId="normodsazen">
    <w:name w:val="norm.odsazení"/>
    <w:basedOn w:val="Normln"/>
    <w:link w:val="normodsazenChar"/>
    <w:rsid w:val="00B37972"/>
    <w:pPr>
      <w:spacing w:before="100"/>
      <w:ind w:firstLine="425"/>
      <w:jc w:val="both"/>
    </w:pPr>
    <w:rPr>
      <w:rFonts w:ascii="Arial" w:hAnsi="Arial"/>
      <w:color w:val="000000"/>
      <w:sz w:val="20"/>
      <w:szCs w:val="20"/>
    </w:rPr>
  </w:style>
  <w:style w:type="character" w:customStyle="1" w:styleId="normodrpsmChar">
    <w:name w:val="norm.odráž.písm Char"/>
    <w:link w:val="normodrpsm"/>
    <w:locked/>
    <w:rsid w:val="00B37972"/>
    <w:rPr>
      <w:rFonts w:ascii="Arial" w:hAnsi="Arial" w:cs="Arial"/>
      <w:color w:val="000000"/>
    </w:rPr>
  </w:style>
  <w:style w:type="paragraph" w:customStyle="1" w:styleId="normodrpsm">
    <w:name w:val="norm.odráž.písm"/>
    <w:basedOn w:val="Normln"/>
    <w:link w:val="normodrpsmChar"/>
    <w:rsid w:val="00B37972"/>
    <w:pPr>
      <w:spacing w:before="100"/>
      <w:ind w:left="283" w:hanging="283"/>
      <w:jc w:val="both"/>
    </w:pPr>
    <w:rPr>
      <w:rFonts w:ascii="Arial" w:hAnsi="Arial"/>
      <w:color w:val="000000"/>
      <w:sz w:val="20"/>
      <w:szCs w:val="20"/>
    </w:rPr>
  </w:style>
  <w:style w:type="paragraph" w:styleId="Zkladntextodsazen">
    <w:name w:val="Body Text Indent"/>
    <w:basedOn w:val="Normln"/>
    <w:rsid w:val="00041C51"/>
    <w:pPr>
      <w:spacing w:after="120"/>
      <w:ind w:left="283"/>
    </w:pPr>
  </w:style>
  <w:style w:type="paragraph" w:styleId="Textpoznpodarou">
    <w:name w:val="footnote text"/>
    <w:basedOn w:val="Normln"/>
    <w:semiHidden/>
    <w:rsid w:val="00143F41"/>
    <w:rPr>
      <w:sz w:val="20"/>
      <w:szCs w:val="20"/>
    </w:rPr>
  </w:style>
  <w:style w:type="character" w:styleId="Znakapoznpodarou">
    <w:name w:val="footnote reference"/>
    <w:semiHidden/>
    <w:rsid w:val="00143F41"/>
    <w:rPr>
      <w:vertAlign w:val="superscript"/>
    </w:rPr>
  </w:style>
  <w:style w:type="paragraph" w:styleId="Zhlav">
    <w:name w:val="header"/>
    <w:basedOn w:val="Normln"/>
    <w:link w:val="ZhlavChar"/>
    <w:rsid w:val="00B534E1"/>
    <w:pPr>
      <w:tabs>
        <w:tab w:val="center" w:pos="4536"/>
        <w:tab w:val="right" w:pos="9072"/>
      </w:tabs>
    </w:pPr>
  </w:style>
  <w:style w:type="paragraph" w:customStyle="1" w:styleId="Textbodu">
    <w:name w:val="Text bodu"/>
    <w:basedOn w:val="Normln"/>
    <w:rsid w:val="0014585E"/>
    <w:pPr>
      <w:numPr>
        <w:ilvl w:val="2"/>
        <w:numId w:val="40"/>
      </w:numPr>
      <w:jc w:val="both"/>
      <w:outlineLvl w:val="8"/>
    </w:pPr>
    <w:rPr>
      <w:szCs w:val="20"/>
    </w:rPr>
  </w:style>
  <w:style w:type="paragraph" w:customStyle="1" w:styleId="Textpsmene">
    <w:name w:val="Text písmene"/>
    <w:basedOn w:val="Normln"/>
    <w:rsid w:val="0014585E"/>
    <w:pPr>
      <w:numPr>
        <w:ilvl w:val="1"/>
        <w:numId w:val="40"/>
      </w:numPr>
      <w:jc w:val="both"/>
      <w:outlineLvl w:val="7"/>
    </w:pPr>
    <w:rPr>
      <w:szCs w:val="20"/>
    </w:rPr>
  </w:style>
  <w:style w:type="paragraph" w:customStyle="1" w:styleId="Textodstavce">
    <w:name w:val="Text odstavce"/>
    <w:basedOn w:val="Normln"/>
    <w:rsid w:val="0014585E"/>
    <w:pPr>
      <w:numPr>
        <w:numId w:val="40"/>
      </w:numPr>
      <w:tabs>
        <w:tab w:val="left" w:pos="851"/>
      </w:tabs>
      <w:spacing w:before="120" w:after="120"/>
      <w:jc w:val="both"/>
      <w:outlineLvl w:val="6"/>
    </w:pPr>
    <w:rPr>
      <w:szCs w:val="20"/>
    </w:rPr>
  </w:style>
  <w:style w:type="paragraph" w:styleId="Odstavecseseznamem">
    <w:name w:val="List Paragraph"/>
    <w:basedOn w:val="Normln"/>
    <w:uiPriority w:val="34"/>
    <w:qFormat/>
    <w:rsid w:val="00910AF7"/>
    <w:pPr>
      <w:ind w:left="708"/>
    </w:pPr>
  </w:style>
  <w:style w:type="character" w:customStyle="1" w:styleId="ZhlavChar">
    <w:name w:val="Záhlaví Char"/>
    <w:link w:val="Zhlav"/>
    <w:rsid w:val="006A735C"/>
    <w:rPr>
      <w:sz w:val="24"/>
      <w:szCs w:val="24"/>
    </w:rPr>
  </w:style>
  <w:style w:type="character" w:customStyle="1" w:styleId="Nadpis1Char">
    <w:name w:val="Nadpis 1 Char"/>
    <w:basedOn w:val="Standardnpsmoodstavce"/>
    <w:link w:val="Nadpis1"/>
    <w:rsid w:val="009F019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368AF"/>
    <w:rPr>
      <w:sz w:val="24"/>
      <w:szCs w:val="24"/>
    </w:rPr>
  </w:style>
  <w:style w:type="paragraph" w:styleId="Nadpis1">
    <w:name w:val="heading 1"/>
    <w:basedOn w:val="Normln"/>
    <w:next w:val="Normln"/>
    <w:link w:val="Nadpis1Char"/>
    <w:qFormat/>
    <w:rsid w:val="009F01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qFormat/>
    <w:rsid w:val="00F16CC6"/>
    <w:pPr>
      <w:keepNext/>
      <w:widowControl w:val="0"/>
      <w:autoSpaceDE w:val="0"/>
      <w:autoSpaceDN w:val="0"/>
      <w:adjustRightInd w:val="0"/>
      <w:jc w:val="center"/>
      <w:outlineLvl w:val="1"/>
    </w:pPr>
    <w:rPr>
      <w:rFonts w:ascii="Verdana" w:hAnsi="Verdana"/>
      <w:b/>
      <w:b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2A75DB"/>
    <w:rPr>
      <w:rFonts w:ascii="Verdana" w:hAnsi="Verdana"/>
      <w:b/>
      <w:bCs/>
      <w:sz w:val="22"/>
      <w:szCs w:val="21"/>
    </w:rPr>
  </w:style>
  <w:style w:type="paragraph" w:styleId="Zkladntext2">
    <w:name w:val="Body Text 2"/>
    <w:basedOn w:val="Normln"/>
    <w:rsid w:val="00344E25"/>
    <w:pPr>
      <w:spacing w:after="120" w:line="480" w:lineRule="auto"/>
    </w:pPr>
  </w:style>
  <w:style w:type="paragraph" w:styleId="Textbubliny">
    <w:name w:val="Balloon Text"/>
    <w:basedOn w:val="Normln"/>
    <w:semiHidden/>
    <w:rsid w:val="00344E25"/>
    <w:rPr>
      <w:rFonts w:ascii="Tahoma" w:hAnsi="Tahoma" w:cs="Tahoma"/>
      <w:sz w:val="16"/>
      <w:szCs w:val="16"/>
    </w:rPr>
  </w:style>
  <w:style w:type="paragraph" w:styleId="Normlnweb">
    <w:name w:val="Normal (Web)"/>
    <w:basedOn w:val="Normln"/>
    <w:rsid w:val="001C527D"/>
  </w:style>
  <w:style w:type="character" w:customStyle="1" w:styleId="zprava1">
    <w:name w:val="zprava1"/>
    <w:rsid w:val="001C527D"/>
    <w:rPr>
      <w:vanish w:val="0"/>
      <w:webHidden w:val="0"/>
      <w:sz w:val="26"/>
      <w:szCs w:val="26"/>
      <w:specVanish w:val="0"/>
    </w:rPr>
  </w:style>
  <w:style w:type="paragraph" w:styleId="Zpat">
    <w:name w:val="footer"/>
    <w:basedOn w:val="Normln"/>
    <w:rsid w:val="0038544B"/>
    <w:pPr>
      <w:tabs>
        <w:tab w:val="center" w:pos="4536"/>
        <w:tab w:val="right" w:pos="9072"/>
      </w:tabs>
    </w:pPr>
  </w:style>
  <w:style w:type="character" w:styleId="slostrnky">
    <w:name w:val="page number"/>
    <w:basedOn w:val="Standardnpsmoodstavce"/>
    <w:rsid w:val="0038544B"/>
  </w:style>
  <w:style w:type="paragraph" w:styleId="Nzev">
    <w:name w:val="Title"/>
    <w:basedOn w:val="Normln"/>
    <w:qFormat/>
    <w:rsid w:val="00F16CC6"/>
    <w:pPr>
      <w:widowControl w:val="0"/>
      <w:autoSpaceDE w:val="0"/>
      <w:autoSpaceDN w:val="0"/>
      <w:adjustRightInd w:val="0"/>
      <w:jc w:val="center"/>
    </w:pPr>
    <w:rPr>
      <w:rFonts w:ascii="Verdana" w:hAnsi="Verdana"/>
      <w:b/>
      <w:bCs/>
      <w:szCs w:val="21"/>
    </w:rPr>
  </w:style>
  <w:style w:type="character" w:styleId="Odkaznakoment">
    <w:name w:val="annotation reference"/>
    <w:semiHidden/>
    <w:rsid w:val="00B65097"/>
    <w:rPr>
      <w:sz w:val="16"/>
      <w:szCs w:val="16"/>
    </w:rPr>
  </w:style>
  <w:style w:type="paragraph" w:styleId="Textkomente">
    <w:name w:val="annotation text"/>
    <w:basedOn w:val="Normln"/>
    <w:semiHidden/>
    <w:rsid w:val="00B65097"/>
    <w:rPr>
      <w:sz w:val="20"/>
      <w:szCs w:val="20"/>
    </w:rPr>
  </w:style>
  <w:style w:type="paragraph" w:styleId="Pedmtkomente">
    <w:name w:val="annotation subject"/>
    <w:basedOn w:val="Textkomente"/>
    <w:next w:val="Textkomente"/>
    <w:semiHidden/>
    <w:rsid w:val="00B65097"/>
    <w:rPr>
      <w:b/>
      <w:bCs/>
    </w:rPr>
  </w:style>
  <w:style w:type="paragraph" w:customStyle="1" w:styleId="n00">
    <w:name w:val="n00"/>
    <w:basedOn w:val="Normln"/>
    <w:rsid w:val="00B37972"/>
    <w:pPr>
      <w:spacing w:before="120"/>
      <w:jc w:val="both"/>
    </w:pPr>
    <w:rPr>
      <w:sz w:val="26"/>
      <w:szCs w:val="20"/>
    </w:rPr>
  </w:style>
  <w:style w:type="character" w:customStyle="1" w:styleId="normodsazenChar">
    <w:name w:val="norm.odsazení Char"/>
    <w:link w:val="normodsazen"/>
    <w:locked/>
    <w:rsid w:val="00B37972"/>
    <w:rPr>
      <w:rFonts w:ascii="Arial" w:hAnsi="Arial" w:cs="Arial"/>
      <w:color w:val="000000"/>
    </w:rPr>
  </w:style>
  <w:style w:type="paragraph" w:customStyle="1" w:styleId="normodsazen">
    <w:name w:val="norm.odsazení"/>
    <w:basedOn w:val="Normln"/>
    <w:link w:val="normodsazenChar"/>
    <w:rsid w:val="00B37972"/>
    <w:pPr>
      <w:spacing w:before="100"/>
      <w:ind w:firstLine="425"/>
      <w:jc w:val="both"/>
    </w:pPr>
    <w:rPr>
      <w:rFonts w:ascii="Arial" w:hAnsi="Arial"/>
      <w:color w:val="000000"/>
      <w:sz w:val="20"/>
      <w:szCs w:val="20"/>
    </w:rPr>
  </w:style>
  <w:style w:type="character" w:customStyle="1" w:styleId="normodrpsmChar">
    <w:name w:val="norm.odráž.písm Char"/>
    <w:link w:val="normodrpsm"/>
    <w:locked/>
    <w:rsid w:val="00B37972"/>
    <w:rPr>
      <w:rFonts w:ascii="Arial" w:hAnsi="Arial" w:cs="Arial"/>
      <w:color w:val="000000"/>
    </w:rPr>
  </w:style>
  <w:style w:type="paragraph" w:customStyle="1" w:styleId="normodrpsm">
    <w:name w:val="norm.odráž.písm"/>
    <w:basedOn w:val="Normln"/>
    <w:link w:val="normodrpsmChar"/>
    <w:rsid w:val="00B37972"/>
    <w:pPr>
      <w:spacing w:before="100"/>
      <w:ind w:left="283" w:hanging="283"/>
      <w:jc w:val="both"/>
    </w:pPr>
    <w:rPr>
      <w:rFonts w:ascii="Arial" w:hAnsi="Arial"/>
      <w:color w:val="000000"/>
      <w:sz w:val="20"/>
      <w:szCs w:val="20"/>
    </w:rPr>
  </w:style>
  <w:style w:type="paragraph" w:styleId="Zkladntextodsazen">
    <w:name w:val="Body Text Indent"/>
    <w:basedOn w:val="Normln"/>
    <w:rsid w:val="00041C51"/>
    <w:pPr>
      <w:spacing w:after="120"/>
      <w:ind w:left="283"/>
    </w:pPr>
  </w:style>
  <w:style w:type="paragraph" w:styleId="Textpoznpodarou">
    <w:name w:val="footnote text"/>
    <w:basedOn w:val="Normln"/>
    <w:semiHidden/>
    <w:rsid w:val="00143F41"/>
    <w:rPr>
      <w:sz w:val="20"/>
      <w:szCs w:val="20"/>
    </w:rPr>
  </w:style>
  <w:style w:type="character" w:styleId="Znakapoznpodarou">
    <w:name w:val="footnote reference"/>
    <w:semiHidden/>
    <w:rsid w:val="00143F41"/>
    <w:rPr>
      <w:vertAlign w:val="superscript"/>
    </w:rPr>
  </w:style>
  <w:style w:type="paragraph" w:styleId="Zhlav">
    <w:name w:val="header"/>
    <w:basedOn w:val="Normln"/>
    <w:link w:val="ZhlavChar"/>
    <w:rsid w:val="00B534E1"/>
    <w:pPr>
      <w:tabs>
        <w:tab w:val="center" w:pos="4536"/>
        <w:tab w:val="right" w:pos="9072"/>
      </w:tabs>
    </w:pPr>
  </w:style>
  <w:style w:type="paragraph" w:customStyle="1" w:styleId="Textbodu">
    <w:name w:val="Text bodu"/>
    <w:basedOn w:val="Normln"/>
    <w:rsid w:val="0014585E"/>
    <w:pPr>
      <w:numPr>
        <w:ilvl w:val="2"/>
        <w:numId w:val="40"/>
      </w:numPr>
      <w:jc w:val="both"/>
      <w:outlineLvl w:val="8"/>
    </w:pPr>
    <w:rPr>
      <w:szCs w:val="20"/>
    </w:rPr>
  </w:style>
  <w:style w:type="paragraph" w:customStyle="1" w:styleId="Textpsmene">
    <w:name w:val="Text písmene"/>
    <w:basedOn w:val="Normln"/>
    <w:rsid w:val="0014585E"/>
    <w:pPr>
      <w:numPr>
        <w:ilvl w:val="1"/>
        <w:numId w:val="40"/>
      </w:numPr>
      <w:jc w:val="both"/>
      <w:outlineLvl w:val="7"/>
    </w:pPr>
    <w:rPr>
      <w:szCs w:val="20"/>
    </w:rPr>
  </w:style>
  <w:style w:type="paragraph" w:customStyle="1" w:styleId="Textodstavce">
    <w:name w:val="Text odstavce"/>
    <w:basedOn w:val="Normln"/>
    <w:rsid w:val="0014585E"/>
    <w:pPr>
      <w:numPr>
        <w:numId w:val="40"/>
      </w:numPr>
      <w:tabs>
        <w:tab w:val="left" w:pos="851"/>
      </w:tabs>
      <w:spacing w:before="120" w:after="120"/>
      <w:jc w:val="both"/>
      <w:outlineLvl w:val="6"/>
    </w:pPr>
    <w:rPr>
      <w:szCs w:val="20"/>
    </w:rPr>
  </w:style>
  <w:style w:type="paragraph" w:styleId="Odstavecseseznamem">
    <w:name w:val="List Paragraph"/>
    <w:basedOn w:val="Normln"/>
    <w:uiPriority w:val="34"/>
    <w:qFormat/>
    <w:rsid w:val="00910AF7"/>
    <w:pPr>
      <w:ind w:left="708"/>
    </w:pPr>
  </w:style>
  <w:style w:type="character" w:customStyle="1" w:styleId="ZhlavChar">
    <w:name w:val="Záhlaví Char"/>
    <w:link w:val="Zhlav"/>
    <w:rsid w:val="006A735C"/>
    <w:rPr>
      <w:sz w:val="24"/>
      <w:szCs w:val="24"/>
    </w:rPr>
  </w:style>
  <w:style w:type="character" w:customStyle="1" w:styleId="Nadpis1Char">
    <w:name w:val="Nadpis 1 Char"/>
    <w:basedOn w:val="Standardnpsmoodstavce"/>
    <w:link w:val="Nadpis1"/>
    <w:rsid w:val="009F019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796811">
      <w:bodyDiv w:val="1"/>
      <w:marLeft w:val="0"/>
      <w:marRight w:val="0"/>
      <w:marTop w:val="0"/>
      <w:marBottom w:val="0"/>
      <w:divBdr>
        <w:top w:val="none" w:sz="0" w:space="0" w:color="auto"/>
        <w:left w:val="none" w:sz="0" w:space="0" w:color="auto"/>
        <w:bottom w:val="none" w:sz="0" w:space="0" w:color="auto"/>
        <w:right w:val="none" w:sz="0" w:space="0" w:color="auto"/>
      </w:divBdr>
    </w:div>
    <w:div w:id="993727848">
      <w:bodyDiv w:val="1"/>
      <w:marLeft w:val="0"/>
      <w:marRight w:val="0"/>
      <w:marTop w:val="0"/>
      <w:marBottom w:val="0"/>
      <w:divBdr>
        <w:top w:val="none" w:sz="0" w:space="0" w:color="auto"/>
        <w:left w:val="none" w:sz="0" w:space="0" w:color="auto"/>
        <w:bottom w:val="none" w:sz="0" w:space="0" w:color="auto"/>
        <w:right w:val="none" w:sz="0" w:space="0" w:color="auto"/>
      </w:divBdr>
    </w:div>
    <w:div w:id="1046681293">
      <w:bodyDiv w:val="1"/>
      <w:marLeft w:val="0"/>
      <w:marRight w:val="0"/>
      <w:marTop w:val="0"/>
      <w:marBottom w:val="0"/>
      <w:divBdr>
        <w:top w:val="none" w:sz="0" w:space="0" w:color="auto"/>
        <w:left w:val="none" w:sz="0" w:space="0" w:color="auto"/>
        <w:bottom w:val="none" w:sz="0" w:space="0" w:color="auto"/>
        <w:right w:val="none" w:sz="0" w:space="0" w:color="auto"/>
      </w:divBdr>
    </w:div>
    <w:div w:id="1233662390">
      <w:bodyDiv w:val="1"/>
      <w:marLeft w:val="0"/>
      <w:marRight w:val="0"/>
      <w:marTop w:val="0"/>
      <w:marBottom w:val="0"/>
      <w:divBdr>
        <w:top w:val="none" w:sz="0" w:space="0" w:color="auto"/>
        <w:left w:val="none" w:sz="0" w:space="0" w:color="auto"/>
        <w:bottom w:val="none" w:sz="0" w:space="0" w:color="auto"/>
        <w:right w:val="none" w:sz="0" w:space="0" w:color="auto"/>
      </w:divBdr>
    </w:div>
    <w:div w:id="1448501240">
      <w:bodyDiv w:val="1"/>
      <w:marLeft w:val="0"/>
      <w:marRight w:val="0"/>
      <w:marTop w:val="0"/>
      <w:marBottom w:val="0"/>
      <w:divBdr>
        <w:top w:val="none" w:sz="0" w:space="0" w:color="auto"/>
        <w:left w:val="none" w:sz="0" w:space="0" w:color="auto"/>
        <w:bottom w:val="none" w:sz="0" w:space="0" w:color="auto"/>
        <w:right w:val="none" w:sz="0" w:space="0" w:color="auto"/>
      </w:divBdr>
    </w:div>
    <w:div w:id="1656641834">
      <w:bodyDiv w:val="1"/>
      <w:marLeft w:val="0"/>
      <w:marRight w:val="0"/>
      <w:marTop w:val="0"/>
      <w:marBottom w:val="0"/>
      <w:divBdr>
        <w:top w:val="none" w:sz="0" w:space="0" w:color="auto"/>
        <w:left w:val="none" w:sz="0" w:space="0" w:color="auto"/>
        <w:bottom w:val="none" w:sz="0" w:space="0" w:color="auto"/>
        <w:right w:val="none" w:sz="0" w:space="0" w:color="auto"/>
      </w:divBdr>
      <w:divsChild>
        <w:div w:id="140655853">
          <w:marLeft w:val="0"/>
          <w:marRight w:val="0"/>
          <w:marTop w:val="0"/>
          <w:marBottom w:val="0"/>
          <w:divBdr>
            <w:top w:val="none" w:sz="0" w:space="0" w:color="auto"/>
            <w:left w:val="none" w:sz="0" w:space="0" w:color="auto"/>
            <w:bottom w:val="none" w:sz="0" w:space="0" w:color="auto"/>
            <w:right w:val="none" w:sz="0" w:space="0" w:color="auto"/>
          </w:divBdr>
        </w:div>
      </w:divsChild>
    </w:div>
    <w:div w:id="1667439130">
      <w:bodyDiv w:val="1"/>
      <w:marLeft w:val="0"/>
      <w:marRight w:val="0"/>
      <w:marTop w:val="0"/>
      <w:marBottom w:val="0"/>
      <w:divBdr>
        <w:top w:val="none" w:sz="0" w:space="0" w:color="auto"/>
        <w:left w:val="none" w:sz="0" w:space="0" w:color="auto"/>
        <w:bottom w:val="none" w:sz="0" w:space="0" w:color="auto"/>
        <w:right w:val="none" w:sz="0" w:space="0" w:color="auto"/>
      </w:divBdr>
    </w:div>
    <w:div w:id="1698966338">
      <w:bodyDiv w:val="1"/>
      <w:marLeft w:val="0"/>
      <w:marRight w:val="0"/>
      <w:marTop w:val="0"/>
      <w:marBottom w:val="0"/>
      <w:divBdr>
        <w:top w:val="none" w:sz="0" w:space="0" w:color="auto"/>
        <w:left w:val="none" w:sz="0" w:space="0" w:color="auto"/>
        <w:bottom w:val="none" w:sz="0" w:space="0" w:color="auto"/>
        <w:right w:val="none" w:sz="0" w:space="0" w:color="auto"/>
      </w:divBdr>
    </w:div>
    <w:div w:id="183757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E16CC-FF16-4176-8DED-6D6E24680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3358</Words>
  <Characters>19816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Výsledek hospodaření v účetnictví</vt:lpstr>
    </vt:vector>
  </TitlesOfParts>
  <Company>Ministerstvo financí</Company>
  <LinksUpToDate>false</LinksUpToDate>
  <CharactersWithSpaces>23128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Výsledek hospodaření v účetnictví</dc:title>
  <dc:creator>MF</dc:creator>
  <cp:lastModifiedBy>Grünerová Markéta Ing.</cp:lastModifiedBy>
  <cp:revision>14</cp:revision>
  <cp:lastPrinted>2012-06-06T15:31:00Z</cp:lastPrinted>
  <dcterms:created xsi:type="dcterms:W3CDTF">2014-01-08T11:45:00Z</dcterms:created>
  <dcterms:modified xsi:type="dcterms:W3CDTF">2014-02-19T15:46:00Z</dcterms:modified>
</cp:coreProperties>
</file>