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C1" w:rsidRPr="00E24889" w:rsidRDefault="00502CC1">
      <w:pPr>
        <w:pStyle w:val="Nzev"/>
        <w:rPr>
          <w:rFonts w:ascii="Times New Roman" w:hAnsi="Times New Roman"/>
          <w:szCs w:val="24"/>
        </w:rPr>
      </w:pPr>
      <w:bookmarkStart w:id="0" w:name="_GoBack"/>
      <w:bookmarkEnd w:id="0"/>
      <w:r w:rsidRPr="00E24889">
        <w:rPr>
          <w:rFonts w:ascii="Times New Roman" w:hAnsi="Times New Roman"/>
          <w:szCs w:val="24"/>
        </w:rPr>
        <w:t>Český účetní standard pro některé vybrané účetní jednotky</w:t>
      </w:r>
    </w:p>
    <w:p w:rsidR="00502CC1" w:rsidRPr="00E24889" w:rsidRDefault="00502C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2CC1" w:rsidRPr="00E24889" w:rsidRDefault="00502CC1">
      <w:pPr>
        <w:pStyle w:val="Nadpis2"/>
        <w:rPr>
          <w:rFonts w:ascii="Times New Roman" w:hAnsi="Times New Roman"/>
          <w:szCs w:val="24"/>
        </w:rPr>
      </w:pPr>
      <w:r w:rsidRPr="00E24889">
        <w:rPr>
          <w:rFonts w:ascii="Times New Roman" w:hAnsi="Times New Roman"/>
          <w:szCs w:val="24"/>
        </w:rPr>
        <w:t xml:space="preserve">č. </w:t>
      </w:r>
      <w:r w:rsidR="00A94600" w:rsidRPr="00E24889">
        <w:rPr>
          <w:rFonts w:ascii="Times New Roman" w:hAnsi="Times New Roman"/>
          <w:szCs w:val="24"/>
        </w:rPr>
        <w:t>7</w:t>
      </w:r>
      <w:r w:rsidR="00A94600">
        <w:rPr>
          <w:rFonts w:ascii="Times New Roman" w:hAnsi="Times New Roman"/>
          <w:szCs w:val="24"/>
        </w:rPr>
        <w:t>07</w:t>
      </w:r>
    </w:p>
    <w:p w:rsidR="00502CC1" w:rsidRPr="00E24889" w:rsidRDefault="00502CC1">
      <w:pPr>
        <w:pStyle w:val="Nadpis2"/>
        <w:rPr>
          <w:rFonts w:ascii="Times New Roman" w:hAnsi="Times New Roman"/>
          <w:szCs w:val="24"/>
        </w:rPr>
      </w:pPr>
    </w:p>
    <w:p w:rsidR="00502CC1" w:rsidRPr="00E24889" w:rsidRDefault="00502CC1">
      <w:pPr>
        <w:pStyle w:val="Nadpis2"/>
        <w:rPr>
          <w:rFonts w:ascii="Times New Roman" w:hAnsi="Times New Roman"/>
          <w:szCs w:val="24"/>
        </w:rPr>
      </w:pPr>
      <w:r w:rsidRPr="00E24889">
        <w:rPr>
          <w:rFonts w:ascii="Times New Roman" w:hAnsi="Times New Roman"/>
          <w:szCs w:val="24"/>
        </w:rPr>
        <w:t>Zásoby</w:t>
      </w:r>
    </w:p>
    <w:p w:rsidR="00502CC1" w:rsidRPr="00E24889" w:rsidRDefault="00502CC1">
      <w:pPr>
        <w:widowControl w:val="0"/>
        <w:autoSpaceDE w:val="0"/>
        <w:autoSpaceDN w:val="0"/>
        <w:adjustRightInd w:val="0"/>
        <w:jc w:val="center"/>
      </w:pPr>
      <w:r w:rsidRPr="00E24889">
        <w:t xml:space="preserve"> </w:t>
      </w:r>
    </w:p>
    <w:p w:rsidR="00502CC1" w:rsidRPr="00E24889" w:rsidRDefault="00502CC1" w:rsidP="00192A45">
      <w:pPr>
        <w:numPr>
          <w:ilvl w:val="0"/>
          <w:numId w:val="26"/>
        </w:numPr>
        <w:rPr>
          <w:b/>
        </w:rPr>
      </w:pPr>
      <w:r w:rsidRPr="00E24889">
        <w:rPr>
          <w:b/>
        </w:rPr>
        <w:t>Cíl</w:t>
      </w:r>
    </w:p>
    <w:p w:rsidR="00502CC1" w:rsidRPr="00E24889" w:rsidRDefault="00502CC1">
      <w:pPr>
        <w:widowControl w:val="0"/>
        <w:autoSpaceDE w:val="0"/>
        <w:autoSpaceDN w:val="0"/>
        <w:adjustRightInd w:val="0"/>
        <w:jc w:val="center"/>
      </w:pPr>
      <w:r w:rsidRPr="00E24889">
        <w:t xml:space="preserve"> </w:t>
      </w:r>
    </w:p>
    <w:p w:rsidR="00502CC1" w:rsidRPr="00E24889" w:rsidRDefault="00502CC1">
      <w:pPr>
        <w:pStyle w:val="Zkladntext"/>
        <w:rPr>
          <w:rFonts w:ascii="Times New Roman" w:hAnsi="Times New Roman"/>
          <w:sz w:val="24"/>
          <w:szCs w:val="24"/>
        </w:rPr>
      </w:pPr>
      <w:r w:rsidRPr="00E24889">
        <w:rPr>
          <w:rFonts w:ascii="Times New Roman" w:hAnsi="Times New Roman"/>
          <w:sz w:val="24"/>
          <w:szCs w:val="24"/>
        </w:rPr>
        <w:t xml:space="preserve">Cílem tohoto standardu je stanovit podle zákona č. 563/1991 Sb., o účetnictví, ve znění pozdějších předpisů, (dále jen </w:t>
      </w:r>
      <w:r w:rsidR="00AA1B85">
        <w:rPr>
          <w:rFonts w:ascii="Times New Roman" w:hAnsi="Times New Roman"/>
          <w:sz w:val="24"/>
          <w:szCs w:val="24"/>
        </w:rPr>
        <w:t>„</w:t>
      </w:r>
      <w:r w:rsidRPr="00E24889">
        <w:rPr>
          <w:rFonts w:ascii="Times New Roman" w:hAnsi="Times New Roman"/>
          <w:sz w:val="24"/>
          <w:szCs w:val="24"/>
        </w:rPr>
        <w:t>zákon</w:t>
      </w:r>
      <w:r w:rsidR="00AA1B85">
        <w:rPr>
          <w:rFonts w:ascii="Times New Roman" w:hAnsi="Times New Roman"/>
          <w:sz w:val="24"/>
          <w:szCs w:val="24"/>
        </w:rPr>
        <w:t>“</w:t>
      </w:r>
      <w:r w:rsidRPr="00E24889">
        <w:rPr>
          <w:rFonts w:ascii="Times New Roman" w:hAnsi="Times New Roman"/>
          <w:sz w:val="24"/>
          <w:szCs w:val="24"/>
        </w:rPr>
        <w:t xml:space="preserve">) a vyhlášky č. 410/2009 Sb., kterou se provádějí některá ustanovení zákona č. 563/1991 Sb., o účetnictví, ve znění pozdějších předpisů, pro </w:t>
      </w:r>
      <w:r w:rsidR="00282B17">
        <w:rPr>
          <w:rFonts w:ascii="Times New Roman" w:hAnsi="Times New Roman"/>
          <w:sz w:val="24"/>
          <w:szCs w:val="24"/>
        </w:rPr>
        <w:t>některé vybrané</w:t>
      </w:r>
      <w:r w:rsidR="00282B17" w:rsidRPr="00E24889">
        <w:rPr>
          <w:rFonts w:ascii="Times New Roman" w:hAnsi="Times New Roman"/>
          <w:sz w:val="24"/>
          <w:szCs w:val="24"/>
        </w:rPr>
        <w:t xml:space="preserve"> </w:t>
      </w:r>
      <w:r w:rsidRPr="00E24889">
        <w:rPr>
          <w:rFonts w:ascii="Times New Roman" w:hAnsi="Times New Roman"/>
          <w:sz w:val="24"/>
          <w:szCs w:val="24"/>
        </w:rPr>
        <w:t xml:space="preserve">účetní jednotky, ve znění pozdějších předpisů, (dále jen </w:t>
      </w:r>
      <w:r w:rsidR="00AA1B85">
        <w:rPr>
          <w:rFonts w:ascii="Times New Roman" w:hAnsi="Times New Roman"/>
          <w:sz w:val="24"/>
          <w:szCs w:val="24"/>
        </w:rPr>
        <w:t>„</w:t>
      </w:r>
      <w:r w:rsidRPr="00E24889">
        <w:rPr>
          <w:rFonts w:ascii="Times New Roman" w:hAnsi="Times New Roman"/>
          <w:sz w:val="24"/>
          <w:szCs w:val="24"/>
        </w:rPr>
        <w:t>vyhláška</w:t>
      </w:r>
      <w:r w:rsidR="00AA1B85">
        <w:rPr>
          <w:rFonts w:ascii="Times New Roman" w:hAnsi="Times New Roman"/>
          <w:sz w:val="24"/>
          <w:szCs w:val="24"/>
        </w:rPr>
        <w:t>“</w:t>
      </w:r>
      <w:r w:rsidRPr="00E24889">
        <w:rPr>
          <w:rFonts w:ascii="Times New Roman" w:hAnsi="Times New Roman"/>
          <w:sz w:val="24"/>
          <w:szCs w:val="24"/>
        </w:rPr>
        <w:t xml:space="preserve">) základní postupy účtování o </w:t>
      </w:r>
      <w:r w:rsidR="00AA195D" w:rsidRPr="00E24889">
        <w:rPr>
          <w:rFonts w:ascii="Times New Roman" w:hAnsi="Times New Roman"/>
          <w:sz w:val="24"/>
          <w:szCs w:val="24"/>
        </w:rPr>
        <w:t>zásobách</w:t>
      </w:r>
      <w:r w:rsidRPr="00E24889">
        <w:rPr>
          <w:rFonts w:ascii="Times New Roman" w:hAnsi="Times New Roman"/>
          <w:sz w:val="24"/>
          <w:szCs w:val="24"/>
        </w:rPr>
        <w:t xml:space="preserve"> za účelem docílení souladu při používání účetních metod některými vybranými účetními jednotkami </w:t>
      </w:r>
      <w:r w:rsidR="009846BD" w:rsidRPr="00950DA1">
        <w:rPr>
          <w:rFonts w:ascii="Times New Roman" w:hAnsi="Times New Roman"/>
          <w:sz w:val="24"/>
          <w:szCs w:val="24"/>
        </w:rPr>
        <w:t xml:space="preserve">zejména </w:t>
      </w:r>
      <w:r w:rsidRPr="00E24889">
        <w:rPr>
          <w:rFonts w:ascii="Times New Roman" w:hAnsi="Times New Roman"/>
          <w:sz w:val="24"/>
          <w:szCs w:val="24"/>
        </w:rPr>
        <w:t>v</w:t>
      </w:r>
      <w:r w:rsidR="00AA1B85">
        <w:rPr>
          <w:rFonts w:ascii="Times New Roman" w:hAnsi="Times New Roman"/>
          <w:sz w:val="24"/>
          <w:szCs w:val="24"/>
        </w:rPr>
        <w:t> </w:t>
      </w:r>
      <w:r w:rsidRPr="00E24889">
        <w:rPr>
          <w:rFonts w:ascii="Times New Roman" w:hAnsi="Times New Roman"/>
          <w:sz w:val="24"/>
          <w:szCs w:val="24"/>
        </w:rPr>
        <w:t>položkách</w:t>
      </w:r>
    </w:p>
    <w:p w:rsidR="00502CC1" w:rsidRPr="00E24889" w:rsidRDefault="00502CC1">
      <w:pPr>
        <w:pStyle w:val="Zkladntext"/>
        <w:rPr>
          <w:rFonts w:ascii="Times New Roman" w:hAnsi="Times New Roman"/>
          <w:sz w:val="24"/>
          <w:szCs w:val="24"/>
        </w:rPr>
      </w:pP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6720"/>
        <w:gridCol w:w="1240"/>
      </w:tblGrid>
      <w:tr w:rsidR="00502CC1" w:rsidRPr="00E24889" w:rsidTr="00D85C75">
        <w:trPr>
          <w:cantSplit/>
          <w:trHeight w:val="360"/>
          <w:jc w:val="center"/>
        </w:trPr>
        <w:tc>
          <w:tcPr>
            <w:tcW w:w="1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Číslo položky rozvahy</w:t>
            </w:r>
          </w:p>
        </w:tc>
        <w:tc>
          <w:tcPr>
            <w:tcW w:w="6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Název položky rozvahy</w:t>
            </w:r>
          </w:p>
        </w:tc>
        <w:tc>
          <w:tcPr>
            <w:tcW w:w="124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Syntetický účet</w:t>
            </w:r>
          </w:p>
        </w:tc>
      </w:tr>
      <w:tr w:rsidR="00502CC1" w:rsidRPr="00E24889" w:rsidTr="00D85C75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E24889" w:rsidTr="00D85C75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B.I.1.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307D87" w:rsidP="00944CC7">
            <w:pPr>
              <w:ind w:firstLineChars="53" w:firstLine="127"/>
            </w:pPr>
            <w:r>
              <w:t>Pořízení materiálu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307D87">
            <w:pPr>
              <w:ind w:firstLineChars="100" w:firstLine="240"/>
            </w:pPr>
            <w:r>
              <w:t>111</w:t>
            </w: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B.I.2.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307D87" w:rsidP="00944CC7">
            <w:pPr>
              <w:ind w:firstLineChars="53" w:firstLine="127"/>
            </w:pPr>
            <w:r>
              <w:t>Materiál na skladě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307D87">
            <w:pPr>
              <w:ind w:firstLineChars="100" w:firstLine="240"/>
            </w:pPr>
            <w:r>
              <w:t>112</w:t>
            </w: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B.I.3.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307D87" w:rsidP="00944CC7">
            <w:pPr>
              <w:ind w:firstLineChars="53" w:firstLine="127"/>
            </w:pPr>
            <w:r>
              <w:t>Materiál na cestě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307D87">
            <w:pPr>
              <w:ind w:firstLineChars="100" w:firstLine="240"/>
            </w:pPr>
            <w:r>
              <w:t>119</w:t>
            </w: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B.I.4.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307D87" w:rsidP="00944CC7">
            <w:pPr>
              <w:ind w:firstLineChars="53" w:firstLine="127"/>
            </w:pPr>
            <w:r>
              <w:t>Nedokončená výroba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307D87">
            <w:pPr>
              <w:ind w:firstLineChars="100" w:firstLine="240"/>
            </w:pPr>
            <w:r>
              <w:t>121</w:t>
            </w: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B.I.5.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307D87" w:rsidP="00944CC7">
            <w:pPr>
              <w:ind w:firstLineChars="53" w:firstLine="127"/>
              <w:rPr>
                <w:rFonts w:eastAsia="Arial Unicode MS"/>
              </w:rPr>
            </w:pPr>
            <w:r>
              <w:rPr>
                <w:rFonts w:eastAsia="Arial Unicode MS"/>
              </w:rPr>
              <w:t>Polotovary vlastní výroby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307D87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122</w:t>
            </w:r>
          </w:p>
        </w:tc>
      </w:tr>
      <w:tr w:rsidR="00307D87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307D87" w:rsidRPr="00E24889" w:rsidRDefault="00C10811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B.I.6.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7D87" w:rsidRDefault="00307D87" w:rsidP="00944CC7">
            <w:pPr>
              <w:ind w:firstLineChars="53" w:firstLine="127"/>
              <w:rPr>
                <w:rFonts w:eastAsia="Arial Unicode MS"/>
              </w:rPr>
            </w:pPr>
            <w:r>
              <w:rPr>
                <w:rFonts w:eastAsia="Arial Unicode MS"/>
              </w:rPr>
              <w:t>Výrobky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307D87" w:rsidRDefault="00307D87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123</w:t>
            </w:r>
          </w:p>
        </w:tc>
      </w:tr>
      <w:tr w:rsidR="00307D87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307D87" w:rsidRPr="00E24889" w:rsidRDefault="00C10811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B.I.7.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7D87" w:rsidRDefault="00307D87" w:rsidP="00944CC7">
            <w:pPr>
              <w:ind w:firstLineChars="53" w:firstLine="127"/>
              <w:rPr>
                <w:rFonts w:eastAsia="Arial Unicode MS"/>
              </w:rPr>
            </w:pPr>
            <w:r>
              <w:rPr>
                <w:rFonts w:eastAsia="Arial Unicode MS"/>
              </w:rPr>
              <w:t>Pořízení zboží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307D87" w:rsidRDefault="00307D87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131</w:t>
            </w:r>
          </w:p>
        </w:tc>
      </w:tr>
      <w:tr w:rsidR="00B3304F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Default="00B3304F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B.I.8.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04F" w:rsidRDefault="00B3304F" w:rsidP="00944CC7">
            <w:pPr>
              <w:ind w:firstLineChars="53" w:firstLine="127"/>
              <w:rPr>
                <w:rFonts w:eastAsia="Arial Unicode MS"/>
              </w:rPr>
            </w:pPr>
            <w:r>
              <w:rPr>
                <w:rFonts w:eastAsia="Arial Unicode MS"/>
              </w:rPr>
              <w:t>Zboží na skladě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Default="00B3304F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132</w:t>
            </w:r>
          </w:p>
        </w:tc>
      </w:tr>
      <w:tr w:rsidR="00B3304F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Default="00B3304F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B.I.9.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04F" w:rsidRDefault="00B3304F" w:rsidP="00944CC7">
            <w:pPr>
              <w:ind w:firstLineChars="53" w:firstLine="127"/>
              <w:rPr>
                <w:rFonts w:eastAsia="Arial Unicode MS"/>
              </w:rPr>
            </w:pPr>
            <w:r>
              <w:rPr>
                <w:rFonts w:eastAsia="Arial Unicode MS"/>
              </w:rPr>
              <w:t>Zboží na cestě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Default="00B3304F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138</w:t>
            </w:r>
          </w:p>
        </w:tc>
      </w:tr>
      <w:tr w:rsidR="00B3304F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950DA1" w:rsidRDefault="00B3304F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B.I.10.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04F" w:rsidRPr="00950DA1" w:rsidRDefault="00B3304F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Ostatní zásoby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950DA1" w:rsidRDefault="00B3304F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139</w:t>
            </w:r>
          </w:p>
        </w:tc>
      </w:tr>
      <w:tr w:rsidR="00B3304F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950DA1" w:rsidRDefault="00B3304F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B.III.17.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04F" w:rsidRPr="00950DA1" w:rsidRDefault="00B3304F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Pokladna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950DA1" w:rsidRDefault="00B3304F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261</w:t>
            </w:r>
          </w:p>
        </w:tc>
      </w:tr>
      <w:tr w:rsidR="00B3304F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382960" w:rsidRDefault="002F3274" w:rsidP="00FF4730">
            <w:pPr>
              <w:ind w:firstLineChars="100" w:firstLine="240"/>
              <w:rPr>
                <w:rFonts w:eastAsia="Arial Unicode MS"/>
              </w:rPr>
            </w:pPr>
            <w:r w:rsidRPr="00382960">
              <w:rPr>
                <w:rFonts w:eastAsia="Arial Unicode MS"/>
              </w:rPr>
              <w:t>D.III.3</w:t>
            </w:r>
            <w:r w:rsidR="007C2B45" w:rsidRPr="00382960">
              <w:rPr>
                <w:rFonts w:eastAsia="Arial Unicode MS"/>
              </w:rPr>
              <w:t>7</w:t>
            </w:r>
            <w:r w:rsidR="00B3304F" w:rsidRPr="00382960">
              <w:rPr>
                <w:rFonts w:eastAsia="Arial Unicode MS"/>
              </w:rPr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04F" w:rsidRPr="00950DA1" w:rsidRDefault="00B3304F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Dohadné účty pasivní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3304F" w:rsidRPr="00950DA1" w:rsidRDefault="00B3304F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389</w:t>
            </w:r>
          </w:p>
        </w:tc>
      </w:tr>
    </w:tbl>
    <w:p w:rsidR="00502CC1" w:rsidRPr="00E24889" w:rsidRDefault="00502CC1">
      <w:pPr>
        <w:pStyle w:val="Zkladntext"/>
        <w:rPr>
          <w:rFonts w:ascii="Times New Roman" w:hAnsi="Times New Roman"/>
          <w:sz w:val="24"/>
          <w:szCs w:val="24"/>
        </w:rPr>
      </w:pP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9"/>
        <w:gridCol w:w="6617"/>
        <w:gridCol w:w="1234"/>
      </w:tblGrid>
      <w:tr w:rsidR="00502CC1" w:rsidRPr="00E24889" w:rsidTr="00950DA1">
        <w:trPr>
          <w:cantSplit/>
          <w:trHeight w:val="360"/>
          <w:jc w:val="center"/>
        </w:trPr>
        <w:tc>
          <w:tcPr>
            <w:tcW w:w="1829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Číslo položky výkazu zisku a ztráty</w:t>
            </w:r>
          </w:p>
        </w:tc>
        <w:tc>
          <w:tcPr>
            <w:tcW w:w="6617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Název položky výkazu zisku a ztráty</w:t>
            </w:r>
          </w:p>
        </w:tc>
        <w:tc>
          <w:tcPr>
            <w:tcW w:w="1234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  <w:r w:rsidRPr="00E24889">
              <w:rPr>
                <w:b/>
                <w:bCs/>
              </w:rPr>
              <w:t>Syntetický účet</w:t>
            </w:r>
          </w:p>
        </w:tc>
      </w:tr>
      <w:tr w:rsidR="00502CC1" w:rsidRPr="00E24889" w:rsidTr="00D85C75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E24889" w:rsidTr="00D85C75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502CC1" w:rsidRPr="00E24889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A.I.1.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B9553F" w:rsidP="00944CC7">
            <w:pPr>
              <w:ind w:firstLineChars="53" w:firstLine="127"/>
            </w:pPr>
            <w:r>
              <w:t>Spotřeba materiálu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B9553F">
            <w:pPr>
              <w:ind w:firstLineChars="100" w:firstLine="240"/>
            </w:pPr>
            <w:r>
              <w:t>501</w:t>
            </w:r>
          </w:p>
        </w:tc>
      </w:tr>
      <w:tr w:rsidR="00502CC1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C10811">
            <w:pPr>
              <w:ind w:firstLineChars="100" w:firstLine="240"/>
            </w:pPr>
            <w:r>
              <w:t>A.I.4.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E24889" w:rsidRDefault="00B9553F" w:rsidP="00944CC7">
            <w:pPr>
              <w:ind w:firstLineChars="53" w:firstLine="127"/>
            </w:pPr>
            <w:r>
              <w:t>Prodané zboží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E24889" w:rsidRDefault="00B9553F">
            <w:pPr>
              <w:ind w:firstLineChars="100" w:firstLine="240"/>
            </w:pPr>
            <w:r>
              <w:t>504</w:t>
            </w:r>
          </w:p>
        </w:tc>
      </w:tr>
      <w:tr w:rsidR="004B7EB0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A.I.6.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7EB0" w:rsidRPr="00950DA1" w:rsidRDefault="00FB0D50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Aktivace oběžného majetku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507</w:t>
            </w:r>
          </w:p>
        </w:tc>
      </w:tr>
      <w:tr w:rsidR="004B7EB0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A.I.7.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7EB0" w:rsidRPr="00950DA1" w:rsidRDefault="00FB0D50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Změna stavu zásob vlastní výroby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508</w:t>
            </w:r>
          </w:p>
        </w:tc>
      </w:tr>
      <w:tr w:rsidR="00E851D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851D9" w:rsidRPr="00950DA1" w:rsidRDefault="00E851D9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A.I.10.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D9" w:rsidRPr="00950DA1" w:rsidRDefault="00E851D9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Náklady na reprezentaci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851D9" w:rsidRPr="00950DA1" w:rsidRDefault="00E851D9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513</w:t>
            </w:r>
          </w:p>
        </w:tc>
      </w:tr>
      <w:tr w:rsidR="004B7EB0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A.I.11.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7EB0" w:rsidRPr="00950DA1" w:rsidRDefault="00FB0D50" w:rsidP="00944CC7">
            <w:pPr>
              <w:ind w:firstLineChars="53" w:firstLine="127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Aktivace vnitroorganizačních služeb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B7EB0" w:rsidRPr="00950DA1" w:rsidRDefault="00FB0D50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516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950DA1" w:rsidRDefault="00074C44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lastRenderedPageBreak/>
              <w:t>A.I.</w:t>
            </w:r>
            <w:r w:rsidR="004B7EB0" w:rsidRPr="00950DA1">
              <w:rPr>
                <w:rFonts w:eastAsia="Arial Unicode MS"/>
              </w:rPr>
              <w:t>25</w:t>
            </w:r>
            <w:r w:rsidR="00E91A09" w:rsidRPr="00950DA1">
              <w:rPr>
                <w:rFonts w:eastAsia="Arial Unicode MS"/>
              </w:rPr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Prodaný materiál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544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950DA1" w:rsidRDefault="00074C44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A.I.</w:t>
            </w:r>
            <w:r w:rsidR="004B7EB0" w:rsidRPr="00950DA1">
              <w:rPr>
                <w:rFonts w:eastAsia="Arial Unicode MS"/>
              </w:rPr>
              <w:t>26</w:t>
            </w:r>
            <w:r w:rsidR="00E91A09" w:rsidRPr="00950DA1">
              <w:rPr>
                <w:rFonts w:eastAsia="Arial Unicode MS"/>
              </w:rPr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Manka a škody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547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E24889" w:rsidRDefault="00E91A09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Výnosy z</w:t>
            </w:r>
            <w:r w:rsidR="00AA1B85">
              <w:rPr>
                <w:rFonts w:eastAsia="Arial Unicode MS"/>
              </w:rPr>
              <w:t> </w:t>
            </w:r>
            <w:r w:rsidRPr="00DB4D7C">
              <w:rPr>
                <w:rFonts w:eastAsia="Arial Unicode MS"/>
              </w:rPr>
              <w:t>prodeje vlastních výrobků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601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E24889" w:rsidRDefault="00E91A09">
            <w:pPr>
              <w:ind w:firstLineChars="100" w:firstLine="240"/>
              <w:rPr>
                <w:rFonts w:eastAsia="Arial Unicode MS"/>
              </w:rPr>
            </w:pPr>
            <w:r>
              <w:rPr>
                <w:rFonts w:eastAsia="Arial Unicode MS"/>
              </w:rPr>
              <w:t>B.I.4.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Výnosy z</w:t>
            </w:r>
            <w:r w:rsidR="00AA1B85">
              <w:rPr>
                <w:rFonts w:eastAsia="Arial Unicode MS"/>
              </w:rPr>
              <w:t> </w:t>
            </w:r>
            <w:r w:rsidRPr="00DB4D7C">
              <w:rPr>
                <w:rFonts w:eastAsia="Arial Unicode MS"/>
              </w:rPr>
              <w:t>prodaného zboží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604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E91A09" w:rsidRDefault="00E91A09" w:rsidP="002D5CF4">
            <w:pPr>
              <w:ind w:firstLineChars="100" w:firstLine="240"/>
              <w:rPr>
                <w:rFonts w:eastAsia="Arial Unicode MS"/>
              </w:rPr>
            </w:pPr>
            <w:r w:rsidRPr="00E91A09">
              <w:rPr>
                <w:rFonts w:eastAsia="Arial Unicode MS"/>
              </w:rPr>
              <w:t>B.I.8.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E91A09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E91A09">
              <w:rPr>
                <w:rFonts w:eastAsia="Arial Unicode MS"/>
              </w:rPr>
              <w:t>Jiné výnosy z</w:t>
            </w:r>
            <w:r w:rsidR="00AA1B85">
              <w:rPr>
                <w:rFonts w:eastAsia="Arial Unicode MS"/>
              </w:rPr>
              <w:t> </w:t>
            </w:r>
            <w:r w:rsidRPr="00E91A09">
              <w:rPr>
                <w:rFonts w:eastAsia="Arial Unicode MS"/>
              </w:rPr>
              <w:t>vlastních výkonů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E91A09" w:rsidRDefault="00E91A09" w:rsidP="002D5CF4">
            <w:pPr>
              <w:ind w:firstLineChars="100" w:firstLine="240"/>
              <w:rPr>
                <w:rFonts w:eastAsia="Arial Unicode MS"/>
              </w:rPr>
            </w:pPr>
            <w:r w:rsidRPr="00E91A09">
              <w:rPr>
                <w:rFonts w:eastAsia="Arial Unicode MS"/>
              </w:rPr>
              <w:t>609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950DA1" w:rsidRDefault="00074C44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B.I.</w:t>
            </w:r>
            <w:r w:rsidR="004B7EB0" w:rsidRPr="00950DA1">
              <w:rPr>
                <w:rFonts w:eastAsia="Arial Unicode MS"/>
              </w:rPr>
              <w:t>12</w:t>
            </w:r>
            <w:r w:rsidR="00E91A09" w:rsidRPr="00950DA1">
              <w:rPr>
                <w:rFonts w:eastAsia="Arial Unicode MS"/>
              </w:rPr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Výnosy z</w:t>
            </w:r>
            <w:r w:rsidR="00AA1B85">
              <w:rPr>
                <w:rFonts w:eastAsia="Arial Unicode MS"/>
              </w:rPr>
              <w:t> </w:t>
            </w:r>
            <w:r w:rsidRPr="00DB4D7C">
              <w:rPr>
                <w:rFonts w:eastAsia="Arial Unicode MS"/>
              </w:rPr>
              <w:t>prodeje materiálu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644</w:t>
            </w:r>
          </w:p>
        </w:tc>
      </w:tr>
      <w:tr w:rsidR="00E91A09" w:rsidRPr="00E24889" w:rsidTr="00D85C75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950DA1" w:rsidRDefault="00074C44">
            <w:pPr>
              <w:ind w:firstLineChars="100" w:firstLine="240"/>
              <w:rPr>
                <w:rFonts w:eastAsia="Arial Unicode MS"/>
              </w:rPr>
            </w:pPr>
            <w:r w:rsidRPr="00950DA1">
              <w:rPr>
                <w:rFonts w:eastAsia="Arial Unicode MS"/>
              </w:rPr>
              <w:t>B.I.</w:t>
            </w:r>
            <w:r w:rsidR="004B7EB0" w:rsidRPr="00950DA1">
              <w:rPr>
                <w:rFonts w:eastAsia="Arial Unicode MS"/>
              </w:rPr>
              <w:t>17</w:t>
            </w:r>
            <w:r w:rsidR="00E91A09" w:rsidRPr="00950DA1">
              <w:rPr>
                <w:rFonts w:eastAsia="Arial Unicode MS"/>
              </w:rPr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DB4D7C" w:rsidRDefault="00E91A09" w:rsidP="00944CC7">
            <w:pPr>
              <w:ind w:firstLineChars="53" w:firstLine="127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Ostatní výnosy z</w:t>
            </w:r>
            <w:r w:rsidR="00AA1B85">
              <w:rPr>
                <w:rFonts w:eastAsia="Arial Unicode MS"/>
              </w:rPr>
              <w:t> </w:t>
            </w:r>
            <w:r w:rsidRPr="00DB4D7C">
              <w:rPr>
                <w:rFonts w:eastAsia="Arial Unicode MS"/>
              </w:rPr>
              <w:t>činnosti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DB4D7C" w:rsidRDefault="00E91A09">
            <w:pPr>
              <w:ind w:firstLineChars="100" w:firstLine="240"/>
              <w:rPr>
                <w:rFonts w:eastAsia="Arial Unicode MS"/>
              </w:rPr>
            </w:pPr>
            <w:r w:rsidRPr="00DB4D7C">
              <w:rPr>
                <w:rFonts w:eastAsia="Arial Unicode MS"/>
              </w:rPr>
              <w:t>649</w:t>
            </w:r>
          </w:p>
        </w:tc>
      </w:tr>
    </w:tbl>
    <w:p w:rsidR="00502CC1" w:rsidRPr="00E24889" w:rsidRDefault="00502CC1">
      <w:pPr>
        <w:pStyle w:val="Zkladntext"/>
        <w:rPr>
          <w:rFonts w:ascii="Times New Roman" w:hAnsi="Times New Roman"/>
          <w:sz w:val="24"/>
          <w:szCs w:val="24"/>
        </w:rPr>
      </w:pPr>
    </w:p>
    <w:p w:rsidR="00073322" w:rsidRDefault="00073322" w:rsidP="00073322">
      <w:pPr>
        <w:pStyle w:val="Zklad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vykazovaných za podmínek stanovených v § </w:t>
      </w:r>
      <w:smartTag w:uri="urn:schemas-microsoft-com:office:smarttags" w:element="metricconverter">
        <w:smartTagPr>
          <w:attr w:name="ProductID" w:val="20 a"/>
        </w:smartTagPr>
        <w:r>
          <w:rPr>
            <w:rFonts w:ascii="Times New Roman" w:hAnsi="Times New Roman"/>
            <w:sz w:val="24"/>
          </w:rPr>
          <w:t>20 a</w:t>
        </w:r>
      </w:smartTag>
      <w:r>
        <w:rPr>
          <w:rFonts w:ascii="Times New Roman" w:hAnsi="Times New Roman"/>
          <w:sz w:val="24"/>
        </w:rPr>
        <w:t xml:space="preserve"> </w:t>
      </w:r>
      <w:r w:rsidR="001B255D">
        <w:rPr>
          <w:rFonts w:ascii="Times New Roman" w:hAnsi="Times New Roman"/>
          <w:sz w:val="24"/>
        </w:rPr>
        <w:t xml:space="preserve">§ </w:t>
      </w:r>
      <w:r>
        <w:rPr>
          <w:rFonts w:ascii="Times New Roman" w:hAnsi="Times New Roman"/>
          <w:sz w:val="24"/>
        </w:rPr>
        <w:t>57 vyhlášky.</w:t>
      </w:r>
    </w:p>
    <w:p w:rsidR="008900AB" w:rsidRDefault="008900AB">
      <w:pPr>
        <w:widowControl w:val="0"/>
        <w:autoSpaceDE w:val="0"/>
        <w:autoSpaceDN w:val="0"/>
        <w:adjustRightInd w:val="0"/>
        <w:jc w:val="both"/>
      </w:pPr>
    </w:p>
    <w:p w:rsidR="008E2AD7" w:rsidRDefault="008E2AD7">
      <w:pPr>
        <w:widowControl w:val="0"/>
        <w:autoSpaceDE w:val="0"/>
        <w:autoSpaceDN w:val="0"/>
        <w:adjustRightInd w:val="0"/>
        <w:jc w:val="both"/>
      </w:pPr>
    </w:p>
    <w:p w:rsidR="00073322" w:rsidRPr="00142B98" w:rsidRDefault="00073322" w:rsidP="00192A45">
      <w:pPr>
        <w:numPr>
          <w:ilvl w:val="0"/>
          <w:numId w:val="26"/>
        </w:numPr>
        <w:rPr>
          <w:b/>
        </w:rPr>
      </w:pPr>
      <w:r w:rsidRPr="00142B98">
        <w:rPr>
          <w:b/>
        </w:rPr>
        <w:t>Předmět standardu</w:t>
      </w:r>
    </w:p>
    <w:p w:rsidR="00073322" w:rsidRDefault="00073322" w:rsidP="00073322"/>
    <w:p w:rsidR="00073322" w:rsidRPr="00073322" w:rsidRDefault="00073322" w:rsidP="00073322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  <w:r w:rsidRPr="00073322">
        <w:rPr>
          <w:rFonts w:ascii="Times New Roman" w:hAnsi="Times New Roman"/>
          <w:bCs/>
          <w:sz w:val="24"/>
          <w:szCs w:val="24"/>
        </w:rPr>
        <w:t>Standard upravuje:</w:t>
      </w:r>
    </w:p>
    <w:p w:rsidR="00073322" w:rsidRDefault="00073322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200"/>
      </w:tblGrid>
      <w:tr w:rsidR="00073322" w:rsidRPr="00E24889" w:rsidTr="00073322">
        <w:tc>
          <w:tcPr>
            <w:tcW w:w="1188" w:type="dxa"/>
          </w:tcPr>
          <w:p w:rsidR="00073322" w:rsidRPr="00382960" w:rsidRDefault="00073322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382960">
              <w:rPr>
                <w:rFonts w:ascii="Times New Roman" w:hAnsi="Times New Roman"/>
                <w:sz w:val="24"/>
                <w:szCs w:val="24"/>
              </w:rPr>
              <w:t>Bod 3.</w:t>
            </w:r>
          </w:p>
        </w:tc>
        <w:tc>
          <w:tcPr>
            <w:tcW w:w="7200" w:type="dxa"/>
          </w:tcPr>
          <w:p w:rsidR="00073322" w:rsidRPr="00382960" w:rsidRDefault="00073322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382960">
              <w:rPr>
                <w:rFonts w:ascii="Times New Roman" w:hAnsi="Times New Roman"/>
                <w:sz w:val="24"/>
                <w:szCs w:val="24"/>
              </w:rPr>
              <w:t>Obecná pravidla k postupům účtování o zásobách</w:t>
            </w:r>
          </w:p>
        </w:tc>
      </w:tr>
      <w:tr w:rsidR="00073322" w:rsidRPr="00E24889" w:rsidTr="00073322">
        <w:tc>
          <w:tcPr>
            <w:tcW w:w="1188" w:type="dxa"/>
          </w:tcPr>
          <w:p w:rsidR="00073322" w:rsidRPr="00382960" w:rsidRDefault="00073322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382960">
              <w:rPr>
                <w:rFonts w:ascii="Times New Roman" w:hAnsi="Times New Roman"/>
                <w:sz w:val="24"/>
                <w:szCs w:val="24"/>
              </w:rPr>
              <w:t>Bod 4.</w:t>
            </w:r>
          </w:p>
        </w:tc>
        <w:tc>
          <w:tcPr>
            <w:tcW w:w="7200" w:type="dxa"/>
          </w:tcPr>
          <w:p w:rsidR="00073322" w:rsidRPr="00382960" w:rsidRDefault="00073322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382960">
              <w:rPr>
                <w:rFonts w:ascii="Times New Roman" w:hAnsi="Times New Roman"/>
                <w:sz w:val="24"/>
                <w:szCs w:val="24"/>
              </w:rPr>
              <w:t>Oceňování</w:t>
            </w:r>
          </w:p>
        </w:tc>
      </w:tr>
      <w:tr w:rsidR="00073322" w:rsidRPr="00307D87" w:rsidTr="00073322">
        <w:tc>
          <w:tcPr>
            <w:tcW w:w="1188" w:type="dxa"/>
          </w:tcPr>
          <w:p w:rsidR="00073322" w:rsidRPr="00382960" w:rsidRDefault="00307D87" w:rsidP="00073322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382960">
              <w:rPr>
                <w:rFonts w:ascii="Times New Roman" w:hAnsi="Times New Roman"/>
                <w:bCs/>
                <w:sz w:val="24"/>
                <w:szCs w:val="24"/>
              </w:rPr>
              <w:t>Bod 5.</w:t>
            </w:r>
          </w:p>
        </w:tc>
        <w:tc>
          <w:tcPr>
            <w:tcW w:w="7200" w:type="dxa"/>
          </w:tcPr>
          <w:p w:rsidR="00073322" w:rsidRPr="00382960" w:rsidRDefault="00307D87" w:rsidP="00073322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382960">
              <w:rPr>
                <w:rFonts w:ascii="Times New Roman" w:hAnsi="Times New Roman"/>
                <w:bCs/>
                <w:sz w:val="24"/>
                <w:szCs w:val="24"/>
              </w:rPr>
              <w:t>Postup účtování</w:t>
            </w:r>
          </w:p>
        </w:tc>
      </w:tr>
      <w:tr w:rsidR="00073322" w:rsidRPr="00E24889" w:rsidTr="00073322">
        <w:tc>
          <w:tcPr>
            <w:tcW w:w="1188" w:type="dxa"/>
          </w:tcPr>
          <w:p w:rsidR="00073322" w:rsidRPr="00E24889" w:rsidRDefault="008900AB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Bod 5.1.</w:t>
            </w:r>
          </w:p>
        </w:tc>
        <w:tc>
          <w:tcPr>
            <w:tcW w:w="7200" w:type="dxa"/>
          </w:tcPr>
          <w:p w:rsidR="00073322" w:rsidRPr="00E24889" w:rsidRDefault="008900AB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Způsob A</w:t>
            </w:r>
          </w:p>
        </w:tc>
      </w:tr>
      <w:tr w:rsidR="00073322" w:rsidRPr="00E24889" w:rsidTr="00073322">
        <w:tc>
          <w:tcPr>
            <w:tcW w:w="1188" w:type="dxa"/>
          </w:tcPr>
          <w:p w:rsidR="00073322" w:rsidRPr="00E24889" w:rsidRDefault="008900AB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Bod 5.2.</w:t>
            </w:r>
          </w:p>
        </w:tc>
        <w:tc>
          <w:tcPr>
            <w:tcW w:w="7200" w:type="dxa"/>
          </w:tcPr>
          <w:p w:rsidR="00073322" w:rsidRPr="00E24889" w:rsidRDefault="008900AB" w:rsidP="00073322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Způsob B</w:t>
            </w:r>
          </w:p>
        </w:tc>
      </w:tr>
    </w:tbl>
    <w:p w:rsidR="00073322" w:rsidRDefault="00073322">
      <w:pPr>
        <w:widowControl w:val="0"/>
        <w:autoSpaceDE w:val="0"/>
        <w:autoSpaceDN w:val="0"/>
        <w:adjustRightInd w:val="0"/>
        <w:jc w:val="both"/>
      </w:pPr>
    </w:p>
    <w:p w:rsidR="008E2AD7" w:rsidRPr="00E24889" w:rsidRDefault="008E2AD7">
      <w:pPr>
        <w:widowControl w:val="0"/>
        <w:autoSpaceDE w:val="0"/>
        <w:autoSpaceDN w:val="0"/>
        <w:adjustRightInd w:val="0"/>
        <w:jc w:val="both"/>
      </w:pPr>
    </w:p>
    <w:p w:rsidR="00502CC1" w:rsidRPr="00E24889" w:rsidRDefault="00502CC1" w:rsidP="00192A45">
      <w:pPr>
        <w:numPr>
          <w:ilvl w:val="0"/>
          <w:numId w:val="26"/>
        </w:numPr>
        <w:rPr>
          <w:b/>
        </w:rPr>
      </w:pPr>
      <w:r w:rsidRPr="00E24889">
        <w:rPr>
          <w:b/>
        </w:rPr>
        <w:t>Obecná pravidla k</w:t>
      </w:r>
      <w:r w:rsidR="00AA1B85">
        <w:rPr>
          <w:b/>
        </w:rPr>
        <w:t> </w:t>
      </w:r>
      <w:r w:rsidRPr="00E24889">
        <w:rPr>
          <w:b/>
        </w:rPr>
        <w:t>postupům účtování o zásobách</w:t>
      </w:r>
    </w:p>
    <w:p w:rsidR="00502CC1" w:rsidRPr="00E24889" w:rsidRDefault="00502C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92A45" w:rsidRDefault="00192A45" w:rsidP="00192A45">
      <w:pPr>
        <w:numPr>
          <w:ilvl w:val="1"/>
          <w:numId w:val="26"/>
        </w:numPr>
        <w:tabs>
          <w:tab w:val="clear" w:pos="792"/>
          <w:tab w:val="num" w:pos="567"/>
        </w:tabs>
        <w:ind w:left="0" w:firstLine="0"/>
        <w:jc w:val="both"/>
      </w:pPr>
      <w:r>
        <w:t xml:space="preserve">O </w:t>
      </w:r>
      <w:r w:rsidR="007C2D32" w:rsidRPr="00192A45">
        <w:t>zásobách</w:t>
      </w:r>
      <w:r w:rsidR="00DB3339" w:rsidRPr="00192A45">
        <w:t xml:space="preserve"> </w:t>
      </w:r>
      <w:r w:rsidR="00F7595F" w:rsidRPr="00192A45">
        <w:t xml:space="preserve">účtuje účetní jednotka </w:t>
      </w:r>
      <w:r w:rsidR="00DB4D7C" w:rsidRPr="00192A45">
        <w:t>průběžným způsobem (dále jen „způsob A“), nebo periodickým způsobem (dále jen „způsob B“)</w:t>
      </w:r>
      <w:r w:rsidR="00DB3339" w:rsidRPr="00192A45">
        <w:t>.</w:t>
      </w:r>
      <w:r w:rsidR="00626AE8" w:rsidRPr="00192A45">
        <w:t xml:space="preserve"> Při obou způsobech musí </w:t>
      </w:r>
      <w:r w:rsidR="000A6FE3" w:rsidRPr="00192A45">
        <w:t>úbytky zásob</w:t>
      </w:r>
      <w:r w:rsidR="00626AE8" w:rsidRPr="00192A45">
        <w:t xml:space="preserve"> vykázan</w:t>
      </w:r>
      <w:r w:rsidR="000A6FE3" w:rsidRPr="00192A45">
        <w:t>é</w:t>
      </w:r>
      <w:r w:rsidR="00626AE8" w:rsidRPr="00192A45">
        <w:t xml:space="preserve"> v účetní závěrce odpovídat skutečné</w:t>
      </w:r>
      <w:r w:rsidR="000A6FE3" w:rsidRPr="00192A45">
        <w:t>mu úbytku zásob</w:t>
      </w:r>
      <w:r w:rsidR="00626AE8" w:rsidRPr="00192A45">
        <w:t>.</w:t>
      </w:r>
    </w:p>
    <w:p w:rsidR="00192A45" w:rsidRDefault="00192A45" w:rsidP="00192A45">
      <w:pPr>
        <w:jc w:val="both"/>
      </w:pPr>
    </w:p>
    <w:p w:rsidR="00192A45" w:rsidRPr="005D04AE" w:rsidRDefault="004563DB" w:rsidP="00C10BD8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>
        <w:t>V</w:t>
      </w:r>
      <w:r w:rsidR="000B2632">
        <w:t xml:space="preserve"> případě</w:t>
      </w:r>
      <w:r w:rsidR="00EA2D96">
        <w:t xml:space="preserve"> účtování o zásobách způsobem A </w:t>
      </w:r>
      <w:r w:rsidR="000B2632">
        <w:t>používá</w:t>
      </w:r>
      <w:r w:rsidR="000B2632" w:rsidRPr="000B2632">
        <w:t xml:space="preserve"> </w:t>
      </w:r>
      <w:r>
        <w:t xml:space="preserve">účetní jednotka </w:t>
      </w:r>
      <w:r w:rsidR="000B2632">
        <w:t>ú</w:t>
      </w:r>
      <w:r w:rsidR="000B2632" w:rsidRPr="00AD4CB5">
        <w:t>čty 111 - Pořízení materiálu a 131 – Pořízení zboží</w:t>
      </w:r>
      <w:r>
        <w:t>.</w:t>
      </w:r>
      <w:r w:rsidR="000B2632">
        <w:t xml:space="preserve"> </w:t>
      </w:r>
      <w:r>
        <w:t xml:space="preserve">K rozvahovému dni se </w:t>
      </w:r>
      <w:r w:rsidR="000B2632">
        <w:t xml:space="preserve">vykazují tyto účty </w:t>
      </w:r>
      <w:r w:rsidR="00EA2D96">
        <w:t xml:space="preserve">s nulovým </w:t>
      </w:r>
      <w:r w:rsidR="00EA2D96" w:rsidRPr="005D04AE">
        <w:t>zůstatkem</w:t>
      </w:r>
      <w:r w:rsidR="00885375" w:rsidRPr="005D04AE">
        <w:t>; postup účtování</w:t>
      </w:r>
      <w:r w:rsidR="00B6623B" w:rsidRPr="005D04AE">
        <w:t xml:space="preserve"> k rozvahovému dni</w:t>
      </w:r>
      <w:r w:rsidR="00885375" w:rsidRPr="005D04AE">
        <w:t xml:space="preserve"> stanoví bod</w:t>
      </w:r>
      <w:r w:rsidR="00B6623B" w:rsidRPr="005D04AE">
        <w:t xml:space="preserve"> 5.1.</w:t>
      </w:r>
      <w:r w:rsidR="00C844C1" w:rsidRPr="006E2341">
        <w:t>18</w:t>
      </w:r>
      <w:r w:rsidR="004A473E" w:rsidRPr="00092EE2">
        <w:t>.</w:t>
      </w:r>
    </w:p>
    <w:p w:rsidR="00192A45" w:rsidRDefault="00192A45" w:rsidP="00192A45">
      <w:pPr>
        <w:pStyle w:val="Odstavecseseznamem"/>
      </w:pPr>
    </w:p>
    <w:p w:rsidR="00192A45" w:rsidRDefault="00C10BD8" w:rsidP="00112DB4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AD4CB5">
        <w:t xml:space="preserve">Při </w:t>
      </w:r>
      <w:r w:rsidR="00EA2D96">
        <w:t xml:space="preserve">účtování o zásobách </w:t>
      </w:r>
      <w:r w:rsidR="00EA2D96" w:rsidRPr="00AD4CB5">
        <w:t>způsob</w:t>
      </w:r>
      <w:r w:rsidR="00EA2D96">
        <w:t>em</w:t>
      </w:r>
      <w:r w:rsidR="00EA2D96" w:rsidRPr="00AD4CB5">
        <w:t xml:space="preserve"> </w:t>
      </w:r>
      <w:r w:rsidRPr="00AD4CB5">
        <w:t xml:space="preserve">B </w:t>
      </w:r>
      <w:r w:rsidR="00F7595F" w:rsidRPr="00AA1B85">
        <w:t xml:space="preserve">účtuje účetní jednotka </w:t>
      </w:r>
      <w:r w:rsidRPr="00AD4CB5">
        <w:t>na účty zásob k </w:t>
      </w:r>
      <w:r w:rsidR="006E0F2F">
        <w:t>rozvahovému dni</w:t>
      </w:r>
      <w:r w:rsidR="00697BD6">
        <w:t>;</w:t>
      </w:r>
      <w:r w:rsidRPr="00AD4CB5">
        <w:t xml:space="preserve"> </w:t>
      </w:r>
      <w:r w:rsidR="00697BD6">
        <w:t>ú</w:t>
      </w:r>
      <w:r w:rsidRPr="00AD4CB5">
        <w:t>četní jednotka může stanovit svým vnitřním předpisem účtování i k jinému okamžiku.</w:t>
      </w:r>
    </w:p>
    <w:p w:rsidR="00192A45" w:rsidRDefault="00192A45" w:rsidP="00192A45">
      <w:pPr>
        <w:pStyle w:val="Odstavecseseznamem"/>
      </w:pPr>
    </w:p>
    <w:p w:rsidR="00192A45" w:rsidRDefault="00192A45" w:rsidP="006D28AC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>
        <w:t>V</w:t>
      </w:r>
      <w:r w:rsidR="000B2632">
        <w:t xml:space="preserve"> případě, že účetní jednotka </w:t>
      </w:r>
      <w:r w:rsidR="00B6623B">
        <w:t xml:space="preserve">zajišťuje </w:t>
      </w:r>
      <w:r w:rsidR="00BB09B3">
        <w:t>náklady</w:t>
      </w:r>
      <w:r w:rsidR="00B6623B">
        <w:t xml:space="preserve">, </w:t>
      </w:r>
      <w:r w:rsidR="0066292D">
        <w:t>které souvisejí s pořízením zásob,</w:t>
      </w:r>
      <w:r w:rsidR="000B2632">
        <w:t xml:space="preserve"> </w:t>
      </w:r>
      <w:r w:rsidR="00973190">
        <w:t>r</w:t>
      </w:r>
      <w:r w:rsidR="00973190" w:rsidRPr="00E24889">
        <w:t>enovac</w:t>
      </w:r>
      <w:r w:rsidR="00973190">
        <w:t>í náhradních dílů nebo úpravou</w:t>
      </w:r>
      <w:r w:rsidR="00973190" w:rsidRPr="00E24889">
        <w:t xml:space="preserve"> zásob</w:t>
      </w:r>
      <w:r w:rsidR="00B4149D">
        <w:t>,</w:t>
      </w:r>
      <w:r w:rsidR="00973190" w:rsidRPr="00E24889">
        <w:t xml:space="preserve"> </w:t>
      </w:r>
      <w:r w:rsidR="00B6623B">
        <w:t xml:space="preserve">ve vlastní režii </w:t>
      </w:r>
      <w:r w:rsidR="000B2632">
        <w:t>(v</w:t>
      </w:r>
      <w:r w:rsidR="00112DB4" w:rsidRPr="00E24889">
        <w:t>nitroorganizační služby</w:t>
      </w:r>
      <w:r w:rsidR="000B2632">
        <w:t>)</w:t>
      </w:r>
      <w:r w:rsidR="00112DB4" w:rsidRPr="00E24889">
        <w:t xml:space="preserve">, </w:t>
      </w:r>
      <w:r w:rsidR="000B2632">
        <w:t>účtuje o jejich aktivaci</w:t>
      </w:r>
      <w:r w:rsidR="00112DB4">
        <w:t>.</w:t>
      </w:r>
    </w:p>
    <w:p w:rsidR="00192A45" w:rsidRDefault="00192A45" w:rsidP="00192A45">
      <w:pPr>
        <w:pStyle w:val="Odstavecseseznamem"/>
      </w:pPr>
    </w:p>
    <w:p w:rsidR="00192A45" w:rsidRDefault="00626AE8" w:rsidP="00112DB4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C10BD8">
        <w:t xml:space="preserve">O </w:t>
      </w:r>
      <w:r w:rsidR="000B2632">
        <w:t xml:space="preserve">zjištěném </w:t>
      </w:r>
      <w:r w:rsidRPr="00C10BD8">
        <w:t xml:space="preserve">manku do výše normy přirozených úbytků zásob </w:t>
      </w:r>
      <w:r w:rsidR="00697BD6" w:rsidRPr="00AA1B85">
        <w:t xml:space="preserve">účtuje účetní jednotka </w:t>
      </w:r>
      <w:r w:rsidRPr="00C10BD8">
        <w:t>jako o spotřebě těchto zásob.</w:t>
      </w:r>
    </w:p>
    <w:p w:rsidR="00192A45" w:rsidRDefault="00192A45" w:rsidP="00192A45">
      <w:pPr>
        <w:pStyle w:val="Odstavecseseznamem"/>
      </w:pPr>
    </w:p>
    <w:p w:rsidR="00626AE8" w:rsidRPr="00DF5ECA" w:rsidRDefault="00CB7C15" w:rsidP="00112DB4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>
        <w:t xml:space="preserve">Účetní jednotka zajišťuje naplnění ustanovení § </w:t>
      </w:r>
      <w:r w:rsidR="006E0F2F">
        <w:t>8</w:t>
      </w:r>
      <w:r>
        <w:t xml:space="preserve"> odst. </w:t>
      </w:r>
      <w:r w:rsidR="006E0F2F">
        <w:t>4</w:t>
      </w:r>
      <w:r>
        <w:t xml:space="preserve"> zákona zejména vnitřním předpisem upravujícím především</w:t>
      </w:r>
    </w:p>
    <w:p w:rsidR="00626AE8" w:rsidRPr="00DF5ECA" w:rsidRDefault="00626AE8" w:rsidP="00626AE8">
      <w:pPr>
        <w:widowControl w:val="0"/>
        <w:autoSpaceDE w:val="0"/>
        <w:autoSpaceDN w:val="0"/>
        <w:adjustRightInd w:val="0"/>
        <w:jc w:val="both"/>
      </w:pPr>
    </w:p>
    <w:p w:rsidR="004A334C" w:rsidRPr="00D45C8D" w:rsidRDefault="00626AE8" w:rsidP="000B41DC">
      <w:pPr>
        <w:numPr>
          <w:ilvl w:val="0"/>
          <w:numId w:val="32"/>
        </w:numPr>
        <w:ind w:left="284" w:hanging="283"/>
        <w:jc w:val="both"/>
      </w:pPr>
      <w:r w:rsidRPr="00D45C8D">
        <w:t>normu přirozených úbytků zásob</w:t>
      </w:r>
      <w:r w:rsidR="00754752" w:rsidRPr="00D45C8D">
        <w:t>,</w:t>
      </w:r>
    </w:p>
    <w:p w:rsidR="000B41DC" w:rsidRDefault="00DF5ECA" w:rsidP="000B41DC">
      <w:pPr>
        <w:numPr>
          <w:ilvl w:val="0"/>
          <w:numId w:val="32"/>
        </w:numPr>
        <w:ind w:left="284" w:hanging="283"/>
        <w:jc w:val="both"/>
      </w:pPr>
      <w:r w:rsidRPr="00DF5ECA">
        <w:lastRenderedPageBreak/>
        <w:t>druhy materiálu účtovaných přímo do spotřeby bez zaúčtování na sklad materiálu,</w:t>
      </w:r>
    </w:p>
    <w:p w:rsidR="005B3B79" w:rsidRPr="005B3B79" w:rsidRDefault="00DD12DF" w:rsidP="000B41DC">
      <w:pPr>
        <w:numPr>
          <w:ilvl w:val="0"/>
          <w:numId w:val="32"/>
        </w:numPr>
        <w:ind w:left="284" w:hanging="283"/>
        <w:jc w:val="both"/>
      </w:pPr>
      <w:r>
        <w:t xml:space="preserve">pravidla pro členění syntetických účtů zásob na analytické účty </w:t>
      </w:r>
      <w:r w:rsidR="005B3B79">
        <w:t xml:space="preserve">v oblasti oceňování pro vnitroorganizační potřeby včetně cen stanovených pro tyto účely a pro </w:t>
      </w:r>
      <w:r w:rsidR="005B3B79" w:rsidRPr="005B3B79">
        <w:t>sledování cenových odchylek</w:t>
      </w:r>
      <w:r w:rsidR="00B6623B">
        <w:t xml:space="preserve"> a způsob jejich zúčtování.</w:t>
      </w:r>
    </w:p>
    <w:p w:rsidR="00035039" w:rsidRDefault="00035039" w:rsidP="00035039">
      <w:pPr>
        <w:widowControl w:val="0"/>
        <w:autoSpaceDE w:val="0"/>
        <w:autoSpaceDN w:val="0"/>
        <w:adjustRightInd w:val="0"/>
        <w:jc w:val="both"/>
      </w:pPr>
    </w:p>
    <w:p w:rsidR="00D45C8D" w:rsidRDefault="00973190" w:rsidP="00D25817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>
        <w:t>Pokud účetní jednotka vede</w:t>
      </w:r>
      <w:r w:rsidR="00626AE8" w:rsidRPr="00E24889">
        <w:t xml:space="preserve"> </w:t>
      </w:r>
      <w:r w:rsidRPr="00E24889">
        <w:t>analytick</w:t>
      </w:r>
      <w:r>
        <w:t>é</w:t>
      </w:r>
      <w:r w:rsidRPr="00E24889">
        <w:t xml:space="preserve"> účt</w:t>
      </w:r>
      <w:r>
        <w:t>y k syntetickým účtům zásob</w:t>
      </w:r>
      <w:r w:rsidR="00626AE8">
        <w:t>,</w:t>
      </w:r>
      <w:r w:rsidR="00626AE8" w:rsidRPr="00E24889">
        <w:t xml:space="preserve"> </w:t>
      </w:r>
      <w:r w:rsidR="00626AE8">
        <w:t xml:space="preserve">například </w:t>
      </w:r>
      <w:r w:rsidR="00626AE8" w:rsidRPr="00E24889">
        <w:t xml:space="preserve">podle míst uskladnění </w:t>
      </w:r>
      <w:r w:rsidR="00626AE8">
        <w:t xml:space="preserve">nebo </w:t>
      </w:r>
      <w:r w:rsidR="00626AE8" w:rsidRPr="00E24889">
        <w:t>odpovědných osob</w:t>
      </w:r>
      <w:r w:rsidR="00626AE8">
        <w:t>,</w:t>
      </w:r>
      <w:r w:rsidR="00626AE8" w:rsidRPr="00E24889">
        <w:t xml:space="preserve"> </w:t>
      </w:r>
      <w:r>
        <w:t xml:space="preserve">uplatňuje pro příslušný </w:t>
      </w:r>
      <w:r w:rsidR="00F868D5">
        <w:t xml:space="preserve">analytický </w:t>
      </w:r>
      <w:r>
        <w:t xml:space="preserve">účet zásob </w:t>
      </w:r>
      <w:r w:rsidR="00626AE8">
        <w:t xml:space="preserve">pouze jeden ze </w:t>
      </w:r>
      <w:r w:rsidR="00626AE8" w:rsidRPr="00E24889">
        <w:t>způsobů</w:t>
      </w:r>
      <w:r w:rsidR="00626AE8">
        <w:t xml:space="preserve"> účtování o zásobách</w:t>
      </w:r>
      <w:r>
        <w:t xml:space="preserve"> uvedených v bodu 3.1</w:t>
      </w:r>
      <w:r w:rsidR="00626AE8" w:rsidRPr="00E24889">
        <w:t>.</w:t>
      </w:r>
    </w:p>
    <w:p w:rsidR="00D45C8D" w:rsidRDefault="00D45C8D" w:rsidP="00D45C8D">
      <w:pPr>
        <w:widowControl w:val="0"/>
        <w:autoSpaceDE w:val="0"/>
        <w:autoSpaceDN w:val="0"/>
        <w:adjustRightInd w:val="0"/>
        <w:jc w:val="both"/>
      </w:pPr>
    </w:p>
    <w:p w:rsidR="00D25817" w:rsidRPr="00E24889" w:rsidRDefault="00D25817" w:rsidP="006B2258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D25817">
        <w:t xml:space="preserve">V případě účtování o </w:t>
      </w:r>
      <w:r>
        <w:t>opravných položkách k zásobám</w:t>
      </w:r>
      <w:r w:rsidRPr="00D25817">
        <w:t xml:space="preserve"> </w:t>
      </w:r>
      <w:r w:rsidRPr="00C63779">
        <w:t>postupuje účetní jednotka podle příslušných ustano</w:t>
      </w:r>
      <w:r w:rsidR="00E91A09">
        <w:t>vení Českého účetního standardu</w:t>
      </w:r>
      <w:r w:rsidRPr="00D25817">
        <w:t xml:space="preserve"> </w:t>
      </w:r>
      <w:r w:rsidR="000D0807">
        <w:t xml:space="preserve">č. 706 - </w:t>
      </w:r>
      <w:r>
        <w:t xml:space="preserve">Opravné položky a </w:t>
      </w:r>
      <w:r w:rsidR="00F20280">
        <w:t>vyřazení</w:t>
      </w:r>
      <w:r>
        <w:t xml:space="preserve"> pohledávek</w:t>
      </w:r>
      <w:r w:rsidRPr="00D25817">
        <w:t>.</w:t>
      </w:r>
    </w:p>
    <w:p w:rsidR="00502CC1" w:rsidRDefault="00502CC1">
      <w:pPr>
        <w:widowControl w:val="0"/>
        <w:autoSpaceDE w:val="0"/>
        <w:autoSpaceDN w:val="0"/>
        <w:adjustRightInd w:val="0"/>
        <w:jc w:val="both"/>
      </w:pPr>
    </w:p>
    <w:p w:rsidR="008E2AD7" w:rsidRPr="00E24889" w:rsidRDefault="008E2AD7">
      <w:pPr>
        <w:widowControl w:val="0"/>
        <w:autoSpaceDE w:val="0"/>
        <w:autoSpaceDN w:val="0"/>
        <w:adjustRightInd w:val="0"/>
        <w:jc w:val="both"/>
      </w:pPr>
    </w:p>
    <w:p w:rsidR="00502CC1" w:rsidRPr="00E24889" w:rsidRDefault="000A0AAC" w:rsidP="00D45C8D">
      <w:pPr>
        <w:numPr>
          <w:ilvl w:val="0"/>
          <w:numId w:val="26"/>
        </w:numPr>
        <w:rPr>
          <w:b/>
        </w:rPr>
      </w:pPr>
      <w:r>
        <w:rPr>
          <w:b/>
        </w:rPr>
        <w:t>Oceňování</w:t>
      </w:r>
    </w:p>
    <w:p w:rsidR="00502CC1" w:rsidRPr="00E24889" w:rsidRDefault="00502CC1" w:rsidP="00073322">
      <w:pPr>
        <w:widowControl w:val="0"/>
        <w:autoSpaceDE w:val="0"/>
        <w:autoSpaceDN w:val="0"/>
        <w:adjustRightInd w:val="0"/>
        <w:rPr>
          <w:b/>
          <w:bCs/>
        </w:rPr>
      </w:pPr>
    </w:p>
    <w:p w:rsidR="00502CC1" w:rsidRDefault="00502CC1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601FF9">
        <w:t>Zásoby se oceňují podle zákona, a to</w:t>
      </w:r>
    </w:p>
    <w:p w:rsidR="00D45C8D" w:rsidRPr="00601FF9" w:rsidRDefault="00D45C8D" w:rsidP="00D45C8D">
      <w:pPr>
        <w:widowControl w:val="0"/>
        <w:autoSpaceDE w:val="0"/>
        <w:autoSpaceDN w:val="0"/>
        <w:adjustRightInd w:val="0"/>
        <w:ind w:left="360"/>
        <w:jc w:val="both"/>
      </w:pPr>
    </w:p>
    <w:p w:rsidR="006B2258" w:rsidRDefault="00502CC1" w:rsidP="000B41DC">
      <w:pPr>
        <w:numPr>
          <w:ilvl w:val="0"/>
          <w:numId w:val="34"/>
        </w:numPr>
        <w:ind w:left="284" w:hanging="294"/>
        <w:jc w:val="both"/>
      </w:pPr>
      <w:r w:rsidRPr="00E24889">
        <w:t>zásoby</w:t>
      </w:r>
      <w:r w:rsidR="004A7C8A">
        <w:t xml:space="preserve"> nakoupené pořizovacími cenami,</w:t>
      </w:r>
    </w:p>
    <w:p w:rsidR="006B2258" w:rsidRDefault="00502CC1" w:rsidP="000B41DC">
      <w:pPr>
        <w:numPr>
          <w:ilvl w:val="0"/>
          <w:numId w:val="34"/>
        </w:numPr>
        <w:ind w:left="284" w:hanging="294"/>
        <w:jc w:val="both"/>
      </w:pPr>
      <w:r w:rsidRPr="00E24889">
        <w:t xml:space="preserve">zásoby vytvořené vlastní činností včetně </w:t>
      </w:r>
      <w:r w:rsidR="00C9456D">
        <w:t>příchovků</w:t>
      </w:r>
      <w:r w:rsidR="00C9456D" w:rsidRPr="00E24889">
        <w:t xml:space="preserve"> </w:t>
      </w:r>
      <w:r w:rsidRPr="00E24889">
        <w:t>zvířat vlastními náklady</w:t>
      </w:r>
      <w:r w:rsidR="00E24889">
        <w:t>,</w:t>
      </w:r>
    </w:p>
    <w:p w:rsidR="00DE0A3F" w:rsidRDefault="00EF6B76" w:rsidP="000B41DC">
      <w:pPr>
        <w:numPr>
          <w:ilvl w:val="0"/>
          <w:numId w:val="34"/>
        </w:numPr>
        <w:ind w:left="284" w:hanging="294"/>
        <w:jc w:val="both"/>
      </w:pPr>
      <w:r>
        <w:t>zásoby v případech bezúplatného nabytí, reprodukční pořizovací cenou</w:t>
      </w:r>
      <w:r w:rsidR="00BB09B3">
        <w:t xml:space="preserve">; </w:t>
      </w:r>
      <w:r w:rsidR="006E2341">
        <w:t xml:space="preserve">v případech </w:t>
      </w:r>
      <w:r w:rsidR="00CA2F24" w:rsidRPr="006E2341">
        <w:t xml:space="preserve">nabytí zásob </w:t>
      </w:r>
      <w:r w:rsidR="00511673" w:rsidRPr="006E2341">
        <w:t>v případech uvedených v</w:t>
      </w:r>
      <w:r w:rsidR="008A2BBE" w:rsidRPr="006E2341">
        <w:t xml:space="preserve"> § 25 odst. 6 zákona účetní jednotka navazuje na výši jejich ocenění v účetnictví účetní jednotky, která o tomto majetku naposledy účtovala</w:t>
      </w:r>
      <w:r w:rsidR="00DE0A3F" w:rsidRPr="006E2341">
        <w:t>.</w:t>
      </w:r>
      <w:r w:rsidR="00BB09B3">
        <w:t xml:space="preserve"> </w:t>
      </w:r>
    </w:p>
    <w:p w:rsidR="008420C2" w:rsidRDefault="008420C2" w:rsidP="008420C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36301B" w:rsidRPr="00601FF9" w:rsidRDefault="008420C2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601FF9">
        <w:t xml:space="preserve">Vlastními náklady u zásob vytvořených vlastní činností se rozumějí přímé náklady na ně vynaložené, popř. i část nepřímých nákladů, která se k této činnosti vztahuje. Náklady se rozumí buď skutečná výše nákladů, nebo výše podle operativních (plánových) kalkulací. Náklady podle operativních (plánových) kalkulací jsou náklady stanovené v konkrétních technických, technologických, ekonomických a organizačních podmínkách určených </w:t>
      </w:r>
      <w:r w:rsidR="0036301B" w:rsidRPr="00601FF9">
        <w:t>účetní jednotkou.</w:t>
      </w:r>
    </w:p>
    <w:p w:rsidR="00D552A8" w:rsidRPr="00AD4CB5" w:rsidRDefault="00D552A8" w:rsidP="0036301B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D552A8" w:rsidRDefault="002F375D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601FF9">
        <w:t>Úbytek</w:t>
      </w:r>
      <w:r w:rsidR="00D552A8" w:rsidRPr="00601FF9">
        <w:t xml:space="preserve"> zásob lze </w:t>
      </w:r>
      <w:r w:rsidR="003C3808" w:rsidRPr="00950DA1">
        <w:t xml:space="preserve">též </w:t>
      </w:r>
      <w:r w:rsidR="00D552A8" w:rsidRPr="00601FF9">
        <w:t>ocenit</w:t>
      </w:r>
    </w:p>
    <w:p w:rsidR="000428B2" w:rsidRDefault="000428B2" w:rsidP="00601FF9">
      <w:pPr>
        <w:widowControl w:val="0"/>
        <w:autoSpaceDE w:val="0"/>
        <w:autoSpaceDN w:val="0"/>
        <w:adjustRightInd w:val="0"/>
        <w:jc w:val="both"/>
      </w:pPr>
    </w:p>
    <w:p w:rsidR="006B2258" w:rsidRDefault="00D552A8" w:rsidP="000B41DC">
      <w:pPr>
        <w:numPr>
          <w:ilvl w:val="0"/>
          <w:numId w:val="33"/>
        </w:numPr>
        <w:ind w:left="284" w:hanging="294"/>
        <w:jc w:val="both"/>
      </w:pPr>
      <w:r w:rsidRPr="00601FF9">
        <w:t>cenou zjištěnou váženým aritmetickým průměrem z</w:t>
      </w:r>
      <w:r w:rsidR="000B5709" w:rsidRPr="00601FF9">
        <w:t> </w:t>
      </w:r>
      <w:r w:rsidR="008577D1" w:rsidRPr="00601FF9">
        <w:t>ocenění</w:t>
      </w:r>
      <w:r w:rsidR="000B5709" w:rsidRPr="00601FF9">
        <w:t xml:space="preserve"> při pořízení</w:t>
      </w:r>
      <w:r w:rsidRPr="00601FF9">
        <w:t>,</w:t>
      </w:r>
    </w:p>
    <w:p w:rsidR="006B2258" w:rsidRDefault="00D552A8" w:rsidP="000B41DC">
      <w:pPr>
        <w:numPr>
          <w:ilvl w:val="0"/>
          <w:numId w:val="33"/>
        </w:numPr>
        <w:ind w:left="284" w:hanging="294"/>
        <w:jc w:val="both"/>
      </w:pPr>
      <w:r w:rsidRPr="00601FF9">
        <w:t>způsobem, kdy první cena pro ocenění přírůstku zásob se použije jako první cena pro ocenění úbytku zásob</w:t>
      </w:r>
      <w:r w:rsidR="002F375D" w:rsidRPr="00601FF9">
        <w:t>,</w:t>
      </w:r>
      <w:r w:rsidR="009F0812" w:rsidRPr="00601FF9">
        <w:t xml:space="preserve"> nebo</w:t>
      </w:r>
    </w:p>
    <w:p w:rsidR="002F375D" w:rsidRPr="001845D4" w:rsidRDefault="0036301B" w:rsidP="000B41DC">
      <w:pPr>
        <w:numPr>
          <w:ilvl w:val="0"/>
          <w:numId w:val="33"/>
        </w:numPr>
        <w:ind w:left="284" w:hanging="294"/>
        <w:jc w:val="both"/>
      </w:pPr>
      <w:r w:rsidRPr="001845D4">
        <w:t xml:space="preserve">předem stanovenou cenou </w:t>
      </w:r>
      <w:r w:rsidR="000B5709" w:rsidRPr="001845D4">
        <w:t xml:space="preserve">účetní jednotkou </w:t>
      </w:r>
      <w:r w:rsidRPr="001845D4">
        <w:t>(</w:t>
      </w:r>
      <w:r w:rsidR="009F0812" w:rsidRPr="001845D4">
        <w:t>pevnou cenou</w:t>
      </w:r>
      <w:r w:rsidRPr="001845D4">
        <w:t>)</w:t>
      </w:r>
      <w:r w:rsidR="009F0812" w:rsidRPr="001845D4">
        <w:t>.</w:t>
      </w:r>
    </w:p>
    <w:p w:rsidR="00141116" w:rsidRPr="00AD4CB5" w:rsidRDefault="00141116" w:rsidP="00E24889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E24889" w:rsidRPr="00601FF9" w:rsidRDefault="00502CC1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601FF9">
        <w:t>Vážený aritmetický průměr</w:t>
      </w:r>
      <w:r w:rsidR="00E24889" w:rsidRPr="00601FF9">
        <w:t xml:space="preserve"> </w:t>
      </w:r>
      <w:r w:rsidR="00073322" w:rsidRPr="00601FF9">
        <w:t>podle bodu 4</w:t>
      </w:r>
      <w:r w:rsidR="006B36D0" w:rsidRPr="00601FF9">
        <w:t>.</w:t>
      </w:r>
      <w:r w:rsidR="00C9601A" w:rsidRPr="00601FF9">
        <w:t>3</w:t>
      </w:r>
      <w:r w:rsidR="00E24889" w:rsidRPr="00601FF9">
        <w:t xml:space="preserve">. </w:t>
      </w:r>
      <w:r w:rsidR="008577D1" w:rsidRPr="00601FF9">
        <w:t>písm</w:t>
      </w:r>
      <w:r w:rsidR="00E24889" w:rsidRPr="00601FF9">
        <w:t>. a)</w:t>
      </w:r>
      <w:r w:rsidRPr="00601FF9">
        <w:t xml:space="preserve"> </w:t>
      </w:r>
      <w:r w:rsidR="008577D1" w:rsidRPr="00601FF9">
        <w:t>účetní jednotka stanoví</w:t>
      </w:r>
      <w:r w:rsidR="00E24889" w:rsidRPr="00601FF9">
        <w:t xml:space="preserve"> nejméně jednou </w:t>
      </w:r>
      <w:r w:rsidR="008577D1" w:rsidRPr="00601FF9">
        <w:t>měsíčně</w:t>
      </w:r>
      <w:r w:rsidR="00E24889" w:rsidRPr="00601FF9">
        <w:t>.</w:t>
      </w:r>
    </w:p>
    <w:p w:rsidR="00E24889" w:rsidRPr="00601FF9" w:rsidRDefault="00E24889" w:rsidP="00601FF9">
      <w:pPr>
        <w:widowControl w:val="0"/>
        <w:autoSpaceDE w:val="0"/>
        <w:autoSpaceDN w:val="0"/>
        <w:adjustRightInd w:val="0"/>
        <w:jc w:val="both"/>
      </w:pPr>
    </w:p>
    <w:p w:rsidR="00950DA1" w:rsidRPr="006E2341" w:rsidRDefault="00502CC1" w:rsidP="00073322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</w:pPr>
      <w:r w:rsidRPr="000B41DC">
        <w:t xml:space="preserve">V </w:t>
      </w:r>
      <w:r w:rsidR="008577D1" w:rsidRPr="000B41DC">
        <w:t xml:space="preserve">případě </w:t>
      </w:r>
      <w:r w:rsidRPr="000B41DC">
        <w:t>jednoho analytického účtu zásob</w:t>
      </w:r>
      <w:r w:rsidR="008577D1" w:rsidRPr="000B41DC">
        <w:t xml:space="preserve"> nelze kombinovat použití ocenění </w:t>
      </w:r>
      <w:r w:rsidR="00073322" w:rsidRPr="000B41DC">
        <w:t>podle bodu 4</w:t>
      </w:r>
      <w:r w:rsidR="006B36D0" w:rsidRPr="000B41DC">
        <w:t>.</w:t>
      </w:r>
      <w:r w:rsidR="00C9601A" w:rsidRPr="000B41DC">
        <w:t>3</w:t>
      </w:r>
      <w:r w:rsidR="000B41DC" w:rsidRPr="000B41DC">
        <w:t>.</w:t>
      </w:r>
    </w:p>
    <w:p w:rsidR="00950DA1" w:rsidRDefault="00950DA1" w:rsidP="00073322">
      <w:pPr>
        <w:rPr>
          <w:b/>
        </w:rPr>
      </w:pPr>
    </w:p>
    <w:p w:rsidR="00073322" w:rsidRPr="00C844C1" w:rsidRDefault="00073322" w:rsidP="00D45C8D">
      <w:pPr>
        <w:numPr>
          <w:ilvl w:val="0"/>
          <w:numId w:val="26"/>
        </w:numPr>
        <w:rPr>
          <w:b/>
          <w:bCs/>
        </w:rPr>
      </w:pPr>
      <w:r w:rsidRPr="00C844C1">
        <w:rPr>
          <w:b/>
          <w:bCs/>
        </w:rPr>
        <w:t>Postup účtování</w:t>
      </w:r>
    </w:p>
    <w:p w:rsidR="00922A88" w:rsidRDefault="00922A88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02CC1" w:rsidRPr="00D45C8D" w:rsidRDefault="008577D1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D45C8D">
        <w:rPr>
          <w:b/>
        </w:rPr>
        <w:t>Ú</w:t>
      </w:r>
      <w:r w:rsidR="00112DB4" w:rsidRPr="00D45C8D">
        <w:rPr>
          <w:b/>
        </w:rPr>
        <w:t xml:space="preserve">čtování o </w:t>
      </w:r>
      <w:r w:rsidR="004451BD" w:rsidRPr="00D45C8D">
        <w:rPr>
          <w:b/>
        </w:rPr>
        <w:t>zásobách</w:t>
      </w:r>
      <w:r w:rsidR="00112DB4" w:rsidRPr="00D45C8D">
        <w:rPr>
          <w:b/>
        </w:rPr>
        <w:t xml:space="preserve"> způsobem A</w:t>
      </w:r>
    </w:p>
    <w:p w:rsidR="00112DB4" w:rsidRPr="00E24889" w:rsidRDefault="00112DB4">
      <w:pPr>
        <w:widowControl w:val="0"/>
        <w:autoSpaceDE w:val="0"/>
        <w:autoSpaceDN w:val="0"/>
        <w:adjustRightInd w:val="0"/>
        <w:jc w:val="both"/>
      </w:pPr>
    </w:p>
    <w:p w:rsidR="00112DB4" w:rsidRPr="00D45C8D" w:rsidRDefault="00502CC1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D45C8D">
        <w:lastRenderedPageBreak/>
        <w:t xml:space="preserve">V průběhu účetního období </w:t>
      </w:r>
      <w:r w:rsidR="00041933" w:rsidRPr="00D45C8D">
        <w:t xml:space="preserve">účtuje účetní jednotka </w:t>
      </w:r>
      <w:r w:rsidR="00112DB4" w:rsidRPr="00D45C8D">
        <w:t xml:space="preserve">o </w:t>
      </w:r>
      <w:r w:rsidR="00041933" w:rsidRPr="00D45C8D">
        <w:t xml:space="preserve">pořízení </w:t>
      </w:r>
      <w:r w:rsidRPr="00D45C8D">
        <w:t>zásob na</w:t>
      </w:r>
      <w:r w:rsidR="00D45C8D">
        <w:t xml:space="preserve"> stranu MÁ </w:t>
      </w:r>
      <w:r w:rsidR="00112DB4" w:rsidRPr="00D45C8D">
        <w:t>DÁTI</w:t>
      </w:r>
      <w:r w:rsidRPr="00D45C8D">
        <w:t xml:space="preserve"> účtu 111 - Pořízení materiálu nebo 131 - Pořízení zboží se souvztažným zápisem na</w:t>
      </w:r>
      <w:r w:rsidR="00112DB4" w:rsidRPr="00D45C8D">
        <w:t xml:space="preserve"> stranu DAL</w:t>
      </w:r>
      <w:r w:rsidRPr="00D45C8D">
        <w:t xml:space="preserve"> příslušných</w:t>
      </w:r>
      <w:r w:rsidR="00112DB4" w:rsidRPr="00D45C8D">
        <w:t xml:space="preserve"> syntetických účtů</w:t>
      </w:r>
      <w:r w:rsidRPr="00D45C8D">
        <w:t xml:space="preserve"> </w:t>
      </w:r>
      <w:r w:rsidR="00112DB4" w:rsidRPr="00D45C8D">
        <w:t xml:space="preserve">účtové třídy </w:t>
      </w:r>
      <w:r w:rsidR="00D7449A" w:rsidRPr="00D45C8D">
        <w:t>3</w:t>
      </w:r>
      <w:r w:rsidR="003057C9" w:rsidRPr="00D45C8D">
        <w:t xml:space="preserve">, </w:t>
      </w:r>
      <w:r w:rsidR="00D7449A" w:rsidRPr="00D45C8D">
        <w:t>4</w:t>
      </w:r>
      <w:r w:rsidR="003057C9" w:rsidRPr="00D45C8D">
        <w:t xml:space="preserve"> nebo účtu 261 </w:t>
      </w:r>
      <w:r w:rsidR="004A473E" w:rsidRPr="00D45C8D">
        <w:t>–</w:t>
      </w:r>
      <w:r w:rsidR="003057C9" w:rsidRPr="00D45C8D">
        <w:t xml:space="preserve"> Pokladna</w:t>
      </w:r>
      <w:r w:rsidR="004A473E" w:rsidRPr="00D45C8D">
        <w:t xml:space="preserve">. </w:t>
      </w:r>
    </w:p>
    <w:p w:rsidR="00D77894" w:rsidRDefault="00D77894" w:rsidP="00D77894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  <w:highlight w:val="yellow"/>
        </w:rPr>
      </w:pPr>
    </w:p>
    <w:p w:rsidR="00253896" w:rsidRPr="00950DA1" w:rsidRDefault="00EA7CC9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>O zásobách nabytých z titulu bezúplatné změny příslušnosti k hospodaření s majetkem státu nebo svěření majetku do správy podle zákona upravujícího rozpočtová pravidla územních samosprávných celků</w:t>
      </w:r>
      <w:r w:rsidRPr="004546A3">
        <w:t xml:space="preserve"> nebo</w:t>
      </w:r>
      <w:r w:rsidRPr="00950DA1">
        <w:t xml:space="preserve"> bezúplatného převodu nebo přechodu majetku, účtuje účetní jednotka na stranu MÁ DÁTI příslušného syntetického účtu účtové skupiny 11 až 13 se souvztažným zápisem na stranu DAL účtu 649 – Ostatní výnosy z činnosti, případně ve významných případech účtu 384 – Výnosy příštích období, pokud nejsou tyto zásoby spotřebovány nebo nedochází k jejich jinému úbytku v účetním období, ve kterém byly nabyty.</w:t>
      </w:r>
    </w:p>
    <w:p w:rsidR="00EA7CC9" w:rsidRPr="00112DB4" w:rsidRDefault="00EA7CC9" w:rsidP="00D77894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  <w:highlight w:val="yellow"/>
        </w:rPr>
      </w:pPr>
    </w:p>
    <w:p w:rsidR="00DC54C5" w:rsidRPr="00950DA1" w:rsidRDefault="00DC54C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>O p</w:t>
      </w:r>
      <w:r w:rsidR="00112DB4" w:rsidRPr="00950DA1">
        <w:t xml:space="preserve">řevzetí materiálu na sklad </w:t>
      </w:r>
      <w:r w:rsidRPr="00950DA1">
        <w:t>účtuje účetní jednotka na stranu MÁ DÁTI</w:t>
      </w:r>
      <w:r w:rsidR="00112DB4" w:rsidRPr="00950DA1">
        <w:t xml:space="preserve"> účtu 112 </w:t>
      </w:r>
      <w:r w:rsidRPr="00950DA1">
        <w:t>–</w:t>
      </w:r>
      <w:r w:rsidR="00112DB4" w:rsidRPr="00950DA1">
        <w:t xml:space="preserve"> Materiál</w:t>
      </w:r>
      <w:r w:rsidRPr="00950DA1">
        <w:t xml:space="preserve"> na skladě</w:t>
      </w:r>
      <w:r w:rsidR="00112DB4" w:rsidRPr="00950DA1">
        <w:t xml:space="preserve"> </w:t>
      </w:r>
      <w:r w:rsidRPr="00950DA1">
        <w:t>se souvztažným zápisem na stranu DAL účtu 111 - Pořízení materiálu.</w:t>
      </w:r>
      <w:r w:rsidR="00913CA0" w:rsidRPr="00950DA1">
        <w:t xml:space="preserve"> </w:t>
      </w:r>
    </w:p>
    <w:p w:rsidR="00DC54C5" w:rsidRPr="00950DA1" w:rsidRDefault="00DC54C5" w:rsidP="00DC54C5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DC54C5" w:rsidRPr="00950DA1" w:rsidRDefault="00DC54C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 xml:space="preserve">O převzetí zboží </w:t>
      </w:r>
      <w:r w:rsidR="00112DB4" w:rsidRPr="00950DA1">
        <w:t>na sklad</w:t>
      </w:r>
      <w:r w:rsidRPr="00950DA1">
        <w:t xml:space="preserve"> účtuje účetní jednotka na stranu MÁ DÁTI účtu</w:t>
      </w:r>
      <w:r w:rsidR="00112DB4" w:rsidRPr="00950DA1">
        <w:t xml:space="preserve"> 132 - Zboží na skladě </w:t>
      </w:r>
      <w:r w:rsidRPr="00950DA1">
        <w:t xml:space="preserve">se souvztažným zápisem na stranu DAL účtu </w:t>
      </w:r>
      <w:r w:rsidR="003313CF" w:rsidRPr="00950DA1">
        <w:t xml:space="preserve">131 – </w:t>
      </w:r>
      <w:r w:rsidRPr="00950DA1">
        <w:t>Pořízení zboží.</w:t>
      </w:r>
      <w:r w:rsidR="00913CA0" w:rsidRPr="00950DA1">
        <w:t xml:space="preserve"> </w:t>
      </w:r>
    </w:p>
    <w:p w:rsidR="006E71AB" w:rsidRPr="00950DA1" w:rsidRDefault="006E71AB" w:rsidP="00601FF9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C16493" w:rsidRPr="00950DA1" w:rsidRDefault="00DC54C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>O s</w:t>
      </w:r>
      <w:r w:rsidR="00112DB4" w:rsidRPr="00950DA1">
        <w:t>potřeb</w:t>
      </w:r>
      <w:r w:rsidRPr="00950DA1">
        <w:t>ě</w:t>
      </w:r>
      <w:r w:rsidR="00112DB4" w:rsidRPr="00950DA1">
        <w:t xml:space="preserve"> materiálu účtuje</w:t>
      </w:r>
      <w:r w:rsidRPr="00950DA1">
        <w:t xml:space="preserve"> účetní jednotka na stranu MÁ DÁTI účtu 501 – Spotřeba materiálu se souvztažným zápisem na stranu DAL účtu 112 – Materiál na skladě.</w:t>
      </w:r>
    </w:p>
    <w:p w:rsidR="00DC54C5" w:rsidRPr="00950DA1" w:rsidRDefault="00DC54C5" w:rsidP="00601FF9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112DB4" w:rsidRPr="00950DA1" w:rsidRDefault="00DC54C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 xml:space="preserve">O </w:t>
      </w:r>
      <w:r w:rsidR="00810A05" w:rsidRPr="00950DA1">
        <w:t>úbytku</w:t>
      </w:r>
      <w:r w:rsidR="00112DB4" w:rsidRPr="00950DA1">
        <w:t xml:space="preserve"> materiálu</w:t>
      </w:r>
      <w:r w:rsidR="00810A05" w:rsidRPr="00950DA1">
        <w:t xml:space="preserve"> z důvodu jeho prodeje</w:t>
      </w:r>
      <w:r w:rsidR="00112DB4" w:rsidRPr="00950DA1">
        <w:t xml:space="preserve"> účtuje</w:t>
      </w:r>
      <w:r w:rsidRPr="00950DA1">
        <w:t xml:space="preserve"> účetní jednotka na stranu MÁ DÁTI </w:t>
      </w:r>
      <w:r w:rsidR="00A97DF6" w:rsidRPr="00950DA1">
        <w:t>účtu 54</w:t>
      </w:r>
      <w:r w:rsidR="00112DB4" w:rsidRPr="00950DA1">
        <w:t xml:space="preserve">4 </w:t>
      </w:r>
      <w:r w:rsidR="00810A05" w:rsidRPr="00950DA1">
        <w:t>–</w:t>
      </w:r>
      <w:r w:rsidR="00112DB4" w:rsidRPr="00950DA1">
        <w:t xml:space="preserve"> Prodaný materiál se souvztažným zápisem na </w:t>
      </w:r>
      <w:r w:rsidR="00D77894" w:rsidRPr="00950DA1">
        <w:t>stranu DAL účtu 112 – Materiál na skladě</w:t>
      </w:r>
      <w:r w:rsidR="00112DB4" w:rsidRPr="00950DA1">
        <w:t>.</w:t>
      </w:r>
    </w:p>
    <w:p w:rsidR="00A6493F" w:rsidRPr="00950DA1" w:rsidRDefault="00A6493F" w:rsidP="00A6493F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A6493F" w:rsidRPr="00950DA1" w:rsidRDefault="00A6493F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 xml:space="preserve">O úbytku zboží z důvodu jeho prodeje </w:t>
      </w:r>
      <w:r w:rsidR="008E3B18" w:rsidRPr="00950DA1">
        <w:t xml:space="preserve">účtuje účetní jednotka </w:t>
      </w:r>
      <w:r w:rsidRPr="00950DA1">
        <w:t>na stranu MÁ DÁTI účtu 504 – Prodané zboží se souvztažným zápisem na stranu DAL účtu 132 – Zboží na skladě.</w:t>
      </w:r>
    </w:p>
    <w:p w:rsidR="00140C16" w:rsidRPr="002F2774" w:rsidRDefault="00140C16">
      <w:pPr>
        <w:widowControl w:val="0"/>
        <w:autoSpaceDE w:val="0"/>
        <w:autoSpaceDN w:val="0"/>
        <w:adjustRightInd w:val="0"/>
        <w:jc w:val="both"/>
        <w:rPr>
          <w:highlight w:val="green"/>
        </w:rPr>
      </w:pPr>
    </w:p>
    <w:p w:rsidR="00B2603E" w:rsidRPr="00950DA1" w:rsidRDefault="00B2603E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>O zvýšení stavu zásob vlastní výroby účtuje účetní jednotka na stranu MÁ DÁTI příslušného syntetického účtu účtové skupiny 12 se souvztažným zápisem na stranu DAL účtu 508 – Změna stavu zásob vlastní výroby. O snížení stavu zásob vlastní výroby účtuje účetní jednotka na stranu MÁ DÁTI účtu 508 – Změna stavu zásob vlastní výroby se souvztažným zápisem na stranu DAL příslušného syntetického účtu účtové skupiny 12.</w:t>
      </w:r>
    </w:p>
    <w:p w:rsidR="00B2603E" w:rsidRPr="00950DA1" w:rsidRDefault="00B2603E" w:rsidP="00B2603E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16"/>
        </w:rPr>
      </w:pPr>
    </w:p>
    <w:p w:rsidR="00B2603E" w:rsidRPr="00950DA1" w:rsidRDefault="00B2603E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 xml:space="preserve">S výjimkou případů uvedených v bodě 5.1.8. účtuje účetní jednotka o vytvoření zásob vlastní činností, včetně příchovků zvířat podle § 20 odst. 3 </w:t>
      </w:r>
      <w:r w:rsidR="00C844C1">
        <w:t>písm. h) vyhlášky, na stranu MÁ </w:t>
      </w:r>
      <w:r w:rsidRPr="00950DA1">
        <w:t>DÁTI příslušného syntetického účtu zásob se souvztažným zápisem na stranu DAL účtu 507 – Aktivace oběžného majetku.</w:t>
      </w:r>
    </w:p>
    <w:p w:rsidR="00B4149D" w:rsidRPr="00DE76DB" w:rsidRDefault="00B4149D" w:rsidP="00B4149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16"/>
        </w:rPr>
      </w:pPr>
    </w:p>
    <w:p w:rsidR="00722467" w:rsidRPr="00421D0A" w:rsidRDefault="00722467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421D0A">
        <w:t xml:space="preserve">O použití zásob pro účely reprezentace </w:t>
      </w:r>
      <w:r w:rsidR="008E3B18" w:rsidRPr="00421D0A">
        <w:t xml:space="preserve">účtuje účetní jednotka </w:t>
      </w:r>
      <w:r w:rsidR="00AA7502" w:rsidRPr="00421D0A">
        <w:t>na stranu MÁ DÁTI účtu 513</w:t>
      </w:r>
      <w:r w:rsidRPr="00421D0A">
        <w:t xml:space="preserve"> – Náklady na reprezentaci se souvztažný</w:t>
      </w:r>
      <w:r w:rsidR="00B4414C" w:rsidRPr="00421D0A">
        <w:t xml:space="preserve">m zápisem na stranu DAL </w:t>
      </w:r>
      <w:r w:rsidR="00E91A09" w:rsidRPr="00421D0A">
        <w:t>příslušného syntetického účtu</w:t>
      </w:r>
      <w:r w:rsidR="00D01B44" w:rsidRPr="00421D0A">
        <w:t xml:space="preserve"> zásob.</w:t>
      </w:r>
    </w:p>
    <w:p w:rsidR="004271A2" w:rsidRDefault="004271A2" w:rsidP="004271A2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C844C1" w:rsidRDefault="004271A2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421D0A">
        <w:t xml:space="preserve">O manku nad normu přirozených úbytků vyplývajícího z inventarizace </w:t>
      </w:r>
      <w:r w:rsidR="00343D96" w:rsidRPr="00421D0A">
        <w:t xml:space="preserve">v případě zásob účtuje účetní jednotka </w:t>
      </w:r>
      <w:r w:rsidRPr="00421D0A">
        <w:t xml:space="preserve">na stranu MÁ DÁTI účtu 547 – Manka a škody se souvztažným zápisem na stranu DAL příslušného syntetického účtu zásob. O přebytcích zásob vyplývajících z inventarizace </w:t>
      </w:r>
      <w:r w:rsidR="00343D96" w:rsidRPr="00421D0A">
        <w:t xml:space="preserve">účtuje účetní jednotka </w:t>
      </w:r>
      <w:r w:rsidRPr="00421D0A">
        <w:t>na stranu MÁ DÁTI příslušného syntetického účtu zásob se souvztažným zápisem na stranu DAL účtu 649 – Ostatní výnosy z činnosti.</w:t>
      </w:r>
    </w:p>
    <w:p w:rsidR="00C844C1" w:rsidRDefault="00C844C1" w:rsidP="00421D0A">
      <w:pPr>
        <w:widowControl w:val="0"/>
        <w:autoSpaceDE w:val="0"/>
        <w:autoSpaceDN w:val="0"/>
        <w:adjustRightInd w:val="0"/>
        <w:jc w:val="both"/>
      </w:pPr>
    </w:p>
    <w:p w:rsidR="000E0310" w:rsidRPr="006E2341" w:rsidRDefault="006B21B7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6E2341">
        <w:t>O zásobách pozbyt</w:t>
      </w:r>
      <w:r w:rsidR="000E0310" w:rsidRPr="006E2341">
        <w:t xml:space="preserve">ých z titulu bezúplatné změny příslušnosti k hospodaření s majetkem státu nebo svěření majetku do správy podle zákona upravujícího rozpočtová pravidla územních samosprávných celků nebo bezúplatného převodu nebo přechodu majetku, </w:t>
      </w:r>
      <w:r w:rsidR="00CB7785" w:rsidRPr="006E2341">
        <w:t>a to ve prospěch jiné vybrané účetní jednotky</w:t>
      </w:r>
      <w:r w:rsidR="00F267CC" w:rsidRPr="006E2341">
        <w:t>,</w:t>
      </w:r>
      <w:r w:rsidR="00CB7785" w:rsidRPr="006E2341">
        <w:t xml:space="preserve"> </w:t>
      </w:r>
      <w:r w:rsidR="000E0310" w:rsidRPr="006E2341">
        <w:t xml:space="preserve">účtuje účetní jednotka na stranu MÁ DÁTI </w:t>
      </w:r>
      <w:r w:rsidR="00CB7785" w:rsidRPr="006E2341">
        <w:t>účtu 549 – Ostatní náklady z činnosti se souvztažným zápisem na stranu DAL příslušného syntetického účtu zásob.</w:t>
      </w:r>
    </w:p>
    <w:p w:rsidR="00CB7785" w:rsidRPr="006E2341" w:rsidRDefault="00CB7785" w:rsidP="00421D0A">
      <w:pPr>
        <w:widowControl w:val="0"/>
        <w:autoSpaceDE w:val="0"/>
        <w:autoSpaceDN w:val="0"/>
        <w:adjustRightInd w:val="0"/>
        <w:jc w:val="both"/>
      </w:pPr>
    </w:p>
    <w:p w:rsidR="000E0310" w:rsidRPr="006E2341" w:rsidRDefault="00CB778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6E2341">
        <w:t>O zásobách pozbytých z titulu bezúplatné změny příslušnosti k hospodaření s majetkem státu nebo svěření majetku do správy podle zákona upravujícího rozpočtová pravid</w:t>
      </w:r>
      <w:r w:rsidR="004546A3" w:rsidRPr="006E2341">
        <w:t>la územních samosprávných celků</w:t>
      </w:r>
      <w:r w:rsidRPr="006E2341">
        <w:t xml:space="preserve"> nebo bezúplatného převodu nebo přechodu majetku, a to ve prospěch subjektu, který není vybranou účetní jednotkou, účtuje účetní jednotka na stranu MÁ DÁTI účtu 543 – Dary se souvztažným zápisem na stranu DAL příslušného syntetického účtu zásob.</w:t>
      </w:r>
    </w:p>
    <w:p w:rsidR="000E0310" w:rsidRDefault="000E0310" w:rsidP="00421D0A">
      <w:pPr>
        <w:widowControl w:val="0"/>
        <w:autoSpaceDE w:val="0"/>
        <w:autoSpaceDN w:val="0"/>
        <w:adjustRightInd w:val="0"/>
        <w:jc w:val="both"/>
      </w:pPr>
    </w:p>
    <w:p w:rsidR="00A6493F" w:rsidRPr="00382960" w:rsidRDefault="007F1AC2" w:rsidP="007F1AC2">
      <w:pPr>
        <w:jc w:val="both"/>
      </w:pPr>
      <w:r w:rsidRPr="006E2341">
        <w:t>5.1.14.</w:t>
      </w:r>
      <w:r w:rsidR="00135580" w:rsidRPr="006E2341">
        <w:t xml:space="preserve"> </w:t>
      </w:r>
      <w:r w:rsidR="00A6493F" w:rsidRPr="006E2341">
        <w:t xml:space="preserve">O výnosu z prodeje materiálu </w:t>
      </w:r>
      <w:r w:rsidR="00343D96" w:rsidRPr="006E2341">
        <w:t xml:space="preserve">účtuje účetní jednotka </w:t>
      </w:r>
      <w:r w:rsidR="00A6493F" w:rsidRPr="006E2341">
        <w:t>na stranu MÁ</w:t>
      </w:r>
      <w:r w:rsidR="00343D96" w:rsidRPr="006E2341">
        <w:t> </w:t>
      </w:r>
      <w:r w:rsidR="00A6493F" w:rsidRPr="006E2341">
        <w:t>DÁTI příslušného syntetického pohledávkového účtu účtové třídy 3</w:t>
      </w:r>
      <w:r w:rsidR="007A1AF1">
        <w:rPr>
          <w:b/>
        </w:rPr>
        <w:t xml:space="preserve">, </w:t>
      </w:r>
      <w:r w:rsidR="007A1AF1" w:rsidRPr="00382960">
        <w:t>účtové skupiny 46</w:t>
      </w:r>
      <w:r w:rsidR="00A6493F" w:rsidRPr="00382960">
        <w:t xml:space="preserve"> nebo </w:t>
      </w:r>
      <w:r w:rsidR="002C1B10" w:rsidRPr="00382960">
        <w:t>účtu 261 - Pokladna</w:t>
      </w:r>
      <w:r w:rsidR="00A6493F" w:rsidRPr="00382960">
        <w:t>, a to se souvztažným zápisem na stranu DAL účtu 644 – Výnosy z prodeje materiálu.</w:t>
      </w:r>
    </w:p>
    <w:p w:rsidR="00050C0B" w:rsidRPr="00382960" w:rsidRDefault="00050C0B" w:rsidP="00050C0B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050C0B" w:rsidRPr="00382960" w:rsidRDefault="007F1AC2" w:rsidP="007F1AC2">
      <w:pPr>
        <w:jc w:val="both"/>
      </w:pPr>
      <w:r w:rsidRPr="00382960">
        <w:t>5.1.15.</w:t>
      </w:r>
      <w:r w:rsidR="00135580" w:rsidRPr="00382960">
        <w:t xml:space="preserve"> </w:t>
      </w:r>
      <w:r w:rsidR="00050C0B" w:rsidRPr="00382960">
        <w:t xml:space="preserve">O výnosu z prodeje polotovarů </w:t>
      </w:r>
      <w:r w:rsidR="00343D96" w:rsidRPr="00382960">
        <w:t xml:space="preserve">účtuje účetní jednotka </w:t>
      </w:r>
      <w:r w:rsidR="00050C0B" w:rsidRPr="00382960">
        <w:t>na stranu MÁ</w:t>
      </w:r>
      <w:r w:rsidR="00343D96" w:rsidRPr="00382960">
        <w:t> </w:t>
      </w:r>
      <w:r w:rsidR="00050C0B" w:rsidRPr="00382960">
        <w:t>DÁTI příslušného pohledávkového účtu účtové třídy 3</w:t>
      </w:r>
      <w:r w:rsidR="007A1AF1" w:rsidRPr="00382960">
        <w:t>, účtové skupiny 46</w:t>
      </w:r>
      <w:r w:rsidR="00050C0B" w:rsidRPr="00382960">
        <w:t xml:space="preserve"> nebo</w:t>
      </w:r>
      <w:r w:rsidR="00D01B44" w:rsidRPr="00382960">
        <w:t xml:space="preserve"> účtu 261 - Pokladna</w:t>
      </w:r>
      <w:r w:rsidR="00050C0B" w:rsidRPr="00382960">
        <w:t>, a to se souvztažným zápisem na stranu DAL účtu 609 – Jiné výnosy z vlastních výkonů.</w:t>
      </w:r>
    </w:p>
    <w:p w:rsidR="00A6493F" w:rsidRPr="00382960" w:rsidRDefault="00A6493F" w:rsidP="00A6493F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A6493F" w:rsidRPr="006E2341" w:rsidRDefault="007F1AC2" w:rsidP="007F1AC2">
      <w:pPr>
        <w:jc w:val="both"/>
      </w:pPr>
      <w:r w:rsidRPr="00382960">
        <w:t>5.1.16.</w:t>
      </w:r>
      <w:r w:rsidR="00135580" w:rsidRPr="00382960">
        <w:t xml:space="preserve"> </w:t>
      </w:r>
      <w:r w:rsidR="00A6493F" w:rsidRPr="00382960">
        <w:t xml:space="preserve">O výnosu z prodeje výrobků </w:t>
      </w:r>
      <w:r w:rsidR="00343D96" w:rsidRPr="00382960">
        <w:t xml:space="preserve">účtuje účetní jednotka </w:t>
      </w:r>
      <w:r w:rsidR="00A6493F" w:rsidRPr="00382960">
        <w:t>na stranu MÁ</w:t>
      </w:r>
      <w:r w:rsidR="00343D96" w:rsidRPr="00382960">
        <w:t> </w:t>
      </w:r>
      <w:r w:rsidR="00A6493F" w:rsidRPr="00382960">
        <w:t>DÁTI příslušného syntetického pohledávkového účtu účtové třídy 3</w:t>
      </w:r>
      <w:r w:rsidR="007A1AF1" w:rsidRPr="00382960">
        <w:t>, účtové skupiny 46</w:t>
      </w:r>
      <w:r w:rsidR="00A6493F" w:rsidRPr="00382960">
        <w:t xml:space="preserve"> nebo </w:t>
      </w:r>
      <w:r w:rsidR="00D01B44" w:rsidRPr="00382960">
        <w:t>účtu 261 - Pokladna</w:t>
      </w:r>
      <w:r w:rsidR="00A6493F" w:rsidRPr="00382960">
        <w:t>, a to se souvztažným zápisem na stranu DAL účtu 601 – Výnosy z</w:t>
      </w:r>
      <w:r w:rsidR="00A6493F" w:rsidRPr="006E2341">
        <w:t> prodeje vlastních výrobků.</w:t>
      </w:r>
    </w:p>
    <w:p w:rsidR="00A6493F" w:rsidRPr="006E2341" w:rsidRDefault="00A6493F" w:rsidP="00A6493F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A6493F" w:rsidRPr="00382960" w:rsidRDefault="007F1AC2" w:rsidP="007F1AC2">
      <w:pPr>
        <w:jc w:val="both"/>
      </w:pPr>
      <w:r w:rsidRPr="006E2341">
        <w:t>5.1.17.</w:t>
      </w:r>
      <w:r w:rsidR="00135580" w:rsidRPr="006E2341">
        <w:t xml:space="preserve"> </w:t>
      </w:r>
      <w:r w:rsidR="00DC743F" w:rsidRPr="006E2341">
        <w:t xml:space="preserve">O výnosu z prodeje zboží </w:t>
      </w:r>
      <w:r w:rsidR="00343D96" w:rsidRPr="006E2341">
        <w:t xml:space="preserve">účtuje účetní </w:t>
      </w:r>
      <w:r w:rsidR="00343D96" w:rsidRPr="00382960">
        <w:t xml:space="preserve">jednotka </w:t>
      </w:r>
      <w:r w:rsidR="00DC743F" w:rsidRPr="00382960">
        <w:t>na stranu MÁ DÁTI příslušného syntetického pohledávkového účtu účtové třídy 3</w:t>
      </w:r>
      <w:r w:rsidR="007A1AF1" w:rsidRPr="00382960">
        <w:t>, účtové skupiny 46</w:t>
      </w:r>
      <w:r w:rsidR="00DC743F" w:rsidRPr="00382960">
        <w:t xml:space="preserve"> nebo </w:t>
      </w:r>
      <w:r w:rsidR="002C1B10" w:rsidRPr="00382960">
        <w:t>účtu 261 - Pokladna</w:t>
      </w:r>
      <w:r w:rsidR="00DC743F" w:rsidRPr="00382960">
        <w:t>, a to se souvztažným zápisem na stranu DAL účtu 604 – Výnosy z prodaného zboží.</w:t>
      </w:r>
    </w:p>
    <w:p w:rsidR="00A6493F" w:rsidRPr="00382960" w:rsidRDefault="00A6493F">
      <w:pPr>
        <w:widowControl w:val="0"/>
        <w:autoSpaceDE w:val="0"/>
        <w:autoSpaceDN w:val="0"/>
        <w:adjustRightInd w:val="0"/>
        <w:jc w:val="both"/>
      </w:pPr>
    </w:p>
    <w:p w:rsidR="005F1810" w:rsidRPr="00421D0A" w:rsidRDefault="007F1AC2" w:rsidP="007F1AC2">
      <w:pPr>
        <w:jc w:val="both"/>
      </w:pPr>
      <w:r w:rsidRPr="00382960">
        <w:t>5.1.18.</w:t>
      </w:r>
      <w:r w:rsidR="00135580" w:rsidRPr="00382960">
        <w:t xml:space="preserve"> </w:t>
      </w:r>
      <w:r w:rsidR="00343D96" w:rsidRPr="00382960">
        <w:t>K</w:t>
      </w:r>
      <w:r w:rsidR="00913CA0" w:rsidRPr="00382960">
        <w:t> rozvahovému dni</w:t>
      </w:r>
      <w:r w:rsidR="003057C9" w:rsidRPr="00382960">
        <w:t xml:space="preserve"> v souvislosti s vyúčtováním zůstatku účtu 111 – Pořízení materiálu nebo 131 - Pořízení zboží </w:t>
      </w:r>
      <w:r w:rsidR="00343D96" w:rsidRPr="00382960">
        <w:t>účtuje účetní jednotka</w:t>
      </w:r>
      <w:r w:rsidR="00343D96" w:rsidRPr="006E2341">
        <w:t xml:space="preserve"> </w:t>
      </w:r>
      <w:r w:rsidR="005F1810" w:rsidRPr="006E2341">
        <w:t>o zásobách na cestě, které dosud nepřevzala, na</w:t>
      </w:r>
      <w:r w:rsidR="005F1810" w:rsidRPr="00421D0A">
        <w:t xml:space="preserve"> stranu MÁ DÁTI účtu 119 - Materiál na cestě nebo </w:t>
      </w:r>
      <w:r w:rsidR="00AF7761" w:rsidRPr="006E2341">
        <w:t>13</w:t>
      </w:r>
      <w:r w:rsidR="00FE78BF" w:rsidRPr="006E2341">
        <w:t>8</w:t>
      </w:r>
      <w:r w:rsidR="005F1810" w:rsidRPr="00421D0A">
        <w:t xml:space="preserve"> - Zboží na cestě, a to se souvztažným zápisem na stranu DAL</w:t>
      </w:r>
      <w:r w:rsidR="004A473E" w:rsidRPr="00421D0A">
        <w:t xml:space="preserve"> </w:t>
      </w:r>
      <w:r w:rsidR="003057C9" w:rsidRPr="00421D0A">
        <w:t>účtu 111 – Pořízení materiálu nebo 131 - Pořízení zboží</w:t>
      </w:r>
      <w:r w:rsidR="000B5709" w:rsidRPr="00421D0A">
        <w:t>.</w:t>
      </w:r>
      <w:r w:rsidR="003057C9" w:rsidRPr="00421D0A">
        <w:t xml:space="preserve"> </w:t>
      </w:r>
      <w:r w:rsidR="005F1810" w:rsidRPr="00421D0A">
        <w:t xml:space="preserve">O nevyfakturovaných dodávkách </w:t>
      </w:r>
      <w:r w:rsidR="00343D96" w:rsidRPr="00421D0A">
        <w:t xml:space="preserve">účtuje účetní jednotka </w:t>
      </w:r>
      <w:r w:rsidR="005F1810" w:rsidRPr="00421D0A">
        <w:t xml:space="preserve">na stranu MÁ DÁTI příslušného syntetického účtu </w:t>
      </w:r>
      <w:r w:rsidR="00B4149D" w:rsidRPr="00421D0A">
        <w:t xml:space="preserve">111 – Pořízení materiálu nebo 131 - Pořízení zboží </w:t>
      </w:r>
      <w:r w:rsidR="005F1810" w:rsidRPr="00421D0A">
        <w:t>se souvztažným zápisem na stranu DAL účtu 389 - Dohadné účty pasivní.</w:t>
      </w:r>
    </w:p>
    <w:p w:rsidR="005F1810" w:rsidRDefault="005F1810" w:rsidP="00421D0A">
      <w:pPr>
        <w:widowControl w:val="0"/>
        <w:autoSpaceDE w:val="0"/>
        <w:autoSpaceDN w:val="0"/>
        <w:adjustRightInd w:val="0"/>
        <w:jc w:val="both"/>
      </w:pPr>
    </w:p>
    <w:p w:rsidR="002247D9" w:rsidRPr="00D45C8D" w:rsidRDefault="008577D1" w:rsidP="00D45C8D">
      <w:pPr>
        <w:widowControl w:val="0"/>
        <w:numPr>
          <w:ilvl w:val="1"/>
          <w:numId w:val="26"/>
        </w:numPr>
        <w:tabs>
          <w:tab w:val="clear" w:pos="792"/>
          <w:tab w:val="num" w:pos="567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D45C8D">
        <w:rPr>
          <w:b/>
        </w:rPr>
        <w:t>Ú</w:t>
      </w:r>
      <w:r w:rsidR="002247D9" w:rsidRPr="00D45C8D">
        <w:rPr>
          <w:b/>
        </w:rPr>
        <w:t xml:space="preserve">čtování o </w:t>
      </w:r>
      <w:r w:rsidR="004451BD" w:rsidRPr="00D45C8D">
        <w:rPr>
          <w:b/>
        </w:rPr>
        <w:t>zásobách</w:t>
      </w:r>
      <w:r w:rsidR="002247D9" w:rsidRPr="00D45C8D">
        <w:rPr>
          <w:b/>
        </w:rPr>
        <w:t xml:space="preserve"> způsobem B</w:t>
      </w:r>
    </w:p>
    <w:p w:rsidR="007B3AF8" w:rsidRDefault="007B3AF8">
      <w:pPr>
        <w:widowControl w:val="0"/>
        <w:autoSpaceDE w:val="0"/>
        <w:autoSpaceDN w:val="0"/>
        <w:adjustRightInd w:val="0"/>
        <w:jc w:val="both"/>
      </w:pPr>
    </w:p>
    <w:p w:rsidR="008078ED" w:rsidRPr="002D588F" w:rsidRDefault="005F463A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2D588F">
        <w:t xml:space="preserve">V průběhu účetního období </w:t>
      </w:r>
      <w:r w:rsidR="00343D96" w:rsidRPr="002D588F">
        <w:t xml:space="preserve">účtuje účetní jednotka </w:t>
      </w:r>
      <w:r w:rsidRPr="002D588F">
        <w:t xml:space="preserve">o </w:t>
      </w:r>
      <w:r w:rsidR="00041933" w:rsidRPr="002D588F">
        <w:t xml:space="preserve">pořízení </w:t>
      </w:r>
      <w:r w:rsidR="00D7470F">
        <w:t>zásob na stranu MÁ </w:t>
      </w:r>
      <w:r w:rsidRPr="002D588F">
        <w:t xml:space="preserve">DÁTI účtu 501 – Spotřeba materiálu nebo 504 – Prodané zboží se souvztažným zápisem na stranu DAL </w:t>
      </w:r>
      <w:r w:rsidR="002C1B10" w:rsidRPr="002D588F">
        <w:t xml:space="preserve">účtu 261 – Pokladna nebo </w:t>
      </w:r>
      <w:r w:rsidRPr="002D588F">
        <w:t>příslušných syntetických účtů účtové třídy</w:t>
      </w:r>
      <w:r w:rsidR="006E71AB" w:rsidRPr="002D588F">
        <w:t xml:space="preserve"> </w:t>
      </w:r>
      <w:r w:rsidRPr="002D588F">
        <w:t>3</w:t>
      </w:r>
      <w:r w:rsidR="00041933" w:rsidRPr="002D588F">
        <w:t xml:space="preserve"> nebo 4.</w:t>
      </w:r>
    </w:p>
    <w:p w:rsidR="008078ED" w:rsidRPr="00950DA1" w:rsidRDefault="008078ED" w:rsidP="000D3152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595B0F" w:rsidRPr="00950DA1" w:rsidRDefault="00312AB6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 xml:space="preserve">O zásobách nabytých z titulu bezúplatné změny příslušnosti k hospodaření s majetkem státu nebo svěření majetku do správy podle zákona upravujícího rozpočtová pravidla územních samosprávných celků nebo bezúplatného převodu nebo přechodu majetku, účtuje </w:t>
      </w:r>
      <w:r w:rsidRPr="00950DA1">
        <w:lastRenderedPageBreak/>
        <w:t>účetní jednotka na stranu MÁ DÁTI účtu 501 – Spotřeba materiálu nebo 504 – Prodané zboží se souvztažným zápisem na stranu DAL účtu 649 – Ostatní výnosy z činnosti, případně ve významných případech účtu 384 – Výnosy příštích období, pokud nejsou tyto zásoby spotřebovány nebo nedochází k jejich jinému úbytku v účetním období, ve kterém byly nabyty.</w:t>
      </w:r>
    </w:p>
    <w:p w:rsidR="00312AB6" w:rsidRPr="00135580" w:rsidRDefault="00312AB6" w:rsidP="00135580">
      <w:pPr>
        <w:widowControl w:val="0"/>
        <w:autoSpaceDE w:val="0"/>
        <w:autoSpaceDN w:val="0"/>
        <w:adjustRightInd w:val="0"/>
        <w:jc w:val="both"/>
      </w:pPr>
    </w:p>
    <w:p w:rsidR="001E6A2B" w:rsidRPr="002D588F" w:rsidRDefault="00E30C5D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950DA1">
        <w:t>K okamžiku</w:t>
      </w:r>
      <w:r w:rsidRPr="002D588F">
        <w:t xml:space="preserve"> podle bodu 3.3. </w:t>
      </w:r>
      <w:r w:rsidR="00041933" w:rsidRPr="002D588F">
        <w:t xml:space="preserve">účtuje účetní jednotka </w:t>
      </w:r>
      <w:r w:rsidR="001E6A2B" w:rsidRPr="002D588F">
        <w:t>o stavu materiálu na skladě</w:t>
      </w:r>
      <w:r w:rsidR="00307E06" w:rsidRPr="002D588F">
        <w:t xml:space="preserve"> </w:t>
      </w:r>
      <w:r w:rsidR="00D805B3" w:rsidRPr="002D588F">
        <w:t xml:space="preserve">nebo </w:t>
      </w:r>
      <w:r w:rsidR="00307E06" w:rsidRPr="002D588F">
        <w:t>ostatních zásob</w:t>
      </w:r>
      <w:r w:rsidR="001E6A2B" w:rsidRPr="002D588F">
        <w:t xml:space="preserve"> </w:t>
      </w:r>
      <w:r w:rsidR="00530595" w:rsidRPr="002D588F">
        <w:t xml:space="preserve">k prvnímu dni daného účetního období nebo jiného období podle bodu 3.3. </w:t>
      </w:r>
      <w:r w:rsidR="001E6A2B" w:rsidRPr="002D588F">
        <w:t xml:space="preserve">na stranu MÁ DÁTI účtu 501 – Spotřeba materiálu se souvztažným zápisem na stranu DAL účtu 112 – Materiál </w:t>
      </w:r>
      <w:r w:rsidR="00307E06" w:rsidRPr="002D588F">
        <w:t xml:space="preserve">na skladě nebo 139 – Ostatní zásoby a o </w:t>
      </w:r>
      <w:r w:rsidR="00D805B3" w:rsidRPr="002D588F">
        <w:t xml:space="preserve">zjištěném </w:t>
      </w:r>
      <w:r w:rsidR="00307E06" w:rsidRPr="002D588F">
        <w:t xml:space="preserve">stavu materiálu </w:t>
      </w:r>
      <w:r w:rsidR="00D805B3" w:rsidRPr="002D588F">
        <w:t>nebo</w:t>
      </w:r>
      <w:r w:rsidR="00307E06" w:rsidRPr="002D588F">
        <w:t xml:space="preserve"> ostatních zásob na stranu MÁ DÁTI účtu 112 – Materiál na skladě nebo 139 – Ostatní zásoby se souvztažným zápisem na stranu DAL účtu 501 – Spotřeba materiálu.</w:t>
      </w:r>
    </w:p>
    <w:p w:rsidR="001E6A2B" w:rsidRPr="000D3152" w:rsidRDefault="001E6A2B" w:rsidP="000D3152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8078ED" w:rsidRPr="00135580" w:rsidRDefault="00E30C5D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135580">
        <w:t xml:space="preserve">K okamžiku podle bodu 3.3. </w:t>
      </w:r>
      <w:r w:rsidR="00530595" w:rsidRPr="00135580">
        <w:t xml:space="preserve">účtuje účetní jednotka </w:t>
      </w:r>
      <w:r w:rsidR="00307E06" w:rsidRPr="00135580">
        <w:t>o stavu zboží na skladě</w:t>
      </w:r>
      <w:r w:rsidR="00530595" w:rsidRPr="00135580">
        <w:t xml:space="preserve"> k prvnímu dni daného účetního období nebo jiného období podle bodu 3.3.</w:t>
      </w:r>
      <w:r w:rsidR="00307E06" w:rsidRPr="00135580">
        <w:t xml:space="preserve"> na stranu MÁ</w:t>
      </w:r>
      <w:r w:rsidR="00C9601A" w:rsidRPr="00135580">
        <w:t> </w:t>
      </w:r>
      <w:r w:rsidR="00307E06" w:rsidRPr="00135580">
        <w:t>DÁTI účtu 504 – Prodané zboží se souvztažným zápisem na stranu DAL účtu 132 –</w:t>
      </w:r>
      <w:r w:rsidR="00C9601A" w:rsidRPr="00135580">
        <w:t> </w:t>
      </w:r>
      <w:r w:rsidR="00307E06" w:rsidRPr="00135580">
        <w:t xml:space="preserve">Zboží na skladě a o </w:t>
      </w:r>
      <w:r w:rsidR="00530595" w:rsidRPr="00135580">
        <w:t xml:space="preserve">zjištěném </w:t>
      </w:r>
      <w:r w:rsidR="00307E06" w:rsidRPr="00135580">
        <w:t>stavu zboží na stranu MÁ DÁTI účtu 132 – Zboží na skladě se souvztažným zápisem na stranu DAL účtu 504 – Prodané zboží.</w:t>
      </w:r>
    </w:p>
    <w:p w:rsidR="00135580" w:rsidRDefault="00135580" w:rsidP="0013558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16"/>
        </w:rPr>
      </w:pPr>
    </w:p>
    <w:p w:rsidR="00F95585" w:rsidRPr="00950DA1" w:rsidRDefault="00F9558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  <w:rPr>
          <w:szCs w:val="16"/>
        </w:rPr>
      </w:pPr>
      <w:r w:rsidRPr="00950DA1">
        <w:rPr>
          <w:szCs w:val="16"/>
        </w:rPr>
        <w:t>Je-li zjištěný stav zásob vlastní výroby k rozvahovému dni vyšší, než byl jejich stav k prvnímu dni daného účetního období, účtuje účetní jednotka o tomto rozdílu na stranu MÁ DÁTI příslušného syntetického účtu účtové skupiny 12 se souvztažným zápisem na stranu DAL účtu 508 – Změna stavu zásob vlastní výroby. Je-li zjištěný stav zásob vlastní výroby k </w:t>
      </w:r>
      <w:r w:rsidRPr="00C844C1">
        <w:t>rozvahovému</w:t>
      </w:r>
      <w:r w:rsidRPr="00950DA1">
        <w:rPr>
          <w:szCs w:val="16"/>
        </w:rPr>
        <w:t xml:space="preserve"> dni nižší, než byl k prvnímu dni daného účetního období, účtuje účetní jednotka o tomto rozdílu na stranu MÁ DÁTI účtu 508 – Změna stavu zásob vlastní výroby se souvztažným zápisem na stranu DAL příslušného syntetického účtu účtové skupiny 12. Obdobně postupuje účetní jednotka též v případě, že stanoví účtování k jinému okamžiku než k rozvahovému dni.</w:t>
      </w:r>
    </w:p>
    <w:p w:rsidR="00F95585" w:rsidRPr="00950DA1" w:rsidRDefault="00F95585" w:rsidP="00F95585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CF5A24" w:rsidRPr="00950DA1" w:rsidRDefault="00F95585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  <w:rPr>
          <w:szCs w:val="16"/>
        </w:rPr>
      </w:pPr>
      <w:r w:rsidRPr="00950DA1">
        <w:rPr>
          <w:szCs w:val="16"/>
        </w:rPr>
        <w:t>S </w:t>
      </w:r>
      <w:r w:rsidRPr="00C844C1">
        <w:t>výjimkou</w:t>
      </w:r>
      <w:r w:rsidRPr="00950DA1">
        <w:rPr>
          <w:szCs w:val="16"/>
        </w:rPr>
        <w:t xml:space="preserve"> případů uvedených v bodě 5.2.5. účtuje účetní jednotka o vytvoření zásob vlastní činností včetně příchovků zvířat podle § 20 odst. 3</w:t>
      </w:r>
      <w:r w:rsidR="00D7470F">
        <w:rPr>
          <w:szCs w:val="16"/>
        </w:rPr>
        <w:t xml:space="preserve"> písm. h) vyhlášky na stranu MÁ </w:t>
      </w:r>
      <w:r w:rsidRPr="00950DA1">
        <w:rPr>
          <w:szCs w:val="16"/>
        </w:rPr>
        <w:t>DÁTI účtu 501 – Spotřeba materiálu nebo 504 – Prodané zboží se souvztažným zápisem na stranu DAL účtu 507 – Aktivace oběžného majetku.</w:t>
      </w:r>
    </w:p>
    <w:p w:rsidR="004271A2" w:rsidRPr="000D3152" w:rsidRDefault="004271A2" w:rsidP="000D315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16"/>
        </w:rPr>
      </w:pPr>
    </w:p>
    <w:p w:rsidR="004451BD" w:rsidRPr="005C69B0" w:rsidRDefault="004451BD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  <w:rPr>
          <w:szCs w:val="16"/>
        </w:rPr>
      </w:pPr>
      <w:r w:rsidRPr="005C69B0">
        <w:rPr>
          <w:szCs w:val="16"/>
        </w:rPr>
        <w:t xml:space="preserve">O manku nad normu přirozených úbytků vyplývajícího z inventarizace </w:t>
      </w:r>
      <w:r w:rsidR="00904244" w:rsidRPr="005C69B0">
        <w:rPr>
          <w:szCs w:val="16"/>
        </w:rPr>
        <w:t xml:space="preserve">účtuje účetní jednotka </w:t>
      </w:r>
      <w:r w:rsidRPr="005C69B0">
        <w:rPr>
          <w:szCs w:val="16"/>
        </w:rPr>
        <w:t xml:space="preserve">v případě zásob na stranu MÁ DÁTI účtu 547 – Manka a škody se souvztažným zápisem na stranu DAL příslušného syntetického účtu zásob. O přebytcích zásob vyplývajících z inventarizace </w:t>
      </w:r>
      <w:r w:rsidR="00904244" w:rsidRPr="005C69B0">
        <w:rPr>
          <w:szCs w:val="16"/>
        </w:rPr>
        <w:t xml:space="preserve">účtuje účetní jednotka </w:t>
      </w:r>
      <w:r w:rsidRPr="005C69B0">
        <w:rPr>
          <w:szCs w:val="16"/>
        </w:rPr>
        <w:t>na stranu MÁ DÁTI příslušného syntetického účtu zásob se souvztažným zápisem na stranu DAL účtu 6</w:t>
      </w:r>
      <w:r w:rsidR="00A8119E" w:rsidRPr="005C69B0">
        <w:rPr>
          <w:szCs w:val="16"/>
        </w:rPr>
        <w:t>49 – Ostatní výnosy z činnosti.</w:t>
      </w:r>
    </w:p>
    <w:p w:rsidR="00273EAB" w:rsidRDefault="00273EAB" w:rsidP="00273EAB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273EAB" w:rsidRDefault="00273EAB" w:rsidP="00C844C1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  <w:rPr>
          <w:szCs w:val="16"/>
        </w:rPr>
      </w:pPr>
      <w:r w:rsidRPr="00950DA1">
        <w:rPr>
          <w:szCs w:val="16"/>
        </w:rPr>
        <w:t xml:space="preserve">K okamžiku </w:t>
      </w:r>
      <w:r w:rsidR="001845D4" w:rsidRPr="00950DA1">
        <w:rPr>
          <w:szCs w:val="16"/>
        </w:rPr>
        <w:t>úbytku</w:t>
      </w:r>
      <w:r w:rsidRPr="00950DA1">
        <w:rPr>
          <w:szCs w:val="16"/>
        </w:rPr>
        <w:t xml:space="preserve"> materiálu </w:t>
      </w:r>
      <w:r w:rsidR="001845D4" w:rsidRPr="00950DA1">
        <w:rPr>
          <w:szCs w:val="16"/>
        </w:rPr>
        <w:t xml:space="preserve">z titulu prodeje </w:t>
      </w:r>
      <w:r w:rsidRPr="00950DA1">
        <w:rPr>
          <w:szCs w:val="16"/>
        </w:rPr>
        <w:t>účtuje účetní jednotka o nákladech na prodaný materiál na stranu MÁ DÁTI účtu 544 – Prodaný materiál se souvztažným zápisem na stranu DAL účtu 501 – Spotřeba materiálu, a to ve výši ocenění podle bodu 4.3.</w:t>
      </w:r>
    </w:p>
    <w:p w:rsidR="004C770A" w:rsidRPr="00950DA1" w:rsidRDefault="004C770A" w:rsidP="004C770A">
      <w:pPr>
        <w:jc w:val="both"/>
        <w:rPr>
          <w:szCs w:val="16"/>
        </w:rPr>
      </w:pPr>
    </w:p>
    <w:p w:rsidR="004C770A" w:rsidRPr="006E2341" w:rsidRDefault="004C770A" w:rsidP="004C770A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6E2341">
        <w:t>O zásobách pozbytých z titulu bezúplatné změny příslušnosti k hospodaření s majetkem státu nebo svěření majetku do správy podle zákona upravujícího rozpočtová pravidla územních sa</w:t>
      </w:r>
      <w:r w:rsidR="004C1212" w:rsidRPr="006E2341">
        <w:t>mosprávných celků</w:t>
      </w:r>
      <w:r w:rsidRPr="006E2341">
        <w:t xml:space="preserve"> nebo bezúplatného převodu nebo přechodu majetku, a to ve prospěch jiné vybrané účetní jednotky</w:t>
      </w:r>
      <w:r w:rsidR="00F267CC" w:rsidRPr="006E2341">
        <w:t>,</w:t>
      </w:r>
      <w:r w:rsidRPr="006E2341">
        <w:t xml:space="preserve"> účtuje účetní jednotka na stranu MÁ DÁTI </w:t>
      </w:r>
      <w:r w:rsidRPr="006E2341">
        <w:lastRenderedPageBreak/>
        <w:t xml:space="preserve">účtu 549 – Ostatní náklady z činnosti se souvztažným zápisem na stranu DAL účtu </w:t>
      </w:r>
      <w:r w:rsidRPr="006E2341">
        <w:rPr>
          <w:szCs w:val="16"/>
        </w:rPr>
        <w:t>501 – Spotřeba materiálu nebo 504 – Prodané zboží</w:t>
      </w:r>
      <w:r w:rsidRPr="006E2341">
        <w:t>.</w:t>
      </w:r>
    </w:p>
    <w:p w:rsidR="004C770A" w:rsidRPr="006E2341" w:rsidRDefault="004C770A" w:rsidP="004C770A">
      <w:pPr>
        <w:widowControl w:val="0"/>
        <w:autoSpaceDE w:val="0"/>
        <w:autoSpaceDN w:val="0"/>
        <w:adjustRightInd w:val="0"/>
        <w:jc w:val="both"/>
      </w:pPr>
    </w:p>
    <w:p w:rsidR="004C770A" w:rsidRPr="006E2341" w:rsidRDefault="004C770A" w:rsidP="004C770A">
      <w:pPr>
        <w:numPr>
          <w:ilvl w:val="2"/>
          <w:numId w:val="26"/>
        </w:numPr>
        <w:tabs>
          <w:tab w:val="clear" w:pos="1440"/>
          <w:tab w:val="num" w:pos="709"/>
        </w:tabs>
        <w:ind w:left="0" w:firstLine="0"/>
        <w:jc w:val="both"/>
      </w:pPr>
      <w:r w:rsidRPr="006E2341">
        <w:t>O zásobách pozbytých z titulu bezúplatné změny příslušnosti k hospodaření s majetkem státu nebo svěření majetku do správy podle zákona upravujícího rozpočtová pravidl</w:t>
      </w:r>
      <w:r w:rsidR="004C1212" w:rsidRPr="006E2341">
        <w:t xml:space="preserve">a územních samosprávných celků </w:t>
      </w:r>
      <w:r w:rsidRPr="006E2341">
        <w:t xml:space="preserve">nebo bezúplatného převodu nebo přechodu majetku, a to ve prospěch subjektu, který není vybranou účetní jednotkou, účtuje účetní jednotka na stranu MÁ DÁTI účtu 543 – Dary se souvztažným zápisem na stranu DAL účtu </w:t>
      </w:r>
      <w:r w:rsidRPr="006E2341">
        <w:rPr>
          <w:szCs w:val="16"/>
        </w:rPr>
        <w:t>501 – Spotřeba materiálu nebo 504 – Prodané zboží</w:t>
      </w:r>
      <w:r w:rsidRPr="006E2341">
        <w:t>.</w:t>
      </w:r>
    </w:p>
    <w:p w:rsidR="001845D4" w:rsidRPr="00382960" w:rsidRDefault="001845D4" w:rsidP="001845D4">
      <w:pPr>
        <w:widowControl w:val="0"/>
        <w:autoSpaceDE w:val="0"/>
        <w:autoSpaceDN w:val="0"/>
        <w:adjustRightInd w:val="0"/>
        <w:jc w:val="both"/>
      </w:pPr>
    </w:p>
    <w:p w:rsidR="004271A2" w:rsidRPr="00382960" w:rsidRDefault="0078778E" w:rsidP="0078778E">
      <w:pPr>
        <w:jc w:val="both"/>
      </w:pPr>
      <w:r w:rsidRPr="00382960">
        <w:t>5.2.11</w:t>
      </w:r>
      <w:r w:rsidR="006E2341" w:rsidRPr="00382960">
        <w:t>.</w:t>
      </w:r>
      <w:r w:rsidR="004C770A" w:rsidRPr="00382960">
        <w:t xml:space="preserve"> </w:t>
      </w:r>
      <w:r w:rsidR="004271A2" w:rsidRPr="00382960">
        <w:t xml:space="preserve">O výnosu z prodeje materiálu </w:t>
      </w:r>
      <w:r w:rsidR="00904244" w:rsidRPr="00382960">
        <w:t xml:space="preserve">účtuje účetní jednotka </w:t>
      </w:r>
      <w:r w:rsidR="004271A2" w:rsidRPr="00382960">
        <w:t>na stranu MÁ DÁTI příslušného syntetického pohledávkového účtu účtové třídy 3</w:t>
      </w:r>
      <w:r w:rsidR="007A1AF1" w:rsidRPr="00382960">
        <w:t>, účtové skupiny 46</w:t>
      </w:r>
      <w:r w:rsidR="004271A2" w:rsidRPr="00382960">
        <w:t xml:space="preserve"> nebo </w:t>
      </w:r>
      <w:r w:rsidR="00F2724B" w:rsidRPr="00382960">
        <w:t>účtu 261 - Pokladna</w:t>
      </w:r>
      <w:r w:rsidR="004271A2" w:rsidRPr="00382960">
        <w:t>, a to se souvztažným zápisem na stranu DAL účtu 644 – Výnosy z prodeje materiálu.</w:t>
      </w:r>
    </w:p>
    <w:p w:rsidR="00E97D08" w:rsidRPr="00382960" w:rsidRDefault="00E97D08" w:rsidP="00E97D08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E97D08" w:rsidRPr="00382960" w:rsidRDefault="0078778E" w:rsidP="0078778E">
      <w:pPr>
        <w:jc w:val="both"/>
      </w:pPr>
      <w:r w:rsidRPr="00382960">
        <w:t>5.2.12.</w:t>
      </w:r>
      <w:r w:rsidR="004C770A" w:rsidRPr="00382960">
        <w:t xml:space="preserve"> </w:t>
      </w:r>
      <w:r w:rsidR="00E97D08" w:rsidRPr="00382960">
        <w:t xml:space="preserve">O výnosu z prodeje polotovarů </w:t>
      </w:r>
      <w:r w:rsidR="00904244" w:rsidRPr="00382960">
        <w:t xml:space="preserve">účtuje účetní jednotka </w:t>
      </w:r>
      <w:r w:rsidR="00E97D08" w:rsidRPr="00382960">
        <w:t>na stranu MÁ DÁTI příslušného pohledávkového účtu účtové třídy 3</w:t>
      </w:r>
      <w:r w:rsidR="007A1AF1" w:rsidRPr="00382960">
        <w:t>, účtové skupiny 46</w:t>
      </w:r>
      <w:r w:rsidR="00E97D08" w:rsidRPr="00382960">
        <w:t xml:space="preserve"> nebo </w:t>
      </w:r>
      <w:r w:rsidR="00F2724B" w:rsidRPr="00382960">
        <w:t>účtu 261 - Pokladna</w:t>
      </w:r>
      <w:r w:rsidR="00E97D08" w:rsidRPr="00382960">
        <w:t>, a to se souvztažným zápisem na stranu DAL účtu 609 – Jiné výnosy z vlastních výkonů.</w:t>
      </w:r>
    </w:p>
    <w:p w:rsidR="004271A2" w:rsidRPr="00382960" w:rsidRDefault="004271A2" w:rsidP="004271A2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4271A2" w:rsidRPr="00382960" w:rsidRDefault="0078778E" w:rsidP="0078778E">
      <w:pPr>
        <w:jc w:val="both"/>
      </w:pPr>
      <w:r w:rsidRPr="00382960">
        <w:t>5.2.13.</w:t>
      </w:r>
      <w:r w:rsidR="004C770A" w:rsidRPr="00382960">
        <w:t xml:space="preserve"> </w:t>
      </w:r>
      <w:r w:rsidR="004271A2" w:rsidRPr="00382960">
        <w:t xml:space="preserve">O výnosu z prodeje výrobků </w:t>
      </w:r>
      <w:r w:rsidR="00904244" w:rsidRPr="00382960">
        <w:t xml:space="preserve">účtuje účetní jednotka </w:t>
      </w:r>
      <w:r w:rsidR="004271A2" w:rsidRPr="00382960">
        <w:t>na stranu MÁ DÁTI příslušného syntetického pohledávkového účtu účtové třídy 3</w:t>
      </w:r>
      <w:r w:rsidR="007A1AF1" w:rsidRPr="00382960">
        <w:t>, účtové skupiny 46</w:t>
      </w:r>
      <w:r w:rsidR="004271A2" w:rsidRPr="00382960">
        <w:t xml:space="preserve"> nebo </w:t>
      </w:r>
      <w:r w:rsidR="00F2724B" w:rsidRPr="00382960">
        <w:t>účtu 261 - Pokladna</w:t>
      </w:r>
      <w:r w:rsidR="004271A2" w:rsidRPr="00382960">
        <w:t>, a to se souvztažným zápisem na stranu DAL účtu 601 – Výnosy z prodeje vlastních výrobků.</w:t>
      </w:r>
    </w:p>
    <w:p w:rsidR="004271A2" w:rsidRPr="00382960" w:rsidRDefault="004271A2" w:rsidP="004271A2">
      <w:pPr>
        <w:overflowPunct w:val="0"/>
        <w:autoSpaceDE w:val="0"/>
        <w:autoSpaceDN w:val="0"/>
        <w:adjustRightInd w:val="0"/>
        <w:jc w:val="both"/>
        <w:textAlignment w:val="baseline"/>
        <w:rPr>
          <w:szCs w:val="16"/>
        </w:rPr>
      </w:pPr>
    </w:p>
    <w:p w:rsidR="00E477F1" w:rsidRPr="00950DA1" w:rsidRDefault="0078778E" w:rsidP="0078778E">
      <w:pPr>
        <w:jc w:val="both"/>
      </w:pPr>
      <w:r w:rsidRPr="00382960">
        <w:t>5.2.14.</w:t>
      </w:r>
      <w:r w:rsidR="004C770A" w:rsidRPr="00382960">
        <w:t xml:space="preserve"> </w:t>
      </w:r>
      <w:r w:rsidR="004271A2" w:rsidRPr="00382960">
        <w:t xml:space="preserve">O výnosu z prodeje zboží </w:t>
      </w:r>
      <w:r w:rsidR="00904244" w:rsidRPr="00382960">
        <w:t xml:space="preserve">účtuje účetní jednotka </w:t>
      </w:r>
      <w:r w:rsidR="004271A2" w:rsidRPr="00382960">
        <w:t>na stranu MÁ DÁTI příslušného syntetického pohledávkového účtu účtové třídy 3</w:t>
      </w:r>
      <w:r w:rsidR="007A1AF1" w:rsidRPr="00382960">
        <w:t>, účtové skupiny 46</w:t>
      </w:r>
      <w:r w:rsidR="004271A2" w:rsidRPr="00382960">
        <w:t xml:space="preserve"> nebo</w:t>
      </w:r>
      <w:r w:rsidR="004271A2" w:rsidRPr="00950DA1">
        <w:t xml:space="preserve"> </w:t>
      </w:r>
      <w:r w:rsidR="00F2724B" w:rsidRPr="00950DA1">
        <w:t>účtu 261 - Pokladna</w:t>
      </w:r>
      <w:r w:rsidR="004271A2" w:rsidRPr="00950DA1">
        <w:t>, a to se souvztažným zápisem na stranu DAL účtu 604 – Výnosy z prodaného zboží.</w:t>
      </w:r>
    </w:p>
    <w:p w:rsidR="009F6FD7" w:rsidRPr="009F6FD7" w:rsidRDefault="009F6FD7" w:rsidP="009F6FD7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sectPr w:rsidR="009F6FD7" w:rsidRPr="009F6FD7" w:rsidSect="00892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5D" w:rsidRDefault="00551C5D">
      <w:r>
        <w:separator/>
      </w:r>
    </w:p>
  </w:endnote>
  <w:endnote w:type="continuationSeparator" w:id="0">
    <w:p w:rsidR="00551C5D" w:rsidRDefault="0055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E7" w:rsidRDefault="00892E9F" w:rsidP="00BC4AFD">
    <w:pPr>
      <w:pStyle w:val="Zpat"/>
      <w:jc w:val="center"/>
    </w:pPr>
    <w:r>
      <w:rPr>
        <w:rStyle w:val="slostrnky"/>
      </w:rPr>
      <w:fldChar w:fldCharType="begin"/>
    </w:r>
    <w:r w:rsidR="003D4BE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40A1D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5D" w:rsidRDefault="00551C5D">
      <w:r>
        <w:separator/>
      </w:r>
    </w:p>
  </w:footnote>
  <w:footnote w:type="continuationSeparator" w:id="0">
    <w:p w:rsidR="00551C5D" w:rsidRDefault="00551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4A" w:rsidRDefault="00BA0E4A" w:rsidP="00BA0E4A">
    <w:pPr>
      <w:pStyle w:val="Zhlav"/>
      <w:rPr>
        <w:b/>
        <w:i/>
      </w:rPr>
    </w:pPr>
  </w:p>
  <w:p w:rsidR="00BA0E4A" w:rsidRDefault="00BA0E4A" w:rsidP="00BA0E4A">
    <w:pPr>
      <w:pStyle w:val="Zhlav"/>
      <w:rPr>
        <w:b/>
        <w:i/>
      </w:rPr>
    </w:pPr>
  </w:p>
  <w:p w:rsidR="004C1212" w:rsidRPr="004C1212" w:rsidRDefault="004C1212" w:rsidP="004C1212">
    <w:pPr>
      <w:pStyle w:val="Zhlav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3050"/>
    <w:multiLevelType w:val="hybridMultilevel"/>
    <w:tmpl w:val="332ED5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E02A1"/>
    <w:multiLevelType w:val="hybridMultilevel"/>
    <w:tmpl w:val="FB14B6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65222A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10651E4A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152B4733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165B67DE"/>
    <w:multiLevelType w:val="hybridMultilevel"/>
    <w:tmpl w:val="42E8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26211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E1832AD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8D7310"/>
    <w:multiLevelType w:val="hybridMultilevel"/>
    <w:tmpl w:val="DD3E35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B73B2"/>
    <w:multiLevelType w:val="hybridMultilevel"/>
    <w:tmpl w:val="DB24865C"/>
    <w:lvl w:ilvl="0" w:tplc="47FE626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200676"/>
    <w:multiLevelType w:val="multilevel"/>
    <w:tmpl w:val="52D07F4A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3"/>
        </w:tabs>
        <w:ind w:left="79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1"/>
        </w:tabs>
        <w:ind w:left="122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1"/>
        </w:tabs>
        <w:ind w:left="172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7"/>
        </w:tabs>
        <w:ind w:left="27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1"/>
        </w:tabs>
        <w:ind w:left="32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1"/>
        </w:tabs>
        <w:ind w:left="4321" w:hanging="1440"/>
      </w:pPr>
      <w:rPr>
        <w:rFonts w:hint="default"/>
      </w:rPr>
    </w:lvl>
  </w:abstractNum>
  <w:abstractNum w:abstractNumId="11">
    <w:nsid w:val="2C7E1EB1"/>
    <w:multiLevelType w:val="hybridMultilevel"/>
    <w:tmpl w:val="F66068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A4534"/>
    <w:multiLevelType w:val="hybridMultilevel"/>
    <w:tmpl w:val="26BA28E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6E8312D"/>
    <w:multiLevelType w:val="multilevel"/>
    <w:tmpl w:val="2D8A6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195669"/>
    <w:multiLevelType w:val="multilevel"/>
    <w:tmpl w:val="2D8A6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3A481A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0181224"/>
    <w:multiLevelType w:val="hybridMultilevel"/>
    <w:tmpl w:val="2D8A67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4A26E1"/>
    <w:multiLevelType w:val="hybridMultilevel"/>
    <w:tmpl w:val="027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92463D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5B457A7"/>
    <w:multiLevelType w:val="multilevel"/>
    <w:tmpl w:val="C9485B6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Roman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D94122"/>
    <w:multiLevelType w:val="multilevel"/>
    <w:tmpl w:val="FCEEFD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Roman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CB633A"/>
    <w:multiLevelType w:val="hybridMultilevel"/>
    <w:tmpl w:val="FFDAE2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453833"/>
    <w:multiLevelType w:val="multilevel"/>
    <w:tmpl w:val="2D8A6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B0A1F"/>
    <w:multiLevelType w:val="hybridMultilevel"/>
    <w:tmpl w:val="F66068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2231C"/>
    <w:multiLevelType w:val="hybridMultilevel"/>
    <w:tmpl w:val="27CC1F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1C076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5BB3CC3"/>
    <w:multiLevelType w:val="multilevel"/>
    <w:tmpl w:val="96D28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6887958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>
    <w:nsid w:val="61B10B6B"/>
    <w:multiLevelType w:val="hybridMultilevel"/>
    <w:tmpl w:val="27CC1F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52AAE"/>
    <w:multiLevelType w:val="hybridMultilevel"/>
    <w:tmpl w:val="27CC1F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36F92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73B82C31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5A0512A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76A44875"/>
    <w:multiLevelType w:val="hybridMultilevel"/>
    <w:tmpl w:val="F66068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31"/>
  </w:num>
  <w:num w:numId="4">
    <w:abstractNumId w:val="2"/>
  </w:num>
  <w:num w:numId="5">
    <w:abstractNumId w:val="0"/>
  </w:num>
  <w:num w:numId="6">
    <w:abstractNumId w:val="21"/>
  </w:num>
  <w:num w:numId="7">
    <w:abstractNumId w:val="25"/>
  </w:num>
  <w:num w:numId="8">
    <w:abstractNumId w:val="16"/>
  </w:num>
  <w:num w:numId="9">
    <w:abstractNumId w:val="15"/>
  </w:num>
  <w:num w:numId="10">
    <w:abstractNumId w:val="4"/>
  </w:num>
  <w:num w:numId="11">
    <w:abstractNumId w:val="9"/>
  </w:num>
  <w:num w:numId="12">
    <w:abstractNumId w:val="7"/>
  </w:num>
  <w:num w:numId="13">
    <w:abstractNumId w:val="13"/>
  </w:num>
  <w:num w:numId="14">
    <w:abstractNumId w:val="14"/>
  </w:num>
  <w:num w:numId="15">
    <w:abstractNumId w:val="22"/>
  </w:num>
  <w:num w:numId="16">
    <w:abstractNumId w:val="18"/>
  </w:num>
  <w:num w:numId="17">
    <w:abstractNumId w:val="30"/>
  </w:num>
  <w:num w:numId="18">
    <w:abstractNumId w:val="12"/>
  </w:num>
  <w:num w:numId="19">
    <w:abstractNumId w:val="26"/>
  </w:num>
  <w:num w:numId="20">
    <w:abstractNumId w:val="8"/>
  </w:num>
  <w:num w:numId="21">
    <w:abstractNumId w:val="5"/>
  </w:num>
  <w:num w:numId="22">
    <w:abstractNumId w:val="10"/>
  </w:num>
  <w:num w:numId="23">
    <w:abstractNumId w:val="27"/>
  </w:num>
  <w:num w:numId="24">
    <w:abstractNumId w:val="17"/>
  </w:num>
  <w:num w:numId="25">
    <w:abstractNumId w:val="3"/>
  </w:num>
  <w:num w:numId="26">
    <w:abstractNumId w:val="6"/>
  </w:num>
  <w:num w:numId="27">
    <w:abstractNumId w:val="23"/>
  </w:num>
  <w:num w:numId="28">
    <w:abstractNumId w:val="11"/>
  </w:num>
  <w:num w:numId="29">
    <w:abstractNumId w:val="33"/>
  </w:num>
  <w:num w:numId="30">
    <w:abstractNumId w:val="20"/>
  </w:num>
  <w:num w:numId="31">
    <w:abstractNumId w:val="19"/>
  </w:num>
  <w:num w:numId="32">
    <w:abstractNumId w:val="29"/>
  </w:num>
  <w:num w:numId="33">
    <w:abstractNumId w:val="28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95D"/>
    <w:rsid w:val="00001AF6"/>
    <w:rsid w:val="000115EE"/>
    <w:rsid w:val="00035039"/>
    <w:rsid w:val="00041933"/>
    <w:rsid w:val="000428B2"/>
    <w:rsid w:val="00044498"/>
    <w:rsid w:val="00050C0B"/>
    <w:rsid w:val="00062D87"/>
    <w:rsid w:val="00073322"/>
    <w:rsid w:val="00074C44"/>
    <w:rsid w:val="0008371C"/>
    <w:rsid w:val="00087003"/>
    <w:rsid w:val="00092EE2"/>
    <w:rsid w:val="000945BD"/>
    <w:rsid w:val="000A0AAC"/>
    <w:rsid w:val="000A16B7"/>
    <w:rsid w:val="000A619D"/>
    <w:rsid w:val="000A6FE3"/>
    <w:rsid w:val="000B2632"/>
    <w:rsid w:val="000B41DC"/>
    <w:rsid w:val="000B5709"/>
    <w:rsid w:val="000C0FBC"/>
    <w:rsid w:val="000C76CF"/>
    <w:rsid w:val="000D0807"/>
    <w:rsid w:val="000D3152"/>
    <w:rsid w:val="000E0310"/>
    <w:rsid w:val="000E1994"/>
    <w:rsid w:val="00112DB4"/>
    <w:rsid w:val="00125F37"/>
    <w:rsid w:val="0012730E"/>
    <w:rsid w:val="00135580"/>
    <w:rsid w:val="00140C16"/>
    <w:rsid w:val="00141116"/>
    <w:rsid w:val="0016373B"/>
    <w:rsid w:val="001656E9"/>
    <w:rsid w:val="001845D4"/>
    <w:rsid w:val="00186F98"/>
    <w:rsid w:val="00192A45"/>
    <w:rsid w:val="001B01B4"/>
    <w:rsid w:val="001B255D"/>
    <w:rsid w:val="001B3E7A"/>
    <w:rsid w:val="001B4D8A"/>
    <w:rsid w:val="001E6A2B"/>
    <w:rsid w:val="001F0959"/>
    <w:rsid w:val="00211588"/>
    <w:rsid w:val="0021790A"/>
    <w:rsid w:val="002247D9"/>
    <w:rsid w:val="0024467C"/>
    <w:rsid w:val="00246790"/>
    <w:rsid w:val="00253896"/>
    <w:rsid w:val="00253A85"/>
    <w:rsid w:val="00254018"/>
    <w:rsid w:val="00267CF9"/>
    <w:rsid w:val="00271507"/>
    <w:rsid w:val="00273EAB"/>
    <w:rsid w:val="00274D50"/>
    <w:rsid w:val="00282B17"/>
    <w:rsid w:val="00286B46"/>
    <w:rsid w:val="00293DDF"/>
    <w:rsid w:val="002945A2"/>
    <w:rsid w:val="00295955"/>
    <w:rsid w:val="002B1B02"/>
    <w:rsid w:val="002B2202"/>
    <w:rsid w:val="002C1B10"/>
    <w:rsid w:val="002C4684"/>
    <w:rsid w:val="002C4F21"/>
    <w:rsid w:val="002D0F19"/>
    <w:rsid w:val="002D588F"/>
    <w:rsid w:val="002D5CF4"/>
    <w:rsid w:val="002F08BC"/>
    <w:rsid w:val="002F2774"/>
    <w:rsid w:val="002F2EFC"/>
    <w:rsid w:val="002F3274"/>
    <w:rsid w:val="002F375D"/>
    <w:rsid w:val="003057C9"/>
    <w:rsid w:val="00306AFA"/>
    <w:rsid w:val="00307D87"/>
    <w:rsid w:val="00307E06"/>
    <w:rsid w:val="00312AB6"/>
    <w:rsid w:val="003227EE"/>
    <w:rsid w:val="003313CF"/>
    <w:rsid w:val="00337C46"/>
    <w:rsid w:val="00340A1D"/>
    <w:rsid w:val="00343D96"/>
    <w:rsid w:val="0036301B"/>
    <w:rsid w:val="003645DE"/>
    <w:rsid w:val="00375D2C"/>
    <w:rsid w:val="00382960"/>
    <w:rsid w:val="003979A7"/>
    <w:rsid w:val="003A65EB"/>
    <w:rsid w:val="003B1801"/>
    <w:rsid w:val="003B5652"/>
    <w:rsid w:val="003C1E07"/>
    <w:rsid w:val="003C3808"/>
    <w:rsid w:val="003D4BE7"/>
    <w:rsid w:val="0041236D"/>
    <w:rsid w:val="00421D0A"/>
    <w:rsid w:val="004271A2"/>
    <w:rsid w:val="00433E6A"/>
    <w:rsid w:val="004451BD"/>
    <w:rsid w:val="004546A3"/>
    <w:rsid w:val="004563DB"/>
    <w:rsid w:val="0047629E"/>
    <w:rsid w:val="00492E24"/>
    <w:rsid w:val="004974F9"/>
    <w:rsid w:val="004A1E8A"/>
    <w:rsid w:val="004A334C"/>
    <w:rsid w:val="004A473E"/>
    <w:rsid w:val="004A7C8A"/>
    <w:rsid w:val="004B7EB0"/>
    <w:rsid w:val="004C0B47"/>
    <w:rsid w:val="004C1212"/>
    <w:rsid w:val="004C770A"/>
    <w:rsid w:val="004D7E1F"/>
    <w:rsid w:val="00502CC1"/>
    <w:rsid w:val="00511673"/>
    <w:rsid w:val="0051520A"/>
    <w:rsid w:val="00515E5C"/>
    <w:rsid w:val="00530595"/>
    <w:rsid w:val="00530F92"/>
    <w:rsid w:val="0053316E"/>
    <w:rsid w:val="00534484"/>
    <w:rsid w:val="005350D7"/>
    <w:rsid w:val="00540465"/>
    <w:rsid w:val="00551C5D"/>
    <w:rsid w:val="00562530"/>
    <w:rsid w:val="0059310E"/>
    <w:rsid w:val="00595B0F"/>
    <w:rsid w:val="00595EE6"/>
    <w:rsid w:val="005A56E3"/>
    <w:rsid w:val="005B3B79"/>
    <w:rsid w:val="005B7008"/>
    <w:rsid w:val="005C5738"/>
    <w:rsid w:val="005C69B0"/>
    <w:rsid w:val="005D04AE"/>
    <w:rsid w:val="005F1810"/>
    <w:rsid w:val="005F463A"/>
    <w:rsid w:val="00601FF9"/>
    <w:rsid w:val="00621B21"/>
    <w:rsid w:val="00626AE8"/>
    <w:rsid w:val="006348F8"/>
    <w:rsid w:val="0066292D"/>
    <w:rsid w:val="006662B0"/>
    <w:rsid w:val="006712BA"/>
    <w:rsid w:val="00673998"/>
    <w:rsid w:val="00697BD6"/>
    <w:rsid w:val="006B21B7"/>
    <w:rsid w:val="006B2258"/>
    <w:rsid w:val="006B36D0"/>
    <w:rsid w:val="006C4AB5"/>
    <w:rsid w:val="006D28AC"/>
    <w:rsid w:val="006E0F2F"/>
    <w:rsid w:val="006E2341"/>
    <w:rsid w:val="006E71AB"/>
    <w:rsid w:val="00700A60"/>
    <w:rsid w:val="00722467"/>
    <w:rsid w:val="00732327"/>
    <w:rsid w:val="00754752"/>
    <w:rsid w:val="007630D6"/>
    <w:rsid w:val="007712B7"/>
    <w:rsid w:val="00771FD3"/>
    <w:rsid w:val="00773A0E"/>
    <w:rsid w:val="007752F6"/>
    <w:rsid w:val="0078694D"/>
    <w:rsid w:val="0078778E"/>
    <w:rsid w:val="007A1AF1"/>
    <w:rsid w:val="007B3AF8"/>
    <w:rsid w:val="007C2B45"/>
    <w:rsid w:val="007C2D32"/>
    <w:rsid w:val="007E002B"/>
    <w:rsid w:val="007E4F78"/>
    <w:rsid w:val="007F1AC2"/>
    <w:rsid w:val="007F674F"/>
    <w:rsid w:val="00803ADD"/>
    <w:rsid w:val="008054DD"/>
    <w:rsid w:val="008078ED"/>
    <w:rsid w:val="00810A05"/>
    <w:rsid w:val="00823E96"/>
    <w:rsid w:val="00826EC3"/>
    <w:rsid w:val="008420C2"/>
    <w:rsid w:val="00842A03"/>
    <w:rsid w:val="00847D28"/>
    <w:rsid w:val="008577D1"/>
    <w:rsid w:val="008669CF"/>
    <w:rsid w:val="00873E53"/>
    <w:rsid w:val="00881275"/>
    <w:rsid w:val="00885375"/>
    <w:rsid w:val="0088743C"/>
    <w:rsid w:val="008900AB"/>
    <w:rsid w:val="00892E9F"/>
    <w:rsid w:val="00896E71"/>
    <w:rsid w:val="008A2BBE"/>
    <w:rsid w:val="008C3A0C"/>
    <w:rsid w:val="008C3E01"/>
    <w:rsid w:val="008E2AD7"/>
    <w:rsid w:val="008E3B18"/>
    <w:rsid w:val="00904244"/>
    <w:rsid w:val="00913CA0"/>
    <w:rsid w:val="00922A88"/>
    <w:rsid w:val="00936549"/>
    <w:rsid w:val="00936A7E"/>
    <w:rsid w:val="0094080D"/>
    <w:rsid w:val="00944CC7"/>
    <w:rsid w:val="00950DA1"/>
    <w:rsid w:val="0096020E"/>
    <w:rsid w:val="00971C64"/>
    <w:rsid w:val="00973190"/>
    <w:rsid w:val="00981121"/>
    <w:rsid w:val="009846BD"/>
    <w:rsid w:val="00993734"/>
    <w:rsid w:val="00995DB9"/>
    <w:rsid w:val="009A10F1"/>
    <w:rsid w:val="009A26DD"/>
    <w:rsid w:val="009B46F3"/>
    <w:rsid w:val="009B567B"/>
    <w:rsid w:val="009C7BB5"/>
    <w:rsid w:val="009E1968"/>
    <w:rsid w:val="009F0812"/>
    <w:rsid w:val="009F6FD7"/>
    <w:rsid w:val="00A06AD4"/>
    <w:rsid w:val="00A11034"/>
    <w:rsid w:val="00A1782C"/>
    <w:rsid w:val="00A31182"/>
    <w:rsid w:val="00A4611A"/>
    <w:rsid w:val="00A55514"/>
    <w:rsid w:val="00A56750"/>
    <w:rsid w:val="00A6493F"/>
    <w:rsid w:val="00A66CD0"/>
    <w:rsid w:val="00A8119E"/>
    <w:rsid w:val="00A83131"/>
    <w:rsid w:val="00A94600"/>
    <w:rsid w:val="00A97DF6"/>
    <w:rsid w:val="00AA195D"/>
    <w:rsid w:val="00AA1B85"/>
    <w:rsid w:val="00AA4F1A"/>
    <w:rsid w:val="00AA7502"/>
    <w:rsid w:val="00AB74A4"/>
    <w:rsid w:val="00AC00BB"/>
    <w:rsid w:val="00AD2F33"/>
    <w:rsid w:val="00AD4CB5"/>
    <w:rsid w:val="00AF7761"/>
    <w:rsid w:val="00B13E12"/>
    <w:rsid w:val="00B2578B"/>
    <w:rsid w:val="00B2603E"/>
    <w:rsid w:val="00B26F1A"/>
    <w:rsid w:val="00B3304F"/>
    <w:rsid w:val="00B37FD8"/>
    <w:rsid w:val="00B40B72"/>
    <w:rsid w:val="00B41065"/>
    <w:rsid w:val="00B4149D"/>
    <w:rsid w:val="00B425BC"/>
    <w:rsid w:val="00B4414C"/>
    <w:rsid w:val="00B50BED"/>
    <w:rsid w:val="00B65306"/>
    <w:rsid w:val="00B6623B"/>
    <w:rsid w:val="00B75E17"/>
    <w:rsid w:val="00B876F9"/>
    <w:rsid w:val="00B9553F"/>
    <w:rsid w:val="00BA0E4A"/>
    <w:rsid w:val="00BB09B3"/>
    <w:rsid w:val="00BC4AFD"/>
    <w:rsid w:val="00BD0999"/>
    <w:rsid w:val="00BD5E71"/>
    <w:rsid w:val="00BF7467"/>
    <w:rsid w:val="00C03D46"/>
    <w:rsid w:val="00C10811"/>
    <w:rsid w:val="00C10BD8"/>
    <w:rsid w:val="00C14E62"/>
    <w:rsid w:val="00C16493"/>
    <w:rsid w:val="00C17754"/>
    <w:rsid w:val="00C44EC8"/>
    <w:rsid w:val="00C63D7C"/>
    <w:rsid w:val="00C65F09"/>
    <w:rsid w:val="00C729A1"/>
    <w:rsid w:val="00C82F55"/>
    <w:rsid w:val="00C844C1"/>
    <w:rsid w:val="00C859EF"/>
    <w:rsid w:val="00C9456D"/>
    <w:rsid w:val="00C9601A"/>
    <w:rsid w:val="00CA2F24"/>
    <w:rsid w:val="00CB6268"/>
    <w:rsid w:val="00CB7785"/>
    <w:rsid w:val="00CB7C15"/>
    <w:rsid w:val="00CD53DB"/>
    <w:rsid w:val="00CE2F88"/>
    <w:rsid w:val="00CF35D0"/>
    <w:rsid w:val="00CF5A24"/>
    <w:rsid w:val="00D01B44"/>
    <w:rsid w:val="00D042E0"/>
    <w:rsid w:val="00D158ED"/>
    <w:rsid w:val="00D1770A"/>
    <w:rsid w:val="00D25817"/>
    <w:rsid w:val="00D353C5"/>
    <w:rsid w:val="00D3664F"/>
    <w:rsid w:val="00D43E8E"/>
    <w:rsid w:val="00D45C8D"/>
    <w:rsid w:val="00D552A8"/>
    <w:rsid w:val="00D56F18"/>
    <w:rsid w:val="00D7449A"/>
    <w:rsid w:val="00D7470F"/>
    <w:rsid w:val="00D77894"/>
    <w:rsid w:val="00D805B3"/>
    <w:rsid w:val="00D82DEE"/>
    <w:rsid w:val="00D85C75"/>
    <w:rsid w:val="00D97E61"/>
    <w:rsid w:val="00DA5830"/>
    <w:rsid w:val="00DB3339"/>
    <w:rsid w:val="00DB4D7C"/>
    <w:rsid w:val="00DB75BA"/>
    <w:rsid w:val="00DC3980"/>
    <w:rsid w:val="00DC54C5"/>
    <w:rsid w:val="00DC743F"/>
    <w:rsid w:val="00DD12DF"/>
    <w:rsid w:val="00DE0A3F"/>
    <w:rsid w:val="00DE2926"/>
    <w:rsid w:val="00DE76DB"/>
    <w:rsid w:val="00DF5ECA"/>
    <w:rsid w:val="00E02862"/>
    <w:rsid w:val="00E24889"/>
    <w:rsid w:val="00E30C5D"/>
    <w:rsid w:val="00E477F1"/>
    <w:rsid w:val="00E60014"/>
    <w:rsid w:val="00E7147B"/>
    <w:rsid w:val="00E851D9"/>
    <w:rsid w:val="00E91A09"/>
    <w:rsid w:val="00E939C8"/>
    <w:rsid w:val="00E97D08"/>
    <w:rsid w:val="00EA1416"/>
    <w:rsid w:val="00EA2D96"/>
    <w:rsid w:val="00EA2FD1"/>
    <w:rsid w:val="00EA7CC9"/>
    <w:rsid w:val="00EB2769"/>
    <w:rsid w:val="00EB5809"/>
    <w:rsid w:val="00EB5AA9"/>
    <w:rsid w:val="00EC55E0"/>
    <w:rsid w:val="00EC6CF4"/>
    <w:rsid w:val="00EC7FA3"/>
    <w:rsid w:val="00ED5C3F"/>
    <w:rsid w:val="00EE5410"/>
    <w:rsid w:val="00EE72C0"/>
    <w:rsid w:val="00EF6B76"/>
    <w:rsid w:val="00F0761E"/>
    <w:rsid w:val="00F11F99"/>
    <w:rsid w:val="00F20280"/>
    <w:rsid w:val="00F267CC"/>
    <w:rsid w:val="00F2724B"/>
    <w:rsid w:val="00F46666"/>
    <w:rsid w:val="00F7595F"/>
    <w:rsid w:val="00F778EB"/>
    <w:rsid w:val="00F868D5"/>
    <w:rsid w:val="00F95585"/>
    <w:rsid w:val="00FB052B"/>
    <w:rsid w:val="00FB0D50"/>
    <w:rsid w:val="00FC7722"/>
    <w:rsid w:val="00FD4890"/>
    <w:rsid w:val="00FD5108"/>
    <w:rsid w:val="00FD7B6E"/>
    <w:rsid w:val="00FE3FB9"/>
    <w:rsid w:val="00FE78BF"/>
    <w:rsid w:val="00FF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92E9F"/>
    <w:rPr>
      <w:sz w:val="24"/>
      <w:szCs w:val="24"/>
    </w:rPr>
  </w:style>
  <w:style w:type="paragraph" w:styleId="Nadpis1">
    <w:name w:val="heading 1"/>
    <w:basedOn w:val="Normln"/>
    <w:next w:val="Normln"/>
    <w:qFormat/>
    <w:rsid w:val="00892E9F"/>
    <w:pPr>
      <w:keepNext/>
      <w:widowControl w:val="0"/>
      <w:tabs>
        <w:tab w:val="left" w:pos="2160"/>
        <w:tab w:val="left" w:pos="6120"/>
      </w:tabs>
      <w:autoSpaceDE w:val="0"/>
      <w:autoSpaceDN w:val="0"/>
      <w:adjustRightInd w:val="0"/>
      <w:jc w:val="both"/>
      <w:outlineLvl w:val="0"/>
    </w:pPr>
    <w:rPr>
      <w:rFonts w:ascii="Verdana" w:hAnsi="Verdana"/>
      <w:b/>
      <w:bCs/>
      <w:sz w:val="16"/>
      <w:szCs w:val="16"/>
    </w:rPr>
  </w:style>
  <w:style w:type="paragraph" w:styleId="Nadpis2">
    <w:name w:val="heading 2"/>
    <w:basedOn w:val="Normln"/>
    <w:next w:val="Normln"/>
    <w:qFormat/>
    <w:rsid w:val="00892E9F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paragraph" w:styleId="Nadpis3">
    <w:name w:val="heading 3"/>
    <w:basedOn w:val="Normln"/>
    <w:next w:val="Normln"/>
    <w:qFormat/>
    <w:rsid w:val="00892E9F"/>
    <w:pPr>
      <w:keepNext/>
      <w:widowControl w:val="0"/>
      <w:tabs>
        <w:tab w:val="left" w:pos="6120"/>
      </w:tabs>
      <w:autoSpaceDE w:val="0"/>
      <w:autoSpaceDN w:val="0"/>
      <w:adjustRightInd w:val="0"/>
      <w:jc w:val="both"/>
      <w:outlineLvl w:val="2"/>
    </w:pPr>
    <w:rPr>
      <w:rFonts w:ascii="Verdana" w:hAnsi="Verdana"/>
      <w:i/>
      <w:iCs/>
      <w:sz w:val="20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2E9F"/>
    <w:pPr>
      <w:widowControl w:val="0"/>
      <w:autoSpaceDE w:val="0"/>
      <w:autoSpaceDN w:val="0"/>
      <w:adjustRightInd w:val="0"/>
      <w:jc w:val="both"/>
    </w:pPr>
    <w:rPr>
      <w:rFonts w:ascii="Verdana" w:hAnsi="Verdana"/>
      <w:sz w:val="16"/>
      <w:szCs w:val="16"/>
    </w:rPr>
  </w:style>
  <w:style w:type="paragraph" w:styleId="Zkladntext2">
    <w:name w:val="Body Text 2"/>
    <w:basedOn w:val="Normln"/>
    <w:rsid w:val="00892E9F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1"/>
      <w:szCs w:val="21"/>
    </w:rPr>
  </w:style>
  <w:style w:type="paragraph" w:styleId="Nzev">
    <w:name w:val="Title"/>
    <w:basedOn w:val="Normln"/>
    <w:qFormat/>
    <w:rsid w:val="00892E9F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paragraph" w:styleId="Zhlav">
    <w:name w:val="header"/>
    <w:basedOn w:val="Normln"/>
    <w:link w:val="ZhlavChar"/>
    <w:rsid w:val="00892E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92E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92E9F"/>
  </w:style>
  <w:style w:type="paragraph" w:styleId="Zkladntext3">
    <w:name w:val="Body Text 3"/>
    <w:basedOn w:val="Normln"/>
    <w:rsid w:val="00892E9F"/>
    <w:pPr>
      <w:widowControl w:val="0"/>
      <w:tabs>
        <w:tab w:val="left" w:pos="540"/>
      </w:tabs>
      <w:autoSpaceDE w:val="0"/>
      <w:autoSpaceDN w:val="0"/>
      <w:adjustRightInd w:val="0"/>
      <w:jc w:val="both"/>
    </w:pPr>
    <w:rPr>
      <w:szCs w:val="16"/>
    </w:rPr>
  </w:style>
  <w:style w:type="paragraph" w:styleId="Textbubliny">
    <w:name w:val="Balloon Text"/>
    <w:basedOn w:val="Normln"/>
    <w:semiHidden/>
    <w:rsid w:val="005350D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C7FA3"/>
    <w:pPr>
      <w:ind w:left="708"/>
    </w:pPr>
  </w:style>
  <w:style w:type="character" w:styleId="Odkaznakoment">
    <w:name w:val="annotation reference"/>
    <w:semiHidden/>
    <w:rsid w:val="0036301B"/>
    <w:rPr>
      <w:sz w:val="16"/>
      <w:szCs w:val="16"/>
    </w:rPr>
  </w:style>
  <w:style w:type="paragraph" w:styleId="Textkomente">
    <w:name w:val="annotation text"/>
    <w:basedOn w:val="Normln"/>
    <w:semiHidden/>
    <w:rsid w:val="0036301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6301B"/>
    <w:rPr>
      <w:b/>
      <w:bCs/>
    </w:rPr>
  </w:style>
  <w:style w:type="paragraph" w:styleId="Textpoznpodarou">
    <w:name w:val="footnote text"/>
    <w:basedOn w:val="Normln"/>
    <w:link w:val="TextpoznpodarouChar"/>
    <w:rsid w:val="0051520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1520A"/>
  </w:style>
  <w:style w:type="character" w:styleId="Znakapoznpodarou">
    <w:name w:val="footnote reference"/>
    <w:rsid w:val="0051520A"/>
    <w:rPr>
      <w:vertAlign w:val="superscript"/>
    </w:rPr>
  </w:style>
  <w:style w:type="character" w:customStyle="1" w:styleId="ZhlavChar">
    <w:name w:val="Záhlaví Char"/>
    <w:link w:val="Zhlav"/>
    <w:rsid w:val="00BA0E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2331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účetní standard pro některé vybrané účetní jednotky</vt:lpstr>
    </vt:vector>
  </TitlesOfParts>
  <Company>MF ČR</Company>
  <LinksUpToDate>false</LinksUpToDate>
  <CharactersWithSpaces>16057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účetní standard pro některé vybrané účetní jednotky</dc:title>
  <dc:creator>MF</dc:creator>
  <cp:lastModifiedBy>Grünerová Markéta Ing.</cp:lastModifiedBy>
  <cp:revision>7</cp:revision>
  <cp:lastPrinted>2012-10-04T13:29:00Z</cp:lastPrinted>
  <dcterms:created xsi:type="dcterms:W3CDTF">2013-12-18T15:04:00Z</dcterms:created>
  <dcterms:modified xsi:type="dcterms:W3CDTF">2014-02-19T15:48:00Z</dcterms:modified>
</cp:coreProperties>
</file>