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5F" w:rsidRPr="00E26D7C" w:rsidRDefault="00E26D7C" w:rsidP="00E26D7C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26D7C">
        <w:rPr>
          <w:rFonts w:ascii="Arial" w:hAnsi="Arial" w:cs="Arial"/>
          <w:b/>
          <w:sz w:val="20"/>
          <w:szCs w:val="20"/>
        </w:rPr>
        <w:t>Příloha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26D7C">
        <w:rPr>
          <w:rFonts w:ascii="Arial" w:hAnsi="Arial" w:cs="Arial"/>
          <w:b/>
          <w:sz w:val="20"/>
          <w:szCs w:val="20"/>
        </w:rPr>
        <w:t>č. 5</w:t>
      </w:r>
    </w:p>
    <w:p w:rsidR="005939F1" w:rsidRPr="008C6C5F" w:rsidRDefault="00CB0C64" w:rsidP="00793F03">
      <w:pPr>
        <w:ind w:firstLine="708"/>
        <w:jc w:val="center"/>
        <w:rPr>
          <w:rFonts w:ascii="Arial" w:hAnsi="Arial" w:cs="Arial"/>
          <w:b/>
          <w:sz w:val="24"/>
        </w:rPr>
      </w:pPr>
      <w:r w:rsidRPr="008C6C5F">
        <w:rPr>
          <w:rFonts w:ascii="Arial" w:hAnsi="Arial" w:cs="Arial"/>
          <w:b/>
          <w:sz w:val="24"/>
        </w:rPr>
        <w:t>S</w:t>
      </w:r>
      <w:r w:rsidR="005939F1" w:rsidRPr="008C6C5F">
        <w:rPr>
          <w:rFonts w:ascii="Arial" w:hAnsi="Arial" w:cs="Arial"/>
          <w:b/>
          <w:sz w:val="24"/>
        </w:rPr>
        <w:t>tandard finanční gramotnosti dospělého občana projektu SEKO</w:t>
      </w:r>
    </w:p>
    <w:tbl>
      <w:tblPr>
        <w:tblpPr w:leftFromText="141" w:rightFromText="141" w:vertAnchor="text" w:tblpXSpec="center" w:tblpY="1"/>
        <w:tblOverlap w:val="never"/>
        <w:tblW w:w="15946" w:type="dxa"/>
        <w:tblLayout w:type="fixed"/>
        <w:tblCellMar>
          <w:left w:w="70" w:type="dxa"/>
          <w:right w:w="70" w:type="dxa"/>
        </w:tblCellMar>
        <w:tblLook w:val="01A0" w:firstRow="1" w:lastRow="0" w:firstColumn="1" w:lastColumn="1" w:noHBand="0" w:noVBand="0"/>
      </w:tblPr>
      <w:tblGrid>
        <w:gridCol w:w="637"/>
        <w:gridCol w:w="1560"/>
        <w:gridCol w:w="1701"/>
        <w:gridCol w:w="1984"/>
        <w:gridCol w:w="7371"/>
        <w:gridCol w:w="2693"/>
      </w:tblGrid>
      <w:tr w:rsidR="00D227EB" w:rsidRPr="00722004" w:rsidTr="00CD7F6A">
        <w:trPr>
          <w:trHeight w:val="1215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D227EB" w:rsidRPr="00722004" w:rsidRDefault="00D227EB" w:rsidP="00C90C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3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227EB" w:rsidRDefault="00D227EB" w:rsidP="00D227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Cílový stav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Kvalifikační standard</w:t>
            </w:r>
          </w:p>
        </w:tc>
      </w:tr>
      <w:tr w:rsidR="00F65771" w:rsidRPr="00722004" w:rsidTr="00D227EB">
        <w:trPr>
          <w:trHeight w:val="1215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5771" w:rsidRPr="00722004" w:rsidRDefault="00F65771" w:rsidP="00C90C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65771" w:rsidRPr="00722004" w:rsidRDefault="00F65771" w:rsidP="00912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65771" w:rsidRPr="00722004" w:rsidRDefault="00F65771" w:rsidP="00912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Téma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65771" w:rsidRPr="00722004" w:rsidRDefault="00F65771" w:rsidP="00912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Podtéma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65771" w:rsidRPr="00722004" w:rsidRDefault="00F65771" w:rsidP="00912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Výsledek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(Profil absolventa)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65771" w:rsidRPr="00722004" w:rsidRDefault="00D227EB" w:rsidP="00D227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OVĚŘENÍ</w:t>
            </w:r>
          </w:p>
        </w:tc>
      </w:tr>
      <w:tr w:rsidR="000A2B2C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0A2B2C" w:rsidRDefault="000A2B2C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A2B2C" w:rsidRDefault="000A2B2C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A2B2C" w:rsidRPr="00722004" w:rsidRDefault="000A2B2C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0A2B2C" w:rsidRPr="00722004" w:rsidRDefault="000A2B2C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722004" w:rsidRDefault="000A2B2C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A. 1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Formy peněz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722004" w:rsidRDefault="000A2B2C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Hotovostní a bezhotovostní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peníze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Default="000A2B2C" w:rsidP="003716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Dokáže uvést rozdíly mezi hotovostními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>a bezhotovostními penězi.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317F36" w:rsidRDefault="000A2B2C" w:rsidP="003716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F6577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F65771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A. 1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Formy peněz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Hotovostní a bezhotovostní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peníze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1" w:rsidRPr="00722004" w:rsidRDefault="00F65771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Ví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, že padělání a pozměňování peněz, udávání padělaných a pozměněných peněz i neoprávněné opatření, padělání a pozměnění platebního prostředku je trestný čin.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1" w:rsidRPr="00317F36" w:rsidRDefault="000A2B2C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</w:t>
            </w:r>
            <w:r w:rsidR="00F65771">
              <w:rPr>
                <w:rFonts w:ascii="Arial" w:hAnsi="Arial" w:cs="Arial"/>
                <w:color w:val="000000"/>
                <w:lang w:eastAsia="cs-CZ"/>
              </w:rPr>
              <w:t>EBUDE OVĚŘOVÁNO</w:t>
            </w:r>
            <w:r w:rsidR="00F65771" w:rsidRPr="00317F36"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</w:tr>
      <w:tr w:rsidR="00F65771" w:rsidRPr="00317F36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A. 1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Formy peněz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Hotovostní a bezhotovostní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peníze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1" w:rsidRPr="00722004" w:rsidRDefault="00F65771" w:rsidP="000A2B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Zná pří</w:t>
            </w:r>
            <w:r w:rsidRPr="00722004">
              <w:rPr>
                <w:rFonts w:ascii="Arial" w:hAnsi="Arial" w:cs="Arial"/>
              </w:rPr>
              <w:t>slušnou právní úpravu (§ 233 až § 235 trestního zákoníku)</w:t>
            </w:r>
            <w:r>
              <w:rPr>
                <w:rStyle w:val="Znakapoznpodarou"/>
                <w:rFonts w:ascii="Arial" w:hAnsi="Arial"/>
              </w:rPr>
              <w:footnoteReference w:id="1"/>
            </w:r>
            <w:r w:rsidRPr="00722004">
              <w:rPr>
                <w:rFonts w:ascii="Arial" w:hAnsi="Arial" w:cs="Arial"/>
              </w:rPr>
              <w:t xml:space="preserve"> včetně možných sankcí.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71" w:rsidRPr="00317F36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F65771" w:rsidRPr="00317F36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A. 1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Formy peněz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Hotovostní a bezhotovostní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peníze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1" w:rsidRPr="00722004" w:rsidRDefault="00F65771" w:rsidP="00371603">
            <w:pPr>
              <w:spacing w:after="24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Zná základní zásady bezpečnosti při používání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>bezhotovostních peně</w:t>
            </w:r>
            <w:r w:rsidRPr="00851EDE">
              <w:rPr>
                <w:rFonts w:ascii="Arial" w:hAnsi="Arial" w:cs="Arial"/>
                <w:lang w:eastAsia="cs-CZ"/>
              </w:rPr>
              <w:t>z</w:t>
            </w:r>
            <w:r>
              <w:rPr>
                <w:rFonts w:ascii="Arial" w:hAnsi="Arial" w:cs="Arial"/>
                <w:lang w:eastAsia="cs-CZ"/>
              </w:rPr>
              <w:t>.</w:t>
            </w:r>
            <w:r w:rsidRPr="00140A63">
              <w:rPr>
                <w:rStyle w:val="Znakapoznpodarou"/>
                <w:rFonts w:ascii="Arial" w:hAnsi="Arial" w:cs="Arial"/>
              </w:rPr>
              <w:footnoteReference w:id="2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71" w:rsidRPr="00317F36" w:rsidRDefault="00D227EB" w:rsidP="003716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F65771" w:rsidRPr="00317F36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A. 1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Formy peněz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1" w:rsidRPr="00722004" w:rsidRDefault="00F65771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Hotovostní a bezhotovostní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peníze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1" w:rsidRPr="00722004" w:rsidRDefault="00F65771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bookmarkStart w:id="1" w:name="RANGE!D7"/>
            <w:bookmarkEnd w:id="1"/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jak postupovat, když má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>poškozenou/neúplnou bankovku.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71" w:rsidRPr="00317F36" w:rsidRDefault="00F65771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0A2B2C" w:rsidRPr="00317F36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0A2B2C" w:rsidRDefault="000A2B2C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A2B2C" w:rsidRDefault="000A2B2C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A2B2C" w:rsidRPr="00722004" w:rsidRDefault="000A2B2C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0A2B2C" w:rsidRPr="00722004" w:rsidRDefault="000A2B2C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722004" w:rsidRDefault="000A2B2C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A. 1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Formy peněz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722004" w:rsidRDefault="000A2B2C" w:rsidP="003716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Peníze vlastní a cizí/půjčené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722004" w:rsidRDefault="000A2B2C" w:rsidP="003716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Zná praktické rozdíly mezi vlastními a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>cizími (půjčenými) penězi.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2C" w:rsidRDefault="000A2B2C" w:rsidP="003716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0A2B2C" w:rsidRPr="00317F36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0A2B2C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A2B2C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A2B2C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A. 2 </w:t>
            </w:r>
          </w:p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Placení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Způsoby placení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hotovostní a bezhotovostní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722004" w:rsidRDefault="000A2B2C" w:rsidP="000A2B2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 xml:space="preserve">Zná limit pro hotovostní platby </w:t>
            </w:r>
            <w:r w:rsidRPr="00722004">
              <w:rPr>
                <w:rFonts w:ascii="Arial" w:hAnsi="Arial" w:cs="Arial"/>
              </w:rPr>
              <w:t>ve vazbě na zákon č. 254/2004 Sb. v platném znění.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2C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0A2B2C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A. 2 </w:t>
            </w:r>
          </w:p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Placení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Způsoby placení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hotovostní a bezhotovostní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bookmarkStart w:id="2" w:name="RANGE!D11"/>
            <w:bookmarkEnd w:id="2"/>
            <w:r w:rsidRPr="00722004">
              <w:rPr>
                <w:rFonts w:ascii="Arial" w:hAnsi="Arial" w:cs="Arial"/>
                <w:color w:val="000000"/>
                <w:lang w:eastAsia="cs-CZ"/>
              </w:rPr>
              <w:t>Zná rozdíly mezi jednotlivými možnostmi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 xml:space="preserve"> bezhotovostního placení (platba prostřednictví</w:t>
            </w:r>
            <w:r>
              <w:rPr>
                <w:rFonts w:ascii="Arial" w:hAnsi="Arial" w:cs="Arial"/>
                <w:color w:val="000000"/>
                <w:lang w:eastAsia="cs-CZ"/>
              </w:rPr>
              <w:t>m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terminálu v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obchodě/PO</w:t>
            </w:r>
            <w:r>
              <w:rPr>
                <w:rFonts w:ascii="Arial" w:hAnsi="Arial" w:cs="Arial"/>
                <w:color w:val="000000"/>
                <w:lang w:eastAsia="cs-CZ"/>
              </w:rPr>
              <w:t>S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, platba platební kartou na internetu, internetové bankovnictví).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2C" w:rsidRPr="00317F36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0A2B2C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9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A. 2 </w:t>
            </w:r>
          </w:p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Placení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Platební karty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–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rozdíly a druhy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Zná možnosti využití platebních karet (včetně rizik spojených s jejich užíváním).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2C" w:rsidRPr="00317F36" w:rsidRDefault="000A2B2C" w:rsidP="000A2B2C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0A2B2C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10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A. 2 </w:t>
            </w:r>
          </w:p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Placení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Platební karty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–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rozdíly a druhy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co je bezkontaktní placení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 xml:space="preserve"> u obchodníka a jeho náležitosti.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2C" w:rsidRPr="00317F36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0A2B2C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A. 2 </w:t>
            </w:r>
          </w:p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Placení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Platební karty rozdíly a druhy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jak post</w:t>
            </w:r>
            <w:r>
              <w:rPr>
                <w:rFonts w:ascii="Arial" w:hAnsi="Arial" w:cs="Arial"/>
                <w:color w:val="000000"/>
                <w:lang w:eastAsia="cs-CZ"/>
              </w:rPr>
              <w:t>upovat při ztrátě platební karty.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2C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0A2B2C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A. 2 </w:t>
            </w:r>
          </w:p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Placení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Cena zboží/služeb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její tvorba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(základy tvorby cen peněžních produktů)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C" w:rsidRPr="00722004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Zná rozdíl mezi konečnou cenou a cenou bez DPH.</w:t>
            </w:r>
            <w:r w:rsidRPr="00722004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2C" w:rsidRDefault="000A2B2C" w:rsidP="000A2B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05358C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C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A. 2 </w:t>
            </w:r>
          </w:p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Placení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Cena zboží/služeb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její tvorba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(základy tvorby cen peněžních produktů)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Zná rozdíl mezi úrokovou sazbou a poplatkem.</w:t>
            </w:r>
            <w:r w:rsidRPr="00722004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8C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05358C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C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A. 3 </w:t>
            </w:r>
          </w:p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Cena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a hodnota peněz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Hodnota peněz a inflace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množství zboží a služeb, které lze pořídit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 xml:space="preserve">za určitou částku peněz, se v čase mění – zejména v důsledku inflace (zná důsledek inflace).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8C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05358C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A. 3 </w:t>
            </w:r>
          </w:p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Cena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a hodnota peněz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Hodnota peněz a inflace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C" w:rsidRPr="00722004" w:rsidDel="004F7172" w:rsidRDefault="0005358C" w:rsidP="0005358C">
            <w:pPr>
              <w:jc w:val="center"/>
              <w:rPr>
                <w:rFonts w:ascii="Arial" w:hAnsi="Arial" w:cs="Arial"/>
                <w:color w:val="FF0000"/>
              </w:rPr>
            </w:pPr>
            <w:r w:rsidRPr="00722004">
              <w:rPr>
                <w:rFonts w:ascii="Arial" w:hAnsi="Arial" w:cs="Arial"/>
              </w:rPr>
              <w:t>Zná pojmy kupní síla peněz,</w:t>
            </w:r>
            <w:r w:rsidRPr="00722004">
              <w:rPr>
                <w:rFonts w:ascii="Arial" w:hAnsi="Arial" w:cs="Arial"/>
                <w:iCs/>
              </w:rPr>
              <w:t xml:space="preserve"> míra inflace, index spotřebitelských cen.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8C" w:rsidRPr="00317F36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05358C" w:rsidRPr="00722004" w:rsidTr="00D227EB">
        <w:trPr>
          <w:trHeight w:val="1795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A. 3 </w:t>
            </w:r>
          </w:p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Cena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a hodnota peněz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Hodnota peněz a inflace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C" w:rsidRPr="00722004" w:rsidDel="004F7172" w:rsidRDefault="0005358C" w:rsidP="0005358C">
            <w:pPr>
              <w:jc w:val="center"/>
              <w:rPr>
                <w:rFonts w:ascii="Arial" w:hAnsi="Arial" w:cs="Arial"/>
                <w:color w:val="FF0000"/>
              </w:rPr>
            </w:pPr>
            <w:r w:rsidRPr="00722004">
              <w:rPr>
                <w:rFonts w:ascii="Arial" w:hAnsi="Arial" w:cs="Arial"/>
                <w:iCs/>
              </w:rPr>
              <w:t>Zná přibližnou míru inflace v ČR.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8C" w:rsidRPr="00317F36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05358C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A. 3 </w:t>
            </w:r>
          </w:p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Cena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a hodnota peněz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Hodnota peněz a inflace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C" w:rsidRPr="00722004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Zná obvyklé úrokové sazby u základních s</w:t>
            </w:r>
            <w:r>
              <w:rPr>
                <w:rFonts w:ascii="Arial" w:hAnsi="Arial" w:cs="Arial"/>
                <w:color w:val="000000"/>
                <w:lang w:eastAsia="cs-CZ"/>
              </w:rPr>
              <w:t>poři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cích a úvěrových produktů (běžný účet, spořicí účet, spotřebitelský úvěr, hypotéční úvěr, kreditní karta)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8C" w:rsidRPr="00317F36" w:rsidRDefault="0005358C" w:rsidP="0005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A. 3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Cena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a hodnota peněz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Znalost základních matematických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pojmů a operací – procento, přímá a nepřímá úměra, úrok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D23C7">
              <w:rPr>
                <w:rFonts w:ascii="Arial" w:hAnsi="Arial" w:cs="Arial"/>
                <w:color w:val="000000"/>
                <w:lang w:eastAsia="cs-CZ"/>
              </w:rPr>
              <w:t xml:space="preserve">Umí použít </w:t>
            </w:r>
            <w:r>
              <w:rPr>
                <w:rFonts w:ascii="Arial" w:hAnsi="Arial" w:cs="Arial"/>
                <w:color w:val="000000"/>
                <w:lang w:eastAsia="cs-CZ"/>
              </w:rPr>
              <w:t>základní matematické operace</w:t>
            </w:r>
            <w:r>
              <w:rPr>
                <w:rFonts w:ascii="Arial" w:hAnsi="Arial" w:cs="Arial"/>
                <w:color w:val="000000"/>
                <w:lang w:eastAsia="cs-CZ"/>
              </w:rPr>
              <w:br/>
              <w:t xml:space="preserve"> - </w:t>
            </w:r>
            <w:r w:rsidRPr="007D23C7">
              <w:rPr>
                <w:rFonts w:ascii="Arial" w:hAnsi="Arial" w:cs="Arial"/>
                <w:color w:val="000000"/>
                <w:lang w:eastAsia="cs-CZ"/>
              </w:rPr>
              <w:t>zejména procenta, přímou a nepřímou úměru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65114" w:rsidRDefault="00B65114" w:rsidP="00B651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A. 3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Cena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a hodnota peněz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Znalost základních matematických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pojmů a operací – procento, přímá a nepřímá úměra, úrok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D23C7">
              <w:rPr>
                <w:rFonts w:ascii="Arial" w:hAnsi="Arial" w:cs="Arial"/>
                <w:color w:val="000000"/>
                <w:lang w:eastAsia="cs-CZ"/>
              </w:rPr>
              <w:t>Dokáže převést rozdíl ceny v procentech na Kč a rozdíl v Kč na procenta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A. 3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Cena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a hodnota peněz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Znalost základních matematických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pojmů a operací – procento, přímá a nepřímá úměra, úrok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D23C7">
              <w:rPr>
                <w:rFonts w:ascii="Arial" w:hAnsi="Arial" w:cs="Arial"/>
                <w:color w:val="000000"/>
                <w:lang w:eastAsia="cs-CZ"/>
              </w:rPr>
              <w:t>Rozliší použití přímé a nepřímé úměry v různých situacích použití peněz a směny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A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A. 3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Cena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a hodnota peněz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Znalost základních matematických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pojmů a operací – procento, přímá a nepřímá úměra, úrok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D23C7">
              <w:rPr>
                <w:rFonts w:ascii="Arial" w:hAnsi="Arial" w:cs="Arial"/>
                <w:color w:val="000000"/>
                <w:lang w:eastAsia="cs-CZ"/>
              </w:rPr>
              <w:t>Dokáže převést úrok dané částky uvedený v procentech za jednotkové časové období (měsíc, rok) na částku za celkové období v</w:t>
            </w:r>
            <w:r>
              <w:rPr>
                <w:rFonts w:ascii="Arial" w:hAnsi="Arial" w:cs="Arial"/>
                <w:color w:val="000000"/>
                <w:lang w:eastAsia="cs-CZ"/>
              </w:rPr>
              <w:t> </w:t>
            </w:r>
            <w:r w:rsidRPr="007D23C7">
              <w:rPr>
                <w:rFonts w:ascii="Arial" w:hAnsi="Arial" w:cs="Arial"/>
                <w:color w:val="000000"/>
                <w:lang w:eastAsia="cs-CZ"/>
              </w:rPr>
              <w:t>Kč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BUDĚ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A. 3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Cena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a hodnota peněz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Znalost základních matematických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pojmů a operací – procento, přímá a nepřímá úměra, úrok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pro výpočty úroků může použít online finanční kalkulátory na internetových stránkách nebo šablony tabulkových kalkulátorů.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A. Peníze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A. 3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Cena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a hodnota peněz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Znalost základních matematických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pojmů a operací – procento, přímá a nepřímá úměra, úrok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Zná příklady online finančních kalkulátorů na internetových stránkách nebo šablony tabulkových kalkulátorů.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Základní typy příjmů a výdajů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Rozlišuje základní typy příjmů a výdajů domácnosti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  <w:r w:rsidRPr="00722004">
              <w:rPr>
                <w:rStyle w:val="Znakapoznpodarou"/>
                <w:rFonts w:ascii="Arial" w:hAnsi="Arial" w:cs="Arial"/>
                <w:color w:val="000000"/>
                <w:lang w:eastAsia="cs-CZ"/>
              </w:rPr>
              <w:footnoteReference w:id="3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74963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2545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Základní typy příjmů a výdajů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Dokáže správně určit: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>• výdaje povinné a nezbytné (z pohledu sankcionality)</w:t>
            </w:r>
            <w:r w:rsidRPr="00722004">
              <w:rPr>
                <w:rStyle w:val="Znakapoznpodarou"/>
                <w:rFonts w:ascii="Arial" w:hAnsi="Arial" w:cs="Arial"/>
                <w:color w:val="000000"/>
                <w:lang w:eastAsia="cs-CZ"/>
              </w:rPr>
              <w:footnoteReference w:id="4"/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>• výdaje nezbytné</w:t>
            </w:r>
            <w:r w:rsidRPr="00722004">
              <w:rPr>
                <w:rStyle w:val="Znakapoznpodarou"/>
                <w:rFonts w:ascii="Arial" w:hAnsi="Arial" w:cs="Arial"/>
                <w:color w:val="000000"/>
                <w:lang w:eastAsia="cs-CZ"/>
              </w:rPr>
              <w:footnoteReference w:id="5"/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>• výdaje zbytné, které nejsou vynakládány ani ze zákonné povinnosti včetně dříve uzavřených smluv, ani pro zajištění základních životních podmínek.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74963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561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4" w:rsidRPr="00722004" w:rsidRDefault="00B65114" w:rsidP="00B651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722004">
              <w:rPr>
                <w:rFonts w:ascii="Arial" w:hAnsi="Arial" w:cs="Arial"/>
                <w:b/>
              </w:rPr>
              <w:t>ozpočet domácnosti, rozpočet přebytkový, vyrovnaný a schodkový (deficitní), sestavení domácího rozpočtu, jednorázové větší výdaje a nahodilé příjmy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sestavení rozpočtu a vedení příjmů a výdajů domácnosti je hlavní pomůcka pro ujasnění finančních možností.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E736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4" w:rsidRPr="00722004" w:rsidRDefault="00B65114" w:rsidP="00B65114">
            <w:pPr>
              <w:jc w:val="center"/>
              <w:rPr>
                <w:rFonts w:ascii="Arial" w:hAnsi="Arial" w:cs="Arial"/>
                <w:b/>
              </w:rPr>
            </w:pPr>
            <w:r w:rsidRPr="00722004">
              <w:rPr>
                <w:rFonts w:ascii="Arial" w:hAnsi="Arial" w:cs="Arial"/>
                <w:b/>
              </w:rPr>
              <w:t>Rozpočet domácnosti, rozpočet přebytkový, vyrovnaný a schodkový (deficitní), sestavení domácího rozpočtu, jednorázové větší výdaje a nahodilé příjmy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Dokáže sestavit rozpočet pro dané období s využitím zadaných obvyklých příjmů a výdajů celkem za toto období a stanovit výslednou částku rozpočtu.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B65114">
        <w:trPr>
          <w:trHeight w:val="699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4" w:rsidRPr="00722004" w:rsidRDefault="00B65114" w:rsidP="00B651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722004">
              <w:rPr>
                <w:rFonts w:ascii="Arial" w:hAnsi="Arial" w:cs="Arial"/>
                <w:b/>
              </w:rPr>
              <w:t>ozpočet domácnosti, rozpočet přebytkový, vyrovnaný a schodkový (deficitní), sestavení domácího rozpočtu, jednorázové větší výdaje a nahodilé příjmy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Rozlišuje rozpočet přebytkový, vyrovnaný a schodkový.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702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4" w:rsidRPr="00722004" w:rsidRDefault="00B65114" w:rsidP="00B651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722004">
              <w:rPr>
                <w:rFonts w:ascii="Arial" w:hAnsi="Arial" w:cs="Arial"/>
                <w:b/>
              </w:rPr>
              <w:t>ozpočet domácnosti, rozpočet přebytkový, vyrovnaný a schodkový (deficitní), sestavení domácího rozpočtu, jednorázové větší výdaje a nahodilé příjmy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</w:t>
            </w:r>
            <w:r>
              <w:rPr>
                <w:rFonts w:ascii="Arial" w:hAnsi="Arial" w:cs="Arial"/>
                <w:color w:val="000000"/>
                <w:lang w:eastAsia="cs-CZ"/>
              </w:rPr>
              <w:t>í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, že při plánování rozpočtu není vhodné započítávat nahodilé příjmy a že je třeba tvořit finanční rezervu zejména na jednorázové větší výdaje.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4" w:rsidRPr="00722004" w:rsidRDefault="00B65114" w:rsidP="00B651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722004">
              <w:rPr>
                <w:rFonts w:ascii="Arial" w:hAnsi="Arial" w:cs="Arial"/>
                <w:b/>
              </w:rPr>
              <w:t>ozpočet domácnosti, rozpočet přebytkový, vyrovnaný a schodkový (deficitní), sestavení domácího rozpočtu, jednorázové větší výdaje a nahodilé příjmy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rozpočet schodkový, popř. vyrovnaný, se dá upravit na rozpočet přebytkový úpravou (výdajových) položek rozpočtu.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4" w:rsidRPr="00722004" w:rsidRDefault="00B65114" w:rsidP="00B651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722004">
              <w:rPr>
                <w:rFonts w:ascii="Arial" w:hAnsi="Arial" w:cs="Arial"/>
                <w:b/>
              </w:rPr>
              <w:t>ozpočet domácnosti, rozpočet přebytkový, vyrovnaný a schodkový (deficitní), sestavení domácího rozpočtu, jednorázové větší výdaje a nahodilé příjmy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</w:rPr>
              <w:t>V rozpočtu učí, ve kterém měsíci nebo dni bude součet výdajů vyšší než součet příjmů vzhledem k počátku období rozpočtu (cash-flow pro daný měsíc nebo den bude záporný).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E736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4" w:rsidRPr="00722004" w:rsidRDefault="00B65114" w:rsidP="00B6511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</w:rPr>
              <w:t>Rozpočet domácnosti, rozpočet přebytkový, vyrovnaný a schodkový (deficitní), sestavení domácího rozpočtu, jednorázové větší výdaje a nahodilé příjmy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</w:rPr>
              <w:t>Ví, že do rozpočtu může uvažovat s příjmem z prodeje osobního/rodinného hmotného majetku nebo z výnosů finančního majetku.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8D27F4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4" w:rsidRPr="00722004" w:rsidRDefault="00B65114" w:rsidP="00B6511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722004">
              <w:rPr>
                <w:rFonts w:ascii="Arial" w:hAnsi="Arial" w:cs="Arial"/>
                <w:b/>
              </w:rPr>
              <w:t>ozpočet domácnosti, rozpočet přebytkový, vyrovnaný a schodkový (deficitní), sestavení domácího rozpočtu, jednorázové větší výdaje a nahodilé příjmy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</w:rPr>
              <w:t>Zná prakticky použitelnou elektronickou a veřejně přístupnou (na internetových stránkách) pomůcku pro zpracování rozpočtu domácnosti (on-line tabulku nebo list tabulkového kalkulátoru automaticky počítající potřebné hodnoty).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B65114" w:rsidRPr="00722004" w:rsidTr="00D227EB">
        <w:trPr>
          <w:trHeight w:val="1504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Majetek a závazky domácnosti, společné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jmění manželů (SJM), břemeno a zástava, vzájemné zastupování manželů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Zná rozdíl mezi penězi, hmotným majetkem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 xml:space="preserve"> a nehmotným majetkem, majetkem vlastním a</w:t>
            </w:r>
            <w:r>
              <w:rPr>
                <w:rFonts w:ascii="Arial" w:hAnsi="Arial" w:cs="Arial"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cizím.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8D2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CB0C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FC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Majetek a závazky domácnosti, společné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jmění manželů (SJM), břemeno a zástava, vzájemné zastupování manželů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 xml:space="preserve">Zná věcná práva </w:t>
            </w:r>
            <w:r>
              <w:rPr>
                <w:rFonts w:ascii="Arial" w:hAnsi="Arial" w:cs="Arial"/>
                <w:lang w:eastAsia="cs-CZ"/>
              </w:rPr>
              <w:t xml:space="preserve">a služebnosti </w:t>
            </w:r>
            <w:r w:rsidRPr="00722004">
              <w:rPr>
                <w:rFonts w:ascii="Arial" w:hAnsi="Arial" w:cs="Arial"/>
                <w:lang w:eastAsia="cs-CZ"/>
              </w:rPr>
              <w:t>– vlastnické právo, věcné právo k věci cizí (zástavní právo, věcné břemeno, zadržovací právo a předkupní právo).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CB0C6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FC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Majetek a závazky domácnosti, společné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jmění manželů (SJM), břemeno a zástava, vzájemné zastupování manželů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 xml:space="preserve">Ví, </w:t>
            </w:r>
            <w:r>
              <w:rPr>
                <w:rFonts w:ascii="Arial" w:hAnsi="Arial" w:cs="Arial"/>
                <w:lang w:eastAsia="cs-CZ"/>
              </w:rPr>
              <w:t>co znamená</w:t>
            </w:r>
            <w:r w:rsidRPr="00722004">
              <w:rPr>
                <w:rFonts w:ascii="Arial" w:hAnsi="Arial" w:cs="Arial"/>
                <w:lang w:eastAsia="cs-CZ"/>
              </w:rPr>
              <w:t xml:space="preserve"> spoluvlastnictví a podílové spoluvlastnictví.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CB0C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FC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Majetek a závazky domácnosti, společné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jmění manželů (SJM), břemeno a zástava, vzájemné zastupování manželů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A367F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Zná rozdíl mezi nemovitostí a movitým majetkem.</w:t>
            </w:r>
            <w:r>
              <w:rPr>
                <w:rStyle w:val="Znakapoznpodarou"/>
                <w:rFonts w:ascii="Arial" w:hAnsi="Arial"/>
                <w:lang w:eastAsia="cs-CZ"/>
              </w:rPr>
              <w:footnoteReference w:id="6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FC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Majetek a závazky domácnosti, společné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jmění manželů (SJM), břemeno a zástava, vzájemné zastupování manželů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důsle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dkem vlastnictví majetku a jeho užívání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bývají i výdaje,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7"/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a že tyto výdaje musejí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být zahrnuty do rozpočtu domácnosti</w:t>
            </w:r>
            <w:r w:rsidRPr="00722004">
              <w:rPr>
                <w:rFonts w:ascii="Arial" w:hAnsi="Arial" w:cs="Arial"/>
                <w:color w:val="C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CB0C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FC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Majetek a závazky domácnosti, společné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jmění manželů (SJM), břemeno a zástava, vzájemné zastupování manželů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k věcnému břemenu patří podmínky, které musí strpět</w:t>
            </w:r>
            <w:r>
              <w:rPr>
                <w:rFonts w:ascii="Arial" w:hAnsi="Arial" w:cs="Arial"/>
                <w:color w:val="000000"/>
                <w:lang w:eastAsia="cs-CZ"/>
              </w:rPr>
              <w:t>, a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podmínky, za kterých se břemeno ruší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40.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FC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Majetek a závazky domácnosti, společné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jmění manželů (SJM), břemeno a zástava, vzájemné zastupování manželů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zástava slouží k zajištění pohledávky (a jejího případného příslušenství)</w:t>
            </w:r>
            <w:r>
              <w:rPr>
                <w:rFonts w:ascii="Arial" w:hAnsi="Arial" w:cs="Arial"/>
                <w:color w:val="000000"/>
                <w:lang w:eastAsia="cs-CZ"/>
              </w:rPr>
              <w:t>,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a ví, že při nedodržení sv</w:t>
            </w:r>
            <w:r>
              <w:rPr>
                <w:rFonts w:ascii="Arial" w:hAnsi="Arial" w:cs="Arial"/>
                <w:color w:val="000000"/>
                <w:lang w:eastAsia="cs-CZ"/>
              </w:rPr>
              <w:t>ého závazku splatit pohledávku se může zástava stát předmětem exekuce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41.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FC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Majetek a závazky domácnosti, společné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jmění manželů (SJM), břemeno a zástava, vzájemné zastupování manželů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nárok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na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některé dávky nelze uplatnit např. tehdy, když má majetek, který je možné prodat a mít z něj příjem do rozpočtu domácnosti.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42.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FC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Majetek a závazky domácnosti, společné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jmění manželů (SJM), břemeno a zástava, vzájemné zastupování manželů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existuje společné jmění manželů (SJM), který majetek do SJM spadá a důsledky z toho plynoucí.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43.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FC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Majetek a závazky domácnosti, společné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jmění manželů (SJM), břemeno a zástava, vzájemné zastupování manželů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kterým právním předpisem je upraveno SJM.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44.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FC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Majetek a závazky domácnosti, společné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jmění manželů (SJM), břemeno a zástava, vzájemné zastupování manželů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A367F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Zná význam společného jmění manželů pro vlastnictví majetku, ví o možnosti uzavření Dohody o zúžení společného jmění manželů.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45.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FC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Majetek a závazky domácnosti, společné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jmění manželů (SJM), břemeno a zástava, vzájemné zastupování manželů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Zná základní skutečnosti týkající se zastupování manželů.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46.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FC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Majetek a závazky domácnosti, společné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jmění manželů (SJM), břemeno a zástava, vzájemné zastupování manželů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K problematice zastupování manželů zná odkaz na příslušný právní předpis.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8D27F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47.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FC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Tvorba finanční rezervy,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odložená spotřeba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Chápe význam finanční rezervy na udržení schopnosti splácet krátkodobé závazky a pro případ nenadálých okolností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8"/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48.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FC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Rozpočet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Tvorba finanční rezervy,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odložená spotřeba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A367F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Chápe význam odložené spotřeby.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8D2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49.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B. 2 Nemocenské pojištění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Definice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jaké dávky se z nemocenského pojištění poskytují a kdy je účastníkem tohoto pojištění.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8D2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50.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B. 2 Nemocenské pojištění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Definice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na který úřad se obrátit pro získání závazných informací t</w:t>
            </w:r>
            <w:r>
              <w:rPr>
                <w:rFonts w:ascii="Arial" w:hAnsi="Arial" w:cs="Arial"/>
                <w:color w:val="000000"/>
                <w:lang w:eastAsia="cs-CZ"/>
              </w:rPr>
              <w:t>ý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kajících se nemocenské, ošetřovného a peněžité pomoci v</w:t>
            </w:r>
            <w:r>
              <w:rPr>
                <w:rFonts w:ascii="Arial" w:hAnsi="Arial" w:cs="Arial"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mateřství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51.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B. 2 Nemocenské pojištění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Definice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D23C7">
              <w:rPr>
                <w:rFonts w:ascii="Arial" w:hAnsi="Arial" w:cs="Arial"/>
                <w:color w:val="000000"/>
                <w:lang w:eastAsia="cs-CZ"/>
              </w:rPr>
              <w:t>Ví, že zaměstnanec je na základě plateb sociálního pojištění vždy důchodově a nemocensky pojištěn.</w:t>
            </w:r>
            <w:r w:rsidRPr="007D23C7"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9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52.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2 Nemocenské pojištění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uplatnění nároku na dávku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Dočasná pracovní neschopnost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komu je nezbytné předložit tiskopisy k uplatnění nároku na náhradu mzdy z nemocenského pojištění, pokud je uznán lékařem práce neschopným.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53.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lang w:eastAsia="cs-CZ"/>
              </w:rPr>
              <w:t>B. 2 N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emocenské pojištění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uplatnění nároku na dávku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Dočasná pracovní neschopnost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zaměstnavatel poskytuje náhradu mzdy v</w:t>
            </w:r>
            <w:r>
              <w:rPr>
                <w:rFonts w:ascii="Arial" w:hAnsi="Arial" w:cs="Arial"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prvních 21 dnech trvá</w:t>
            </w:r>
            <w:r>
              <w:rPr>
                <w:rFonts w:ascii="Arial" w:hAnsi="Arial" w:cs="Arial"/>
                <w:color w:val="000000"/>
                <w:lang w:eastAsia="cs-CZ"/>
              </w:rPr>
              <w:t>ní pracovní neschopnosti, ale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cs-CZ"/>
              </w:rPr>
              <w:t>pouze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pokud zaměstnání po tuto dobu trvá.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54.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lang w:eastAsia="cs-CZ"/>
              </w:rPr>
              <w:t>B. 2 N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emocenské pojištění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uplatnění nároku na dávku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Ochranná lhůta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i po skončení zaměstnání může být poskytována nemocenská a peněžitá pomoc v mateřství, i když je uchazeč o zaměstnání v evidenci Úřadu práce.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55.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lang w:eastAsia="cs-CZ"/>
              </w:rPr>
              <w:t xml:space="preserve">B. 2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Nemocenské pojištění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uplatnění nároku na dávku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Ochranná lhůta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kde se nárok na náhradu mzdy z nemocenského pojištění uplatňuje po ukončení pracovně-právního vztahu se zaměstnavatelem.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56.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B. 2 Nemocenské pojištění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nárok na peněžitou pomoc v mateřství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Doba účasti na nemocenském pojištění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pro nárok na peněžitou pomoc v mateřství je nezbytné splnit lhůtu min. 270 dnů ú</w:t>
            </w:r>
            <w:r>
              <w:rPr>
                <w:rFonts w:ascii="Arial" w:hAnsi="Arial" w:cs="Arial"/>
                <w:color w:val="000000"/>
                <w:lang w:eastAsia="cs-CZ"/>
              </w:rPr>
              <w:t>čast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i na nemocenském pojištění, lhůta se započítává za poslední dva roky před počátkem přiznání peněžité pomoci v mateřství a že začátek čerpání peněžité pomoci mateřství si určuje pojištěná sama</w:t>
            </w:r>
            <w:r>
              <w:rPr>
                <w:rFonts w:ascii="Arial" w:hAnsi="Arial" w:cs="Arial"/>
                <w:color w:val="000000"/>
                <w:lang w:eastAsia="cs-CZ"/>
              </w:rPr>
              <w:t>,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a to 6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až 8 týdnů před termínem porodu.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57.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B. 2 Nemocenské pojištění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 xml:space="preserve">-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nárok na peněžitou pomoc v mateřství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Doba účasti na nemocenském pojištění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doba vedení v evidenci uchazečů o zaměstnání na ÚP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se nepovažuje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za dobu účasti na nemocenském pojištění</w:t>
            </w:r>
            <w:r w:rsidR="00A367FC">
              <w:rPr>
                <w:rFonts w:ascii="Arial" w:hAnsi="Arial" w:cs="Arial"/>
                <w:color w:val="000000"/>
                <w:lang w:eastAsia="cs-CZ"/>
              </w:rPr>
              <w:t>,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a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že se nezapočítává do 270 dnů účasti na nemocenském pojištění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8D2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A36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58.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A367FC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lang w:eastAsia="cs-CZ"/>
              </w:rPr>
              <w:t>B</w:t>
            </w:r>
            <w:r w:rsidR="00B65114"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. 2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Pojistné na sociální zabezpečení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placení pojistného na sociální zabezpečení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A367FC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z</w:t>
            </w:r>
            <w:r w:rsidR="00B65114"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a zaměstnance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za odvody na sociální a zdravotní pojištění zaměstnavatele za zaměstnance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je odpovědný zaměstnavatel.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59.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2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Pojistné na sociální zabezpečení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placení pojistného na sociální zabezpečení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za OSVČ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je osoba samostatně výdělečně činná povinna oznámit okresní správě sociálního zabezpečení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a zdravotní pojišťovně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den, kdy zahájila (přerušila/ukončila) výdělečnou činnost.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60.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2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Po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jistné na sociální zabezpečení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br/>
              <w:t>-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placení pojistného na sociální zabezpečení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za OSVČ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kde zjistí závaznou informaci, zda je povinen platit zálohy na sociální zabezpečení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a zdravotní pojištění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při zahájení samostatné výdělečné činnosti.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61.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B. 2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Pojistné na sociální zabezpečení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dluhy na pojistném na sociální zabezpečení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za zaměstnance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zaměstnanec se n</w:t>
            </w:r>
            <w:r>
              <w:rPr>
                <w:rFonts w:ascii="Arial" w:hAnsi="Arial" w:cs="Arial"/>
                <w:color w:val="000000"/>
                <w:lang w:eastAsia="cs-CZ"/>
              </w:rPr>
              <w:t>emůže stát dlužníkem za neúhrady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pojistného na sociální zabezpečení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a zdravotního pojištění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, za tyto dluhy je odpovědný pouze zaměstnavatel.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62.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B. 2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Pojistné na sociální zabezpečení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dluhy na pojistném na sociální zabezpečení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za OSVČ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po ukončení samostatné výdělečné činnosti nenabíhá z dlužného pojistného na sociální zabezpečení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a zdravotní pojištění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penále.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10"/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 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63.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B. 3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Penzijní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systém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Tří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pilířový penzijní systém v ČR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(obecná struktura)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Zná základní rozdíly tří pilířů penzijního systému.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64.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3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Penzijní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systém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Tří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pilířový penzijní systém v ČR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(obecná struktura)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účast v prvním pilíři důchodové reformy je financována z odvodů a účast v něm je pro zaměstnance a OSVČ povinná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65.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3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Penzijní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systém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Tří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pilířový penzijní systém v ČR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(obecná struktura)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kam se obrátit pro zjištění přibližné výše starobního důchodu.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66.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B. 3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Penzijní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systém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Tří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pilířový penzijní systém v ČR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(obecná struktura)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účast v druhém pilíři je dobrovolná, ale není možné z něj vystoupit.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67.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B. 3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Penzijní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systém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Tří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pilířový penzijní systém v ČR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(obecná struktura)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Ví, že s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távající průběžný systém financování důchodů je neudržitelný z důvodu demografického vývoje</w:t>
            </w:r>
            <w:r>
              <w:rPr>
                <w:rFonts w:ascii="Arial" w:hAnsi="Arial" w:cs="Arial"/>
                <w:color w:val="000000"/>
                <w:lang w:eastAsia="cs-CZ"/>
              </w:rPr>
              <w:t>,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a proto je vhodné, aby si všichni průběžně tvořili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finanční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rezervy na stáří.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68.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B. 3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Penzijní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systém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Typy důchodů (starobní, předčasný, invalidní)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přiznání řádného starobního důchodu ovlivňuje doba, po kterou byl pojištěn na sociálním zabezpečení a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že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je odlišná podle pohlaví, a u žen dle počtu dětí</w:t>
            </w:r>
            <w:r>
              <w:rPr>
                <w:rFonts w:ascii="Arial" w:hAnsi="Arial" w:cs="Arial"/>
                <w:color w:val="000000"/>
                <w:lang w:eastAsia="cs-CZ"/>
              </w:rPr>
              <w:t>, a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že se tyto podmínky mohou v čase měnit.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367FC" w:rsidRDefault="00A367FC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69.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3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Penzijní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systém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Typy důchodů (starobní, předčasný, invalidní)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může požádat o předčasný důchod. Ví, že při odchodu do předčasného důchodu dochází ke krácení výměry výše důchodu.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70.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B. 3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Penzijní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systém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Typy důchodů (starobní, předčasný, invalidní)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invalidní důchod (tři stupně invalidity) je dávka důchodového pojištění, která má sloužit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k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zabezpečení těch, kteří kvůli úrazu či nemoci nemohou plně pracovat a sami si vydělávat, případně nemohou pracovat vůbec.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71.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B. Hospodaření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domácnosti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B. 3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Penzijní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systém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Typy důchodů (starobní, předčasný, invalidní)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kam se obrátit pro zjištění, zda má nárok na invalidní důchod a v jaké výši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72.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Finanční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Úvod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(co jsou finanční trhy)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Základní subjekty na finančním trhu a jejich produkty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existují různí poskytovatelé finančních služeb, jako jsou banky včetně stavebních spořitelen, družstevní záložny, nebankovní poskytovatelé úvěrů, pojišťovny a penzijní společnosti</w:t>
            </w:r>
            <w:r>
              <w:rPr>
                <w:rFonts w:ascii="Arial" w:hAnsi="Arial" w:cs="Arial"/>
                <w:color w:val="000000"/>
                <w:lang w:eastAsia="cs-CZ"/>
              </w:rPr>
              <w:t>,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a jaké základní produkty nabízejí.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14" w:rsidRPr="00317F36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73.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Finanční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Úvod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(co jsou finanční trhy)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Základní subjekty na finančním trhu a jejich produkty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mezi které poskytovatele finančních služeb patří konkrétní finanční instituce působící na finančním trhu v České republice.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14" w:rsidRPr="00317F36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74.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Finanční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1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Úvod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(co jsou finanční trhy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Úvěr ze stavebního spoření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stavební spořitelna je banka.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75.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Finanční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Úvod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(co jsou finanční trhy)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Základní subjekty na finančním trhu a jejich produkty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</w:rPr>
              <w:t>Ví, že na finančním trhu působí zprostředkovatelé a jaká je jejich role.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14" w:rsidRPr="00317F36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76.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Finanční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1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Úvod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(co jsou finanční trhy)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Základní subjekty na finančním trhu a jejich produkty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</w:rPr>
              <w:t>Ví, kde je možné směnit českou měnu za cizí a</w:t>
            </w:r>
            <w:r>
              <w:rPr>
                <w:rFonts w:ascii="Arial" w:hAnsi="Arial" w:cs="Arial"/>
              </w:rPr>
              <w:t xml:space="preserve"> </w:t>
            </w:r>
            <w:r w:rsidRPr="00722004">
              <w:rPr>
                <w:rFonts w:ascii="Arial" w:hAnsi="Arial" w:cs="Arial"/>
              </w:rPr>
              <w:t>na co je třeba dávat pozor.</w:t>
            </w:r>
            <w:r>
              <w:rPr>
                <w:rStyle w:val="Znakapoznpodarou"/>
                <w:rFonts w:ascii="Arial" w:hAnsi="Arial"/>
              </w:rPr>
              <w:footnoteReference w:id="1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14" w:rsidRPr="00317F36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77.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Finanční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1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Úvod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(co jsou finanční trhy)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Základní subjekty na finančním trhu a jejich produkty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co je bankovní tajemství a ve kterých případech je prolomeno.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14" w:rsidRPr="00317F36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B65114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5114" w:rsidRDefault="00B65114" w:rsidP="00B651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78.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B763F" w:rsidRDefault="000B763F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Default="000B763F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FC" w:rsidRDefault="00A367FC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B6511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B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Základy spoření a investování – investiční trojúhelník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B65114" w:rsidP="00AF55B1">
            <w:pPr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není možné maximalizovat zisk, likviditu a minimalizovat riziko současně</w:t>
            </w:r>
            <w:r w:rsidR="00AF55B1">
              <w:rPr>
                <w:rFonts w:ascii="Arial" w:hAnsi="Arial" w:cs="Arial"/>
                <w:lang w:eastAsia="cs-CZ"/>
              </w:rPr>
              <w:t xml:space="preserve"> (koncept investičního trojúhelníku)</w:t>
            </w:r>
            <w:r w:rsidRPr="00722004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14" w:rsidRPr="00722004" w:rsidRDefault="00FE4F9F" w:rsidP="008D27F4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</w:t>
            </w:r>
            <w:r w:rsidR="00B65114"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0B763F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763F" w:rsidRDefault="000B763F" w:rsidP="000B76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Default="000B763F" w:rsidP="000B76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Pr="00722004" w:rsidRDefault="00AF55B1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79</w:t>
            </w:r>
            <w:r w:rsidR="000B763F">
              <w:rPr>
                <w:rFonts w:ascii="Arial" w:hAnsi="Arial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Pr="00722004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2</w:t>
            </w:r>
          </w:p>
          <w:p w:rsidR="000B763F" w:rsidRPr="00722004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Spoření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3F" w:rsidRPr="00722004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Základy spoření a investování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diverzifikace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3F" w:rsidRPr="00A367FC" w:rsidRDefault="000B763F" w:rsidP="000B763F">
            <w:pPr>
              <w:jc w:val="center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  <w:lang w:eastAsia="cs-CZ"/>
              </w:rPr>
              <w:t>Ví, že peněžní prostředky by měly být investovány do různých nástrojů, aby nebyly vystaveny stejnému a nepokrytému riziku</w:t>
            </w:r>
            <w:r w:rsidR="00AF55B1">
              <w:rPr>
                <w:rFonts w:ascii="Arial" w:hAnsi="Arial" w:cs="Arial"/>
                <w:lang w:eastAsia="cs-CZ"/>
              </w:rPr>
              <w:t xml:space="preserve"> (koncept diverzifikace)</w:t>
            </w:r>
            <w:r w:rsidRPr="007D23C7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0B763F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Pr="00722004" w:rsidRDefault="000B763F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8</w:t>
            </w:r>
            <w:r w:rsidR="00AF55B1">
              <w:rPr>
                <w:rFonts w:ascii="Arial" w:hAnsi="Arial" w:cs="Arial"/>
                <w:b/>
                <w:bCs/>
                <w:color w:val="000000"/>
                <w:lang w:eastAsia="cs-CZ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Pr="00722004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0B763F" w:rsidRPr="00722004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3F" w:rsidRPr="00722004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Základy spoření a investování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rizika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3F" w:rsidRPr="00722004" w:rsidRDefault="000B763F" w:rsidP="000B763F">
            <w:pPr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Zná základní rizika spojená se spořením a investováním.</w:t>
            </w:r>
            <w:r>
              <w:rPr>
                <w:rStyle w:val="Znakapoznpodarou"/>
                <w:rFonts w:ascii="Arial" w:hAnsi="Arial"/>
                <w:lang w:eastAsia="cs-CZ"/>
              </w:rPr>
              <w:footnoteReference w:id="12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3F" w:rsidRPr="00722004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AF2E7D"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0B763F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Pr="00722004" w:rsidRDefault="000B763F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8</w:t>
            </w:r>
            <w:r w:rsidR="00AF55B1">
              <w:rPr>
                <w:rFonts w:ascii="Arial" w:hAnsi="Arial" w:cs="Arial"/>
                <w:b/>
                <w:bCs/>
                <w:color w:val="000000"/>
                <w:lang w:eastAsia="cs-CZ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Pr="00722004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2</w:t>
            </w:r>
          </w:p>
          <w:p w:rsidR="000B763F" w:rsidRPr="00722004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3F" w:rsidRPr="00722004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Základy spoření a investování -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rizika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3F" w:rsidRPr="00A111E9" w:rsidRDefault="000B763F" w:rsidP="000B763F">
            <w:pPr>
              <w:jc w:val="center"/>
              <w:rPr>
                <w:rFonts w:ascii="Arial" w:hAnsi="Arial" w:cs="Arial"/>
                <w:lang w:eastAsia="cs-CZ"/>
              </w:rPr>
            </w:pPr>
            <w:r w:rsidRPr="007D23C7">
              <w:rPr>
                <w:rFonts w:ascii="Arial" w:hAnsi="Arial" w:cs="Arial"/>
              </w:rPr>
              <w:t>Zná základní členění rizik – úvěrové, tržní (úrokové, měnové, akciové, komoditní), likviditní a operační, vč. obsahového významu a konkrétního příkladu.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3F" w:rsidRPr="00371603" w:rsidDel="00E16683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  <w:r w:rsidRPr="007D23C7">
              <w:rPr>
                <w:rFonts w:ascii="Arial" w:hAnsi="Arial" w:cs="Arial"/>
                <w:lang w:eastAsia="cs-CZ"/>
              </w:rPr>
              <w:t xml:space="preserve"> </w:t>
            </w:r>
          </w:p>
        </w:tc>
      </w:tr>
      <w:tr w:rsidR="000B763F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Pr="00722004" w:rsidRDefault="00AF55B1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82</w:t>
            </w:r>
            <w:r w:rsidR="000B763F">
              <w:rPr>
                <w:rFonts w:ascii="Arial" w:hAnsi="Arial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Pr="00722004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0B763F" w:rsidRPr="00722004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3F" w:rsidRPr="00722004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Základy spoření 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investování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pojištění vkladů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3F" w:rsidRPr="000B763F" w:rsidRDefault="000B763F" w:rsidP="000B763F">
            <w:pPr>
              <w:jc w:val="center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  <w:lang w:eastAsia="cs-CZ"/>
              </w:rPr>
              <w:t>Ví, které finanční produkty jsou pojištěny českým Fondem pojištění vkladů (v bankách, družstevních záložnách, stavebních spořitelnách), a jaká částka je pojištěna.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3F" w:rsidRDefault="000B763F" w:rsidP="000B763F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83.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Základy spoření 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investování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pojištění vkladů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0B763F" w:rsidRDefault="00AF55B1" w:rsidP="00AF55B1">
            <w:pPr>
              <w:jc w:val="center"/>
              <w:rPr>
                <w:rFonts w:ascii="Arial" w:hAnsi="Arial" w:cs="Arial"/>
                <w:lang w:eastAsia="cs-CZ"/>
              </w:rPr>
            </w:pPr>
            <w:r w:rsidRPr="007D23C7">
              <w:rPr>
                <w:rFonts w:ascii="Arial" w:hAnsi="Arial" w:cs="Arial"/>
              </w:rPr>
              <w:t>Ví, že je Fond pojištění vkladů zřízen ze zákona.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84.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Základy spoření 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investování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pojištění vkladů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0B763F" w:rsidRDefault="00AF55B1" w:rsidP="00AF55B1">
            <w:pPr>
              <w:jc w:val="center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  <w:lang w:eastAsia="cs-CZ"/>
              </w:rPr>
              <w:t>Ví, jak probíhá výplata náhrad z Fondu pojištění vkladů (FPV).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85.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2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Základy spoření 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investování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-pojištění vkladů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0B763F" w:rsidRDefault="00AF55B1" w:rsidP="00AF55B1">
            <w:pPr>
              <w:jc w:val="center"/>
              <w:rPr>
                <w:rFonts w:ascii="Arial" w:hAnsi="Arial" w:cs="Arial"/>
                <w:lang w:eastAsia="cs-CZ"/>
              </w:rPr>
            </w:pPr>
            <w:r w:rsidRPr="000B763F">
              <w:rPr>
                <w:rFonts w:ascii="Arial" w:hAnsi="Arial" w:cs="Arial"/>
              </w:rPr>
              <w:t>Ví, kde získat více informací o FPV.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86.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Základy spoření a investování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zdanění úroků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úroky z vkladů fyzických osob v bankách jsou zdaněny.</w:t>
            </w:r>
            <w:r>
              <w:rPr>
                <w:rStyle w:val="Znakapoznpodarou"/>
                <w:rFonts w:ascii="Arial" w:hAnsi="Arial"/>
                <w:lang w:eastAsia="cs-CZ"/>
              </w:rPr>
              <w:footnoteReference w:id="13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87.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2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Spoření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Základy spoření a investování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zdanění úroků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</w:rPr>
              <w:t>Ví, že v případě podnikajících fyzických i</w:t>
            </w:r>
            <w:r>
              <w:rPr>
                <w:rFonts w:ascii="Arial" w:hAnsi="Arial" w:cs="Arial"/>
              </w:rPr>
              <w:t xml:space="preserve"> </w:t>
            </w:r>
            <w:r w:rsidRPr="00722004">
              <w:rPr>
                <w:rFonts w:ascii="Arial" w:hAnsi="Arial" w:cs="Arial"/>
              </w:rPr>
              <w:t>právnických osob jsou úroky z vkladů také zdaněny, ovšem nikoli srážkovou daní.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88.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Základy spoření a investování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rizika zdanění investic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výnosy z přímých investic do cenných papírů nebo podílových fondů jsou zdaněny.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89.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Základy spoření a investování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rizika zdanění investic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u zdanění výnosů z investic na kapitálovém trhu je uplatněn časový test.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90.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2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Základy spoření a investování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rizika zdanění investic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</w:rPr>
              <w:t>Ví, kdy je v případě výnosů z investic do cenných papírů nutné podávat daňové přiznání.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91.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Vkladové produkty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F040FC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</w:rPr>
              <w:t>Zná základní typy bankovních vkladových produktů a rozdíly mezi nimi – termínovaný vklad, vklad s výpovědní lhůtou a bez ní, spořicí účet.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92.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2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Spoření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Vkladové produkty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</w:rPr>
              <w:t>Z</w:t>
            </w:r>
            <w:r w:rsidRPr="00722004">
              <w:rPr>
                <w:rFonts w:ascii="Arial" w:hAnsi="Arial" w:cs="Arial"/>
              </w:rPr>
              <w:t>ná rozdíl mezi jednorázovým termínovaným vkladem a termínovaným vkladem s revolvingem.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93.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2.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Vkladové produkty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které parametry je nutno vzít v úvahu při výběru vhodného vkladového produktu.</w:t>
            </w:r>
            <w:r>
              <w:rPr>
                <w:rStyle w:val="Znakapoznpodarou"/>
                <w:rFonts w:ascii="Arial" w:hAnsi="Arial"/>
                <w:lang w:eastAsia="cs-CZ"/>
              </w:rPr>
              <w:footnoteReference w:id="14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94.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Vkladové produkty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Zná možné poplatky, které mohou být spojeny s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lang w:eastAsia="cs-CZ"/>
              </w:rPr>
              <w:t>bankovními spořicími produkty a na které by se měl před uzavřením smlouvy dotázat</w:t>
            </w:r>
            <w:r w:rsidRPr="00722004">
              <w:rPr>
                <w:rFonts w:ascii="Arial" w:hAnsi="Arial" w:cs="Arial"/>
              </w:rPr>
              <w:t>,</w:t>
            </w:r>
            <w:r>
              <w:rPr>
                <w:rStyle w:val="Znakapoznpodarou"/>
                <w:rFonts w:ascii="Arial" w:hAnsi="Arial"/>
              </w:rPr>
              <w:footnoteReference w:id="15"/>
            </w:r>
            <w:r w:rsidRPr="00722004">
              <w:rPr>
                <w:rFonts w:ascii="Arial" w:hAnsi="Arial" w:cs="Arial"/>
              </w:rPr>
              <w:t xml:space="preserve"> vč. řádové výše těchto poplatků na trhu</w:t>
            </w:r>
            <w:r w:rsidRPr="00722004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95.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Vkladové produkty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na co by se měl vkladatel dotázat před uzavřením smlouvy o bankovním vkladovém produktu.</w:t>
            </w:r>
            <w:r>
              <w:rPr>
                <w:rStyle w:val="Znakapoznpodarou"/>
                <w:rFonts w:ascii="Arial" w:hAnsi="Arial"/>
                <w:lang w:eastAsia="cs-CZ"/>
              </w:rPr>
              <w:footnoteReference w:id="16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96.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Stavební spoření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V</w:t>
            </w:r>
            <w:r w:rsidRPr="00722004">
              <w:rPr>
                <w:rFonts w:ascii="Arial" w:hAnsi="Arial" w:cs="Arial"/>
                <w:lang w:eastAsia="cs-CZ"/>
              </w:rPr>
              <w:t>í, že stavební spoření je produktem složeným ze spoření se státním příspěvkem a možnosti budoucího úvěru za předem danou úrokovou sazbu.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97.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Stavební spoření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</w:rPr>
              <w:t>Zná průběh stavebního spoření, ve kterém odliší spořicí a úvěrovou fázi, vč. alternativy s čerpáním překlenovacího úvěru.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98.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Stavební spoření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účastník stavebního spoření nezíská státní příspěvek, pokud ukončí spoření dříve než po 6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lang w:eastAsia="cs-CZ"/>
              </w:rPr>
              <w:t>letech a nečerpá úvěr ze stavebního spoření.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99.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Stavební spoření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co to je cílová částka a jaký je její základní dopad.</w:t>
            </w:r>
            <w:r>
              <w:rPr>
                <w:rStyle w:val="Znakapoznpodarou"/>
                <w:rFonts w:ascii="Arial" w:hAnsi="Arial"/>
                <w:lang w:eastAsia="cs-CZ"/>
              </w:rPr>
              <w:footnoteReference w:id="17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Stavební spoření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Zná poplatky spojené s produktem stavebního spoření, vč. jejich řádové výše.</w:t>
            </w:r>
            <w:r>
              <w:rPr>
                <w:rStyle w:val="Znakapoznpodarou"/>
                <w:rFonts w:ascii="Arial" w:hAnsi="Arial"/>
                <w:lang w:eastAsia="cs-CZ"/>
              </w:rPr>
              <w:footnoteReference w:id="18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101.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Úročení vkladových produktů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je u vkladových produktů často využíváno pásmové úročení a zná jeho důsledek na konečnou výši úroku.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102.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Úročení vkladových produktů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Dokáže vypočítat výši výsledného úroku u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lang w:eastAsia="cs-CZ"/>
              </w:rPr>
              <w:t>termínovaného vkladu s pásmovým úročením.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103.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Investice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-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CP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Ví, že je možné investovat d</w:t>
            </w:r>
            <w:r w:rsidRPr="00722004">
              <w:rPr>
                <w:rFonts w:ascii="Arial" w:hAnsi="Arial" w:cs="Arial"/>
                <w:lang w:eastAsia="cs-CZ"/>
              </w:rPr>
              <w:t>o cenných papírů.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104.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Investice – způsoby do CP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</w:rPr>
              <w:t>Ví, že je možné investovat na kapitálovém trhu buď přímým nákupem cenných papírů, anebo v podobě kolektivního investování.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105.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Investice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GFOCP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</w:rPr>
              <w:t>Ví, kde získat více informací o GFOCP.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106.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</w:rPr>
              <w:t xml:space="preserve">Investice - </w:t>
            </w:r>
            <w:r w:rsidRPr="00722004">
              <w:rPr>
                <w:rFonts w:ascii="Arial" w:hAnsi="Arial" w:cs="Arial"/>
                <w:b/>
              </w:rPr>
              <w:t>instrumenty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</w:rPr>
              <w:t>Zná pojmy akcie, státní dluhopisy, retailové státní dluhopisy, hypoteční zástavní listy, firemní dluhopisy.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107.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</w:rPr>
              <w:t>Investice – pojmy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</w:rPr>
              <w:t>Zná pojem kolektivní investování, podílový fond, investiční společnost, investiční zprostředkovatel a vázaný zástupce, Centrální depozitář cenných papírů, depozitář fondu.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108.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</w:rPr>
              <w:t xml:space="preserve">Investice </w:t>
            </w:r>
            <w:r>
              <w:rPr>
                <w:rFonts w:ascii="Arial" w:hAnsi="Arial" w:cs="Arial"/>
                <w:b/>
              </w:rPr>
              <w:t>-</w:t>
            </w:r>
            <w:r w:rsidRPr="00722004">
              <w:rPr>
                <w:rFonts w:ascii="Arial" w:hAnsi="Arial" w:cs="Arial"/>
                <w:b/>
              </w:rPr>
              <w:t>instituce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</w:rPr>
              <w:t>Ví, na kterou instituci se obrátit v případě zájmu o investice do cenných papírů</w:t>
            </w:r>
            <w:r>
              <w:rPr>
                <w:rFonts w:ascii="Arial" w:hAnsi="Arial" w:cs="Arial"/>
              </w:rPr>
              <w:t xml:space="preserve"> a investice formou kolektivního investování,</w:t>
            </w:r>
            <w:r w:rsidRPr="00722004">
              <w:rPr>
                <w:rFonts w:ascii="Arial" w:hAnsi="Arial" w:cs="Arial"/>
              </w:rPr>
              <w:t xml:space="preserve"> a ví, jak taková investice probíhá.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C. 2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Spoření a 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</w:rPr>
              <w:t xml:space="preserve">Investice </w:t>
            </w:r>
            <w:r>
              <w:rPr>
                <w:rFonts w:ascii="Arial" w:hAnsi="Arial" w:cs="Arial"/>
                <w:b/>
              </w:rPr>
              <w:t>-</w:t>
            </w:r>
            <w:r w:rsidRPr="00722004">
              <w:rPr>
                <w:rFonts w:ascii="Arial" w:hAnsi="Arial" w:cs="Arial"/>
                <w:b/>
              </w:rPr>
              <w:t>instituce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</w:rPr>
              <w:t>Ví, kde získat výpis ze svého účtu zaknihovaných cenných papírů.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2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Spoření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investice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</w:rPr>
              <w:t xml:space="preserve">Investice </w:t>
            </w:r>
            <w:r>
              <w:rPr>
                <w:rFonts w:ascii="Arial" w:hAnsi="Arial" w:cs="Arial"/>
                <w:b/>
              </w:rPr>
              <w:t>-</w:t>
            </w:r>
            <w:r w:rsidRPr="00722004">
              <w:rPr>
                <w:rFonts w:ascii="Arial" w:hAnsi="Arial" w:cs="Arial"/>
                <w:b/>
              </w:rPr>
              <w:t>akcie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</w:rPr>
              <w:t>Ví, jak probíhá nákup a prodej akcií přes obchodníka s cennými papíry a jak jsou vypláceny dividendy drobným akcionářům.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Definice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se úvěry z časového hlediska rozlišují na krátkodobé (do 1 roku), střednědobé (do 5 let) a dlouhodobé.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Definice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z hlediska poskytovatele se úvěry rozdělují na bankovní a nebankovní.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Definice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úvěrem je i kreditní karta a kontokorent.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Definice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Zná smluvní strany </w:t>
            </w:r>
            <w:r w:rsidRPr="00722004">
              <w:rPr>
                <w:rFonts w:ascii="Arial" w:hAnsi="Arial" w:cs="Arial"/>
                <w:lang w:eastAsia="cs-CZ"/>
              </w:rPr>
              <w:t>věřitel (případně zprostředkovatel) a dlužník, a zná pojmy pohledávka a závazek.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Definice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</w:rPr>
              <w:t>Ví, že je spotřebitelský úvěr upraven legislativně (v zákoně o spotřebitelském úvěru).</w:t>
            </w:r>
            <w:r w:rsidRPr="00722004">
              <w:rPr>
                <w:rStyle w:val="Znakapoznpodarou"/>
                <w:rFonts w:ascii="Arial" w:hAnsi="Arial" w:cs="Arial"/>
              </w:rPr>
              <w:footnoteReference w:id="19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Splátky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součástí splátek je jistina a příslušenství pohledávky</w:t>
            </w:r>
            <w:r>
              <w:rPr>
                <w:rFonts w:ascii="Arial" w:hAnsi="Arial" w:cs="Arial"/>
                <w:lang w:eastAsia="cs-CZ"/>
              </w:rPr>
              <w:t>.</w:t>
            </w:r>
            <w:r w:rsidRPr="00722004">
              <w:rPr>
                <w:rFonts w:ascii="Arial" w:hAnsi="Arial" w:cs="Arial"/>
                <w:lang w:eastAsia="cs-CZ"/>
              </w:rPr>
              <w:t xml:space="preserve"> </w:t>
            </w:r>
            <w:r>
              <w:rPr>
                <w:rStyle w:val="Znakapoznpodarou"/>
                <w:rFonts w:ascii="Arial" w:hAnsi="Arial"/>
                <w:lang w:eastAsia="cs-CZ"/>
              </w:rPr>
              <w:footnoteReference w:id="20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Splátky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co to znamená jistina, úrok, úmor a anuita.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RPSN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co znamená zkratka RPSN.</w:t>
            </w:r>
            <w:r>
              <w:rPr>
                <w:rStyle w:val="Znakapoznpodarou"/>
                <w:rFonts w:ascii="Arial" w:hAnsi="Arial"/>
                <w:lang w:eastAsia="cs-CZ"/>
              </w:rPr>
              <w:footnoteReference w:id="2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RPSN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br/>
              <w:t>Ví, jaký úvěr je dle kritéria RPSN nejvhodnější</w:t>
            </w:r>
            <w:r>
              <w:rPr>
                <w:rFonts w:ascii="Arial" w:hAnsi="Arial" w:cs="Arial"/>
                <w:lang w:eastAsia="cs-CZ"/>
              </w:rPr>
              <w:t xml:space="preserve">, přičemž je si vědom, </w:t>
            </w:r>
            <w:r w:rsidRPr="00722004">
              <w:rPr>
                <w:rFonts w:ascii="Arial" w:hAnsi="Arial" w:cs="Arial"/>
                <w:lang w:eastAsia="cs-CZ"/>
              </w:rPr>
              <w:t>že RPSN není jediným kritériem, které je třeba zvážit.</w:t>
            </w:r>
            <w:r>
              <w:rPr>
                <w:rStyle w:val="Znakapoznpodarou"/>
                <w:rFonts w:ascii="Arial" w:hAnsi="Arial"/>
                <w:lang w:eastAsia="cs-CZ"/>
              </w:rPr>
              <w:footnoteReference w:id="22"/>
            </w:r>
            <w:r w:rsidRPr="00722004">
              <w:rPr>
                <w:rFonts w:ascii="Arial" w:hAnsi="Arial" w:cs="Arial"/>
                <w:lang w:eastAsia="cs-C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24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Možné úpravy splátek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br/>
              <w:t>Ví, že počáteční nastavení výše a počtu splátek lze v případě nutnosti, vždy po dohodě s věřitelem, měnit.</w:t>
            </w:r>
            <w:r>
              <w:rPr>
                <w:rStyle w:val="Znakapoznpodarou"/>
                <w:rFonts w:ascii="Arial" w:hAnsi="Arial"/>
                <w:lang w:eastAsia="cs-CZ"/>
              </w:rPr>
              <w:footnoteReference w:id="23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Kritéria výběru úvěru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br/>
              <w:t>Ví, že se při rozhodování o výběru úvěru nebude rozhodovat pouze podle rychlosti a jednoduchosti získání úvěru, protože právě tento přístup může vést k předlužení/dluhové pasti.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Kritéria výběru úvěru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je při poptávání úvěru nutné brát v potaz jak své vlastní finanční možnosti</w:t>
            </w:r>
            <w:r>
              <w:rPr>
                <w:rFonts w:ascii="Arial" w:hAnsi="Arial" w:cs="Arial"/>
                <w:lang w:eastAsia="cs-CZ"/>
              </w:rPr>
              <w:t>,</w:t>
            </w:r>
            <w:r>
              <w:rPr>
                <w:rStyle w:val="Znakapoznpodarou"/>
                <w:rFonts w:ascii="Arial" w:hAnsi="Arial"/>
                <w:lang w:eastAsia="cs-CZ"/>
              </w:rPr>
              <w:footnoteReference w:id="24"/>
            </w:r>
            <w:r w:rsidRPr="00722004">
              <w:rPr>
                <w:rFonts w:ascii="Arial" w:hAnsi="Arial" w:cs="Arial"/>
                <w:lang w:eastAsia="cs-CZ"/>
              </w:rPr>
              <w:t xml:space="preserve"> </w:t>
            </w:r>
            <w:r>
              <w:rPr>
                <w:rFonts w:ascii="Arial" w:hAnsi="Arial" w:cs="Arial"/>
                <w:lang w:eastAsia="cs-CZ"/>
              </w:rPr>
              <w:t>tak osobu/identitu věřitele.</w:t>
            </w:r>
            <w:r>
              <w:rPr>
                <w:rStyle w:val="Znakapoznpodarou"/>
                <w:rFonts w:ascii="Arial" w:hAnsi="Arial"/>
                <w:lang w:eastAsia="cs-CZ"/>
              </w:rPr>
              <w:footnoteReference w:id="25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Kritéria výběru úvěru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 xml:space="preserve">Ví, že si úvěr pořídí pouze v nejnutnějším případě, přičemž musí zvážit, že životnost zboží či služby kupované na úvěr má být vyšší než délka splácení úvěru.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Spotřebitelský úvěr 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předsmluvní informace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spotřebitel musí od věřitele nebo zprostředkovatele dostat s dostatečným předstihem před uzavřením smlouvy veškeré informace o nabízeném spotřebitelském úvěru.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i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Spotřebitelský úvěr 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předsmluvní informace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má věřitel nebo zprostředkovatel povinnost tyto informace spotřebiteli řádně vysvětlit, včetně důsledků prodlení a dopadů na spotřebitele; a to tak, aby mohl spotřebitel posoudit, zda je pro něj navrhovaná smlouva vhodná.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Spotřebitelský úvěr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posouzení schopnosti splácet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má spotřebitel povinnost uvést za účelem sjednání spotřebitelského úvěru úplné, přesné a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lang w:eastAsia="cs-CZ"/>
              </w:rPr>
              <w:t>pravdivé informace.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Spotřebitelský úvěr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posouzení schopnosti splácet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 xml:space="preserve">Ví, že bude úvěr spotřebiteli poskytnut jen tehdy, jestliže bude z veškerých dostupných informací zřejmé, že ho splatí.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Spotřebitelský úvěr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posouzení schopnosti splácet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 xml:space="preserve">Ví, že pokud věřitel spotřebiteli úvěr poskytne, aniž by </w:t>
            </w:r>
            <w:r>
              <w:rPr>
                <w:rFonts w:ascii="Arial" w:hAnsi="Arial" w:cs="Arial"/>
                <w:lang w:eastAsia="cs-CZ"/>
              </w:rPr>
              <w:t>ověřil</w:t>
            </w:r>
            <w:r w:rsidRPr="00722004">
              <w:rPr>
                <w:rFonts w:ascii="Arial" w:hAnsi="Arial" w:cs="Arial"/>
                <w:lang w:eastAsia="cs-CZ"/>
              </w:rPr>
              <w:t xml:space="preserve">, že </w:t>
            </w:r>
            <w:r>
              <w:rPr>
                <w:rFonts w:ascii="Arial" w:hAnsi="Arial" w:cs="Arial"/>
                <w:lang w:eastAsia="cs-CZ"/>
              </w:rPr>
              <w:t xml:space="preserve">je </w:t>
            </w:r>
            <w:r w:rsidRPr="00722004">
              <w:rPr>
                <w:rFonts w:ascii="Arial" w:hAnsi="Arial" w:cs="Arial"/>
                <w:lang w:eastAsia="cs-CZ"/>
              </w:rPr>
              <w:t xml:space="preserve">spotřebitel </w:t>
            </w:r>
            <w:r>
              <w:rPr>
                <w:rFonts w:ascii="Arial" w:hAnsi="Arial" w:cs="Arial"/>
                <w:lang w:eastAsia="cs-CZ"/>
              </w:rPr>
              <w:t xml:space="preserve">schopen </w:t>
            </w:r>
            <w:r w:rsidRPr="00722004">
              <w:rPr>
                <w:rFonts w:ascii="Arial" w:hAnsi="Arial" w:cs="Arial"/>
                <w:lang w:eastAsia="cs-CZ"/>
              </w:rPr>
              <w:t>úvěr splat</w:t>
            </w:r>
            <w:r>
              <w:rPr>
                <w:rFonts w:ascii="Arial" w:hAnsi="Arial" w:cs="Arial"/>
                <w:lang w:eastAsia="cs-CZ"/>
              </w:rPr>
              <w:t xml:space="preserve">it, </w:t>
            </w:r>
            <w:r w:rsidRPr="00722004">
              <w:rPr>
                <w:rFonts w:ascii="Arial" w:hAnsi="Arial" w:cs="Arial"/>
                <w:lang w:eastAsia="cs-CZ"/>
              </w:rPr>
              <w:t>je smlouva o spotřebitelském úvěru neplatná (tj. strany si musí vrátit plnění).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Spotřebitelský úvěr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posouzení schopnosti splácet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v případě neposkytnutí úvěru v důsledku</w:t>
            </w:r>
            <w:r w:rsidRPr="00722004">
              <w:rPr>
                <w:rFonts w:ascii="Arial" w:hAnsi="Arial" w:cs="Arial"/>
                <w:lang w:eastAsia="cs-CZ"/>
              </w:rPr>
              <w:br/>
              <w:t xml:space="preserve"> negativního záznamu v databázi má věřitel povinnost o této skutečnosti informovat spotřebitele.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Spotřebitelský úvěr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-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smlouva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 xml:space="preserve">Ví, že smlouva o spotřebitelském úvěru musí </w:t>
            </w:r>
            <w:r>
              <w:rPr>
                <w:rFonts w:ascii="Arial" w:hAnsi="Arial" w:cs="Arial"/>
                <w:lang w:eastAsia="cs-CZ"/>
              </w:rPr>
              <w:t>mít</w:t>
            </w:r>
            <w:r w:rsidRPr="00722004">
              <w:rPr>
                <w:rFonts w:ascii="Arial" w:hAnsi="Arial" w:cs="Arial"/>
                <w:lang w:eastAsia="cs-CZ"/>
              </w:rPr>
              <w:t xml:space="preserve"> písemnou formu, a musí být napsána jasně, výstižně a zřetelně.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Spotřebitelský úvěr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-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smlouva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jedno vyhotovení smlouvy má být předáno spotřebiteli.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132.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Spotřebitelský úvěr -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smlouva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jestliže smlouva o spotřebitelském úvěru nemá písemnou formu, neobsahuje povinné informace stanovené zákonem nebo není-li jedno vyhotovení smlouvy předáno spotřebiteli, může se spotřebitel domoci úročení spotřebitelského úvěru ve výši diskontní sazby vyhlašované Českou národní bankou</w:t>
            </w:r>
            <w:r>
              <w:rPr>
                <w:rFonts w:ascii="Arial" w:hAnsi="Arial" w:cs="Arial"/>
                <w:lang w:eastAsia="cs-CZ"/>
              </w:rPr>
              <w:t>.</w:t>
            </w:r>
            <w:r w:rsidRPr="00722004">
              <w:rPr>
                <w:rStyle w:val="Znakapoznpodarou"/>
                <w:rFonts w:ascii="Arial" w:hAnsi="Arial" w:cs="Arial"/>
                <w:shd w:val="clear" w:color="auto" w:fill="FFFFFF"/>
              </w:rPr>
              <w:footnoteReference w:id="26"/>
            </w:r>
            <w:r>
              <w:rPr>
                <w:rFonts w:ascii="Arial" w:hAnsi="Arial" w:cs="Arial"/>
                <w:lang w:eastAsia="cs-C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133.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Spotřebitelský úvěr odstoupení od smlouvy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má spotřebitel právo od smlouvy o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lang w:eastAsia="cs-CZ"/>
              </w:rPr>
              <w:t>spotřebitelském úvěru odstoupit bez uvedení důvodu do 14 dní od jejího uzavření, a to písemně (v této lhůtě stačí odstoupení odeslat).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134.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Spotřebitelský úvěr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odstoupení od smlouvy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nejpozději do 30 dnů od odstoupení od smlouvy musí spotřebitel zaplatit jistinu spotřebitelského úvěru a poměrnou část úroků bez jakýchkoli dalších sankcí, ovšem s výjimkou částek nevratných poplatků placených veřejné správě.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135.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Spotřebitelský úvěr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odstoupení od smlouvy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pokud odstoupí od smlouvy o spotřebitelském úvěru vázaném na koupi zboží nebo poskytnutí služby a vrátí zboží prodávajícímu, není povinen vracet peněžní prostředky z úvěru dříve, než mu prodávající vrátí kupní cenu.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136.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Spotřebitelský úvěr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odstoupení od smlouvy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</w:t>
            </w:r>
            <w:r>
              <w:rPr>
                <w:rFonts w:ascii="Arial" w:hAnsi="Arial" w:cs="Arial"/>
                <w:lang w:eastAsia="cs-CZ"/>
              </w:rPr>
              <w:t xml:space="preserve"> že s odstoupením od smlouvy o spotřebitelském</w:t>
            </w:r>
            <w:r w:rsidRPr="00722004">
              <w:rPr>
                <w:rFonts w:ascii="Arial" w:hAnsi="Arial" w:cs="Arial"/>
                <w:lang w:eastAsia="cs-CZ"/>
              </w:rPr>
              <w:t xml:space="preserve"> úvěru zanikají také</w:t>
            </w:r>
            <w:r>
              <w:rPr>
                <w:rFonts w:ascii="Arial" w:hAnsi="Arial" w:cs="Arial"/>
                <w:lang w:eastAsia="cs-CZ"/>
              </w:rPr>
              <w:t xml:space="preserve"> smlouvy o doplňkových službách.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137.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Spotřebitelský úvěr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předčasné splacení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má spotřebitel právo kdykoli zcela nebo zčásti spotřebitelský úvěr splatit s poměrným snížením celkových nákladů</w:t>
            </w:r>
            <w:r>
              <w:rPr>
                <w:rFonts w:ascii="Arial" w:hAnsi="Arial" w:cs="Arial"/>
                <w:lang w:eastAsia="cs-CZ"/>
              </w:rPr>
              <w:t xml:space="preserve">, a </w:t>
            </w:r>
            <w:r w:rsidRPr="00722004">
              <w:rPr>
                <w:rFonts w:ascii="Arial" w:hAnsi="Arial" w:cs="Arial"/>
                <w:lang w:eastAsia="cs-CZ"/>
              </w:rPr>
              <w:t>pak věřitel po spotřebiteli může požadovat maximálně 1 % z předčasně splacené části spotřebitelského úvěru.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  <w:r w:rsidRPr="00722004">
              <w:rPr>
                <w:rFonts w:ascii="Arial" w:hAnsi="Arial" w:cs="Arial"/>
                <w:lang w:eastAsia="cs-CZ"/>
              </w:rPr>
              <w:t xml:space="preserve">  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138.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Spotřebitelský úvěr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zprostředkovatelé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pokud spotřebitel sjednává spotřebitelský úvěr se zprostředkovatelem na základě smlouvy o zprostředkování, odměnu může zprostředkovatel požadovat až po předání výsledku své činnosti (vyjádření všech oslovených věřitelů</w:t>
            </w:r>
            <w:r>
              <w:rPr>
                <w:rFonts w:ascii="Arial" w:hAnsi="Arial" w:cs="Arial"/>
                <w:lang w:eastAsia="cs-CZ"/>
              </w:rPr>
              <w:t>)</w:t>
            </w:r>
            <w:r w:rsidRPr="00722004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139.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Spotřebitelský úvěr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–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zprostředkova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softHyphen/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telé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se smlouva o zprostředkování spotřebitelského úvěru uzavírá písemně, a že její součástí je upozornění na právo na odstoupení od zprostředkovatelské smlouvy a výše odměny zprostředkovateli.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140.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Spotřebitelský úvěr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–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zprostředkova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softHyphen/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telé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jedno vyhotovení smlouvy o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lang w:eastAsia="cs-CZ"/>
              </w:rPr>
              <w:t xml:space="preserve">zprostředkování </w:t>
            </w:r>
            <w:r w:rsidRPr="00722004">
              <w:rPr>
                <w:rFonts w:ascii="Arial" w:hAnsi="Arial" w:cs="Arial"/>
                <w:lang w:eastAsia="cs-CZ"/>
              </w:rPr>
              <w:br/>
              <w:t>spotřebitelského úvěru má být předáno spotřebiteli.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141.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Spotřebitelský úvěr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zprostředkova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softHyphen/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telé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od smlouvy o zprostředkování spotřebitelského úvěru může bez udání důvodu a jakékoli sankce odstoupit do 14 dnů od jejího uzavření, pakliže v té době nebyla uzavřena smlouva o spotřebitelském úvěru, a to písemně (v této lhůtě stačí odstoupení odeslat).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142.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Spotřebitelský úvěr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–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zprostředkova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softHyphen/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telé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odstoupením od zprostředkovatelské smlouvy zanikají i smlouvy o doplňkových službách.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143.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Spotřebitelský úvěr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–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směnky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šeky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v souvislosti se smlouvou o</w:t>
            </w:r>
            <w:r>
              <w:rPr>
                <w:rFonts w:ascii="Arial" w:hAnsi="Arial" w:cs="Arial"/>
                <w:lang w:eastAsia="cs-CZ"/>
              </w:rPr>
              <w:t> </w:t>
            </w:r>
            <w:r w:rsidRPr="00722004">
              <w:rPr>
                <w:rFonts w:ascii="Arial" w:hAnsi="Arial" w:cs="Arial"/>
                <w:lang w:eastAsia="cs-CZ"/>
              </w:rPr>
              <w:t>spotřebitelském úvěru nebo se smlouvou o jeho zprostředkování nelze použít směnku nebo šek, a to ani pro splacení, ani pro zajištění splacení povinností z obou uvedených smluv.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144.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Spotřebitelský úvěr – zajištění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zajištění spotřebitelského úvěru nesmí být ve zjevném nepoměru k</w:t>
            </w:r>
            <w:r>
              <w:rPr>
                <w:rFonts w:ascii="Arial" w:hAnsi="Arial" w:cs="Arial"/>
                <w:lang w:eastAsia="cs-CZ"/>
              </w:rPr>
              <w:t> hodnotě zajišťované pohledávky</w:t>
            </w:r>
            <w:r w:rsidRPr="00722004">
              <w:rPr>
                <w:rFonts w:ascii="Arial" w:hAnsi="Arial" w:cs="Arial"/>
                <w:lang w:eastAsia="cs-CZ"/>
              </w:rPr>
              <w:t>.</w:t>
            </w:r>
            <w:r>
              <w:rPr>
                <w:rStyle w:val="Znakapoznpodarou"/>
                <w:rFonts w:ascii="Arial" w:hAnsi="Arial"/>
                <w:lang w:eastAsia="cs-CZ"/>
              </w:rPr>
              <w:footnoteReference w:id="27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145.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Spotřebitelský úvěr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–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telefonní čísla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je za účelem nabízení, sjednání nebo zprostředkování spotřebitelského úvěru zakázáno věřiteli a zprostředkovateli využívat telefonní čísla s vysokou sazbou.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146.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Spotřebitelský úvěr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–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dozor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orgány dohledu u spotřebitelských úvěrů jsou Česká národní banka (bankovní věřitelé a zprostředkovatelé) a Česká obchodní inspekce (nebankovní věřitelé a zprostředkovatelé).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147.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Hypotéční úvěr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hypotéka je dlouhodobý úvěr za účelem pořízení vlastního bydlení (účelový hypotéční úvěr) nebo pořízení čehokoli, např. i splacení dřívějších úvěrů (neúčelový).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148.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Hypotéční úvěr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se banka jistí zástavním právem k nemovitosti.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149.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Hypotéční úvěr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</w:rPr>
              <w:t>Ví, že banky a stavební spořitelny poskytují základní/předsmluvní informace o hypotéčním úvěru na standardizovaném formuláři ESIS, což je standard České bankovní asociace.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150.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Hypotéční úvěr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</w:rPr>
              <w:t>Ví, že se hypotéční úvěr poskytuje na základě písemné smlouvy.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151.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Hypotéční úvěr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lze částku zaplacenou na úrocích z účelového hypotéčního úvěru do určité výše odečíst od základu daně z příjmů.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152.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Hypotéční úvěr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co je fixace hypotéky a jaká jsou kritéria při rozhodování o její délce.</w:t>
            </w:r>
            <w:r>
              <w:rPr>
                <w:rStyle w:val="Znakapoznpodarou"/>
                <w:rFonts w:ascii="Arial" w:hAnsi="Arial"/>
                <w:lang w:eastAsia="cs-CZ"/>
              </w:rPr>
              <w:footnoteReference w:id="28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153.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Hypotéční úvěr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od smlouvy o hypotéčním úvěru nelze kdykoli odstoupit a že předčasné splacení byť jen části úvěru lze bez sankcí zpravidla provést jen ke konci doby fixace.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154.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Hypotéční úvěr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lze hypotéční úvěr k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e konci doby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fixace refinancovat u jiné banky.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29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155.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Hypotéční úvěr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za účelem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refinancování hypotéky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je vhodné si od stávající banky aktivně vyžádat informace nutné k rozhodnutí, zda bude úvěr refinancovat či nikoli.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30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156.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Úvěr ze stavebního spoření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výše úvěru je závislá na zvolené výši cílové částky při sjednávání stavebního spoření.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157.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Úvěr ze stavebního spoření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se úvěr poskytuje na základě písemné smlouvy.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158.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Úvěr ze stavebního spoření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stavební spořitelna u úvěrů do určité částky, např. 500 000 korun, zpravidla nevyžaduje zajištění zástavním právem k nemovitosti.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159.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Úvěr ze stavebního spoření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pStyle w:val="Textkomente"/>
              <w:jc w:val="center"/>
              <w:rPr>
                <w:rFonts w:ascii="Arial" w:hAnsi="Arial" w:cs="Arial"/>
                <w:color w:val="000000"/>
              </w:rPr>
            </w:pPr>
            <w:r w:rsidRPr="006E384B">
              <w:rPr>
                <w:rFonts w:ascii="Arial" w:hAnsi="Arial" w:cs="Arial"/>
                <w:color w:val="000000"/>
                <w:sz w:val="22"/>
                <w:szCs w:val="22"/>
              </w:rPr>
              <w:t>Ví, že v případě úvěru ze stavebního spoření jsou úroky pevně stanoveny po celou dobu splatnosti.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160.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Úvěr ze stavebního spoření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lze částku zaplacenou na úrocích do určité výše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odečíst od základu daně z příjmů.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232FFA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</w:t>
            </w:r>
            <w:r w:rsidR="00AF55B1"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161.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Úvěr ze stavebního spoření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existuje tzv. překlenovací úvěr a zná základní rozdíly mezi ním a úvěrem ze stavebního spoření (co se týče splácení, období, z čeho jsou počítány úroky).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162.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Kreditní karta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</w:t>
            </w:r>
            <w:r>
              <w:rPr>
                <w:rFonts w:ascii="Arial" w:hAnsi="Arial" w:cs="Arial"/>
                <w:color w:val="000000"/>
                <w:lang w:eastAsia="cs-CZ"/>
              </w:rPr>
              <w:t>kreditní karta je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podobný produkt jako debetní karta s kontokorentem, avšak zná rozdíl.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3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5A2C1E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163.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Kreditní karta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Zná úskalí bezúročného období.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32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164.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</w:rPr>
              <w:t>Kontokorentní úvěr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 w:rsidRPr="00722004">
              <w:rPr>
                <w:rFonts w:ascii="Arial" w:hAnsi="Arial" w:cs="Arial"/>
              </w:rPr>
              <w:t xml:space="preserve">Ví, co to je kontokorentní úvěr a </w:t>
            </w:r>
            <w:r>
              <w:rPr>
                <w:rFonts w:ascii="Arial" w:hAnsi="Arial" w:cs="Arial"/>
              </w:rPr>
              <w:t xml:space="preserve">zná </w:t>
            </w:r>
            <w:r w:rsidRPr="00722004">
              <w:rPr>
                <w:rFonts w:ascii="Arial" w:hAnsi="Arial" w:cs="Arial"/>
              </w:rPr>
              <w:t>jeho rizika.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165.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3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Leasing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po dobu trvání leasingové smlouvy není uživatel předmětu leasingu jeho vlastníkem.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166.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3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Úvěry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Leasing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 w:rsidRPr="00722004">
              <w:rPr>
                <w:rFonts w:ascii="Arial" w:hAnsi="Arial" w:cs="Arial"/>
              </w:rPr>
              <w:t>Zná druhy leasingu a zná základní rozdíly mezi nimi.</w:t>
            </w:r>
            <w:r>
              <w:rPr>
                <w:rStyle w:val="Znakapoznpodarou"/>
                <w:rFonts w:ascii="Arial" w:hAnsi="Arial"/>
              </w:rPr>
              <w:footnoteReference w:id="33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416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167.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</w:p>
          <w:p w:rsidR="00AF55B1" w:rsidRPr="00E60B23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E60B23">
              <w:rPr>
                <w:rFonts w:ascii="Arial" w:hAnsi="Arial" w:cs="Arial"/>
                <w:b/>
                <w:bCs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4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Pojištění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Pojišťovny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Rozumí správně významu pojmů pojistitel, pojistník a pojištěný.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168.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</w:p>
          <w:p w:rsidR="00AF55B1" w:rsidRPr="00E60B23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E60B23">
              <w:rPr>
                <w:rFonts w:ascii="Arial" w:hAnsi="Arial" w:cs="Arial"/>
                <w:b/>
                <w:bCs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4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Pojištění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Pojišťovny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Správně rozumí pojmu obmyšlený, oprávněná osoba.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169.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</w:p>
          <w:p w:rsidR="00AF55B1" w:rsidRPr="00E60B23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E60B23">
              <w:rPr>
                <w:rFonts w:ascii="Arial" w:hAnsi="Arial" w:cs="Arial"/>
                <w:b/>
                <w:bCs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4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Pojištění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Pojišťovny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pojištění je ochrana před nahodilými a neočekávanými událostmi.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170.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</w:p>
          <w:p w:rsidR="00AF55B1" w:rsidRPr="00E60B23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E60B23">
              <w:rPr>
                <w:rFonts w:ascii="Arial" w:hAnsi="Arial" w:cs="Arial"/>
                <w:b/>
                <w:bCs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4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Pojištění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Pojišťovny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pojistný podvod je trestný čin.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171.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</w:p>
          <w:p w:rsidR="00AF55B1" w:rsidRPr="00E60B23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E60B23">
              <w:rPr>
                <w:rFonts w:ascii="Arial" w:hAnsi="Arial" w:cs="Arial"/>
                <w:b/>
                <w:bCs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4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Pojištění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Pojišťovny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Chápe pojmy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„výluky“ a „spoluúčast“ jako omezení</w:t>
            </w:r>
            <w:r>
              <w:rPr>
                <w:rFonts w:ascii="Arial" w:hAnsi="Arial" w:cs="Arial"/>
                <w:color w:val="000000"/>
                <w:lang w:eastAsia="cs-CZ"/>
              </w:rPr>
              <w:t>,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nikoli jako rozšíření pojistné ochran</w:t>
            </w:r>
            <w:r>
              <w:rPr>
                <w:rFonts w:ascii="Arial" w:hAnsi="Arial" w:cs="Arial"/>
                <w:color w:val="000000"/>
                <w:lang w:eastAsia="cs-CZ"/>
              </w:rPr>
              <w:t>y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172.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</w:p>
          <w:p w:rsidR="00AF55B1" w:rsidRPr="00E60B23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E60B23">
              <w:rPr>
                <w:rFonts w:ascii="Arial" w:hAnsi="Arial" w:cs="Arial"/>
                <w:b/>
                <w:bCs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4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Pojištění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Pojišťovny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kde informace o spoluúčasti a výlukách nalezne při uzavírání smluvního vztahu s pojišťovnou.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173.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4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Pojištění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Pojišťovny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Zná význam pojmu likvidita u pojistných událostí a ví, že nelikvidní je taková událost, kdy pojišťovna nevyplácí z různých důvodů pojistné plnění za nastalou pojistnou událost.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605B93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174.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4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Pojištění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Pojišťovny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Chápe pojem karenční/ochranná lhůta jako dobu, po kterou je případná pojistná událost nelikvidní.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175.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4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Pojištění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Pojištění (druhy a další pojistné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produkty – úvěrové odpovědnosti)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která rizika je možné běžně pojistit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272A8F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176.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4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Pojištění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Pojištění (druhy a další pojistné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 xml:space="preserve"> produkty – úvěrové odpovědnosti)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Ví, že investiční pojištění je typem životního pojištění pro zajištění rizik.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272A8F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177.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4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Pojištění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Zprostředkovate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lé pojištění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existuje více typů zprostředkovatelů pojištění a kde jsou k dispozici určující informace (ČNB), s jakým typem zprostředkovatele jedná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178.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5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Penzijní produkty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Penzijní společnosti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při výběru penzijní společnosti či konkrétního fondu je vhodné sledovat jednak účtované poplatky a jednak rizika s touto investicí spojená.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179.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5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Penzijní produkty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Penzijní společnosti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při posuzování rizika spojeného s výběrem penzijní společnosti je vhodné sledovat zejména to, do jakých investičních produktů svěřují prostředky.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180.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5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Penzijní produkty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Penzijní společnosti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penzijní spoření neposkytuje pojistnou ochranu jako životní pojištění.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985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181.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5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Penzijní produkty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Druhý penzijní pilíř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platby do druhého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penzijního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pilíře jsou dány % ze mzdy.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E24816" w:rsidRDefault="00AF55B1" w:rsidP="00AF55B1">
            <w:pPr>
              <w:pStyle w:val="Textkomente"/>
              <w:jc w:val="center"/>
              <w:rPr>
                <w:rFonts w:ascii="Arial" w:hAnsi="Arial" w:cs="Arial"/>
                <w:color w:val="000000"/>
              </w:rPr>
            </w:pPr>
            <w:r w:rsidRPr="00E24816">
              <w:rPr>
                <w:rFonts w:ascii="Arial" w:hAnsi="Arial" w:cs="Arial"/>
                <w:color w:val="000000"/>
                <w:sz w:val="22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182.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5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Penzijní produkty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Třetí penzijní pilíř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pokud v minulosti uzavřel penzijní připojištění a nyní spoří v tzv. transformovaném fondu, nenese investiční riziko.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183.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5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Penzijní produkty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Třetí penzijní pilíř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co je „princip černé nuly“ (zákaz vykázání ztráty)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184.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5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Penzijní produkty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Třetí penzijní pilíř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>že princip černé nuly se týká pouze části smluv (tzv. transformovaných fondů).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185.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inanční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5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Penzijní produkty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Třetí penzijní pilíř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</w:rPr>
              <w:t>Ví, kterých smluv se ze zákona týká garance tzv. „černé nuly“.</w:t>
            </w:r>
            <w:r w:rsidRPr="00722004">
              <w:rPr>
                <w:rStyle w:val="Znakapoznpodarou"/>
                <w:rFonts w:ascii="Arial" w:hAnsi="Arial" w:cs="Arial"/>
              </w:rPr>
              <w:footnoteReference w:id="34"/>
            </w:r>
            <w:r w:rsidRPr="007220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186.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5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Penzijní produkty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Třetí penzijní pilíř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prostředky spořené ve třetím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penzijním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pilíři nejsou ze zákona pojištěny.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187.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5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Penzijní produkty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Třetí penzijní pilíř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z doplňkového penzijního spoření lze čerpat i tzv. předdůchod, který může být alternativou předčasného důchodu.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188.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C. 5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Penzijní produkty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Třetí penzijní pilíř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relevantním zdrojem informací o třetím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penzijním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pilíři je web Ministerstva práce a sociálních věcí nebo konkrétní penzijní společnosti.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189.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C. Finanční trhy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C. 5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Penzijní produkty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Třetí penzijní pilíř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po uzavření smlouvy o doplňkovém penzijním spoření lze řadu věcí změnit, vždy je však nutné předem zjistit, co taková změna bude znamenat, a to vč. toho, zda je či není zpoplatněna.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418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190.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1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Obecná orientace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Právní rámec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od 1. 1. 2014 bude účinný nový občanský zákoník.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418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191.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1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Obecná orientace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Právní rámec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D23C7">
              <w:rPr>
                <w:rFonts w:ascii="Arial" w:hAnsi="Arial" w:cs="Arial"/>
                <w:color w:val="000000"/>
                <w:lang w:eastAsia="cs-CZ"/>
              </w:rPr>
              <w:t>Ví, že zákon o ochraně spotřebitele upravuje nekalé obchodní praktiky a zákaz diskriminace spotřebitele.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418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192.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1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Obecná orientace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Odborná pomoc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E24816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D23C7">
              <w:rPr>
                <w:rFonts w:ascii="Arial" w:hAnsi="Arial" w:cs="Arial"/>
              </w:rPr>
              <w:t>Ví, že na obranu svých práv je nutné jednat hned a že existují poradny, které poskytnou odbornou pomoc zdarma.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E24816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418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193.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D. Práva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1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Obecná orientace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Odborná pomoc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E24816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  <w:color w:val="000000"/>
                <w:lang w:eastAsia="cs-CZ"/>
              </w:rPr>
              <w:t>Má přehled o neziskových poradnách v místě konání kurzu (Asociace občanských poraden, Poradna při finanční tísni, místní poradny apod.).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194.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D. Práva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1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Obecná orientace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Mimosoudní řešení sporů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D23C7">
              <w:rPr>
                <w:rFonts w:ascii="Arial" w:hAnsi="Arial" w:cs="Arial"/>
                <w:color w:val="000000"/>
                <w:lang w:eastAsia="cs-CZ"/>
              </w:rPr>
              <w:t>Ví, kdo je finanční arbitr</w:t>
            </w:r>
            <w:r w:rsidRPr="007D23C7"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35"/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 a že jeho rozhodnutí je z</w:t>
            </w:r>
            <w:r w:rsidRPr="007D23C7">
              <w:rPr>
                <w:rFonts w:ascii="Arial" w:hAnsi="Arial" w:cs="Arial"/>
                <w:color w:val="000000"/>
                <w:lang w:eastAsia="cs-CZ"/>
              </w:rPr>
              <w:t>ávazné, ale přezkoumatelné soudem.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195.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D. Práva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1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Obecná orientace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Mimosoudní řešení sporů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D23C7">
              <w:rPr>
                <w:rFonts w:ascii="Arial" w:hAnsi="Arial" w:cs="Arial"/>
                <w:color w:val="000000"/>
                <w:lang w:eastAsia="cs-CZ"/>
              </w:rPr>
              <w:t>Ví, že se může obrátit na finančního arbitra v případě sporů týkajících se platebních služeb, spotřebitelského úvěru a kolektivního investování</w:t>
            </w:r>
            <w:r w:rsidRPr="007D23C7"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36"/>
            </w:r>
            <w:r w:rsidRPr="007D23C7"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196.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D. Práva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1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Obecná orientace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Mimosoudní řešení sporů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finanční arbitr řeší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spory mezi spotřebitelem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a finanční institucí, přičemž se na něj může obrátit jen spotřebitel.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197.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D. Práva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1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 xml:space="preserve"> Obecná orientace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Mimosoudní řešení sporů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vedení sporu u finančního arbitra je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pro spotřebitele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zdarma.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198.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D. Práva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1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Obecná orientace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Dohled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v případě potíží se spotřebitelským úvěrem </w:t>
            </w:r>
            <w:r w:rsidR="00EB517B">
              <w:rPr>
                <w:rFonts w:ascii="Arial" w:hAnsi="Arial" w:cs="Arial"/>
                <w:color w:val="000000"/>
                <w:lang w:eastAsia="cs-CZ"/>
              </w:rPr>
              <w:t xml:space="preserve"> od nebankovní společnosti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se může obrátit na Českou obchodní inspekci, která ale nerozhoduje spory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199.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D. Práva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1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Obecná orientace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Dohled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v jakých dalších případech se může obrátit na Českou obchodní inspekci.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D. Práva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1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Obecná orientace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Dohled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dohled nad bankovními poskytovateli úvěrů vykonává Česká národní banka, která nerozhoduje spo</w:t>
            </w:r>
            <w:r>
              <w:rPr>
                <w:rFonts w:ascii="Arial" w:hAnsi="Arial" w:cs="Arial"/>
                <w:color w:val="000000"/>
                <w:lang w:eastAsia="cs-CZ"/>
              </w:rPr>
              <w:t>ry mezi spotřebiteli a bankami.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201.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Uzavírání smluv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D23C7">
              <w:rPr>
                <w:rFonts w:ascii="Arial" w:hAnsi="Arial" w:cs="Arial"/>
                <w:color w:val="000000"/>
                <w:lang w:eastAsia="cs-CZ"/>
              </w:rPr>
              <w:t>Ví,  že se musí podrobně seznámit s tím,</w:t>
            </w:r>
            <w:r w:rsidRPr="007D23C7">
              <w:rPr>
                <w:rFonts w:ascii="Arial" w:hAnsi="Arial" w:cs="Arial"/>
                <w:color w:val="000000"/>
                <w:lang w:eastAsia="cs-CZ"/>
              </w:rPr>
              <w:br/>
              <w:t xml:space="preserve"> k čemu se zavazuje v uzavírané smlouvě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202.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Uzavírání smluv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smlouvu lze sjednat v režimu občanského a obchodního zákoníku.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eastAsia="SimSun" w:hAnsi="Arial" w:cs="Arial"/>
                <w:kern w:val="2"/>
              </w:rPr>
            </w:pPr>
            <w:r>
              <w:rPr>
                <w:rFonts w:ascii="Arial" w:eastAsia="SimSun" w:hAnsi="Arial" w:cs="Arial"/>
                <w:kern w:val="2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203.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Uzavírání smluv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722004">
              <w:rPr>
                <w:rFonts w:ascii="Arial" w:hAnsi="Arial" w:cs="Arial"/>
                <w:lang w:eastAsia="cs-CZ"/>
              </w:rPr>
              <w:t>Ví, že i v případě režimu obchodního zákoníku se stále jedná o spotřebitelskou smlouvu</w:t>
            </w:r>
            <w:r>
              <w:rPr>
                <w:rFonts w:ascii="Arial" w:hAnsi="Arial" w:cs="Arial"/>
                <w:lang w:eastAsia="cs-CZ"/>
              </w:rPr>
              <w:t>.</w:t>
            </w:r>
            <w:r w:rsidRPr="00722004">
              <w:rPr>
                <w:rStyle w:val="Znakapoznpodarou"/>
                <w:rFonts w:ascii="Arial" w:hAnsi="Arial" w:cs="Arial"/>
                <w:lang w:eastAsia="cs-CZ"/>
              </w:rPr>
              <w:footnoteReference w:id="37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eastAsia="SimSun" w:hAnsi="Arial" w:cs="Arial"/>
                <w:kern w:val="2"/>
              </w:rPr>
            </w:pPr>
            <w:r>
              <w:rPr>
                <w:rFonts w:ascii="Arial" w:eastAsia="SimSun" w:hAnsi="Arial" w:cs="Arial"/>
                <w:kern w:val="2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204.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Uzavírání smluv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„spotřebitelská smlouva“ je jakákoli smlouva, kde je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na jedné straně spotřebitel a na druhé podnikatel, který smlouvu uzavírá v r</w:t>
            </w:r>
            <w:r>
              <w:rPr>
                <w:rFonts w:ascii="Arial" w:hAnsi="Arial" w:cs="Arial"/>
                <w:color w:val="000000"/>
                <w:lang w:eastAsia="cs-CZ"/>
              </w:rPr>
              <w:t>ámci své podnikatelské činnosti.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205.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Uzavírání smluv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u </w:t>
            </w:r>
            <w:r>
              <w:rPr>
                <w:rFonts w:ascii="Arial" w:hAnsi="Arial" w:cs="Arial"/>
                <w:color w:val="000000"/>
                <w:lang w:eastAsia="cs-CZ"/>
              </w:rPr>
              <w:t>spotřebitelských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smluv je spotřebitel více chráněnou stranou.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206.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Způsobilost k právním úkonům (od 1.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1.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2014 svéprávnost)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plná způsobilost k právním úkonům (podle nového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občanského zákoníku svéprávnost) se nabývá zletilostí</w:t>
            </w:r>
            <w:r>
              <w:rPr>
                <w:rFonts w:ascii="Arial" w:hAnsi="Arial" w:cs="Arial"/>
                <w:color w:val="000000"/>
                <w:lang w:eastAsia="cs-CZ"/>
              </w:rPr>
              <w:t>,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a zná praktický význam těchto pojmů.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207.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Formulářové smlouvy a všeobecné obchodní podmínky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spotřebitelské smlouvy jsou často uzavírány standardizovaným způsobem, kdy spotřebitel nemůže měnit obsah smlouvy, ale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i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v takovém případě musí obsahovat odkaz na všeobecné obchodní podmínky, jinak se nestanou součástí smlouvy.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208.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Formulářové smlouvy a všeobecné obchodní podmínky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od 1. 1. 2014 nebude účinné takové ustanovení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všeobecných obchodních podmínek, které druhá smluvní strana nemohla rozumně očekávat.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2452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D. Práva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Smlouvy uzavřené mimo provozovnu a na dálku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může od smlouvy uzavřené mimo provozovnu nebo na dálku odstoupit do 14 dnů bez udání důvodu a strany si musí vrátit plnění.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D. Práva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Smlouvy uzavřené mimo provozovnu a na dálku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6E384B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kdy je smlouva uzavřená mimo provoz</w:t>
            </w:r>
            <w:r>
              <w:rPr>
                <w:rFonts w:ascii="Arial" w:hAnsi="Arial" w:cs="Arial"/>
                <w:color w:val="000000"/>
                <w:lang w:eastAsia="cs-CZ"/>
              </w:rPr>
              <w:t>ovnu/na dálku.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D. Práva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Smlouvy uzavřené mimo provozovnu a na dálku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pStyle w:val="Textkomente"/>
              <w:jc w:val="center"/>
              <w:rPr>
                <w:rFonts w:ascii="Arial" w:hAnsi="Arial" w:cs="Arial"/>
                <w:color w:val="000000"/>
              </w:rPr>
            </w:pPr>
            <w:r w:rsidRPr="006E384B">
              <w:rPr>
                <w:rFonts w:ascii="Arial" w:hAnsi="Arial" w:cs="Arial"/>
                <w:color w:val="000000"/>
                <w:sz w:val="22"/>
                <w:szCs w:val="22"/>
              </w:rPr>
              <w:t>Ví, že obce mohou přijmout nařízení,</w:t>
            </w:r>
            <w:r w:rsidRPr="006E384B">
              <w:rPr>
                <w:rStyle w:val="Znakapoznpodarou"/>
                <w:rFonts w:ascii="Arial" w:hAnsi="Arial"/>
                <w:color w:val="000000"/>
                <w:sz w:val="22"/>
                <w:szCs w:val="22"/>
              </w:rPr>
              <w:footnoteReference w:id="38"/>
            </w:r>
            <w:r w:rsidRPr="006E384B">
              <w:rPr>
                <w:rFonts w:ascii="Arial" w:hAnsi="Arial" w:cs="Arial"/>
                <w:color w:val="000000"/>
                <w:sz w:val="22"/>
                <w:szCs w:val="22"/>
              </w:rPr>
              <w:t xml:space="preserve"> podle nichž se zakazuje podomní prodej na jejich území.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Zajištění závazku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jaké jsou základní druhy zajištění závazků a jaká rizika jsou s nimi spojená.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39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Zajištění závazku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Zná rizika dalších způsobů zajištění, které vyžadují zejména ne zcela seriózní věřitelé.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40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Ručení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ručitelský závazek musí být sjednán písemně.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Ručení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v případě nesplnění závazku dlužníkem musí plnit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věřiteli ručitel.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Ručení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se ručitel, který za dlužníka plnil, může domáhat splnění závazku po dlužníkovi.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Smluvní pokuta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pokud byla smluvní pokuta sjednána ve výši 0,5 % denně z dlužné částky a vyšší, je pravděpodobné, že by soud uznal neplatnost takové smluvní pokuty pro rozpor s dobrými mravy.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Zástavní právo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zástavní právo k nemovitostem vzniká na základě písemné smlouvy a účinnosti nabývá vkladem do katastru nemovitostí.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Zástavní právo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se zástavní právo realizuje zpeněžením věci a z výtěžku dražby se splatí dluhy a náklady dražby; případný přebytek se vrátí bývalému dlužníkovi, ale případný nedoplatek je stále povinen doplatit.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Zástavní právo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účinky dražby prakticky nelze zvrátit, jedinou výjimkou je žaloba na neplatnost dražby, která se řídí přísnými podmínk</w:t>
            </w:r>
            <w:r>
              <w:rPr>
                <w:rFonts w:ascii="Arial" w:hAnsi="Arial" w:cs="Arial"/>
                <w:color w:val="000000"/>
                <w:lang w:eastAsia="cs-CZ"/>
              </w:rPr>
              <w:t>ami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podle zákona o veřejných dražbách.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Zástavní právo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může vzniknout podzástavní právo a co to znamená.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Zajišťovací převod práva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co to je a jaké jsou důsledky sjednání zajišťovacího převodu práva.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Zajišťovací převod práva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jaká má práva, pokud při porušení povinností dlužníka zůstane věřiteli předmět převodu ve vlastnictví.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4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Zajišťovací převod práva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jaký je rozdíl mezi zajišťovacím převodem práva, a tzv. propadnou</w:t>
            </w:r>
            <w:r w:rsidRPr="00722004" w:rsidDel="00B133C6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zástavou, která je protizákonná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Zajišťovací převod práva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Chápe, jak může být zajišťovací převod práva zneužit a kde tkví největší rizika.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Úroky z prodlení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co jsou úroky z prodlení a že jsou pro spotřebitele stanoveny občanským zákoníkem, přičemž jsou odvozeny od sazby vyhlašované Českou národní bankou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Úroky z prodlení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i pokud se smlouva řídí obchodním zákoníkem</w:t>
            </w:r>
            <w:r>
              <w:rPr>
                <w:rFonts w:ascii="Arial" w:hAnsi="Arial" w:cs="Arial"/>
                <w:color w:val="000000"/>
                <w:lang w:eastAsia="cs-CZ"/>
              </w:rPr>
              <w:t>,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42"/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výše úroků z prodlení by měla být stejná jako u smluv podle občanského zákoníku (jinak lze napadnout pro znevýhodnění spotřebitele)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  <w:r w:rsidRPr="00722004">
              <w:rPr>
                <w:rStyle w:val="Znakapoznpodarou"/>
                <w:rFonts w:ascii="Arial" w:hAnsi="Arial" w:cs="Arial"/>
              </w:rPr>
              <w:footnoteReference w:id="43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Rozhodčí doložka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co je rozhodčí doložka a v jakých případech nesmí být sjednána</w:t>
            </w:r>
            <w:r>
              <w:rPr>
                <w:rFonts w:ascii="Arial" w:hAnsi="Arial" w:cs="Arial"/>
                <w:color w:val="000000"/>
                <w:lang w:eastAsia="cs-CZ"/>
              </w:rPr>
              <w:t>, jinak je neplatná.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Rozhodčí doložka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Rozhodčí doložka musí být sjednána písemně na samostatném listu papíru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, který je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přiložen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ke smlouvě.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67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Rozhodčí doložka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se může obrátit na soud, aby rozhodčí nález přezkoumal.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Rozhodčí doložka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v rozhodčí doložce ke spotřebitelské smlouvě musí být sjednán konkrétní rozhodce zapsaný v seznamu rozhodců při Ministerstvu spravedlnosti nebo může rozhodovat konkrétní stálý rozhodčí soud.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uppressAutoHyphens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232.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Vady právních úkonů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co je uzavření smlouvy v tísni a za nápadně nevýhodných podmínek</w:t>
            </w:r>
            <w:r>
              <w:rPr>
                <w:rFonts w:ascii="Arial" w:hAnsi="Arial" w:cs="Arial"/>
                <w:color w:val="000000"/>
                <w:lang w:eastAsia="cs-CZ"/>
              </w:rPr>
              <w:t>,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a jaké má důsledky.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44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233.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Vady právních úkonů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co je hrubý nepoměr vzájemného plnění a jaké jsou jeho důsledky.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234.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Vady právních úkonů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co je lichva a že je definována jako zneužití tísně, nezkušenosti, rozumové slabosti, rozrušení nebo lehkomyslnosti druhé strany k poskytnutí plnění, které je v hrubém nepoměru k plnění druhé strany (neplatnost, které je třeba se dovolat).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235.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Vady právních úkonů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vysoké úroky neznamenají samy o sobě lichvu.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236.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Vady právních úkonů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co je uzavření smlouvy v omylu a jaké jsou důsledky (neplatnosti je třeba se dovolat) – vyjasnit rozdíl oproti tísni.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237.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Změna smlouvy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když je smlouva uzavřena písemně v režimu obchodního zákoníku, lze ji změnit i</w:t>
            </w:r>
            <w:r>
              <w:rPr>
                <w:rFonts w:ascii="Arial" w:hAnsi="Arial" w:cs="Arial"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ústní dohodou, ledaže by byl sjednán opak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  <w:r w:rsidRPr="00722004">
              <w:rPr>
                <w:rStyle w:val="Znakapoznpodarou"/>
                <w:rFonts w:ascii="Arial" w:hAnsi="Arial" w:cs="Arial"/>
                <w:color w:val="000000"/>
                <w:lang w:eastAsia="cs-CZ"/>
              </w:rPr>
              <w:footnoteReference w:id="45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238.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Změna smlouvy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věřitel může postoupit svou pohledávku, dlužníkovi to musí oznámit a dlužník je pak povinen plnit novému věřiteli.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239.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Ukončení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smluv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kdy je možné odstoupit od smlouvy (na dobu určitou i neurčitou) jednak ze zákonných důvodů anebo pokud se tak strany dohodnou.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240.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Trestně-právní dopady smluv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podvod, úvěrový podvod, pojistn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ý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podvod a lichva jsou trestnými činy – a to i jejich příprava.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241.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Směnka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co je biankosměnka a zná hlavní rizika.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46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242.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Směnka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jaký je rozdíl mezi směnkou cizí a směnkou vlastní.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243.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Směnka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jak se vymáhají práva ze směnek a ví, jak se tomu bránit.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244.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Směnka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lhůty u vymáhání práv ze směnek jsou krátké a že je třeba velká obezřetnost.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245.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Práva z odpovědnosti za vady zboží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vady jsou neodstranitelné a odstranitelné a podle toho nastupují práva z odpovědnosti za vady zboží a služeb.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246.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Práva z odpovědnosti za vady zboží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při prodeji spotřebního zboží v obchodě je zákonná dvouletá záruční doba.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247.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D. 2 Spotřebitelské smlouvy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Práva z odpovědnosti za vady zboží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zákonnou záruční dobu nelze zkrátit, pouze prodloužit.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248.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D. Práva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Dluh (a jeho plnění)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dluh znamená povinnost řádně (tj.</w:t>
            </w:r>
            <w:r>
              <w:rPr>
                <w:rFonts w:ascii="Arial" w:hAnsi="Arial" w:cs="Arial"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v úplnosti) a včas (tj. v dané lhůtě) něco dát (tj. vrátit půjčené peníze).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249.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D. Práva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Dluh (a jeho plnění)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s dluhem souvisí i jiné povinnosti, než jej splácet, např. nahlásit změnu osobních údajů (především změnu adresy bydliště), jejichž porušení je sankcionováno.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250.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D. Práva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Dluh (a jeho plnění)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dluh je splacen připsáním peněz na účet věřitele, nikoli jejich odesláním (podáním příkazu k platbě).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251.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D. Práva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Dluh (a jeho plnění)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splátky dluhu znamenají rozložení dluhu na několik dílčích dluhů, z nichž každý je nutno splnit řádně a včas.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252.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Prodlení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prodlení neznamená pouze to, že vůbec nezaplatil nebo nenahlásil změnu doručovací adresy, ale též, že zaplatil méně, než měl</w:t>
            </w:r>
            <w:r>
              <w:rPr>
                <w:rFonts w:ascii="Arial" w:hAnsi="Arial" w:cs="Arial"/>
                <w:color w:val="000000"/>
                <w:lang w:eastAsia="cs-CZ"/>
              </w:rPr>
              <w:t>,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nebo později</w:t>
            </w:r>
            <w:r>
              <w:rPr>
                <w:rFonts w:ascii="Arial" w:hAnsi="Arial" w:cs="Arial"/>
                <w:color w:val="000000"/>
                <w:lang w:eastAsia="cs-CZ"/>
              </w:rPr>
              <w:t>,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než měl.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253.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Prodlení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při splátkovém kalendáři prodlení znamená i snížení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nebo zpoždění byť jen jedné jediné splátky.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277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254.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Prodlení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Cs/>
                <w:color w:val="000000"/>
                <w:lang w:eastAsia="cs-CZ"/>
              </w:rPr>
              <w:t xml:space="preserve">Zná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důsledky prodlení: povinnost platit úrok z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prodlení</w:t>
            </w:r>
            <w:r>
              <w:rPr>
                <w:rFonts w:ascii="Arial" w:hAnsi="Arial" w:cs="Arial"/>
                <w:color w:val="000000"/>
                <w:lang w:eastAsia="cs-CZ"/>
              </w:rPr>
              <w:t>;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ztráta výhody splátek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(povinnost zaplatit celý dluh najednou a ihned),</w:t>
            </w:r>
          </w:p>
          <w:p w:rsidR="00AF55B1" w:rsidRPr="00722004" w:rsidRDefault="00AF55B1" w:rsidP="00AF55B1">
            <w:pPr>
              <w:rPr>
                <w:rFonts w:ascii="Arial" w:hAnsi="Arial" w:cs="Arial"/>
                <w:b/>
                <w:bCs/>
                <w:color w:val="000000"/>
                <w:u w:val="single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peněžní sankce v podobě smluvní pokuty.</w:t>
            </w:r>
            <w:r w:rsidRPr="00722004">
              <w:rPr>
                <w:rStyle w:val="Znakapoznpodarou"/>
                <w:rFonts w:ascii="Arial" w:hAnsi="Arial" w:cs="Arial"/>
                <w:color w:val="000000"/>
                <w:lang w:eastAsia="cs-CZ"/>
              </w:rPr>
              <w:footnoteReference w:id="47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255.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Prodlení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Cs/>
                <w:color w:val="FF0000"/>
                <w:u w:val="single"/>
                <w:lang w:eastAsia="cs-CZ"/>
              </w:rPr>
            </w:pPr>
            <w:r w:rsidRPr="00722004">
              <w:rPr>
                <w:rFonts w:ascii="Arial" w:hAnsi="Arial" w:cs="Arial"/>
              </w:rPr>
              <w:t>Ví, že úroky z prodlení jsou regulovány legislativně</w:t>
            </w:r>
            <w:r w:rsidRPr="00722004">
              <w:rPr>
                <w:rFonts w:ascii="Arial" w:hAnsi="Arial" w:cs="Arial"/>
                <w:vertAlign w:val="superscript"/>
              </w:rPr>
              <w:footnoteReference w:id="48"/>
            </w:r>
            <w:r w:rsidRPr="00722004">
              <w:rPr>
                <w:rFonts w:ascii="Arial" w:hAnsi="Arial" w:cs="Arial"/>
              </w:rPr>
              <w:t xml:space="preserve"> a smluvní pokuta judikaturou.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256.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Prodlení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u w:val="single"/>
                <w:lang w:eastAsia="cs-CZ"/>
              </w:rPr>
            </w:pPr>
            <w:r w:rsidRPr="00722004">
              <w:rPr>
                <w:rFonts w:ascii="Arial" w:hAnsi="Arial" w:cs="Arial"/>
              </w:rPr>
              <w:t>Ví, že sankce, které jsou v rozporu se zákonem/legislativou, nejsou právně vymahatelné, soud takové sankce většinou sníží na úroveň, která je v souladu s legislativou a konstantní soudní praxí.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257.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Prodlení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Je si vědom, že je výrazně výhodnější jednat s věřitelem aktivně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v případě budoucího prodlení, než nechat prodlení nastat a pak se skrývat a nekomunikovat.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258.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Dluhová past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platební neschopnost je stav, kdy nemá dostatek peněz na zaplacení dluhu nebo jednotlivé splátky</w:t>
            </w:r>
            <w:r>
              <w:rPr>
                <w:rFonts w:ascii="Arial" w:hAnsi="Arial" w:cs="Arial"/>
                <w:color w:val="000000"/>
                <w:lang w:eastAsia="cs-CZ"/>
              </w:rPr>
              <w:t>,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49"/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tedy stav, kdy hrozí, že se dostane do prodlení.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259.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Dluhová past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předlužení je stav, kdy celková výše jeho dluhů převyšuje jeho majetek, tj. stav, kdy ani prodejem veškerého svého majetku dluhy nesplatí.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260.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Dluhová past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dluhová past (dluhová spirála) je stav, kdy v důsledku platební neschopnosti kombinované případně s předlužením narůstají dluhy v důsledku sankcí a snahy splácet dluhy tím, že si vezme úvěr/udělá si dluh u jiného věřitele</w:t>
            </w:r>
            <w:r>
              <w:rPr>
                <w:rFonts w:ascii="Arial" w:hAnsi="Arial" w:cs="Arial"/>
                <w:color w:val="000000"/>
                <w:lang w:eastAsia="cs-CZ"/>
              </w:rPr>
              <w:t>,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tak rychle, že celkový dluh nebude moci nikdy splatit.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261.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Řešení dluhové pasti, konsolidace dluhů vs. oddlužení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color w:val="FF0000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Zná řešení dluhové pasti, která je schopen ovlivnit sám: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>- prodej nepotřebného majetku s cílem splatit alespoň část dluhu</w:t>
            </w:r>
            <w:r>
              <w:rPr>
                <w:rFonts w:ascii="Arial" w:hAnsi="Arial" w:cs="Arial"/>
                <w:color w:val="000000"/>
                <w:lang w:eastAsia="cs-CZ"/>
              </w:rPr>
              <w:t>;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>- snížení zbytných výdajů</w:t>
            </w:r>
            <w:r>
              <w:rPr>
                <w:rFonts w:ascii="Arial" w:hAnsi="Arial" w:cs="Arial"/>
                <w:color w:val="000000"/>
                <w:lang w:eastAsia="cs-CZ"/>
              </w:rPr>
              <w:t>;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>- aktivní dohoda s věřitelem na snížení splátek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  <w:r w:rsidRPr="00F52C28">
              <w:rPr>
                <w:rStyle w:val="Znakapoznpodarou"/>
                <w:rFonts w:ascii="Arial" w:hAnsi="Arial" w:cs="Arial"/>
              </w:rPr>
              <w:footnoteReference w:id="50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243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262.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Řešení dluhové pasti, konsolidace dluhů vs. oddlužení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Ví, že </w:t>
            </w:r>
            <w:r w:rsidRPr="00722004">
              <w:rPr>
                <w:rFonts w:ascii="Arial" w:hAnsi="Arial" w:cs="Arial"/>
              </w:rPr>
              <w:t>při předčasném splacení dluhu se buď</w:t>
            </w:r>
          </w:p>
          <w:p w:rsidR="00AF55B1" w:rsidRPr="00E873F4" w:rsidRDefault="00AF55B1" w:rsidP="00AF55B1">
            <w:pPr>
              <w:pStyle w:val="Odstavecseseznamem"/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  <w:r w:rsidRPr="00E873F4">
              <w:rPr>
                <w:rFonts w:ascii="Arial" w:hAnsi="Arial" w:cs="Arial"/>
              </w:rPr>
              <w:t>sníží splátky, nebo</w:t>
            </w:r>
          </w:p>
          <w:p w:rsidR="00AF55B1" w:rsidRPr="00E873F4" w:rsidRDefault="00AF55B1" w:rsidP="00AF55B1">
            <w:pPr>
              <w:pStyle w:val="Odstavecseseznamem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E873F4">
              <w:rPr>
                <w:rFonts w:ascii="Arial" w:hAnsi="Arial" w:cs="Arial"/>
              </w:rPr>
              <w:t>je dluh při stejné výši splátek splacen dříve (tato varianta by dlužníkovi z dluhové pasti nepomohla).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263.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Řešení dluhové pasti, konsolidace dluhů vs. oddlužení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Zná rozdíl mezi dalšími řešeními dluhové pasti: konsolidací dluhů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a oddlužením jako součástí insolvenčního řízení.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264.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Řešení dluhové pasti, konsolidace dluhů vs. oddlužení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konsolidace dluhů je komerční služba</w:t>
            </w:r>
            <w:r>
              <w:rPr>
                <w:rFonts w:ascii="Arial" w:hAnsi="Arial" w:cs="Arial"/>
                <w:color w:val="000000"/>
                <w:lang w:eastAsia="cs-CZ"/>
              </w:rPr>
              <w:t>, kdy j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de o nahrazení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více věřitelů jedním jediným věřitelem a více dluhů jedním jediným dluhem</w:t>
            </w:r>
            <w:r>
              <w:rPr>
                <w:rFonts w:ascii="Arial" w:hAnsi="Arial" w:cs="Arial"/>
                <w:color w:val="000000"/>
                <w:lang w:eastAsia="cs-CZ"/>
              </w:rPr>
              <w:t>, p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ři konsolidaci dluhů může nový věřitel zaplatit staré dluhy za dlužníka nebo může dlužníku poskytnout úvěr v takové výši, z níž dlužník sám zaplatí svým starým věřitelům své dluhy.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418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265.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Řešení dluhové pasti, konsolidace dluhů vs. oddlužení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při konsolidaci dluhů dochází k předčasnému splacení úvěrů a že dosavadní věřitel může požadovat poplatek za toto předčasn</w:t>
            </w:r>
            <w:r>
              <w:rPr>
                <w:rFonts w:ascii="Arial" w:hAnsi="Arial" w:cs="Arial"/>
                <w:color w:val="000000"/>
                <w:lang w:eastAsia="cs-CZ"/>
              </w:rPr>
              <w:t>é splacení, regulovaný zákonem.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266.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Řešení dluhové pasti, konsolidace dluhů vs. oddlužení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Zná rizika nabízených „řešení“ dluhové pasti, zejména rizika slibu přeposílat platby věřitelům namísto dlužníka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, které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nevede k řešení problému, může být podvodem a není konsolidací dluhů</w:t>
            </w:r>
            <w:r>
              <w:rPr>
                <w:rFonts w:ascii="Arial" w:hAnsi="Arial" w:cs="Arial"/>
                <w:color w:val="000000"/>
                <w:lang w:eastAsia="cs-CZ"/>
              </w:rPr>
              <w:t>,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ani oddlužením dle insolvenčního zákona.</w:t>
            </w:r>
            <w:r w:rsidRPr="00722004">
              <w:rPr>
                <w:rStyle w:val="Znakapoznpodarou"/>
                <w:rFonts w:ascii="Arial" w:hAnsi="Arial" w:cs="Arial"/>
                <w:color w:val="000000"/>
                <w:lang w:eastAsia="cs-CZ"/>
              </w:rPr>
              <w:footnoteReference w:id="5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267.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Insolvenční řízení,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konkurz a oddlužení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insolvenční řízení (zahrnující konkurz i</w:t>
            </w:r>
            <w:r>
              <w:rPr>
                <w:rFonts w:ascii="Arial" w:hAnsi="Arial" w:cs="Arial"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oddlužení) je druh státem řízeného soudního řízení, jehož cílem je poměrné uspokojení všech existujících věřitelů a pomoci dlužníkovi zbavit se všech dluhů (v rámci procesu oddlužení).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268.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Insolvenční řízení,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konkurz a oddlužení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k podání návrhu na insolvenční řízení je vhodná odborná konzultace nejlépe osoby vzdělané v právu, neboť chybné vyplnění návrhu (zejména návrhu na oddlužení) může znamenat zamítnutí návrhu a nemožnost jej znovu podat.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269.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Insolvenční řízení,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konkurz a oddlužení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dlužník je v úpadku, když má více než jednoho věřitele, je v prodlení déle než 30 dnů a není schopen dluhy splácet.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270.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Insolvenční řízení,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konkurz a oddlužení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24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pokud je v úpadku, může vůči sobě navrhnout zahájení insolvenčního řízení, stejně jako tak může učinit jeden nebo více věřitelů.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271.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Insolvenční řízení,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konkurz a oddlužení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v rámci návrhu na zahájení insolvenčního řízení musí uvést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zejména seznam svého majetku a seznam svých dluhů včetně věřitelů. K návrhu na oddlužení musí doložit především příjmy a doložit, že je schopen podmínky oddlužení splnit.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272.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Insolvenční řízení,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konkurz a oddlužení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oddlužení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je možné pouze od dluhů, které neměly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původ v jeho podnikání.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273.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Insolvenční řízení,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konkurz a oddlužení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bude muset pod dohledem soudu během 5</w:t>
            </w:r>
            <w:r>
              <w:rPr>
                <w:rFonts w:ascii="Arial" w:hAnsi="Arial" w:cs="Arial"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let splatit všem věřitelům minimálně 30 % jejich pohledávek v předem stanovených pravidelných splátkách nebo minimálně 30 % všech dluhů splatit jednorázovým prodejem soudem určeného majetku.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274.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Insolvenční řízení,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konkurz a oddlužení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>Ví, že zahájením insolvenčního řízení je ze zákona přerušeno/pozastaveno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 xml:space="preserve"> (nikoli </w:t>
            </w:r>
            <w:r>
              <w:rPr>
                <w:rFonts w:ascii="Arial" w:hAnsi="Arial" w:cs="Arial"/>
                <w:color w:val="000000"/>
                <w:lang w:eastAsia="cs-CZ"/>
              </w:rPr>
              <w:t>zrušeno) vymáhání dluhů exekucí a z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výhodňování věřitele (tj. splácení některému z</w:t>
            </w:r>
            <w:r>
              <w:rPr>
                <w:rFonts w:ascii="Arial" w:hAnsi="Arial" w:cs="Arial"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věřitelů na úkor jiných) je trestným činem.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275.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Insolvenční řízení,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konkurz a oddlužení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pokud splní podmínky oddlužení, zbytek jeho dluhů zanikne. Pokud podmínky oddlužení poruší</w:t>
            </w:r>
            <w:r>
              <w:rPr>
                <w:rFonts w:ascii="Arial" w:hAnsi="Arial" w:cs="Arial"/>
                <w:color w:val="000000"/>
                <w:lang w:eastAsia="cs-CZ"/>
              </w:rPr>
              <w:t>,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52"/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oddlužení bude zrušeno a bude na něj uvalen konkurz.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276.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Z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Insolvenční řízení,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br/>
              <w:t>konkurz a oddlužení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konkurz znamená prodej veškerého jeho majetku za účelem poměrného splacení všech dluhů. Nesplacené dluhy konkurzem (na rozdíl od oddlužení) nezanikají.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277.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Změna věřitele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dluh může vymáhat i osoba odlišná od původního věřitele, proto i musí oprávnění dluh vymáhat ověřit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53"/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Věřitel může dluh prodat jinému věřiteli i bez souhlasu a vědomí dlužníka (tzv. postoupení pohledávky), většinou v případě prodlení, nebo může jinou osobu pověřit vymáháním dluhu svým jménem</w:t>
            </w:r>
            <w:r>
              <w:rPr>
                <w:rFonts w:ascii="Arial" w:hAnsi="Arial" w:cs="Arial"/>
                <w:color w:val="000000"/>
                <w:lang w:eastAsia="cs-CZ"/>
              </w:rPr>
              <w:t>, d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lužník je povinen s takovou osobou (např. inkasní agentur</w:t>
            </w:r>
            <w:r>
              <w:rPr>
                <w:rFonts w:ascii="Arial" w:hAnsi="Arial" w:cs="Arial"/>
                <w:color w:val="000000"/>
                <w:lang w:eastAsia="cs-CZ"/>
              </w:rPr>
              <w:t>ou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) jednat.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278.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Změna věřitele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E409E9" w:rsidP="00E409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u w:val="single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Ví že, t</w:t>
            </w:r>
            <w:r w:rsidR="00AF55B1" w:rsidRPr="00F52C28">
              <w:rPr>
                <w:rFonts w:ascii="Arial" w:hAnsi="Arial" w:cs="Arial"/>
                <w:color w:val="000000"/>
                <w:lang w:eastAsia="cs-CZ"/>
              </w:rPr>
              <w:t>z</w:t>
            </w:r>
            <w:r w:rsidR="00AF55B1" w:rsidRPr="00722004">
              <w:rPr>
                <w:rFonts w:ascii="Arial" w:hAnsi="Arial" w:cs="Arial"/>
                <w:color w:val="000000"/>
                <w:lang w:eastAsia="cs-CZ"/>
              </w:rPr>
              <w:t>v. inkasní agentura vymáhá dluh buď svým jménem (na základě smlouvy o postoupení pohledávky původním věřitelem)</w:t>
            </w:r>
            <w:r w:rsidR="00AF55B1">
              <w:rPr>
                <w:rFonts w:ascii="Arial" w:hAnsi="Arial" w:cs="Arial"/>
                <w:color w:val="000000"/>
                <w:lang w:eastAsia="cs-CZ"/>
              </w:rPr>
              <w:t>,</w:t>
            </w:r>
            <w:r w:rsidR="00AF55B1" w:rsidRPr="00722004">
              <w:rPr>
                <w:rFonts w:ascii="Arial" w:hAnsi="Arial" w:cs="Arial"/>
                <w:color w:val="000000"/>
                <w:lang w:eastAsia="cs-CZ"/>
              </w:rPr>
              <w:t xml:space="preserve"> nebo za úplatu (provizi) jménem věřitele (na základě smlouvy s</w:t>
            </w:r>
            <w:r w:rsidR="00AF55B1">
              <w:rPr>
                <w:rFonts w:ascii="Arial" w:hAnsi="Arial" w:cs="Arial"/>
                <w:color w:val="000000"/>
                <w:lang w:eastAsia="cs-CZ"/>
              </w:rPr>
              <w:t> </w:t>
            </w:r>
            <w:r w:rsidR="00AF55B1" w:rsidRPr="00722004">
              <w:rPr>
                <w:rFonts w:ascii="Arial" w:hAnsi="Arial" w:cs="Arial"/>
                <w:color w:val="000000"/>
                <w:lang w:eastAsia="cs-CZ"/>
              </w:rPr>
              <w:t>věřitelem).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279.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Vymáhání dluhů obecně, doložka přímé vykonatelnosti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v případě prodlení dluh narůstá, i když není upomínán/vymáhán</w:t>
            </w:r>
            <w:r>
              <w:rPr>
                <w:rFonts w:ascii="Arial" w:hAnsi="Arial" w:cs="Arial"/>
                <w:color w:val="000000"/>
                <w:lang w:eastAsia="cs-CZ"/>
              </w:rPr>
              <w:t>, protože v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ěřitelé v některých případech s vymáháním dluhů čekají, dokud sank</w:t>
            </w:r>
            <w:r>
              <w:rPr>
                <w:rFonts w:ascii="Arial" w:hAnsi="Arial" w:cs="Arial"/>
                <w:color w:val="000000"/>
                <w:lang w:eastAsia="cs-CZ"/>
              </w:rPr>
              <w:t>ce za prodlení nepřevýší dluh samotný.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280.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Vymáhání dluhů obecně, doložka přímé vykonatelnosti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vymáhání dluhů má 2 fáze: řízení nalézací, ve kterém se má aktivně bránit</w:t>
            </w:r>
            <w:r>
              <w:rPr>
                <w:rFonts w:ascii="Arial" w:hAnsi="Arial" w:cs="Arial"/>
                <w:color w:val="000000"/>
                <w:lang w:eastAsia="cs-CZ"/>
              </w:rPr>
              <w:t>, a řízení vykonávací (exekuce).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281.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Vymáhání dluhů obecně, doložka přímé vykonatelnosti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pokud smlouvu s věřitelem uzavřel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u</w:t>
            </w:r>
            <w:r>
              <w:rPr>
                <w:rFonts w:ascii="Arial" w:hAnsi="Arial" w:cs="Arial"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notáře nebo exekutora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54"/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, může obsahovat doložku přímé vykonatelnosti, kterou se vzdává práva na obranu v řízení nalézacím a v případě pro</w:t>
            </w:r>
            <w:r>
              <w:rPr>
                <w:rFonts w:ascii="Arial" w:hAnsi="Arial" w:cs="Arial"/>
                <w:color w:val="000000"/>
                <w:lang w:eastAsia="cs-CZ"/>
              </w:rPr>
              <w:t>dlení nastupuje rovnou exekuce.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282.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Vymáhání dluhů - nalézací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řízení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nalézací řízení se koná před soudem nebo soukromým rozhodcem na základě tzv. rozhodčí smlouvy sepsané na samostatném listu papíru.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283.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Vymáhání dluhů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-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nalézací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řízení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v rámci nalézacího řízení před soudem nebo rozhodcem se může nejlépe bránit a má právo/povinnost zpochybňovat skutečnosti tvrzené věřitelem, které se dluhu týkají</w:t>
            </w:r>
            <w:r>
              <w:rPr>
                <w:rFonts w:ascii="Arial" w:hAnsi="Arial" w:cs="Arial"/>
                <w:color w:val="000000"/>
                <w:lang w:eastAsia="cs-CZ"/>
              </w:rPr>
              <w:t>,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tj. zda dluh opravdu existuje, zda a kolik si dlužník půjčil, kolik splatil, kolik zbývá splatit, zda se opravdu dostal do prodlení, zda jsou věřitelem požadované sankce v souladu s právem a výsledkem je určení povinnosti zaplatit určitou částku v určité lhůtě.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284.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Vymáhání dluhů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-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nalézací řízení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i soukromý rozhodce musí postupovat podle právních předpisů na ochranu spotřebitele</w:t>
            </w:r>
            <w:r>
              <w:rPr>
                <w:rFonts w:ascii="Arial" w:hAnsi="Arial" w:cs="Arial"/>
                <w:color w:val="000000"/>
                <w:lang w:eastAsia="cs-CZ"/>
              </w:rPr>
              <w:t>, v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e výjimečných případech lze podat návrh na zrušení rozhodčího nálezu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  <w:r w:rsidRPr="00722004">
              <w:rPr>
                <w:rStyle w:val="Znakapoznpodarou"/>
                <w:rFonts w:ascii="Arial" w:hAnsi="Arial" w:cs="Arial"/>
                <w:color w:val="000000"/>
                <w:lang w:eastAsia="cs-CZ"/>
              </w:rPr>
              <w:footnoteReference w:id="55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285.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Vymáhání dluhů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–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nalézací řízení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soud rozhoduje platebním rozkazem (bez nařízení jednání)</w:t>
            </w:r>
            <w:r>
              <w:rPr>
                <w:rFonts w:ascii="Arial" w:hAnsi="Arial" w:cs="Arial"/>
                <w:color w:val="000000"/>
                <w:lang w:eastAsia="cs-CZ"/>
              </w:rPr>
              <w:t>,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nebo rozsudkem (při nařízení jednání), proti nimž se lze odvolat do 15 dnů ode dne doručení. </w:t>
            </w:r>
            <w:r w:rsidRPr="00722004">
              <w:rPr>
                <w:rStyle w:val="Znakapoznpodarou"/>
                <w:rFonts w:ascii="Arial" w:hAnsi="Arial" w:cs="Arial"/>
                <w:color w:val="000000"/>
                <w:lang w:eastAsia="cs-CZ"/>
              </w:rPr>
              <w:footnoteReference w:id="56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286.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Vymáhání dluhů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–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nalézací řízení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dlužník je povinen nahlásit věřiteli i soudu všechny změny, které se jej týkají, nejen neschopnost splácet, ale i změnu doručovací adresy.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287.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Vymáhání dluhů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–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nalézací řízení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br/>
              <w:t>Ví, že v případě doručování soudních písemností platí (s výjimkou platebního rozkazu) fikce doručení 10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den po uložení písemnosti na poště.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288.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Vymáhání dluhů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– vykonávací řízení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vykonávací řízení vede buďto soud, nebo častěji soudní exekutor (tzv. exekuce).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289.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Vymáhání dluhů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– vykonávací řízení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exekutor má právo vstupu do obydlí pouze na základě soudního příkazu. Bez vědomí dlužníka nebo proti jeho vůli tak může činit pouze za asistence Policie ČR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290.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Vymáhání dluhů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– vykonávací řízení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základními způsoby provedení exekuce jsou srážky ze mzdy a jiných příjmů, přikázání pohledávky, výplata z účtu u peněžního ústavu a prod</w:t>
            </w:r>
            <w:r>
              <w:rPr>
                <w:rFonts w:ascii="Arial" w:hAnsi="Arial" w:cs="Arial"/>
                <w:color w:val="000000"/>
                <w:lang w:eastAsia="cs-CZ"/>
              </w:rPr>
              <w:t>ej movitých věcí a nemovitostí.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291.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Vymáhání dluhů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– vykonávací řízení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F5009D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F5009D">
              <w:rPr>
                <w:rFonts w:ascii="Arial" w:hAnsi="Arial" w:cs="Arial"/>
                <w:color w:val="000000"/>
                <w:lang w:eastAsia="cs-CZ"/>
              </w:rPr>
              <w:t>Ví, jaká částka nesmí být zabavena povinnému při exekuci srážkami ze mzdy a jiných příjmů.</w:t>
            </w:r>
            <w:r w:rsidRPr="00F5009D"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57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F5009D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292.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Vymáhání dluhů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– vykonávací řízení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při exekuci přikázáním pohledávky z účtu u</w:t>
            </w:r>
            <w:r>
              <w:rPr>
                <w:rFonts w:ascii="Arial" w:hAnsi="Arial" w:cs="Arial"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peněžního ústavu ztratí právo disponovat s prostředky na účtu s výjimkou jednorázového výběru peněžních prostředků z jednoho účtu do výše dvojnásob</w:t>
            </w:r>
            <w:r>
              <w:rPr>
                <w:rFonts w:ascii="Arial" w:hAnsi="Arial" w:cs="Arial"/>
                <w:color w:val="000000"/>
                <w:lang w:eastAsia="cs-CZ"/>
              </w:rPr>
              <w:t>ku životního minima jednotlivce.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58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293.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Vymáhání dluhů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– vykonávací řízení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nelze vést exekuci prodejem věcí, které patří jiné osobě</w:t>
            </w:r>
            <w:r>
              <w:rPr>
                <w:rFonts w:ascii="Arial" w:hAnsi="Arial" w:cs="Arial"/>
                <w:color w:val="000000"/>
                <w:lang w:eastAsia="cs-CZ"/>
              </w:rPr>
              <w:t>; z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věcí ve vlastnictví dlužníka se exekuce nesmí týkat těch, které nezbytně potřebuje k uspokojování hmotných potřeb svých a své rodiny nebo k plnění svých pracovních úkolů. </w:t>
            </w:r>
            <w:r w:rsidRPr="00722004">
              <w:rPr>
                <w:rStyle w:val="Znakapoznpodarou"/>
                <w:rFonts w:ascii="Arial" w:hAnsi="Arial" w:cs="Arial"/>
                <w:color w:val="000000"/>
                <w:lang w:eastAsia="cs-CZ"/>
              </w:rPr>
              <w:footnoteReference w:id="59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294.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D. Práva spotřebitele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1" w:rsidRPr="00722004" w:rsidRDefault="00AF55B1" w:rsidP="00AF55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jc w:val="center"/>
              <w:rPr>
                <w:rFonts w:ascii="Arial" w:hAnsi="Arial" w:cs="Arial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D. 3 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br/>
              <w:t>Zadlužení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Vymáhání dluhů – vykonávací řízení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obranou proti neoprávněné exekuci věcí, které jsou z exekuce vyloučeny, se lze bránit návrhem na vyškrtnutí věci ze soupisu podaným u příslušného exekutora.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60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295.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E. Další související kompetence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E. 1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Zdroje informací a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média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Informační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mediální gramotnost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Ovládá základní nástroje elektronické komunikace se vztahem k finanční gramotnosti – vyhledávání informací na internetu, poštovní služby na internetu.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296.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E. Další související kompetence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E. 1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Zdroje informací a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média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Informační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mediální gramotnost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co jsou sociální sítě v prostředí internetu a jakým způsobem jsou využívány pro propagaci finančních produktů.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297.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E. Zdroje informací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média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E. 1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Zdroje informací a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média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Elektronická komunikace mezi státem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občany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Zná náležitosti doručení sdělení ze strany veřejné správy, zejména lhůty a podmínky uskutečnění doručení.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298.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E. Zdroje informací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média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E. 1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Zdroje informací a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média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Elektronická komunikace mezi státem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občany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ja</w:t>
            </w:r>
            <w:r>
              <w:rPr>
                <w:rFonts w:ascii="Arial" w:hAnsi="Arial" w:cs="Arial"/>
                <w:color w:val="000000"/>
                <w:lang w:eastAsia="cs-CZ"/>
              </w:rPr>
              <w:t>ké služby poskytuje CzechPoint.</w:t>
            </w:r>
            <w:r>
              <w:rPr>
                <w:rStyle w:val="Znakapoznpodarou"/>
                <w:rFonts w:ascii="Arial" w:hAnsi="Arial"/>
                <w:color w:val="000000"/>
                <w:lang w:eastAsia="cs-CZ"/>
              </w:rPr>
              <w:footnoteReference w:id="6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299.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E. Zdroje informací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média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E. 1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Zdroje informací a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média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Elektronická komunikace mezi státem a občany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co je elektronická datová schránka.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605B93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E. Zdroje informací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média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604545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604545">
              <w:rPr>
                <w:rFonts w:ascii="Arial" w:hAnsi="Arial" w:cs="Arial"/>
                <w:b/>
                <w:color w:val="000000"/>
                <w:lang w:eastAsia="cs-CZ"/>
              </w:rPr>
              <w:t>E. 1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604545">
              <w:rPr>
                <w:rFonts w:ascii="Arial" w:hAnsi="Arial" w:cs="Arial"/>
                <w:b/>
                <w:color w:val="000000"/>
                <w:lang w:eastAsia="cs-CZ"/>
              </w:rPr>
              <w:t xml:space="preserve"> Zdroje informací a média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Serióznost a věrohodnost informačních zdrojů a informací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Dokáže posoudit relevantnost použitého informačního zdroje, zejména v případě zdrojů elektronických.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301.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E. Zdroje informací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média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E. 1 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Zdroje informací a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média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Serióznost a věrohodnost informačních zdrojů a informací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Rozlišuje informační zdroje oficiální a neoficiální.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272A8F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302.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E. Zdroje informací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média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E. 1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Zdroje informací a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média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Serióznost a věrohodnost informačních zdrojů a informací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Zná základní informační zdroje veřejné správy.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272A8F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303.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E. Zdroje informací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média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E. 1</w:t>
            </w: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 xml:space="preserve"> Zdroje informací a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média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Propagace (reklama, PR, psychologické aspekty, klamavá reklama)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údaje v propagačních materiálech mohou být uvedeny zavádějícím způsobem.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304.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E. Zdroje informací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média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E. 1 Zdroje informací a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média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Propagace (reklama, PR, psychologické aspekty, klamavá reklama)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Je si vědom existence placených prezentací v médiích mimo klasických nástrojů reklamy a PR (zejména tzv. product placement)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305.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E. Zdroje informací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média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E. 1 Zdroje informací a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color w:val="000000"/>
                <w:lang w:eastAsia="cs-CZ"/>
              </w:rPr>
              <w:t>média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Propagace (reklama, PR, psychologické aspekty, klamavá reklama)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Je schopen odhadnout a přepočítat výhodnost prezentovaných nabídek, zejména ve vztahu k RPSN a dlouhodobým dopadům na své osobní finance</w:t>
            </w:r>
            <w:r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306.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E. Další související kompetence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eastAsia="SimSun" w:hAnsi="Arial" w:cs="Arial"/>
                <w:b/>
                <w:bCs/>
                <w:color w:val="000000"/>
                <w:kern w:val="2"/>
                <w:lang w:eastAsia="hi-IN" w:bidi="hi-IN"/>
              </w:rPr>
              <w:t>E. 2 OSOBNOST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Osobnost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finanční gramotnost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Ví, že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svou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finanční gramotnost je nezbytné neustále </w:t>
            </w:r>
            <w:r>
              <w:rPr>
                <w:rFonts w:ascii="Arial" w:hAnsi="Arial" w:cs="Arial"/>
                <w:color w:val="000000"/>
                <w:lang w:eastAsia="cs-CZ"/>
              </w:rPr>
              <w:t>rozvíjet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a po celý život se vzdělávat.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307.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E. Další související kompetence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eastAsia="SimSun" w:hAnsi="Arial" w:cs="Arial"/>
                <w:b/>
                <w:bCs/>
                <w:color w:val="000000"/>
                <w:kern w:val="2"/>
                <w:lang w:eastAsia="hi-IN" w:bidi="hi-IN"/>
              </w:rPr>
              <w:t>E. 2 OSOBNOST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Psychická zátěž a stres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E0A14">
              <w:rPr>
                <w:rFonts w:ascii="Arial" w:hAnsi="Arial" w:cs="Arial"/>
              </w:rPr>
              <w:t>Ví, že správa osobního či domácího rozpočtu a správa osobních financí vyžaduje pečlivost a pravidelnost</w:t>
            </w:r>
            <w:r w:rsidRPr="007E0A14"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308.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AF55B1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E. Další související kompetence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eastAsia="SimSun" w:hAnsi="Arial" w:cs="Arial"/>
                <w:b/>
                <w:bCs/>
                <w:color w:val="000000"/>
                <w:kern w:val="2"/>
                <w:lang w:eastAsia="hi-IN" w:bidi="hi-IN"/>
              </w:rPr>
              <w:t>E. 2 OSOBNOST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Psychická zátěž a stres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Ví, že finanční rozhodování je doprovázeno psychickou zátěží a stresem a zná alespoň dvě doporučení, jak těmto vlivům čelit.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F55B1" w:rsidRDefault="00AF55B1" w:rsidP="00AF55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E. Další související kompetence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eastAsia="SimSun" w:hAnsi="Arial" w:cs="Arial"/>
                <w:b/>
                <w:bCs/>
                <w:color w:val="000000"/>
                <w:kern w:val="2"/>
                <w:lang w:eastAsia="hi-IN" w:bidi="hi-IN"/>
              </w:rPr>
              <w:t>E. 2 OSOBNOST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Psychologie nezaměstnanosti a sociálně patologické jevy, význam "být" zaměstnán ze společenského i ekonomického hlediska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Je si vědom, že nelegální prác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e nepřináší mimo mzdu/plat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další výhody (nemocenská, dovolená, starobní důchod).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F55B1" w:rsidRDefault="00AF55B1" w:rsidP="00AF55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E. Další související kompetence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eastAsia="SimSun" w:hAnsi="Arial" w:cs="Arial"/>
                <w:b/>
                <w:bCs/>
                <w:color w:val="000000"/>
                <w:kern w:val="2"/>
                <w:lang w:eastAsia="hi-IN" w:bidi="hi-IN"/>
              </w:rPr>
              <w:t>E. 2 OSOBNOST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Psychologie nezaměstna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softHyphen/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nosti a sociálně patologické jevy, význam "být" zaměstnán ze společenského i ekonomického hlediska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>Zná rizika nelegální práce.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  <w:tr w:rsidR="00AF55B1" w:rsidRPr="00722004" w:rsidTr="00D227EB">
        <w:trPr>
          <w:trHeight w:val="15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F55B1" w:rsidRDefault="00AF55B1" w:rsidP="00AF55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Default="00AF55B1" w:rsidP="00AF55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AF55B1" w:rsidRPr="00722004" w:rsidRDefault="00AF55B1" w:rsidP="00AF55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E. Zdroje informací 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média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22004">
              <w:rPr>
                <w:rFonts w:ascii="Arial" w:eastAsia="SimSun" w:hAnsi="Arial" w:cs="Arial"/>
                <w:b/>
                <w:bCs/>
                <w:color w:val="000000"/>
                <w:kern w:val="2"/>
                <w:lang w:eastAsia="hi-IN" w:bidi="hi-IN"/>
              </w:rPr>
              <w:t>E. 2 OSOBNOST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Psychologie nezaměstna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softHyphen/>
            </w:r>
            <w:r w:rsidRPr="00722004">
              <w:rPr>
                <w:rFonts w:ascii="Arial" w:hAnsi="Arial" w:cs="Arial"/>
                <w:b/>
                <w:bCs/>
                <w:color w:val="000000"/>
                <w:lang w:eastAsia="cs-CZ"/>
              </w:rPr>
              <w:t>nosti a sociálně patologické jevy, význam "být" zaměstnán ze společenského i ekonomického hlediska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Uvědomuje si, že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(legální) 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>práce je důležitou součástí finančních rozhodnutí a je třeba k </w:t>
            </w:r>
            <w:r>
              <w:rPr>
                <w:rFonts w:ascii="Arial" w:hAnsi="Arial" w:cs="Arial"/>
                <w:color w:val="000000"/>
                <w:lang w:eastAsia="cs-CZ"/>
              </w:rPr>
              <w:t>ní</w:t>
            </w:r>
            <w:r w:rsidRPr="00722004">
              <w:rPr>
                <w:rFonts w:ascii="Arial" w:hAnsi="Arial" w:cs="Arial"/>
                <w:color w:val="000000"/>
                <w:lang w:eastAsia="cs-CZ"/>
              </w:rPr>
              <w:t xml:space="preserve"> přistupovat zodpovědně a proaktivně.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1" w:rsidRPr="00722004" w:rsidRDefault="00AF55B1" w:rsidP="00AF55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NEBUDE OVĚŘOVÁNO</w:t>
            </w:r>
          </w:p>
        </w:tc>
      </w:tr>
    </w:tbl>
    <w:p w:rsidR="00E244DA" w:rsidRDefault="00E244DA">
      <w:pPr>
        <w:rPr>
          <w:rFonts w:ascii="Arial" w:hAnsi="Arial" w:cs="Arial"/>
        </w:rPr>
      </w:pPr>
    </w:p>
    <w:p w:rsidR="00B65514" w:rsidRDefault="00B655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Změny tohoto Standardu jsou vyhrazeny. </w:t>
      </w:r>
    </w:p>
    <w:p w:rsidR="00B65514" w:rsidRDefault="00B65514">
      <w:pPr>
        <w:rPr>
          <w:rFonts w:ascii="Arial" w:hAnsi="Arial" w:cs="Arial"/>
        </w:rPr>
      </w:pPr>
    </w:p>
    <w:p w:rsidR="005939F1" w:rsidRPr="008C6C5F" w:rsidRDefault="005939F1" w:rsidP="000D487B">
      <w:pPr>
        <w:rPr>
          <w:rFonts w:ascii="Arial" w:hAnsi="Arial" w:cs="Arial"/>
          <w:b/>
          <w:sz w:val="20"/>
          <w:szCs w:val="20"/>
          <w:u w:val="single"/>
        </w:rPr>
      </w:pPr>
      <w:r w:rsidRPr="008C6C5F">
        <w:rPr>
          <w:rFonts w:ascii="Arial" w:hAnsi="Arial" w:cs="Arial"/>
          <w:b/>
          <w:sz w:val="20"/>
          <w:szCs w:val="20"/>
          <w:u w:val="single"/>
        </w:rPr>
        <w:t>Použité zkratky:</w:t>
      </w:r>
    </w:p>
    <w:p w:rsidR="005939F1" w:rsidRPr="008C6C5F" w:rsidRDefault="005939F1" w:rsidP="000D487B">
      <w:pPr>
        <w:rPr>
          <w:rFonts w:ascii="Arial" w:hAnsi="Arial" w:cs="Arial"/>
          <w:sz w:val="20"/>
          <w:szCs w:val="20"/>
        </w:rPr>
      </w:pPr>
      <w:r w:rsidRPr="008C6C5F">
        <w:rPr>
          <w:rFonts w:ascii="Arial" w:hAnsi="Arial" w:cs="Arial"/>
          <w:sz w:val="20"/>
          <w:szCs w:val="20"/>
        </w:rPr>
        <w:t>CP – Cenný papír</w:t>
      </w:r>
    </w:p>
    <w:p w:rsidR="005939F1" w:rsidRPr="008C6C5F" w:rsidRDefault="005939F1" w:rsidP="000D487B">
      <w:pPr>
        <w:rPr>
          <w:rFonts w:ascii="Arial" w:hAnsi="Arial" w:cs="Arial"/>
          <w:sz w:val="20"/>
          <w:szCs w:val="20"/>
        </w:rPr>
      </w:pPr>
      <w:r w:rsidRPr="008C6C5F">
        <w:rPr>
          <w:rFonts w:ascii="Arial" w:hAnsi="Arial" w:cs="Arial"/>
          <w:sz w:val="20"/>
          <w:szCs w:val="20"/>
        </w:rPr>
        <w:t>ČNB – Česká národní banka</w:t>
      </w:r>
    </w:p>
    <w:p w:rsidR="005939F1" w:rsidRPr="008C6C5F" w:rsidRDefault="005939F1" w:rsidP="000D487B">
      <w:pPr>
        <w:rPr>
          <w:rFonts w:ascii="Arial" w:hAnsi="Arial" w:cs="Arial"/>
          <w:color w:val="000000"/>
          <w:sz w:val="20"/>
          <w:szCs w:val="20"/>
        </w:rPr>
      </w:pPr>
      <w:r w:rsidRPr="008C6C5F">
        <w:rPr>
          <w:rFonts w:ascii="Arial" w:hAnsi="Arial" w:cs="Arial"/>
          <w:color w:val="000000"/>
          <w:sz w:val="20"/>
          <w:szCs w:val="20"/>
          <w:lang w:eastAsia="cs-CZ"/>
        </w:rPr>
        <w:t xml:space="preserve">DPH -  </w:t>
      </w:r>
      <w:r w:rsidRPr="008C6C5F">
        <w:rPr>
          <w:rFonts w:ascii="Arial" w:hAnsi="Arial" w:cs="Arial"/>
          <w:color w:val="000000"/>
          <w:sz w:val="20"/>
          <w:szCs w:val="20"/>
        </w:rPr>
        <w:t>Daň z přidané hodnoty</w:t>
      </w:r>
    </w:p>
    <w:p w:rsidR="00852790" w:rsidRPr="008C6C5F" w:rsidRDefault="00852790" w:rsidP="000D487B">
      <w:pPr>
        <w:rPr>
          <w:rFonts w:ascii="Arial" w:hAnsi="Arial" w:cs="Arial"/>
          <w:color w:val="000000"/>
          <w:sz w:val="20"/>
          <w:szCs w:val="20"/>
        </w:rPr>
      </w:pPr>
      <w:r w:rsidRPr="008C6C5F">
        <w:rPr>
          <w:rFonts w:ascii="Arial" w:hAnsi="Arial" w:cs="Arial"/>
          <w:color w:val="000000"/>
          <w:sz w:val="20"/>
          <w:szCs w:val="20"/>
        </w:rPr>
        <w:t xml:space="preserve">ESIS - </w:t>
      </w:r>
      <w:r w:rsidR="002068EE" w:rsidRPr="008C6C5F">
        <w:rPr>
          <w:rFonts w:ascii="Arial" w:hAnsi="Arial" w:cs="Arial"/>
          <w:bCs/>
          <w:color w:val="000000"/>
          <w:sz w:val="20"/>
          <w:szCs w:val="20"/>
        </w:rPr>
        <w:t>Evropský standardizovaný informační formulář</w:t>
      </w:r>
    </w:p>
    <w:p w:rsidR="005939F1" w:rsidRPr="008C6C5F" w:rsidRDefault="005939F1" w:rsidP="000D487B">
      <w:pPr>
        <w:rPr>
          <w:rFonts w:ascii="Arial" w:hAnsi="Arial" w:cs="Arial"/>
          <w:sz w:val="20"/>
          <w:szCs w:val="20"/>
          <w:lang w:eastAsia="cs-CZ"/>
        </w:rPr>
      </w:pPr>
      <w:r w:rsidRPr="008C6C5F">
        <w:rPr>
          <w:rFonts w:ascii="Arial" w:hAnsi="Arial" w:cs="Arial"/>
          <w:sz w:val="20"/>
          <w:szCs w:val="20"/>
          <w:lang w:eastAsia="cs-CZ"/>
        </w:rPr>
        <w:t>FO – Fyzická osoba</w:t>
      </w:r>
    </w:p>
    <w:p w:rsidR="005939F1" w:rsidRPr="008C6C5F" w:rsidRDefault="005939F1" w:rsidP="000D487B">
      <w:pPr>
        <w:rPr>
          <w:rFonts w:ascii="Arial" w:hAnsi="Arial" w:cs="Arial"/>
          <w:sz w:val="20"/>
          <w:szCs w:val="20"/>
          <w:lang w:eastAsia="cs-CZ"/>
        </w:rPr>
      </w:pPr>
      <w:r w:rsidRPr="008C6C5F">
        <w:rPr>
          <w:rFonts w:ascii="Arial" w:hAnsi="Arial" w:cs="Arial"/>
          <w:sz w:val="20"/>
          <w:szCs w:val="20"/>
          <w:lang w:eastAsia="cs-CZ"/>
        </w:rPr>
        <w:t>FPV – Fond pojištění vkladů</w:t>
      </w:r>
    </w:p>
    <w:p w:rsidR="005939F1" w:rsidRPr="008C6C5F" w:rsidRDefault="005939F1" w:rsidP="000D487B">
      <w:pPr>
        <w:rPr>
          <w:rFonts w:ascii="Arial" w:hAnsi="Arial" w:cs="Arial"/>
          <w:sz w:val="20"/>
          <w:szCs w:val="20"/>
        </w:rPr>
      </w:pPr>
      <w:r w:rsidRPr="008C6C5F">
        <w:rPr>
          <w:rFonts w:ascii="Arial" w:hAnsi="Arial" w:cs="Arial"/>
          <w:sz w:val="20"/>
          <w:szCs w:val="20"/>
        </w:rPr>
        <w:t>GFOCP -  Garanční fond obchodníků s cennými papíry</w:t>
      </w:r>
    </w:p>
    <w:p w:rsidR="005939F1" w:rsidRPr="008C6C5F" w:rsidRDefault="005939F1" w:rsidP="000D487B">
      <w:pPr>
        <w:rPr>
          <w:rFonts w:ascii="Arial" w:hAnsi="Arial" w:cs="Arial"/>
          <w:color w:val="000000"/>
          <w:sz w:val="20"/>
          <w:szCs w:val="20"/>
          <w:lang w:eastAsia="cs-CZ"/>
        </w:rPr>
      </w:pPr>
      <w:r w:rsidRPr="008C6C5F">
        <w:rPr>
          <w:rFonts w:ascii="Arial" w:hAnsi="Arial" w:cs="Arial"/>
          <w:color w:val="000000"/>
          <w:sz w:val="20"/>
          <w:szCs w:val="20"/>
          <w:lang w:eastAsia="cs-CZ"/>
        </w:rPr>
        <w:t xml:space="preserve">OSVČ -  </w:t>
      </w:r>
      <w:r w:rsidRPr="008C6C5F">
        <w:rPr>
          <w:rFonts w:ascii="Arial" w:hAnsi="Arial" w:cs="Arial"/>
          <w:color w:val="000000"/>
          <w:sz w:val="20"/>
          <w:szCs w:val="20"/>
        </w:rPr>
        <w:t>Osoba samostatně výdělečně činná</w:t>
      </w:r>
    </w:p>
    <w:p w:rsidR="005939F1" w:rsidRPr="008C6C5F" w:rsidRDefault="005939F1" w:rsidP="000D487B">
      <w:pPr>
        <w:rPr>
          <w:rFonts w:ascii="Arial" w:hAnsi="Arial" w:cs="Arial"/>
          <w:color w:val="000000"/>
          <w:sz w:val="20"/>
          <w:szCs w:val="20"/>
        </w:rPr>
      </w:pPr>
      <w:r w:rsidRPr="008C6C5F">
        <w:rPr>
          <w:rFonts w:ascii="Arial" w:hAnsi="Arial" w:cs="Arial"/>
          <w:color w:val="000000"/>
          <w:sz w:val="20"/>
          <w:szCs w:val="20"/>
          <w:lang w:eastAsia="cs-CZ"/>
        </w:rPr>
        <w:t xml:space="preserve">OSSZ -  </w:t>
      </w:r>
      <w:r w:rsidRPr="008C6C5F">
        <w:rPr>
          <w:rFonts w:ascii="Arial" w:hAnsi="Arial" w:cs="Arial"/>
          <w:color w:val="000000"/>
          <w:sz w:val="20"/>
          <w:szCs w:val="20"/>
        </w:rPr>
        <w:t>Okresní správa sociálního zabezpečení</w:t>
      </w:r>
    </w:p>
    <w:p w:rsidR="005939F1" w:rsidRPr="008C6C5F" w:rsidRDefault="005939F1" w:rsidP="000D487B">
      <w:pPr>
        <w:rPr>
          <w:rFonts w:ascii="Arial" w:hAnsi="Arial" w:cs="Arial"/>
          <w:color w:val="000000"/>
          <w:sz w:val="20"/>
          <w:szCs w:val="20"/>
        </w:rPr>
      </w:pPr>
      <w:r w:rsidRPr="008C6C5F">
        <w:rPr>
          <w:rFonts w:ascii="Arial" w:hAnsi="Arial" w:cs="Arial"/>
          <w:color w:val="000000"/>
          <w:sz w:val="20"/>
          <w:szCs w:val="20"/>
          <w:lang w:eastAsia="cs-CZ"/>
        </w:rPr>
        <w:t xml:space="preserve">p. a. - </w:t>
      </w:r>
      <w:r w:rsidRPr="008C6C5F">
        <w:rPr>
          <w:rFonts w:ascii="Arial" w:hAnsi="Arial" w:cs="Arial"/>
          <w:color w:val="000000"/>
          <w:sz w:val="20"/>
          <w:szCs w:val="20"/>
        </w:rPr>
        <w:t>per annum</w:t>
      </w:r>
    </w:p>
    <w:p w:rsidR="005939F1" w:rsidRPr="008C6C5F" w:rsidRDefault="005939F1" w:rsidP="000D487B">
      <w:pPr>
        <w:rPr>
          <w:rFonts w:ascii="Arial" w:hAnsi="Arial" w:cs="Arial"/>
          <w:sz w:val="20"/>
          <w:szCs w:val="20"/>
          <w:lang w:eastAsia="cs-CZ"/>
        </w:rPr>
      </w:pPr>
      <w:r w:rsidRPr="008C6C5F">
        <w:rPr>
          <w:rFonts w:ascii="Arial" w:hAnsi="Arial" w:cs="Arial"/>
          <w:sz w:val="20"/>
          <w:szCs w:val="20"/>
          <w:lang w:eastAsia="cs-CZ"/>
        </w:rPr>
        <w:t>PO  - Právnická osoba</w:t>
      </w:r>
    </w:p>
    <w:p w:rsidR="005939F1" w:rsidRPr="008C6C5F" w:rsidRDefault="005939F1" w:rsidP="000D487B">
      <w:pPr>
        <w:rPr>
          <w:rFonts w:ascii="Arial" w:hAnsi="Arial" w:cs="Arial"/>
          <w:sz w:val="20"/>
          <w:szCs w:val="20"/>
          <w:lang w:eastAsia="cs-CZ"/>
        </w:rPr>
      </w:pPr>
      <w:r w:rsidRPr="008C6C5F">
        <w:rPr>
          <w:rFonts w:ascii="Arial" w:hAnsi="Arial" w:cs="Arial"/>
          <w:sz w:val="20"/>
          <w:szCs w:val="20"/>
          <w:lang w:eastAsia="cs-CZ"/>
        </w:rPr>
        <w:t>POS - (Point of Sale), „platební terminál u obchodníka pro akceptaci platebních karet“</w:t>
      </w:r>
    </w:p>
    <w:p w:rsidR="00785AFF" w:rsidRPr="008C6C5F" w:rsidRDefault="00785AFF" w:rsidP="000D487B">
      <w:pPr>
        <w:rPr>
          <w:rFonts w:ascii="Arial" w:hAnsi="Arial" w:cs="Arial"/>
          <w:sz w:val="20"/>
          <w:szCs w:val="20"/>
          <w:lang w:eastAsia="cs-CZ"/>
        </w:rPr>
      </w:pPr>
      <w:r w:rsidRPr="008C6C5F">
        <w:rPr>
          <w:rFonts w:ascii="Arial" w:hAnsi="Arial" w:cs="Arial"/>
          <w:sz w:val="20"/>
          <w:szCs w:val="20"/>
          <w:lang w:eastAsia="cs-CZ"/>
        </w:rPr>
        <w:t>PR – Public relations (vztahy s veřejností)</w:t>
      </w:r>
    </w:p>
    <w:p w:rsidR="005939F1" w:rsidRPr="008C6C5F" w:rsidRDefault="005939F1" w:rsidP="000D487B">
      <w:pPr>
        <w:rPr>
          <w:rFonts w:ascii="Arial" w:hAnsi="Arial" w:cs="Arial"/>
          <w:color w:val="000000"/>
          <w:sz w:val="20"/>
          <w:szCs w:val="20"/>
        </w:rPr>
      </w:pPr>
      <w:r w:rsidRPr="008C6C5F">
        <w:rPr>
          <w:rFonts w:ascii="Arial" w:hAnsi="Arial" w:cs="Arial"/>
          <w:sz w:val="20"/>
          <w:szCs w:val="20"/>
          <w:lang w:eastAsia="cs-CZ"/>
        </w:rPr>
        <w:t xml:space="preserve">RPSN - </w:t>
      </w:r>
      <w:r w:rsidRPr="008C6C5F">
        <w:rPr>
          <w:rFonts w:ascii="Arial" w:hAnsi="Arial" w:cs="Arial"/>
          <w:color w:val="000000"/>
          <w:sz w:val="20"/>
          <w:szCs w:val="20"/>
        </w:rPr>
        <w:t>Roční procentní sazba nákladů</w:t>
      </w:r>
    </w:p>
    <w:p w:rsidR="005939F1" w:rsidRPr="008C6C5F" w:rsidRDefault="005939F1" w:rsidP="000D487B">
      <w:pPr>
        <w:rPr>
          <w:rFonts w:ascii="Arial" w:hAnsi="Arial" w:cs="Arial"/>
          <w:sz w:val="20"/>
          <w:szCs w:val="20"/>
        </w:rPr>
      </w:pPr>
      <w:r w:rsidRPr="008C6C5F">
        <w:rPr>
          <w:rFonts w:ascii="Arial" w:hAnsi="Arial" w:cs="Arial"/>
          <w:sz w:val="20"/>
          <w:szCs w:val="20"/>
        </w:rPr>
        <w:t xml:space="preserve">SIPO - </w:t>
      </w:r>
      <w:r w:rsidRPr="008C6C5F">
        <w:rPr>
          <w:rFonts w:ascii="Arial" w:hAnsi="Arial" w:cs="Arial"/>
          <w:color w:val="000000"/>
          <w:sz w:val="20"/>
          <w:szCs w:val="20"/>
        </w:rPr>
        <w:t>Sdružené inkaso plateb obyvatelstva</w:t>
      </w:r>
    </w:p>
    <w:p w:rsidR="005939F1" w:rsidRPr="008C6C5F" w:rsidRDefault="005939F1" w:rsidP="000D487B">
      <w:pPr>
        <w:rPr>
          <w:rFonts w:ascii="Arial" w:hAnsi="Arial" w:cs="Arial"/>
          <w:color w:val="000000"/>
          <w:sz w:val="20"/>
          <w:szCs w:val="20"/>
          <w:lang w:eastAsia="cs-CZ"/>
        </w:rPr>
      </w:pPr>
      <w:r w:rsidRPr="008C6C5F">
        <w:rPr>
          <w:rFonts w:ascii="Arial" w:hAnsi="Arial" w:cs="Arial"/>
          <w:color w:val="000000"/>
          <w:sz w:val="20"/>
          <w:szCs w:val="20"/>
          <w:lang w:eastAsia="cs-CZ"/>
        </w:rPr>
        <w:t xml:space="preserve">SJM -  </w:t>
      </w:r>
      <w:r w:rsidRPr="008C6C5F">
        <w:rPr>
          <w:rFonts w:ascii="Arial" w:hAnsi="Arial" w:cs="Arial"/>
          <w:color w:val="000000"/>
          <w:sz w:val="20"/>
          <w:szCs w:val="20"/>
        </w:rPr>
        <w:t>Společné jmění manželů</w:t>
      </w:r>
    </w:p>
    <w:p w:rsidR="005939F1" w:rsidRPr="008C6C5F" w:rsidRDefault="005939F1" w:rsidP="000D487B">
      <w:pPr>
        <w:rPr>
          <w:rFonts w:ascii="Arial" w:hAnsi="Arial" w:cs="Arial"/>
          <w:color w:val="000000"/>
          <w:sz w:val="20"/>
          <w:szCs w:val="20"/>
          <w:lang w:eastAsia="cs-CZ"/>
        </w:rPr>
      </w:pPr>
      <w:r w:rsidRPr="008C6C5F">
        <w:rPr>
          <w:rFonts w:ascii="Arial" w:hAnsi="Arial" w:cs="Arial"/>
          <w:color w:val="000000"/>
          <w:sz w:val="20"/>
          <w:szCs w:val="20"/>
          <w:lang w:eastAsia="cs-CZ"/>
        </w:rPr>
        <w:t>ÚP – Úřad práce</w:t>
      </w:r>
    </w:p>
    <w:p w:rsidR="005939F1" w:rsidRPr="008C6C5F" w:rsidRDefault="005939F1">
      <w:pPr>
        <w:rPr>
          <w:rFonts w:ascii="Arial" w:hAnsi="Arial" w:cs="Arial"/>
          <w:sz w:val="20"/>
          <w:szCs w:val="20"/>
        </w:rPr>
      </w:pPr>
      <w:r w:rsidRPr="008C6C5F">
        <w:rPr>
          <w:rFonts w:ascii="Arial" w:hAnsi="Arial" w:cs="Arial"/>
          <w:sz w:val="20"/>
          <w:szCs w:val="20"/>
        </w:rPr>
        <w:tab/>
      </w:r>
    </w:p>
    <w:sectPr w:rsidR="005939F1" w:rsidRPr="008C6C5F" w:rsidSect="00251721">
      <w:headerReference w:type="default" r:id="rId9"/>
      <w:footerReference w:type="default" r:id="rId10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EC" w:rsidRDefault="000835EC" w:rsidP="004204CA">
      <w:pPr>
        <w:spacing w:after="0" w:line="240" w:lineRule="auto"/>
      </w:pPr>
      <w:r>
        <w:separator/>
      </w:r>
    </w:p>
  </w:endnote>
  <w:endnote w:type="continuationSeparator" w:id="0">
    <w:p w:rsidR="000835EC" w:rsidRDefault="000835EC" w:rsidP="0042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0A" w:rsidRDefault="00567F0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0E50">
      <w:rPr>
        <w:noProof/>
      </w:rPr>
      <w:t>2</w:t>
    </w:r>
    <w:r>
      <w:rPr>
        <w:noProof/>
      </w:rPr>
      <w:fldChar w:fldCharType="end"/>
    </w:r>
  </w:p>
  <w:p w:rsidR="00567F0A" w:rsidRDefault="00567F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EC" w:rsidRDefault="000835EC" w:rsidP="004204CA">
      <w:pPr>
        <w:spacing w:after="0" w:line="240" w:lineRule="auto"/>
      </w:pPr>
      <w:r>
        <w:separator/>
      </w:r>
    </w:p>
  </w:footnote>
  <w:footnote w:type="continuationSeparator" w:id="0">
    <w:p w:rsidR="000835EC" w:rsidRDefault="000835EC" w:rsidP="004204CA">
      <w:pPr>
        <w:spacing w:after="0" w:line="240" w:lineRule="auto"/>
      </w:pPr>
      <w:r>
        <w:continuationSeparator/>
      </w:r>
    </w:p>
  </w:footnote>
  <w:footnote w:id="1">
    <w:p w:rsidR="00567F0A" w:rsidRDefault="00567F0A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Nutno sledovat případné aktualizace/novelizace. </w:t>
      </w:r>
    </w:p>
  </w:footnote>
  <w:footnote w:id="2">
    <w:p w:rsidR="00567F0A" w:rsidRDefault="00567F0A" w:rsidP="00ED3DDA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Zejména se jedná o platby prostřednictvím platebních karet, jak v obchodech, tak na internetu, a internetové bankovnictví.</w:t>
      </w:r>
    </w:p>
  </w:footnote>
  <w:footnote w:id="3">
    <w:p w:rsidR="00567F0A" w:rsidRDefault="00567F0A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Příklady p</w:t>
      </w:r>
      <w:r w:rsidRPr="00A67299">
        <w:rPr>
          <w:rFonts w:ascii="Arial" w:hAnsi="Arial" w:cs="Arial"/>
          <w:color w:val="000000"/>
        </w:rPr>
        <w:t>říjmy: mzdy ze všech pracovních poměrů, dávky nemocenského pojištění, sociální dávky, důchody, příjmy z majetku, nahodilé příjmy (např. dary, náhrady zaměstnancům); výdaje: platby ze smluv, platby daní, platby sociálního a zdravotního pojištění, platby ostatní (léky, poplatky apod.).</w:t>
      </w:r>
    </w:p>
  </w:footnote>
  <w:footnote w:id="4">
    <w:p w:rsidR="00567F0A" w:rsidRDefault="00567F0A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Například </w:t>
      </w:r>
      <w:r w:rsidRPr="00A67299">
        <w:rPr>
          <w:rFonts w:ascii="Arial" w:hAnsi="Arial" w:cs="Arial"/>
          <w:color w:val="000000"/>
        </w:rPr>
        <w:t>nájemné, daně, školné, splátky úvěrů, různé ostatní.</w:t>
      </w:r>
    </w:p>
  </w:footnote>
  <w:footnote w:id="5">
    <w:p w:rsidR="00567F0A" w:rsidRDefault="00567F0A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Například </w:t>
      </w:r>
      <w:r w:rsidRPr="00A67299">
        <w:rPr>
          <w:rFonts w:ascii="Arial" w:hAnsi="Arial" w:cs="Arial"/>
          <w:color w:val="000000"/>
        </w:rPr>
        <w:t>oblečení, strava, doprava, spoření apod.</w:t>
      </w:r>
    </w:p>
  </w:footnote>
  <w:footnote w:id="6">
    <w:p w:rsidR="00567F0A" w:rsidRDefault="00567F0A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Podle nového občanského zákoníku (od 1.</w:t>
      </w:r>
      <w:r>
        <w:rPr>
          <w:rFonts w:ascii="Arial" w:hAnsi="Arial" w:cs="Arial"/>
        </w:rPr>
        <w:t> </w:t>
      </w:r>
      <w:r w:rsidRPr="00A67299">
        <w:rPr>
          <w:rFonts w:ascii="Arial" w:hAnsi="Arial" w:cs="Arial"/>
        </w:rPr>
        <w:t>1.</w:t>
      </w:r>
      <w:r>
        <w:rPr>
          <w:rFonts w:ascii="Arial" w:hAnsi="Arial" w:cs="Arial"/>
        </w:rPr>
        <w:t> </w:t>
      </w:r>
      <w:r w:rsidRPr="00A67299">
        <w:rPr>
          <w:rFonts w:ascii="Arial" w:hAnsi="Arial" w:cs="Arial"/>
        </w:rPr>
        <w:t xml:space="preserve">2014) movitá věc a nemovitá věc. </w:t>
      </w:r>
    </w:p>
  </w:footnote>
  <w:footnote w:id="7">
    <w:p w:rsidR="00567F0A" w:rsidRDefault="00567F0A" w:rsidP="00D36C6E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</w:t>
      </w:r>
      <w:r w:rsidRPr="00A67299">
        <w:rPr>
          <w:rFonts w:ascii="Arial" w:hAnsi="Arial" w:cs="Arial"/>
          <w:color w:val="000000"/>
        </w:rPr>
        <w:t>Například provoz vlastního domu, auta apod.</w:t>
      </w:r>
    </w:p>
  </w:footnote>
  <w:footnote w:id="8">
    <w:p w:rsidR="00567F0A" w:rsidRDefault="00567F0A" w:rsidP="00D36C6E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</w:t>
      </w:r>
      <w:r w:rsidRPr="00A67299">
        <w:rPr>
          <w:rFonts w:ascii="Arial" w:hAnsi="Arial" w:cs="Arial"/>
          <w:color w:val="000000"/>
        </w:rPr>
        <w:t>Například nemoc, havárie, nutná oprava apod.</w:t>
      </w:r>
    </w:p>
  </w:footnote>
  <w:footnote w:id="9">
    <w:p w:rsidR="00567F0A" w:rsidRDefault="00567F0A">
      <w:pPr>
        <w:pStyle w:val="Textpoznpodarou"/>
      </w:pPr>
      <w:r>
        <w:rPr>
          <w:rStyle w:val="Znakapoznpodarou"/>
        </w:rPr>
        <w:footnoteRef/>
      </w:r>
      <w:r>
        <w:t xml:space="preserve"> Pojištění se nikdy nevztahuje na dohody o provedení práce za dodržení podmínky max. měsíční mzdy 10 000Kč včetně, nad tuto částku jsou i tyto dohody zpojistněny.</w:t>
      </w:r>
    </w:p>
  </w:footnote>
  <w:footnote w:id="10">
    <w:p w:rsidR="00567F0A" w:rsidRPr="00A67299" w:rsidRDefault="00567F0A" w:rsidP="0003233B">
      <w:pPr>
        <w:pStyle w:val="Textpoznpodarou"/>
        <w:rPr>
          <w:rFonts w:ascii="Arial" w:hAnsi="Arial" w:cs="Arial"/>
        </w:rPr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Ukončení nebo přerušení samostatné výdělečné činnosti je formální správní akt, nikoli faktický nulový výkon činnosti. Na ÚP se musí ukončením činnosti prokázat. </w:t>
      </w:r>
    </w:p>
    <w:p w:rsidR="00567F0A" w:rsidRDefault="00567F0A" w:rsidP="0003233B">
      <w:pPr>
        <w:pStyle w:val="Textpoznpodarou"/>
      </w:pPr>
    </w:p>
  </w:footnote>
  <w:footnote w:id="11">
    <w:p w:rsidR="00567F0A" w:rsidRDefault="00567F0A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Například existence poplatků, co znamenají kurzy nákup/prodej a který se na příslušnou transakci použije.</w:t>
      </w:r>
    </w:p>
  </w:footnote>
  <w:footnote w:id="12">
    <w:p w:rsidR="00567F0A" w:rsidRDefault="00567F0A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Například riziko změny cen či úroků na trhu, krach finanční instituce, pokles kupní síly peněz apod.</w:t>
      </w:r>
    </w:p>
  </w:footnote>
  <w:footnote w:id="13">
    <w:p w:rsidR="00AF55B1" w:rsidRDefault="00AF55B1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Srážková daň, kterou vypočte i odvede banka, nikoli vkladatel.</w:t>
      </w:r>
    </w:p>
  </w:footnote>
  <w:footnote w:id="14">
    <w:p w:rsidR="00AF55B1" w:rsidRDefault="00AF55B1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Výše zhodnocení vkladu, účtované poplatky, podmínky předčasného výběru.</w:t>
      </w:r>
    </w:p>
  </w:footnote>
  <w:footnote w:id="15">
    <w:p w:rsidR="00AF55B1" w:rsidRDefault="00AF55B1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Poplatek za vedení účtu a výpisy, za vklad a výběr prostředků, za předčasný výběr prostředků.</w:t>
      </w:r>
    </w:p>
  </w:footnote>
  <w:footnote w:id="16">
    <w:p w:rsidR="00AF55B1" w:rsidRDefault="00AF55B1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Možnost vkladů a výběrů kdykoli a za jakou cenu, poplatek za vedení produktu a zasílání výpisů, možnost ukončení smlouvy kdykoli a s tím spojený poplatek, nutnost mít u banky běžný účet, jakou sazbou bude úročen zůstatek, který vkladatel očekává.</w:t>
      </w:r>
    </w:p>
  </w:footnote>
  <w:footnote w:id="17">
    <w:p w:rsidR="00AF55B1" w:rsidRDefault="00AF55B1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Určuje výši vstupního poplatku, strop pro naspořenou částku a výši budoucího úvěru.</w:t>
      </w:r>
    </w:p>
  </w:footnote>
  <w:footnote w:id="18">
    <w:p w:rsidR="00AF55B1" w:rsidRDefault="00AF55B1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Poplatek za uzavření smlouvy, za vedení účtu vč. výpisu, za výpověď smlouvy v prvních 6 letech spoření.</w:t>
      </w:r>
    </w:p>
  </w:footnote>
  <w:footnote w:id="19">
    <w:p w:rsidR="00AF55B1" w:rsidRDefault="00AF55B1" w:rsidP="00A907E0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Zákon č. 145/2010 Sb. o spotřebitelském úvěru, ve znění pozdějších předpisů.</w:t>
      </w:r>
    </w:p>
  </w:footnote>
  <w:footnote w:id="20">
    <w:p w:rsidR="00AF55B1" w:rsidRDefault="00AF55B1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Úroky, úroky z prodlení a náklady spojené s jejím uplatněním.</w:t>
      </w:r>
    </w:p>
  </w:footnote>
  <w:footnote w:id="21">
    <w:p w:rsidR="00AF55B1" w:rsidRDefault="00AF55B1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Resp. ví, co tento ukazatel zahrnuje (tj. včetně veškerých poplatků, úroků a plateb za doplňkové služby, musí-li se uzavřít povinně za účelem získáním úvěru).</w:t>
      </w:r>
    </w:p>
  </w:footnote>
  <w:footnote w:id="22">
    <w:p w:rsidR="00AF55B1" w:rsidRDefault="00AF55B1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Například vysoká měsíční splátka apod.</w:t>
      </w:r>
    </w:p>
  </w:footnote>
  <w:footnote w:id="23">
    <w:p w:rsidR="00AF55B1" w:rsidRDefault="00AF55B1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V případě neschopnosti splácet je obvykle možný odklad splátek nebo snížení jejich výše (se současným prodloužením doby splácení), v případě nadbytku prostředků lze zvýšit částku splátky (s případným zkrácením doby splacení) nebo úvěr předčasně splatit.</w:t>
      </w:r>
    </w:p>
  </w:footnote>
  <w:footnote w:id="24">
    <w:p w:rsidR="00AF55B1" w:rsidRDefault="00AF55B1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Celková výše úvěru, výše měsíční splátky, počet splátek, resp. délka splácení úvěru, jednoduché porovnání nabídky úvěrů dle RPSN.</w:t>
      </w:r>
    </w:p>
  </w:footnote>
  <w:footnote w:id="25">
    <w:p w:rsidR="00AF55B1" w:rsidRDefault="00AF55B1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Zda o sobě uvádí důležité informace a kontakty, zda nezastírá vlastní identitu, zda informuje o veškerých poplatcích a sankcích apod.</w:t>
      </w:r>
    </w:p>
  </w:footnote>
  <w:footnote w:id="26">
    <w:p w:rsidR="00AF55B1" w:rsidRDefault="00AF55B1" w:rsidP="009832E6">
      <w:pPr>
        <w:pStyle w:val="Textpoznpodarou"/>
      </w:pPr>
      <w:r w:rsidRPr="00A67299">
        <w:rPr>
          <w:rStyle w:val="Znakapoznpodarou"/>
          <w:rFonts w:ascii="Arial" w:hAnsi="Arial" w:cs="Arial"/>
        </w:rPr>
        <w:footnoteRef/>
      </w:r>
      <w:r w:rsidRPr="00A67299">
        <w:rPr>
          <w:rFonts w:ascii="Arial" w:hAnsi="Arial" w:cs="Arial"/>
        </w:rPr>
        <w:t xml:space="preserve"> To však nemá vliv na jeho případnou povinnost platit zákonné úroky z prodlení, které jsou o 7 procentních bodů vyšší. </w:t>
      </w:r>
      <w:r w:rsidRPr="00A67299">
        <w:rPr>
          <w:rFonts w:ascii="Arial" w:hAnsi="Arial" w:cs="Arial"/>
          <w:color w:val="222222"/>
          <w:shd w:val="clear" w:color="auto" w:fill="FFFFFF"/>
        </w:rPr>
        <w:t xml:space="preserve">Diskontní sazba ČNB pro </w:t>
      </w:r>
      <w:r w:rsidRPr="00A67299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leden 2013 byla 0,05 %; aktuální diskontní sazbu lze najít na webové stránce </w:t>
      </w:r>
      <w:hyperlink r:id="rId1" w:history="1">
        <w:r w:rsidRPr="00A67299">
          <w:rPr>
            <w:rStyle w:val="Hypertextovodkaz"/>
            <w:rFonts w:ascii="Arial" w:hAnsi="Arial" w:cs="Arial"/>
            <w:b/>
            <w:bCs/>
            <w:i/>
            <w:iCs/>
            <w:shd w:val="clear" w:color="auto" w:fill="FFFFFF"/>
          </w:rPr>
          <w:t>www.cnb.cz</w:t>
        </w:r>
      </w:hyperlink>
    </w:p>
  </w:footnote>
  <w:footnote w:id="27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Například nelze zastavit nemovitost spotřebitele v hodnotě miliónů korun za účelem získání spotřebitelského úvěru v řádu desítek tisíc korun.</w:t>
      </w:r>
    </w:p>
  </w:footnote>
  <w:footnote w:id="28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Odhad změn úrokových sazeb, očekávané získání peněžních prostředků z prodeje movitých či nemovitých věcí nebo vypořádání z dědického řízení apod.</w:t>
      </w:r>
    </w:p>
  </w:footnote>
  <w:footnote w:id="29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>Jde o splacení původního úvěru novým hypotéčním úvěrem, pro dlužníka za výhodnějších podmínek (nižších úrokových sazeb), zpravidla získaným u jiné banky.</w:t>
      </w:r>
    </w:p>
  </w:footnote>
  <w:footnote w:id="30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>Zejména výši nových úrokových sazeb pro jednotlivé délky fixace.</w:t>
      </w:r>
    </w:p>
  </w:footnote>
  <w:footnote w:id="31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>A to, že u kreditní karty lze využít bezúročné období.</w:t>
      </w:r>
    </w:p>
  </w:footnote>
  <w:footnote w:id="32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>Nemusí se vztahovat na výběr hotovosti, dále pokud klient nezaplatí v tomto období vše, celá částka úvěru se úročí od jeho začátku.</w:t>
      </w:r>
    </w:p>
  </w:footnote>
  <w:footnote w:id="33">
    <w:p w:rsidR="00AF55B1" w:rsidRDefault="00AF55B1">
      <w:pPr>
        <w:pStyle w:val="Textpoznpodarou"/>
      </w:pPr>
      <w:r w:rsidRPr="00C449C0">
        <w:rPr>
          <w:rStyle w:val="Znakapoznpodarou"/>
        </w:rPr>
        <w:footnoteRef/>
      </w:r>
      <w:r w:rsidRPr="00C449C0">
        <w:t xml:space="preserve"> </w:t>
      </w:r>
      <w:r w:rsidRPr="0079663E">
        <w:rPr>
          <w:rFonts w:ascii="Arial" w:hAnsi="Arial" w:cs="Arial"/>
        </w:rPr>
        <w:t>Operativní a finanční leasing.</w:t>
      </w:r>
    </w:p>
  </w:footnote>
  <w:footnote w:id="34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Platí u smluv uzavřených do 30. 11. 2012, pokud účastník nadále spoří v tzv. transformovaném fondu.</w:t>
      </w:r>
    </w:p>
  </w:footnote>
  <w:footnote w:id="35">
    <w:p w:rsidR="00AF55B1" w:rsidRPr="007D23C7" w:rsidRDefault="00AF55B1">
      <w:pPr>
        <w:pStyle w:val="Textpoznpodarou"/>
        <w:rPr>
          <w:rFonts w:ascii="Arial" w:hAnsi="Arial" w:cs="Arial"/>
        </w:rPr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>Orgán mimosoudního řešení sporů.</w:t>
      </w:r>
    </w:p>
  </w:footnote>
  <w:footnote w:id="36">
    <w:p w:rsidR="00AF55B1" w:rsidRPr="007D23C7" w:rsidRDefault="00AF55B1">
      <w:pPr>
        <w:pStyle w:val="Textpoznpodarou"/>
        <w:rPr>
          <w:rFonts w:ascii="Arial" w:hAnsi="Arial" w:cs="Arial"/>
        </w:rPr>
      </w:pPr>
      <w:r w:rsidRPr="007D23C7">
        <w:rPr>
          <w:rStyle w:val="Znakapoznpodarou"/>
          <w:rFonts w:ascii="Arial" w:hAnsi="Arial" w:cs="Arial"/>
        </w:rPr>
        <w:footnoteRef/>
      </w:r>
      <w:r w:rsidRPr="007D23C7">
        <w:rPr>
          <w:rFonts w:ascii="Arial" w:hAnsi="Arial" w:cs="Arial"/>
        </w:rPr>
        <w:t xml:space="preserve"> Kontrolovat, zda se nemění rozsah působnosti finančního arbitra – záměrem je rozšířit jeho působnost – např. na oblast pojištění</w:t>
      </w:r>
    </w:p>
  </w:footnote>
  <w:footnote w:id="37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i/>
        </w:rPr>
        <w:t>Pozn. od 1. 1. 2014 irelevantní – úprava sjednocena.</w:t>
      </w:r>
    </w:p>
  </w:footnote>
  <w:footnote w:id="38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7F18D7">
        <w:rPr>
          <w:rFonts w:ascii="Arial" w:hAnsi="Arial" w:cs="Arial"/>
          <w:color w:val="000000"/>
        </w:rPr>
        <w:t>Například Brno, Ostrava aj</w:t>
      </w:r>
      <w:r w:rsidRPr="0033794D">
        <w:rPr>
          <w:rFonts w:ascii="Arial" w:hAnsi="Arial" w:cs="Arial"/>
          <w:color w:val="000000"/>
          <w:sz w:val="22"/>
          <w:szCs w:val="22"/>
        </w:rPr>
        <w:t xml:space="preserve">. </w:t>
      </w:r>
    </w:p>
  </w:footnote>
  <w:footnote w:id="39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>Ručení, zástavní právo k movité nebo nemovité věci, smluvní pokuta, notářský zápis se svolením k vykonatelnosti.</w:t>
      </w:r>
    </w:p>
  </w:footnote>
  <w:footnote w:id="40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>Zajišťovací převod práva, věcné břemeno – právo užívat nemovitost, předkupní právo aj.</w:t>
      </w:r>
    </w:p>
  </w:footnote>
  <w:footnote w:id="41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>Věřitel musí prodat věc ve veřejné dražbě a vrátit přebytek dlužníkovi.</w:t>
      </w:r>
    </w:p>
  </w:footnote>
  <w:footnote w:id="42">
    <w:p w:rsidR="00AF55B1" w:rsidRDefault="00AF55B1" w:rsidP="007C696D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 xml:space="preserve">Například smlouva o úvěru aj. </w:t>
      </w:r>
    </w:p>
  </w:footnote>
  <w:footnote w:id="43">
    <w:p w:rsidR="00AF55B1" w:rsidRDefault="00AF55B1" w:rsidP="009A3B95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Netýká se smluv smlouvy uzavřených po 1. 1. 2014. </w:t>
      </w:r>
    </w:p>
  </w:footnote>
  <w:footnote w:id="44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>Možnost odstoupení od smlouvy.</w:t>
      </w:r>
    </w:p>
  </w:footnote>
  <w:footnote w:id="45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O</w:t>
      </w:r>
      <w:r w:rsidRPr="0033794D">
        <w:rPr>
          <w:rFonts w:ascii="Arial" w:hAnsi="Arial" w:cs="Arial"/>
          <w:color w:val="000000"/>
        </w:rPr>
        <w:t xml:space="preserve">d 1. 1. 2014 je úprava sjednocena </w:t>
      </w:r>
      <w:r>
        <w:rPr>
          <w:rFonts w:ascii="Arial" w:hAnsi="Arial" w:cs="Arial"/>
          <w:color w:val="000000"/>
        </w:rPr>
        <w:t>–</w:t>
      </w:r>
      <w:r w:rsidRPr="0033794D">
        <w:rPr>
          <w:rFonts w:ascii="Arial" w:hAnsi="Arial" w:cs="Arial"/>
          <w:color w:val="000000"/>
        </w:rPr>
        <w:t xml:space="preserve"> písemnou smlouvu lze měnit i ústní dohodou, ledaže by byl sjednán opak. </w:t>
      </w:r>
    </w:p>
  </w:footnote>
  <w:footnote w:id="46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>Krátké lhůty, možnost navýšení dohodnuté částky, změny termínu splacení.</w:t>
      </w:r>
    </w:p>
  </w:footnote>
  <w:footnote w:id="47">
    <w:p w:rsidR="00AF55B1" w:rsidRDefault="00AF55B1" w:rsidP="0062344C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>Pevná částka, např. 20.000 Kč za pozdní nahlášení změny doručovací adresy nebo poměrná částka, např. 0,5 % z dlužné částky denně (1 % denně už soudy považují za nemravné, tudíž nevymahatelné) nebo úroky z prodlení, v případě spotřebitelů v maximální výši 7 procentních bodů nad repo sazbu ČNB, tj. v současné době 7,25 % p.a.</w:t>
      </w:r>
      <w:r w:rsidRPr="0033794D">
        <w:rPr>
          <w:rFonts w:ascii="Arial" w:hAnsi="Arial" w:cs="Arial"/>
          <w:color w:val="FF0000"/>
        </w:rPr>
        <w:t>.</w:t>
      </w:r>
    </w:p>
  </w:footnote>
  <w:footnote w:id="48">
    <w:p w:rsidR="00AF55B1" w:rsidRPr="0033794D" w:rsidRDefault="00AF55B1" w:rsidP="0062344C">
      <w:pPr>
        <w:pStyle w:val="Textpoznpodarou"/>
        <w:rPr>
          <w:rFonts w:ascii="Arial" w:hAnsi="Arial" w:cs="Arial"/>
          <w:i/>
        </w:rPr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i/>
        </w:rPr>
        <w:t>§ 517 OZ a nařízení vlády č. 142/1994 Sb., kterým se stanoví výše úroků z prodlení a poplatku z prodlení podle občanského zákoníku, ve znění novel.</w:t>
      </w:r>
    </w:p>
    <w:p w:rsidR="00AF55B1" w:rsidRDefault="00AF55B1" w:rsidP="0062344C">
      <w:pPr>
        <w:pStyle w:val="Textpoznpodarou"/>
      </w:pPr>
    </w:p>
  </w:footnote>
  <w:footnote w:id="49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>Například dočasně z důvodu nemoci, ztráty zaměstnání může splácet jen 500 měsíčně namísto 1000 měsíčně.</w:t>
      </w:r>
    </w:p>
  </w:footnote>
  <w:footnote w:id="50">
    <w:p w:rsidR="00AF55B1" w:rsidRDefault="00AF55B1" w:rsidP="0062344C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Splátky nesmí být ani o korunu vyšší, než si může dlužník dovolit.</w:t>
      </w:r>
    </w:p>
  </w:footnote>
  <w:footnote w:id="51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 xml:space="preserve">V případě, že nový věřitel slíbí, že namísto dlužníka zaplatí dluhy a dlužník bude nadále platit pouze novému věřiteli, musí si ohlídat, např. nechat si předložit smlouvy s věřiteli, že nebude platit novému věřiteli zbytečně, tj. že nový věřitel opravdu peníze přepošle/dosavadní dluhy splatí, aby nedošlo k situaci, kdy dlužník bude platit a přitom bude u svých věřitelů v prodlení, protože </w:t>
      </w:r>
      <w:r>
        <w:rPr>
          <w:rFonts w:ascii="Arial" w:hAnsi="Arial" w:cs="Arial"/>
          <w:color w:val="000000"/>
        </w:rPr>
        <w:t>jednal s podvodníkem</w:t>
      </w:r>
      <w:r w:rsidRPr="0033794D">
        <w:rPr>
          <w:rFonts w:ascii="Arial" w:hAnsi="Arial" w:cs="Arial"/>
          <w:color w:val="000000"/>
        </w:rPr>
        <w:t xml:space="preserve">. </w:t>
      </w:r>
    </w:p>
  </w:footnote>
  <w:footnote w:id="52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 xml:space="preserve">Bude v prodlení s plněním splátek, zaplatí některému věřiteli více. </w:t>
      </w:r>
    </w:p>
  </w:footnote>
  <w:footnote w:id="53">
    <w:p w:rsidR="00AF55B1" w:rsidRDefault="00AF55B1" w:rsidP="007E0A1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3794D">
        <w:rPr>
          <w:rFonts w:ascii="Arial" w:hAnsi="Arial" w:cs="Arial"/>
          <w:color w:val="000000"/>
        </w:rPr>
        <w:t xml:space="preserve">Z hlediska dlužníka je nutné si vyžádat doklady, že tato osoba má oprávnění dluh vymáhat (smlouva o postoupení pohledávky nebo smlouva o vymáhání pohledávky jménem věřitele) a nejlépe ještě ověřit oprávnění inkasní agentury k vymáhání dluhu u původního věřitele. Hrozí riziko, že dlužník začne namísto věřiteli platit někomu jinému, kdo k tomu není oprávněn, ten si peníze ponechá a u skutečného věřitele bude dlužník v prodlení, ač zaplatil. </w:t>
      </w:r>
    </w:p>
    <w:p w:rsidR="00AF55B1" w:rsidRDefault="00AF55B1">
      <w:pPr>
        <w:pStyle w:val="Textpoznpodarou"/>
      </w:pPr>
    </w:p>
  </w:footnote>
  <w:footnote w:id="54">
    <w:p w:rsidR="00AF55B1" w:rsidRDefault="00AF55B1" w:rsidP="007E0A1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3794D">
        <w:rPr>
          <w:rFonts w:ascii="Arial" w:hAnsi="Arial" w:cs="Arial"/>
        </w:rPr>
        <w:t xml:space="preserve"> Do 31. 12. 2012 bylo možné takovou smlouvu uzavřít i u exekutora, od 1. 1. 2013 je toto možné jen u notáře.</w:t>
      </w:r>
    </w:p>
    <w:p w:rsidR="00AF55B1" w:rsidRDefault="00AF55B1">
      <w:pPr>
        <w:pStyle w:val="Textpoznpodarou"/>
      </w:pPr>
    </w:p>
  </w:footnote>
  <w:footnote w:id="55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Návrh na zrušení rozhodčího nálezu lze podat </w:t>
      </w:r>
      <w:r w:rsidRPr="0033794D">
        <w:rPr>
          <w:rFonts w:ascii="Arial" w:hAnsi="Arial" w:cs="Arial"/>
          <w:color w:val="000000"/>
        </w:rPr>
        <w:t>k soudu do 3 měsíců od doručení rozhodčího nálezu, zejména pokud rozhodčí smlouva byla uzavřena neplatně, rozhodce nebyl oprávněn rozhodovat, dlužník neměl možnost se zúčastnit na rozhodčím řízení (nikoli však z vlastní chyby – že nenahlásil změnu doručovací adresy), rozhodce nepostupoval u spotřebitelů podle právních předpisů na ochranu spotřebitele, nebo postupoval ve zjevném rozporu s dobrými mravy nebo veřejným pořádkem.</w:t>
      </w:r>
    </w:p>
  </w:footnote>
  <w:footnote w:id="56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>Soud zpravidla vydá nejprve bez nařízení jednání platební rozkaz na základě skutečností písemně doložených věřitelem. V platebním rozkazu uvede, že dlužník má podat do 15 dnů od doručení odpor (včetně uvedení skutečností na svou obranu)</w:t>
      </w:r>
      <w:r>
        <w:rPr>
          <w:rFonts w:ascii="Arial" w:hAnsi="Arial" w:cs="Arial"/>
          <w:color w:val="000000"/>
        </w:rPr>
        <w:t>,</w:t>
      </w:r>
      <w:r w:rsidRPr="0033794D">
        <w:rPr>
          <w:rFonts w:ascii="Arial" w:hAnsi="Arial" w:cs="Arial"/>
          <w:color w:val="000000"/>
        </w:rPr>
        <w:t xml:space="preserve"> nebo zaplatit určenou částku. Pokud dlužník podá odpor, soud nařídí jednání, jehož výsledkem je rozsudek, proti němuž je možno podat do 15 dnů odvolání. Odvolání řeší nadřízený soud v rámci odvolacího řízení.</w:t>
      </w:r>
    </w:p>
  </w:footnote>
  <w:footnote w:id="57">
    <w:p w:rsidR="00AF55B1" w:rsidRDefault="00AF55B1" w:rsidP="00A81F99">
      <w:pPr>
        <w:pStyle w:val="Textpoznpodarou"/>
      </w:pPr>
      <w:r>
        <w:rPr>
          <w:rStyle w:val="Znakapoznpodarou"/>
        </w:rPr>
        <w:footnoteRef/>
      </w:r>
      <w:r>
        <w:t xml:space="preserve"> Základní částka, která nesmí být podle §278 OSŘ sražena povinnému z měsíční mzdy, je rovna úhrnu dvou třetin součtu částky životního minima jednotlivce stanoveného podle §2. zák.č. 110/2006 Sb., o životním a existenčním minimu (v roce 2013 3410 Kč), a částky normativních nákladů na bydlení pro jednu osobu v obci od 50 000 do 99 999 obyvatel stanovené podle § 26 zák. č. 117/1995 Sb., o státní sociální podpoře, na osobu povinného (v roce 2013 5687 Kč), tedy v roce 2013 7202 Kč a jedné čtvrtiny nezabavitelné částky na každou osobu, které je povinen poskytovat výživné (tj. (3410 + 5687)/3x2x0,25 = 1801 Kč). Samotné částky jsou stanovené nařízením vlády provádějícím příslušné zákonné ustanovení, aktuální stav je tedy nutno ověřovat z hlediska jejich možné změny.</w:t>
      </w:r>
    </w:p>
    <w:p w:rsidR="00AF55B1" w:rsidRDefault="00AF55B1" w:rsidP="00A81F99">
      <w:pPr>
        <w:pStyle w:val="Textpoznpodarou"/>
      </w:pPr>
      <w:r>
        <w:t>Zbytek čisté mzdy, která zbývá po odečtení nezabavitelné částky a která se zaokrouhlí směrem dolů na částku dělitelnou třemi a vyjádřenou v celých korunách, lze srazit k vydobytí pohledávky oprávněného jen jednu třetinu. Pro přednostní pohledávky uvedené v odstavci 2 se srážejí dvě třetiny. Přednostní pohledávky se uspokojují nejprve z druhé třetiny a teprve, nestačí-li tato třetina k jejich úhradě, uspokojují se spolu s ostatními pohledávkami z první třetiny. V případě osaměle žijící osoby s čistou mzdou ve výši 15.000 Kč tak zbývá v roce 2013 k exekuci cca 2600-5200 Kč podle toho, zda jde o obyčejné či předností pohledávky, v případě rodiny se dvěma dětmi, matka pobírající rodičovský příspěvek, zbývá k exekuci 800-1600 Kč podle toho, zda jde o obyčejné či předností pohledávky, v případě rodiny se dvěma dětmi, matka pobírající rodičovský příspěvek, zbývá k exekuci 800-1600 Kč. Zbytek zůstává rodině povinného.</w:t>
      </w:r>
    </w:p>
    <w:p w:rsidR="00AF55B1" w:rsidRDefault="00AF55B1">
      <w:pPr>
        <w:pStyle w:val="Textpoznpodarou"/>
      </w:pPr>
    </w:p>
  </w:footnote>
  <w:footnote w:id="58">
    <w:p w:rsidR="00AF55B1" w:rsidRDefault="00AF55B1" w:rsidP="00C76128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>Obranou proti dvojí exekuci – na mzdu a následně na účet je zasílání nezabavitelné části mzdy či jiného příjmu poštovní poukázkou nebo jejich vyplácení v hotovosti.</w:t>
      </w:r>
    </w:p>
  </w:footnote>
  <w:footnote w:id="59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>Vyloučeny z exekuce jsou zejména běžné oblečení a vybavení domácnosti, snubní prsten, zdravotnické potřeby a jiné věci, které povinný potřebuje vzhledem ke své nemoci nebo tělesné vadě (např. drahý invalidní vozík), hotové peníze do částky odpovídající dvojnásobku životního minima jednotlivce, zvířata jako je pes a kočka (domácí mazlíčci).</w:t>
      </w:r>
    </w:p>
  </w:footnote>
  <w:footnote w:id="60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>Pokud exekutor návrh odmítne, lze podat žalobu na vyloučení věci z exekuce u exekučního soudu do 30 dnů od doručení rozhodnutí exekutora, kterým nevyhověl návrhu na vyloučení věci ze soupisu. Po dobu řízení nesmí exekutor věci prodat.</w:t>
      </w:r>
    </w:p>
  </w:footnote>
  <w:footnote w:id="61">
    <w:p w:rsidR="00AF55B1" w:rsidRDefault="00AF55B1">
      <w:pPr>
        <w:pStyle w:val="Textpoznpodarou"/>
      </w:pPr>
      <w:r w:rsidRPr="0033794D">
        <w:rPr>
          <w:rStyle w:val="Znakapoznpodarou"/>
          <w:rFonts w:ascii="Arial" w:hAnsi="Arial" w:cs="Arial"/>
        </w:rPr>
        <w:footnoteRef/>
      </w:r>
      <w:r w:rsidRPr="0033794D">
        <w:rPr>
          <w:rFonts w:ascii="Arial" w:hAnsi="Arial" w:cs="Arial"/>
        </w:rPr>
        <w:t xml:space="preserve"> </w:t>
      </w:r>
      <w:r w:rsidRPr="0033794D">
        <w:rPr>
          <w:rFonts w:ascii="Arial" w:hAnsi="Arial" w:cs="Arial"/>
          <w:color w:val="000000"/>
        </w:rPr>
        <w:t>Například Výpis z rejstříku trestů, Výpis z katastru nemovitostí.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7C" w:rsidRDefault="00E26D7C" w:rsidP="00E26D7C">
    <w:pPr>
      <w:pStyle w:val="Zhlav"/>
      <w:jc w:val="center"/>
    </w:pPr>
    <w:r>
      <w:rPr>
        <w:rFonts w:ascii="Arial" w:hAnsi="Arial" w:cs="Arial"/>
        <w:b/>
        <w:noProof/>
        <w:lang w:eastAsia="cs-CZ"/>
      </w:rPr>
      <w:drawing>
        <wp:inline distT="0" distB="0" distL="0" distR="0" wp14:anchorId="2BB41FD5" wp14:editId="3835FD47">
          <wp:extent cx="7901797" cy="895530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ernobíl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475" cy="89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6D7C" w:rsidRDefault="00E26D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1D5A"/>
    <w:multiLevelType w:val="hybridMultilevel"/>
    <w:tmpl w:val="56EABB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AF2121"/>
    <w:multiLevelType w:val="hybridMultilevel"/>
    <w:tmpl w:val="5D5AD3FA"/>
    <w:lvl w:ilvl="0" w:tplc="2772ABDA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2">
    <w:nsid w:val="248D5EF1"/>
    <w:multiLevelType w:val="hybridMultilevel"/>
    <w:tmpl w:val="5D5AD3FA"/>
    <w:lvl w:ilvl="0" w:tplc="2772ABDA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3">
    <w:nsid w:val="38C812F6"/>
    <w:multiLevelType w:val="multilevel"/>
    <w:tmpl w:val="34CCBFE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BEA0C97"/>
    <w:multiLevelType w:val="hybridMultilevel"/>
    <w:tmpl w:val="278451CE"/>
    <w:lvl w:ilvl="0" w:tplc="12BC157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F012DD"/>
    <w:multiLevelType w:val="hybridMultilevel"/>
    <w:tmpl w:val="E9D2B47A"/>
    <w:lvl w:ilvl="0" w:tplc="5BE6F8EA">
      <w:start w:val="4"/>
      <w:numFmt w:val="bullet"/>
      <w:lvlText w:val="-"/>
      <w:lvlJc w:val="left"/>
      <w:pPr>
        <w:ind w:left="4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7D741138"/>
    <w:multiLevelType w:val="hybridMultilevel"/>
    <w:tmpl w:val="61C681AA"/>
    <w:lvl w:ilvl="0" w:tplc="39A27EF8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734492"/>
    <w:multiLevelType w:val="hybridMultilevel"/>
    <w:tmpl w:val="CA74466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95"/>
    <w:rsid w:val="00001E5D"/>
    <w:rsid w:val="00002A09"/>
    <w:rsid w:val="00007B01"/>
    <w:rsid w:val="00011958"/>
    <w:rsid w:val="00013372"/>
    <w:rsid w:val="000206B4"/>
    <w:rsid w:val="00023ACA"/>
    <w:rsid w:val="00024457"/>
    <w:rsid w:val="00025DE2"/>
    <w:rsid w:val="00031928"/>
    <w:rsid w:val="0003233B"/>
    <w:rsid w:val="0004264A"/>
    <w:rsid w:val="000437A2"/>
    <w:rsid w:val="00043E9D"/>
    <w:rsid w:val="0004583C"/>
    <w:rsid w:val="000524A7"/>
    <w:rsid w:val="0005358C"/>
    <w:rsid w:val="0005400F"/>
    <w:rsid w:val="000578CF"/>
    <w:rsid w:val="00062370"/>
    <w:rsid w:val="000705B5"/>
    <w:rsid w:val="00072D96"/>
    <w:rsid w:val="000748E0"/>
    <w:rsid w:val="00077CB9"/>
    <w:rsid w:val="00077E3E"/>
    <w:rsid w:val="000806AD"/>
    <w:rsid w:val="000835EC"/>
    <w:rsid w:val="000A09CA"/>
    <w:rsid w:val="000A166F"/>
    <w:rsid w:val="000A2B2C"/>
    <w:rsid w:val="000B0767"/>
    <w:rsid w:val="000B17B1"/>
    <w:rsid w:val="000B2C72"/>
    <w:rsid w:val="000B4771"/>
    <w:rsid w:val="000B4C6C"/>
    <w:rsid w:val="000B763F"/>
    <w:rsid w:val="000D02D1"/>
    <w:rsid w:val="000D0747"/>
    <w:rsid w:val="000D2660"/>
    <w:rsid w:val="000D487B"/>
    <w:rsid w:val="000D4B8E"/>
    <w:rsid w:val="000D7911"/>
    <w:rsid w:val="000E31ED"/>
    <w:rsid w:val="000F053C"/>
    <w:rsid w:val="000F128E"/>
    <w:rsid w:val="000F2E1F"/>
    <w:rsid w:val="000F574C"/>
    <w:rsid w:val="001030BF"/>
    <w:rsid w:val="00105A10"/>
    <w:rsid w:val="00110A4C"/>
    <w:rsid w:val="001127C4"/>
    <w:rsid w:val="00113647"/>
    <w:rsid w:val="00117E45"/>
    <w:rsid w:val="00126414"/>
    <w:rsid w:val="00135578"/>
    <w:rsid w:val="00140A63"/>
    <w:rsid w:val="00140CE1"/>
    <w:rsid w:val="001411D1"/>
    <w:rsid w:val="00142172"/>
    <w:rsid w:val="001502EA"/>
    <w:rsid w:val="0015759D"/>
    <w:rsid w:val="001615C8"/>
    <w:rsid w:val="001766D1"/>
    <w:rsid w:val="0018218D"/>
    <w:rsid w:val="00184147"/>
    <w:rsid w:val="001845E2"/>
    <w:rsid w:val="0018460C"/>
    <w:rsid w:val="00185382"/>
    <w:rsid w:val="00187F2D"/>
    <w:rsid w:val="00193884"/>
    <w:rsid w:val="001966EA"/>
    <w:rsid w:val="001A0EB7"/>
    <w:rsid w:val="001A1708"/>
    <w:rsid w:val="001A4C24"/>
    <w:rsid w:val="001B3244"/>
    <w:rsid w:val="001B5BF3"/>
    <w:rsid w:val="001C6D45"/>
    <w:rsid w:val="001D3A77"/>
    <w:rsid w:val="001D4F52"/>
    <w:rsid w:val="001E1943"/>
    <w:rsid w:val="001E43E9"/>
    <w:rsid w:val="001E7C14"/>
    <w:rsid w:val="001F17A5"/>
    <w:rsid w:val="001F2BA9"/>
    <w:rsid w:val="001F2D08"/>
    <w:rsid w:val="001F5975"/>
    <w:rsid w:val="001F6ED8"/>
    <w:rsid w:val="002001B7"/>
    <w:rsid w:val="002068EE"/>
    <w:rsid w:val="002111C6"/>
    <w:rsid w:val="0021716B"/>
    <w:rsid w:val="00231006"/>
    <w:rsid w:val="00232FFA"/>
    <w:rsid w:val="00237044"/>
    <w:rsid w:val="002410AB"/>
    <w:rsid w:val="00250840"/>
    <w:rsid w:val="00251721"/>
    <w:rsid w:val="0025645B"/>
    <w:rsid w:val="00272E38"/>
    <w:rsid w:val="00273011"/>
    <w:rsid w:val="002813F1"/>
    <w:rsid w:val="002841C2"/>
    <w:rsid w:val="00287EDD"/>
    <w:rsid w:val="002957B2"/>
    <w:rsid w:val="00296BEB"/>
    <w:rsid w:val="00297FD9"/>
    <w:rsid w:val="002A1483"/>
    <w:rsid w:val="002A2D0B"/>
    <w:rsid w:val="002A7A43"/>
    <w:rsid w:val="002B286A"/>
    <w:rsid w:val="002C24DD"/>
    <w:rsid w:val="002C449C"/>
    <w:rsid w:val="002C64B5"/>
    <w:rsid w:val="002E032C"/>
    <w:rsid w:val="002E173F"/>
    <w:rsid w:val="002E2AD4"/>
    <w:rsid w:val="002E494F"/>
    <w:rsid w:val="002E4A2D"/>
    <w:rsid w:val="002F013C"/>
    <w:rsid w:val="002F48D0"/>
    <w:rsid w:val="00300224"/>
    <w:rsid w:val="0030078E"/>
    <w:rsid w:val="00301195"/>
    <w:rsid w:val="00305EB9"/>
    <w:rsid w:val="00314463"/>
    <w:rsid w:val="0031605A"/>
    <w:rsid w:val="00317F36"/>
    <w:rsid w:val="00320F5A"/>
    <w:rsid w:val="003271AB"/>
    <w:rsid w:val="003336D8"/>
    <w:rsid w:val="0033794D"/>
    <w:rsid w:val="003533B3"/>
    <w:rsid w:val="00354337"/>
    <w:rsid w:val="00354492"/>
    <w:rsid w:val="00362CFE"/>
    <w:rsid w:val="00371603"/>
    <w:rsid w:val="00372C46"/>
    <w:rsid w:val="00372E3D"/>
    <w:rsid w:val="00374BCA"/>
    <w:rsid w:val="00381E4C"/>
    <w:rsid w:val="0038565F"/>
    <w:rsid w:val="00391236"/>
    <w:rsid w:val="0039282E"/>
    <w:rsid w:val="00393707"/>
    <w:rsid w:val="00393A85"/>
    <w:rsid w:val="003964F3"/>
    <w:rsid w:val="003A3C07"/>
    <w:rsid w:val="003A7F77"/>
    <w:rsid w:val="003B09AB"/>
    <w:rsid w:val="003C193F"/>
    <w:rsid w:val="003C3261"/>
    <w:rsid w:val="003C6CE0"/>
    <w:rsid w:val="003C716E"/>
    <w:rsid w:val="003D106D"/>
    <w:rsid w:val="003D3C87"/>
    <w:rsid w:val="003E3AEF"/>
    <w:rsid w:val="003E6963"/>
    <w:rsid w:val="003F5A00"/>
    <w:rsid w:val="004055CD"/>
    <w:rsid w:val="004104E1"/>
    <w:rsid w:val="004134F0"/>
    <w:rsid w:val="00415D33"/>
    <w:rsid w:val="004204CA"/>
    <w:rsid w:val="0042059D"/>
    <w:rsid w:val="00421AEC"/>
    <w:rsid w:val="00425A70"/>
    <w:rsid w:val="004267CD"/>
    <w:rsid w:val="00426F70"/>
    <w:rsid w:val="0043530A"/>
    <w:rsid w:val="0043578A"/>
    <w:rsid w:val="00446328"/>
    <w:rsid w:val="0044695F"/>
    <w:rsid w:val="00455342"/>
    <w:rsid w:val="00457B46"/>
    <w:rsid w:val="004617FE"/>
    <w:rsid w:val="004664DF"/>
    <w:rsid w:val="00472935"/>
    <w:rsid w:val="004736D3"/>
    <w:rsid w:val="00480B03"/>
    <w:rsid w:val="00480CE6"/>
    <w:rsid w:val="00483A89"/>
    <w:rsid w:val="004A306A"/>
    <w:rsid w:val="004A3400"/>
    <w:rsid w:val="004B066D"/>
    <w:rsid w:val="004B0F12"/>
    <w:rsid w:val="004B120C"/>
    <w:rsid w:val="004B357B"/>
    <w:rsid w:val="004C087A"/>
    <w:rsid w:val="004C4F07"/>
    <w:rsid w:val="004C78A3"/>
    <w:rsid w:val="004C7990"/>
    <w:rsid w:val="004D5C3C"/>
    <w:rsid w:val="004D5F5A"/>
    <w:rsid w:val="004E183F"/>
    <w:rsid w:val="004E3410"/>
    <w:rsid w:val="004E372F"/>
    <w:rsid w:val="004E7382"/>
    <w:rsid w:val="004F2A47"/>
    <w:rsid w:val="004F3B12"/>
    <w:rsid w:val="004F4933"/>
    <w:rsid w:val="004F7172"/>
    <w:rsid w:val="005013F0"/>
    <w:rsid w:val="0050275F"/>
    <w:rsid w:val="00505A3F"/>
    <w:rsid w:val="00515480"/>
    <w:rsid w:val="00516A7D"/>
    <w:rsid w:val="00522E51"/>
    <w:rsid w:val="00540C0D"/>
    <w:rsid w:val="00557F11"/>
    <w:rsid w:val="005656C2"/>
    <w:rsid w:val="00567F0A"/>
    <w:rsid w:val="00586B8A"/>
    <w:rsid w:val="005939F1"/>
    <w:rsid w:val="005A2868"/>
    <w:rsid w:val="005A2C1E"/>
    <w:rsid w:val="005A34E8"/>
    <w:rsid w:val="005A3C7A"/>
    <w:rsid w:val="005A460B"/>
    <w:rsid w:val="005A557F"/>
    <w:rsid w:val="005A5C31"/>
    <w:rsid w:val="005A7D30"/>
    <w:rsid w:val="005B3D76"/>
    <w:rsid w:val="005B3DF3"/>
    <w:rsid w:val="005B3F6F"/>
    <w:rsid w:val="005B58D0"/>
    <w:rsid w:val="005C6E04"/>
    <w:rsid w:val="005D0BBA"/>
    <w:rsid w:val="005D253A"/>
    <w:rsid w:val="005D7666"/>
    <w:rsid w:val="005E01D3"/>
    <w:rsid w:val="005E4012"/>
    <w:rsid w:val="005F1810"/>
    <w:rsid w:val="005F2BC8"/>
    <w:rsid w:val="005F4057"/>
    <w:rsid w:val="005F4383"/>
    <w:rsid w:val="005F58AB"/>
    <w:rsid w:val="00604545"/>
    <w:rsid w:val="00606050"/>
    <w:rsid w:val="00611F36"/>
    <w:rsid w:val="0061609B"/>
    <w:rsid w:val="00616957"/>
    <w:rsid w:val="0062344C"/>
    <w:rsid w:val="006237B4"/>
    <w:rsid w:val="00624305"/>
    <w:rsid w:val="00630765"/>
    <w:rsid w:val="00634A7F"/>
    <w:rsid w:val="00635C90"/>
    <w:rsid w:val="006422B6"/>
    <w:rsid w:val="006461E1"/>
    <w:rsid w:val="00654852"/>
    <w:rsid w:val="00670742"/>
    <w:rsid w:val="006729DF"/>
    <w:rsid w:val="00676BC9"/>
    <w:rsid w:val="00687D08"/>
    <w:rsid w:val="006A5A55"/>
    <w:rsid w:val="006B1509"/>
    <w:rsid w:val="006B1762"/>
    <w:rsid w:val="006B4085"/>
    <w:rsid w:val="006C53D4"/>
    <w:rsid w:val="006C7A03"/>
    <w:rsid w:val="006D0659"/>
    <w:rsid w:val="006D62E7"/>
    <w:rsid w:val="006D763F"/>
    <w:rsid w:val="006E03EF"/>
    <w:rsid w:val="006E18D4"/>
    <w:rsid w:val="006E1FBD"/>
    <w:rsid w:val="006E384B"/>
    <w:rsid w:val="006E4AC1"/>
    <w:rsid w:val="006F0D70"/>
    <w:rsid w:val="006F276E"/>
    <w:rsid w:val="006F506B"/>
    <w:rsid w:val="006F57E5"/>
    <w:rsid w:val="007031F1"/>
    <w:rsid w:val="0071346E"/>
    <w:rsid w:val="007179A0"/>
    <w:rsid w:val="007200E8"/>
    <w:rsid w:val="00722004"/>
    <w:rsid w:val="00730F4B"/>
    <w:rsid w:val="00734AA3"/>
    <w:rsid w:val="00734D15"/>
    <w:rsid w:val="00740A8D"/>
    <w:rsid w:val="00750515"/>
    <w:rsid w:val="0075199F"/>
    <w:rsid w:val="00754409"/>
    <w:rsid w:val="00756024"/>
    <w:rsid w:val="00756C36"/>
    <w:rsid w:val="007614F0"/>
    <w:rsid w:val="00761852"/>
    <w:rsid w:val="00761A5F"/>
    <w:rsid w:val="00764CD8"/>
    <w:rsid w:val="0076541B"/>
    <w:rsid w:val="00767950"/>
    <w:rsid w:val="007730C3"/>
    <w:rsid w:val="007743A4"/>
    <w:rsid w:val="00774963"/>
    <w:rsid w:val="00774D3E"/>
    <w:rsid w:val="007776A9"/>
    <w:rsid w:val="00784D54"/>
    <w:rsid w:val="007853DB"/>
    <w:rsid w:val="00785AFF"/>
    <w:rsid w:val="0078671A"/>
    <w:rsid w:val="00793F03"/>
    <w:rsid w:val="00793FD7"/>
    <w:rsid w:val="00794062"/>
    <w:rsid w:val="0079663E"/>
    <w:rsid w:val="007A13F0"/>
    <w:rsid w:val="007A18AC"/>
    <w:rsid w:val="007A36A8"/>
    <w:rsid w:val="007A74CB"/>
    <w:rsid w:val="007B01B5"/>
    <w:rsid w:val="007B2107"/>
    <w:rsid w:val="007B3CA3"/>
    <w:rsid w:val="007B4085"/>
    <w:rsid w:val="007C0229"/>
    <w:rsid w:val="007C3DE2"/>
    <w:rsid w:val="007C5FE5"/>
    <w:rsid w:val="007C696D"/>
    <w:rsid w:val="007D091F"/>
    <w:rsid w:val="007D23C7"/>
    <w:rsid w:val="007D4F47"/>
    <w:rsid w:val="007D5CE4"/>
    <w:rsid w:val="007E0A14"/>
    <w:rsid w:val="007E2A26"/>
    <w:rsid w:val="007E7750"/>
    <w:rsid w:val="007F18D7"/>
    <w:rsid w:val="007F2DCF"/>
    <w:rsid w:val="007F5CC2"/>
    <w:rsid w:val="008016A0"/>
    <w:rsid w:val="00810413"/>
    <w:rsid w:val="008214C7"/>
    <w:rsid w:val="00822FD5"/>
    <w:rsid w:val="00827234"/>
    <w:rsid w:val="0083082F"/>
    <w:rsid w:val="0084027B"/>
    <w:rsid w:val="008433C7"/>
    <w:rsid w:val="00846D5C"/>
    <w:rsid w:val="00847A3A"/>
    <w:rsid w:val="00851EDE"/>
    <w:rsid w:val="008523DE"/>
    <w:rsid w:val="00852790"/>
    <w:rsid w:val="008539A2"/>
    <w:rsid w:val="00854B21"/>
    <w:rsid w:val="0086153B"/>
    <w:rsid w:val="008644F3"/>
    <w:rsid w:val="0087037F"/>
    <w:rsid w:val="0087088F"/>
    <w:rsid w:val="00870EB2"/>
    <w:rsid w:val="0087238B"/>
    <w:rsid w:val="008807A8"/>
    <w:rsid w:val="00881D6F"/>
    <w:rsid w:val="00882FA9"/>
    <w:rsid w:val="00892B17"/>
    <w:rsid w:val="00892D65"/>
    <w:rsid w:val="00894C61"/>
    <w:rsid w:val="00894D12"/>
    <w:rsid w:val="008A1321"/>
    <w:rsid w:val="008A2388"/>
    <w:rsid w:val="008A3B97"/>
    <w:rsid w:val="008B0E12"/>
    <w:rsid w:val="008B2321"/>
    <w:rsid w:val="008B4FA7"/>
    <w:rsid w:val="008B5B0F"/>
    <w:rsid w:val="008B5B48"/>
    <w:rsid w:val="008C28F0"/>
    <w:rsid w:val="008C303A"/>
    <w:rsid w:val="008C3856"/>
    <w:rsid w:val="008C5BB6"/>
    <w:rsid w:val="008C5DDE"/>
    <w:rsid w:val="008C6C5F"/>
    <w:rsid w:val="008D01FA"/>
    <w:rsid w:val="008D27F4"/>
    <w:rsid w:val="008D54B8"/>
    <w:rsid w:val="008E6809"/>
    <w:rsid w:val="00911B79"/>
    <w:rsid w:val="00912724"/>
    <w:rsid w:val="009142EA"/>
    <w:rsid w:val="0091452B"/>
    <w:rsid w:val="00914EC3"/>
    <w:rsid w:val="00921E62"/>
    <w:rsid w:val="0092272D"/>
    <w:rsid w:val="0092401C"/>
    <w:rsid w:val="00933EF6"/>
    <w:rsid w:val="009343E2"/>
    <w:rsid w:val="009351F1"/>
    <w:rsid w:val="009429C7"/>
    <w:rsid w:val="00957B94"/>
    <w:rsid w:val="009670DB"/>
    <w:rsid w:val="0097060D"/>
    <w:rsid w:val="00971746"/>
    <w:rsid w:val="00972069"/>
    <w:rsid w:val="00972143"/>
    <w:rsid w:val="0097246B"/>
    <w:rsid w:val="009729FE"/>
    <w:rsid w:val="00977A3D"/>
    <w:rsid w:val="009819B9"/>
    <w:rsid w:val="00982822"/>
    <w:rsid w:val="009832E6"/>
    <w:rsid w:val="0098724B"/>
    <w:rsid w:val="00987480"/>
    <w:rsid w:val="0099383D"/>
    <w:rsid w:val="009948D4"/>
    <w:rsid w:val="00996311"/>
    <w:rsid w:val="009967C3"/>
    <w:rsid w:val="009A138F"/>
    <w:rsid w:val="009A1728"/>
    <w:rsid w:val="009A3B95"/>
    <w:rsid w:val="009A5FB7"/>
    <w:rsid w:val="009A7E99"/>
    <w:rsid w:val="009B7BDB"/>
    <w:rsid w:val="009C0A42"/>
    <w:rsid w:val="009C5027"/>
    <w:rsid w:val="009D120A"/>
    <w:rsid w:val="009D1D6B"/>
    <w:rsid w:val="009D37BB"/>
    <w:rsid w:val="009D5862"/>
    <w:rsid w:val="009E1715"/>
    <w:rsid w:val="009E3C80"/>
    <w:rsid w:val="009E7A89"/>
    <w:rsid w:val="009F0A7E"/>
    <w:rsid w:val="009F0CD8"/>
    <w:rsid w:val="009F0F6B"/>
    <w:rsid w:val="009F2ACA"/>
    <w:rsid w:val="00A001F1"/>
    <w:rsid w:val="00A002F0"/>
    <w:rsid w:val="00A00815"/>
    <w:rsid w:val="00A032D2"/>
    <w:rsid w:val="00A0623D"/>
    <w:rsid w:val="00A111E9"/>
    <w:rsid w:val="00A17ADA"/>
    <w:rsid w:val="00A2216B"/>
    <w:rsid w:val="00A26CA5"/>
    <w:rsid w:val="00A26F65"/>
    <w:rsid w:val="00A30931"/>
    <w:rsid w:val="00A367FC"/>
    <w:rsid w:val="00A37B2D"/>
    <w:rsid w:val="00A4648C"/>
    <w:rsid w:val="00A51C22"/>
    <w:rsid w:val="00A536C7"/>
    <w:rsid w:val="00A65F00"/>
    <w:rsid w:val="00A67299"/>
    <w:rsid w:val="00A7169F"/>
    <w:rsid w:val="00A71E2A"/>
    <w:rsid w:val="00A72F6B"/>
    <w:rsid w:val="00A75C0E"/>
    <w:rsid w:val="00A76270"/>
    <w:rsid w:val="00A81F99"/>
    <w:rsid w:val="00A90137"/>
    <w:rsid w:val="00A907E0"/>
    <w:rsid w:val="00A9102B"/>
    <w:rsid w:val="00A95454"/>
    <w:rsid w:val="00A971CA"/>
    <w:rsid w:val="00AA599B"/>
    <w:rsid w:val="00AB1975"/>
    <w:rsid w:val="00AB3AAA"/>
    <w:rsid w:val="00AC2305"/>
    <w:rsid w:val="00AC3E6C"/>
    <w:rsid w:val="00AC76FA"/>
    <w:rsid w:val="00AD1572"/>
    <w:rsid w:val="00AD1619"/>
    <w:rsid w:val="00AE6001"/>
    <w:rsid w:val="00AF282C"/>
    <w:rsid w:val="00AF2E7D"/>
    <w:rsid w:val="00AF55B1"/>
    <w:rsid w:val="00B0182E"/>
    <w:rsid w:val="00B052FE"/>
    <w:rsid w:val="00B116F3"/>
    <w:rsid w:val="00B133C6"/>
    <w:rsid w:val="00B1492C"/>
    <w:rsid w:val="00B16A81"/>
    <w:rsid w:val="00B27F1F"/>
    <w:rsid w:val="00B3064A"/>
    <w:rsid w:val="00B341F0"/>
    <w:rsid w:val="00B367AD"/>
    <w:rsid w:val="00B40428"/>
    <w:rsid w:val="00B44C71"/>
    <w:rsid w:val="00B44F02"/>
    <w:rsid w:val="00B45B04"/>
    <w:rsid w:val="00B54530"/>
    <w:rsid w:val="00B6086E"/>
    <w:rsid w:val="00B6126A"/>
    <w:rsid w:val="00B65114"/>
    <w:rsid w:val="00B65227"/>
    <w:rsid w:val="00B65514"/>
    <w:rsid w:val="00B65A0C"/>
    <w:rsid w:val="00B77E4E"/>
    <w:rsid w:val="00B80749"/>
    <w:rsid w:val="00B8472E"/>
    <w:rsid w:val="00B87A27"/>
    <w:rsid w:val="00B9458E"/>
    <w:rsid w:val="00B9664D"/>
    <w:rsid w:val="00BA799A"/>
    <w:rsid w:val="00BB5CF5"/>
    <w:rsid w:val="00BC1D0E"/>
    <w:rsid w:val="00BC448D"/>
    <w:rsid w:val="00BC4E0C"/>
    <w:rsid w:val="00BD5D93"/>
    <w:rsid w:val="00BE67A8"/>
    <w:rsid w:val="00BF2E45"/>
    <w:rsid w:val="00C0203E"/>
    <w:rsid w:val="00C02578"/>
    <w:rsid w:val="00C05BEB"/>
    <w:rsid w:val="00C13E3B"/>
    <w:rsid w:val="00C14119"/>
    <w:rsid w:val="00C16048"/>
    <w:rsid w:val="00C246FF"/>
    <w:rsid w:val="00C24936"/>
    <w:rsid w:val="00C26AE8"/>
    <w:rsid w:val="00C30B70"/>
    <w:rsid w:val="00C42BB6"/>
    <w:rsid w:val="00C449C0"/>
    <w:rsid w:val="00C50EA8"/>
    <w:rsid w:val="00C5120F"/>
    <w:rsid w:val="00C53D30"/>
    <w:rsid w:val="00C66E85"/>
    <w:rsid w:val="00C70702"/>
    <w:rsid w:val="00C75C6B"/>
    <w:rsid w:val="00C76128"/>
    <w:rsid w:val="00C775A2"/>
    <w:rsid w:val="00C823D0"/>
    <w:rsid w:val="00C83963"/>
    <w:rsid w:val="00C84733"/>
    <w:rsid w:val="00C90C7F"/>
    <w:rsid w:val="00C9229A"/>
    <w:rsid w:val="00CA2279"/>
    <w:rsid w:val="00CA31DD"/>
    <w:rsid w:val="00CB0C64"/>
    <w:rsid w:val="00CB0E50"/>
    <w:rsid w:val="00CD12A4"/>
    <w:rsid w:val="00CD2558"/>
    <w:rsid w:val="00CD5FE4"/>
    <w:rsid w:val="00CD7F6A"/>
    <w:rsid w:val="00CE3689"/>
    <w:rsid w:val="00CF14DD"/>
    <w:rsid w:val="00CF1F4C"/>
    <w:rsid w:val="00CF4AA6"/>
    <w:rsid w:val="00CF753B"/>
    <w:rsid w:val="00D047A6"/>
    <w:rsid w:val="00D04FBC"/>
    <w:rsid w:val="00D05555"/>
    <w:rsid w:val="00D0619F"/>
    <w:rsid w:val="00D06398"/>
    <w:rsid w:val="00D109FD"/>
    <w:rsid w:val="00D10BE3"/>
    <w:rsid w:val="00D1332E"/>
    <w:rsid w:val="00D227EB"/>
    <w:rsid w:val="00D23D8A"/>
    <w:rsid w:val="00D36C6E"/>
    <w:rsid w:val="00D40A05"/>
    <w:rsid w:val="00D43060"/>
    <w:rsid w:val="00D43EE9"/>
    <w:rsid w:val="00D47063"/>
    <w:rsid w:val="00D50F18"/>
    <w:rsid w:val="00D63A98"/>
    <w:rsid w:val="00D65D10"/>
    <w:rsid w:val="00D67F74"/>
    <w:rsid w:val="00D90C80"/>
    <w:rsid w:val="00D91264"/>
    <w:rsid w:val="00DA47C3"/>
    <w:rsid w:val="00DC1DFA"/>
    <w:rsid w:val="00DC48FF"/>
    <w:rsid w:val="00DC51A6"/>
    <w:rsid w:val="00DC61DC"/>
    <w:rsid w:val="00DD6B51"/>
    <w:rsid w:val="00DD6F4B"/>
    <w:rsid w:val="00DE1D6E"/>
    <w:rsid w:val="00DE5B63"/>
    <w:rsid w:val="00DE6BA4"/>
    <w:rsid w:val="00DE7BB2"/>
    <w:rsid w:val="00DF1095"/>
    <w:rsid w:val="00DF13A9"/>
    <w:rsid w:val="00DF5A37"/>
    <w:rsid w:val="00E03FF8"/>
    <w:rsid w:val="00E05B05"/>
    <w:rsid w:val="00E06A63"/>
    <w:rsid w:val="00E070DD"/>
    <w:rsid w:val="00E10294"/>
    <w:rsid w:val="00E164E9"/>
    <w:rsid w:val="00E16683"/>
    <w:rsid w:val="00E244DA"/>
    <w:rsid w:val="00E24816"/>
    <w:rsid w:val="00E26D7C"/>
    <w:rsid w:val="00E316F2"/>
    <w:rsid w:val="00E409E9"/>
    <w:rsid w:val="00E41717"/>
    <w:rsid w:val="00E45D4D"/>
    <w:rsid w:val="00E55B6F"/>
    <w:rsid w:val="00E60B23"/>
    <w:rsid w:val="00E634EC"/>
    <w:rsid w:val="00E73295"/>
    <w:rsid w:val="00E736D4"/>
    <w:rsid w:val="00E873F4"/>
    <w:rsid w:val="00E92111"/>
    <w:rsid w:val="00E96093"/>
    <w:rsid w:val="00EA0C83"/>
    <w:rsid w:val="00EA140F"/>
    <w:rsid w:val="00EA3014"/>
    <w:rsid w:val="00EA62C1"/>
    <w:rsid w:val="00EB517B"/>
    <w:rsid w:val="00EB5950"/>
    <w:rsid w:val="00EB7117"/>
    <w:rsid w:val="00EC51BE"/>
    <w:rsid w:val="00EC6BFD"/>
    <w:rsid w:val="00ED05FA"/>
    <w:rsid w:val="00ED1259"/>
    <w:rsid w:val="00ED3DDA"/>
    <w:rsid w:val="00ED487F"/>
    <w:rsid w:val="00EE0137"/>
    <w:rsid w:val="00EE11CC"/>
    <w:rsid w:val="00EE2141"/>
    <w:rsid w:val="00EE76BB"/>
    <w:rsid w:val="00EF048A"/>
    <w:rsid w:val="00EF64D3"/>
    <w:rsid w:val="00F00E72"/>
    <w:rsid w:val="00F0345D"/>
    <w:rsid w:val="00F040FC"/>
    <w:rsid w:val="00F060F4"/>
    <w:rsid w:val="00F252B3"/>
    <w:rsid w:val="00F30BCD"/>
    <w:rsid w:val="00F37C3E"/>
    <w:rsid w:val="00F4036C"/>
    <w:rsid w:val="00F42582"/>
    <w:rsid w:val="00F5005C"/>
    <w:rsid w:val="00F5009D"/>
    <w:rsid w:val="00F52C28"/>
    <w:rsid w:val="00F61F5F"/>
    <w:rsid w:val="00F64EAA"/>
    <w:rsid w:val="00F65771"/>
    <w:rsid w:val="00F769B8"/>
    <w:rsid w:val="00F76CAF"/>
    <w:rsid w:val="00F7700B"/>
    <w:rsid w:val="00F83904"/>
    <w:rsid w:val="00F83C7C"/>
    <w:rsid w:val="00F9666A"/>
    <w:rsid w:val="00FA1A5D"/>
    <w:rsid w:val="00FA4301"/>
    <w:rsid w:val="00FA4A72"/>
    <w:rsid w:val="00FA4B5A"/>
    <w:rsid w:val="00FA7773"/>
    <w:rsid w:val="00FB1F5C"/>
    <w:rsid w:val="00FB3D7F"/>
    <w:rsid w:val="00FB619C"/>
    <w:rsid w:val="00FB6520"/>
    <w:rsid w:val="00FC3673"/>
    <w:rsid w:val="00FC4557"/>
    <w:rsid w:val="00FC6A0A"/>
    <w:rsid w:val="00FD27E6"/>
    <w:rsid w:val="00FE0A5E"/>
    <w:rsid w:val="00FE0D47"/>
    <w:rsid w:val="00FE3862"/>
    <w:rsid w:val="00FE4829"/>
    <w:rsid w:val="00FE4F9F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49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DF109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DF1095"/>
    <w:rPr>
      <w:rFonts w:cs="Times New Roman"/>
      <w:color w:val="800080"/>
      <w:u w:val="single"/>
    </w:rPr>
  </w:style>
  <w:style w:type="paragraph" w:customStyle="1" w:styleId="font5">
    <w:name w:val="font5"/>
    <w:basedOn w:val="Normln"/>
    <w:uiPriority w:val="99"/>
    <w:rsid w:val="00DF109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uiPriority w:val="99"/>
    <w:rsid w:val="00DF109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uiPriority w:val="99"/>
    <w:rsid w:val="00DF109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font8">
    <w:name w:val="font8"/>
    <w:basedOn w:val="Normln"/>
    <w:uiPriority w:val="99"/>
    <w:rsid w:val="00DF109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cs-CZ"/>
    </w:rPr>
  </w:style>
  <w:style w:type="paragraph" w:customStyle="1" w:styleId="font9">
    <w:name w:val="font9"/>
    <w:basedOn w:val="Normln"/>
    <w:uiPriority w:val="99"/>
    <w:rsid w:val="00DF109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eastAsia="cs-CZ"/>
    </w:rPr>
  </w:style>
  <w:style w:type="paragraph" w:customStyle="1" w:styleId="xl65">
    <w:name w:val="xl65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6">
    <w:name w:val="xl66"/>
    <w:basedOn w:val="Normln"/>
    <w:uiPriority w:val="99"/>
    <w:rsid w:val="00DF10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7">
    <w:name w:val="xl67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8">
    <w:name w:val="xl68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9">
    <w:name w:val="xl69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0">
    <w:name w:val="xl70"/>
    <w:basedOn w:val="Normln"/>
    <w:uiPriority w:val="99"/>
    <w:rsid w:val="00DF109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1">
    <w:name w:val="xl71"/>
    <w:basedOn w:val="Normln"/>
    <w:uiPriority w:val="99"/>
    <w:rsid w:val="00DF10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2">
    <w:name w:val="xl72"/>
    <w:basedOn w:val="Normln"/>
    <w:uiPriority w:val="99"/>
    <w:rsid w:val="00DF1095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3">
    <w:name w:val="xl73"/>
    <w:basedOn w:val="Normln"/>
    <w:uiPriority w:val="99"/>
    <w:rsid w:val="00DF1095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4">
    <w:name w:val="xl74"/>
    <w:basedOn w:val="Normln"/>
    <w:uiPriority w:val="99"/>
    <w:rsid w:val="00DF1095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5">
    <w:name w:val="xl75"/>
    <w:basedOn w:val="Normln"/>
    <w:uiPriority w:val="99"/>
    <w:rsid w:val="00DF10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uiPriority w:val="99"/>
    <w:rsid w:val="00DF10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7">
    <w:name w:val="xl77"/>
    <w:basedOn w:val="Normln"/>
    <w:uiPriority w:val="99"/>
    <w:rsid w:val="00DF10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8">
    <w:name w:val="xl78"/>
    <w:basedOn w:val="Normln"/>
    <w:uiPriority w:val="99"/>
    <w:rsid w:val="00DF109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9">
    <w:name w:val="xl79"/>
    <w:basedOn w:val="Normln"/>
    <w:uiPriority w:val="99"/>
    <w:rsid w:val="00DF109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0">
    <w:name w:val="xl80"/>
    <w:basedOn w:val="Normln"/>
    <w:uiPriority w:val="99"/>
    <w:rsid w:val="00DF10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1">
    <w:name w:val="xl81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2">
    <w:name w:val="xl82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3">
    <w:name w:val="xl83"/>
    <w:basedOn w:val="Normln"/>
    <w:uiPriority w:val="99"/>
    <w:rsid w:val="00DF109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4">
    <w:name w:val="xl84"/>
    <w:basedOn w:val="Normln"/>
    <w:uiPriority w:val="99"/>
    <w:rsid w:val="00DF1095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5">
    <w:name w:val="xl85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6">
    <w:name w:val="xl86"/>
    <w:basedOn w:val="Normln"/>
    <w:uiPriority w:val="99"/>
    <w:rsid w:val="00DF1095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7">
    <w:name w:val="xl87"/>
    <w:basedOn w:val="Normln"/>
    <w:uiPriority w:val="99"/>
    <w:rsid w:val="00DF1095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8">
    <w:name w:val="xl88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9">
    <w:name w:val="xl89"/>
    <w:basedOn w:val="Normln"/>
    <w:uiPriority w:val="99"/>
    <w:rsid w:val="00DF109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0">
    <w:name w:val="xl90"/>
    <w:basedOn w:val="Normln"/>
    <w:uiPriority w:val="99"/>
    <w:rsid w:val="00DF10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1">
    <w:name w:val="xl91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2">
    <w:name w:val="xl92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3">
    <w:name w:val="xl93"/>
    <w:basedOn w:val="Normln"/>
    <w:uiPriority w:val="99"/>
    <w:rsid w:val="00DF109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4">
    <w:name w:val="xl94"/>
    <w:basedOn w:val="Normln"/>
    <w:uiPriority w:val="99"/>
    <w:rsid w:val="00DF10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5">
    <w:name w:val="xl95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96">
    <w:name w:val="xl96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7">
    <w:name w:val="xl97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8">
    <w:name w:val="xl98"/>
    <w:basedOn w:val="Normln"/>
    <w:uiPriority w:val="99"/>
    <w:rsid w:val="00DF1095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99">
    <w:name w:val="xl99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0">
    <w:name w:val="xl100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1">
    <w:name w:val="xl101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2">
    <w:name w:val="xl102"/>
    <w:basedOn w:val="Normln"/>
    <w:uiPriority w:val="99"/>
    <w:rsid w:val="00DF109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3">
    <w:name w:val="xl103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4">
    <w:name w:val="xl104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paragraph" w:customStyle="1" w:styleId="xl105">
    <w:name w:val="xl105"/>
    <w:basedOn w:val="Normln"/>
    <w:uiPriority w:val="99"/>
    <w:rsid w:val="00DF10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6">
    <w:name w:val="xl106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7">
    <w:name w:val="xl107"/>
    <w:basedOn w:val="Normln"/>
    <w:uiPriority w:val="99"/>
    <w:rsid w:val="00DF10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8">
    <w:name w:val="xl108"/>
    <w:basedOn w:val="Normln"/>
    <w:uiPriority w:val="99"/>
    <w:rsid w:val="00DF10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9">
    <w:name w:val="xl109"/>
    <w:basedOn w:val="Normln"/>
    <w:uiPriority w:val="99"/>
    <w:rsid w:val="00DF109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0">
    <w:name w:val="xl110"/>
    <w:basedOn w:val="Normln"/>
    <w:uiPriority w:val="99"/>
    <w:rsid w:val="00DF109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1">
    <w:name w:val="xl111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2">
    <w:name w:val="xl112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3">
    <w:name w:val="xl113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4">
    <w:name w:val="xl114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5">
    <w:name w:val="xl115"/>
    <w:basedOn w:val="Normln"/>
    <w:uiPriority w:val="99"/>
    <w:rsid w:val="00DF109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6">
    <w:name w:val="xl116"/>
    <w:basedOn w:val="Normln"/>
    <w:uiPriority w:val="99"/>
    <w:rsid w:val="00DF1095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7">
    <w:name w:val="xl117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8">
    <w:name w:val="xl118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9">
    <w:name w:val="xl119"/>
    <w:basedOn w:val="Normln"/>
    <w:uiPriority w:val="99"/>
    <w:rsid w:val="00DF109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0">
    <w:name w:val="xl120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21">
    <w:name w:val="xl121"/>
    <w:basedOn w:val="Normln"/>
    <w:uiPriority w:val="99"/>
    <w:rsid w:val="00DF109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22">
    <w:name w:val="xl122"/>
    <w:basedOn w:val="Normln"/>
    <w:uiPriority w:val="99"/>
    <w:rsid w:val="00DF109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23">
    <w:name w:val="xl123"/>
    <w:basedOn w:val="Normln"/>
    <w:uiPriority w:val="99"/>
    <w:rsid w:val="00DF10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24">
    <w:name w:val="xl124"/>
    <w:basedOn w:val="Normln"/>
    <w:uiPriority w:val="99"/>
    <w:rsid w:val="00DF109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5">
    <w:name w:val="xl125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26">
    <w:name w:val="xl126"/>
    <w:basedOn w:val="Normln"/>
    <w:uiPriority w:val="99"/>
    <w:rsid w:val="00DF1095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7">
    <w:name w:val="xl127"/>
    <w:basedOn w:val="Normln"/>
    <w:uiPriority w:val="99"/>
    <w:rsid w:val="00DF109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8">
    <w:name w:val="xl128"/>
    <w:basedOn w:val="Normln"/>
    <w:uiPriority w:val="99"/>
    <w:rsid w:val="00DF109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9">
    <w:name w:val="xl129"/>
    <w:basedOn w:val="Normln"/>
    <w:uiPriority w:val="99"/>
    <w:rsid w:val="00DF109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0">
    <w:name w:val="xl130"/>
    <w:basedOn w:val="Normln"/>
    <w:uiPriority w:val="99"/>
    <w:rsid w:val="00DF10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1">
    <w:name w:val="xl131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2">
    <w:name w:val="xl132"/>
    <w:basedOn w:val="Normln"/>
    <w:uiPriority w:val="99"/>
    <w:rsid w:val="00DF109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3">
    <w:name w:val="xl133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4">
    <w:name w:val="xl134"/>
    <w:basedOn w:val="Normln"/>
    <w:uiPriority w:val="99"/>
    <w:rsid w:val="00DF1095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35">
    <w:name w:val="xl135"/>
    <w:basedOn w:val="Normln"/>
    <w:uiPriority w:val="99"/>
    <w:rsid w:val="00DF1095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6">
    <w:name w:val="xl136"/>
    <w:basedOn w:val="Normln"/>
    <w:uiPriority w:val="99"/>
    <w:rsid w:val="00DF1095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37">
    <w:name w:val="xl137"/>
    <w:basedOn w:val="Normln"/>
    <w:uiPriority w:val="99"/>
    <w:rsid w:val="00DF1095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8">
    <w:name w:val="xl138"/>
    <w:basedOn w:val="Normln"/>
    <w:uiPriority w:val="99"/>
    <w:rsid w:val="00DF1095"/>
    <w:pPr>
      <w:pBdr>
        <w:left w:val="single" w:sz="8" w:space="0" w:color="auto"/>
        <w:bottom w:val="double" w:sz="6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39">
    <w:name w:val="xl139"/>
    <w:basedOn w:val="Normln"/>
    <w:uiPriority w:val="99"/>
    <w:rsid w:val="00DF1095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0">
    <w:name w:val="xl140"/>
    <w:basedOn w:val="Normln"/>
    <w:uiPriority w:val="99"/>
    <w:rsid w:val="00DF1095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1">
    <w:name w:val="xl141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2">
    <w:name w:val="xl142"/>
    <w:basedOn w:val="Normln"/>
    <w:uiPriority w:val="99"/>
    <w:rsid w:val="00DF1095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3">
    <w:name w:val="xl143"/>
    <w:basedOn w:val="Normln"/>
    <w:uiPriority w:val="99"/>
    <w:rsid w:val="00DF109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4">
    <w:name w:val="xl144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u w:val="single"/>
      <w:lang w:eastAsia="cs-CZ"/>
    </w:rPr>
  </w:style>
  <w:style w:type="paragraph" w:customStyle="1" w:styleId="xl145">
    <w:name w:val="xl145"/>
    <w:basedOn w:val="Normln"/>
    <w:uiPriority w:val="99"/>
    <w:rsid w:val="00DF109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46">
    <w:name w:val="xl146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7">
    <w:name w:val="xl147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8">
    <w:name w:val="xl148"/>
    <w:basedOn w:val="Normln"/>
    <w:uiPriority w:val="99"/>
    <w:rsid w:val="00DF10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9">
    <w:name w:val="xl149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0">
    <w:name w:val="xl150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51">
    <w:name w:val="xl151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2">
    <w:name w:val="xl152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3">
    <w:name w:val="xl153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54">
    <w:name w:val="xl154"/>
    <w:basedOn w:val="Normln"/>
    <w:uiPriority w:val="99"/>
    <w:rsid w:val="00DF109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55">
    <w:name w:val="xl155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56">
    <w:name w:val="xl156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57">
    <w:name w:val="xl157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58">
    <w:name w:val="xl158"/>
    <w:basedOn w:val="Normln"/>
    <w:uiPriority w:val="99"/>
    <w:rsid w:val="00DF10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9">
    <w:name w:val="xl159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60">
    <w:name w:val="xl160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61">
    <w:name w:val="xl161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62">
    <w:name w:val="xl162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63">
    <w:name w:val="xl163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64">
    <w:name w:val="xl164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65">
    <w:name w:val="xl165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66">
    <w:name w:val="xl166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67">
    <w:name w:val="xl167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68">
    <w:name w:val="xl168"/>
    <w:basedOn w:val="Normln"/>
    <w:uiPriority w:val="99"/>
    <w:rsid w:val="00DF109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69">
    <w:name w:val="xl169"/>
    <w:basedOn w:val="Normln"/>
    <w:uiPriority w:val="99"/>
    <w:rsid w:val="00DF10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70">
    <w:name w:val="xl170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71">
    <w:name w:val="xl171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2">
    <w:name w:val="xl172"/>
    <w:basedOn w:val="Normln"/>
    <w:uiPriority w:val="99"/>
    <w:rsid w:val="00DF10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3">
    <w:name w:val="xl173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74">
    <w:name w:val="xl174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5">
    <w:name w:val="xl175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6">
    <w:name w:val="xl176"/>
    <w:basedOn w:val="Normln"/>
    <w:uiPriority w:val="99"/>
    <w:rsid w:val="00DF109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77">
    <w:name w:val="xl177"/>
    <w:basedOn w:val="Normln"/>
    <w:uiPriority w:val="99"/>
    <w:rsid w:val="00DF10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78">
    <w:name w:val="xl178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79">
    <w:name w:val="xl179"/>
    <w:basedOn w:val="Normln"/>
    <w:uiPriority w:val="99"/>
    <w:rsid w:val="00DF109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80">
    <w:name w:val="xl180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81">
    <w:name w:val="xl181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82">
    <w:name w:val="xl182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83">
    <w:name w:val="xl183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84">
    <w:name w:val="xl184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85">
    <w:name w:val="xl185"/>
    <w:basedOn w:val="Normln"/>
    <w:uiPriority w:val="99"/>
    <w:rsid w:val="00DF10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86">
    <w:name w:val="xl186"/>
    <w:basedOn w:val="Normln"/>
    <w:uiPriority w:val="99"/>
    <w:rsid w:val="00DF10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7">
    <w:name w:val="xl187"/>
    <w:basedOn w:val="Normln"/>
    <w:uiPriority w:val="99"/>
    <w:rsid w:val="00DF109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8">
    <w:name w:val="xl188"/>
    <w:basedOn w:val="Normln"/>
    <w:uiPriority w:val="99"/>
    <w:rsid w:val="00DF109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9">
    <w:name w:val="xl189"/>
    <w:basedOn w:val="Normln"/>
    <w:uiPriority w:val="99"/>
    <w:rsid w:val="00DF10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0">
    <w:name w:val="xl190"/>
    <w:basedOn w:val="Normln"/>
    <w:uiPriority w:val="99"/>
    <w:rsid w:val="00DF10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1">
    <w:name w:val="xl191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92">
    <w:name w:val="xl192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93">
    <w:name w:val="xl193"/>
    <w:basedOn w:val="Normln"/>
    <w:uiPriority w:val="99"/>
    <w:rsid w:val="00DF109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94">
    <w:name w:val="xl194"/>
    <w:basedOn w:val="Normln"/>
    <w:uiPriority w:val="99"/>
    <w:rsid w:val="00DF10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A7773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773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99"/>
    <w:qFormat/>
    <w:rsid w:val="00540C0D"/>
    <w:pPr>
      <w:ind w:left="720"/>
      <w:contextualSpacing/>
    </w:pPr>
  </w:style>
  <w:style w:type="table" w:styleId="Mkatabulky">
    <w:name w:val="Table Grid"/>
    <w:basedOn w:val="Normlntabulka"/>
    <w:uiPriority w:val="99"/>
    <w:rsid w:val="00B116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rsid w:val="004204CA"/>
    <w:pPr>
      <w:spacing w:after="0" w:line="240" w:lineRule="auto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204CA"/>
    <w:rPr>
      <w:rFonts w:ascii="Calibri" w:hAnsi="Calibri"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4204CA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rsid w:val="009832E6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832E6"/>
    <w:rPr>
      <w:rFonts w:ascii="Calibri" w:hAnsi="Calibri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9832E6"/>
    <w:rPr>
      <w:rFonts w:cs="Times New Roman"/>
      <w:sz w:val="16"/>
    </w:rPr>
  </w:style>
  <w:style w:type="character" w:customStyle="1" w:styleId="apple-converted-space">
    <w:name w:val="apple-converted-space"/>
    <w:uiPriority w:val="99"/>
    <w:rsid w:val="009832E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14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14F0"/>
    <w:rPr>
      <w:rFonts w:ascii="Calibri" w:hAnsi="Calibri" w:cs="Times New Roman"/>
      <w:b/>
      <w:sz w:val="20"/>
    </w:rPr>
  </w:style>
  <w:style w:type="paragraph" w:styleId="Zhlav">
    <w:name w:val="header"/>
    <w:basedOn w:val="Normln"/>
    <w:link w:val="ZhlavChar"/>
    <w:uiPriority w:val="99"/>
    <w:rsid w:val="0076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61852"/>
    <w:rPr>
      <w:rFonts w:cs="Times New Roman"/>
    </w:rPr>
  </w:style>
  <w:style w:type="paragraph" w:styleId="Zpat">
    <w:name w:val="footer"/>
    <w:basedOn w:val="Normln"/>
    <w:link w:val="ZpatChar"/>
    <w:uiPriority w:val="99"/>
    <w:rsid w:val="0076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61852"/>
    <w:rPr>
      <w:rFonts w:cs="Times New Roman"/>
    </w:rPr>
  </w:style>
  <w:style w:type="paragraph" w:styleId="Revize">
    <w:name w:val="Revision"/>
    <w:hidden/>
    <w:uiPriority w:val="99"/>
    <w:semiHidden/>
    <w:rsid w:val="00B87A2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49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DF109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DF1095"/>
    <w:rPr>
      <w:rFonts w:cs="Times New Roman"/>
      <w:color w:val="800080"/>
      <w:u w:val="single"/>
    </w:rPr>
  </w:style>
  <w:style w:type="paragraph" w:customStyle="1" w:styleId="font5">
    <w:name w:val="font5"/>
    <w:basedOn w:val="Normln"/>
    <w:uiPriority w:val="99"/>
    <w:rsid w:val="00DF109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uiPriority w:val="99"/>
    <w:rsid w:val="00DF109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uiPriority w:val="99"/>
    <w:rsid w:val="00DF109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font8">
    <w:name w:val="font8"/>
    <w:basedOn w:val="Normln"/>
    <w:uiPriority w:val="99"/>
    <w:rsid w:val="00DF109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cs-CZ"/>
    </w:rPr>
  </w:style>
  <w:style w:type="paragraph" w:customStyle="1" w:styleId="font9">
    <w:name w:val="font9"/>
    <w:basedOn w:val="Normln"/>
    <w:uiPriority w:val="99"/>
    <w:rsid w:val="00DF109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eastAsia="cs-CZ"/>
    </w:rPr>
  </w:style>
  <w:style w:type="paragraph" w:customStyle="1" w:styleId="xl65">
    <w:name w:val="xl65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6">
    <w:name w:val="xl66"/>
    <w:basedOn w:val="Normln"/>
    <w:uiPriority w:val="99"/>
    <w:rsid w:val="00DF10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7">
    <w:name w:val="xl67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8">
    <w:name w:val="xl68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9">
    <w:name w:val="xl69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0">
    <w:name w:val="xl70"/>
    <w:basedOn w:val="Normln"/>
    <w:uiPriority w:val="99"/>
    <w:rsid w:val="00DF109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1">
    <w:name w:val="xl71"/>
    <w:basedOn w:val="Normln"/>
    <w:uiPriority w:val="99"/>
    <w:rsid w:val="00DF10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2">
    <w:name w:val="xl72"/>
    <w:basedOn w:val="Normln"/>
    <w:uiPriority w:val="99"/>
    <w:rsid w:val="00DF1095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3">
    <w:name w:val="xl73"/>
    <w:basedOn w:val="Normln"/>
    <w:uiPriority w:val="99"/>
    <w:rsid w:val="00DF1095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4">
    <w:name w:val="xl74"/>
    <w:basedOn w:val="Normln"/>
    <w:uiPriority w:val="99"/>
    <w:rsid w:val="00DF1095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5">
    <w:name w:val="xl75"/>
    <w:basedOn w:val="Normln"/>
    <w:uiPriority w:val="99"/>
    <w:rsid w:val="00DF10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uiPriority w:val="99"/>
    <w:rsid w:val="00DF10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7">
    <w:name w:val="xl77"/>
    <w:basedOn w:val="Normln"/>
    <w:uiPriority w:val="99"/>
    <w:rsid w:val="00DF10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8">
    <w:name w:val="xl78"/>
    <w:basedOn w:val="Normln"/>
    <w:uiPriority w:val="99"/>
    <w:rsid w:val="00DF109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9">
    <w:name w:val="xl79"/>
    <w:basedOn w:val="Normln"/>
    <w:uiPriority w:val="99"/>
    <w:rsid w:val="00DF109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0">
    <w:name w:val="xl80"/>
    <w:basedOn w:val="Normln"/>
    <w:uiPriority w:val="99"/>
    <w:rsid w:val="00DF10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1">
    <w:name w:val="xl81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2">
    <w:name w:val="xl82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3">
    <w:name w:val="xl83"/>
    <w:basedOn w:val="Normln"/>
    <w:uiPriority w:val="99"/>
    <w:rsid w:val="00DF109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4">
    <w:name w:val="xl84"/>
    <w:basedOn w:val="Normln"/>
    <w:uiPriority w:val="99"/>
    <w:rsid w:val="00DF1095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5">
    <w:name w:val="xl85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6">
    <w:name w:val="xl86"/>
    <w:basedOn w:val="Normln"/>
    <w:uiPriority w:val="99"/>
    <w:rsid w:val="00DF1095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7">
    <w:name w:val="xl87"/>
    <w:basedOn w:val="Normln"/>
    <w:uiPriority w:val="99"/>
    <w:rsid w:val="00DF1095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8">
    <w:name w:val="xl88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9">
    <w:name w:val="xl89"/>
    <w:basedOn w:val="Normln"/>
    <w:uiPriority w:val="99"/>
    <w:rsid w:val="00DF109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0">
    <w:name w:val="xl90"/>
    <w:basedOn w:val="Normln"/>
    <w:uiPriority w:val="99"/>
    <w:rsid w:val="00DF10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1">
    <w:name w:val="xl91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2">
    <w:name w:val="xl92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3">
    <w:name w:val="xl93"/>
    <w:basedOn w:val="Normln"/>
    <w:uiPriority w:val="99"/>
    <w:rsid w:val="00DF109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4">
    <w:name w:val="xl94"/>
    <w:basedOn w:val="Normln"/>
    <w:uiPriority w:val="99"/>
    <w:rsid w:val="00DF10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5">
    <w:name w:val="xl95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96">
    <w:name w:val="xl96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7">
    <w:name w:val="xl97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8">
    <w:name w:val="xl98"/>
    <w:basedOn w:val="Normln"/>
    <w:uiPriority w:val="99"/>
    <w:rsid w:val="00DF1095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99">
    <w:name w:val="xl99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0">
    <w:name w:val="xl100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1">
    <w:name w:val="xl101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2">
    <w:name w:val="xl102"/>
    <w:basedOn w:val="Normln"/>
    <w:uiPriority w:val="99"/>
    <w:rsid w:val="00DF109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3">
    <w:name w:val="xl103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4">
    <w:name w:val="xl104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paragraph" w:customStyle="1" w:styleId="xl105">
    <w:name w:val="xl105"/>
    <w:basedOn w:val="Normln"/>
    <w:uiPriority w:val="99"/>
    <w:rsid w:val="00DF10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6">
    <w:name w:val="xl106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7">
    <w:name w:val="xl107"/>
    <w:basedOn w:val="Normln"/>
    <w:uiPriority w:val="99"/>
    <w:rsid w:val="00DF10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8">
    <w:name w:val="xl108"/>
    <w:basedOn w:val="Normln"/>
    <w:uiPriority w:val="99"/>
    <w:rsid w:val="00DF10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9">
    <w:name w:val="xl109"/>
    <w:basedOn w:val="Normln"/>
    <w:uiPriority w:val="99"/>
    <w:rsid w:val="00DF109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0">
    <w:name w:val="xl110"/>
    <w:basedOn w:val="Normln"/>
    <w:uiPriority w:val="99"/>
    <w:rsid w:val="00DF109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1">
    <w:name w:val="xl111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2">
    <w:name w:val="xl112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3">
    <w:name w:val="xl113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4">
    <w:name w:val="xl114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5">
    <w:name w:val="xl115"/>
    <w:basedOn w:val="Normln"/>
    <w:uiPriority w:val="99"/>
    <w:rsid w:val="00DF109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6">
    <w:name w:val="xl116"/>
    <w:basedOn w:val="Normln"/>
    <w:uiPriority w:val="99"/>
    <w:rsid w:val="00DF1095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7">
    <w:name w:val="xl117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8">
    <w:name w:val="xl118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9">
    <w:name w:val="xl119"/>
    <w:basedOn w:val="Normln"/>
    <w:uiPriority w:val="99"/>
    <w:rsid w:val="00DF109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0">
    <w:name w:val="xl120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21">
    <w:name w:val="xl121"/>
    <w:basedOn w:val="Normln"/>
    <w:uiPriority w:val="99"/>
    <w:rsid w:val="00DF109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22">
    <w:name w:val="xl122"/>
    <w:basedOn w:val="Normln"/>
    <w:uiPriority w:val="99"/>
    <w:rsid w:val="00DF109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23">
    <w:name w:val="xl123"/>
    <w:basedOn w:val="Normln"/>
    <w:uiPriority w:val="99"/>
    <w:rsid w:val="00DF10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24">
    <w:name w:val="xl124"/>
    <w:basedOn w:val="Normln"/>
    <w:uiPriority w:val="99"/>
    <w:rsid w:val="00DF109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5">
    <w:name w:val="xl125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26">
    <w:name w:val="xl126"/>
    <w:basedOn w:val="Normln"/>
    <w:uiPriority w:val="99"/>
    <w:rsid w:val="00DF1095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7">
    <w:name w:val="xl127"/>
    <w:basedOn w:val="Normln"/>
    <w:uiPriority w:val="99"/>
    <w:rsid w:val="00DF109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8">
    <w:name w:val="xl128"/>
    <w:basedOn w:val="Normln"/>
    <w:uiPriority w:val="99"/>
    <w:rsid w:val="00DF109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9">
    <w:name w:val="xl129"/>
    <w:basedOn w:val="Normln"/>
    <w:uiPriority w:val="99"/>
    <w:rsid w:val="00DF109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0">
    <w:name w:val="xl130"/>
    <w:basedOn w:val="Normln"/>
    <w:uiPriority w:val="99"/>
    <w:rsid w:val="00DF10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1">
    <w:name w:val="xl131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2">
    <w:name w:val="xl132"/>
    <w:basedOn w:val="Normln"/>
    <w:uiPriority w:val="99"/>
    <w:rsid w:val="00DF109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3">
    <w:name w:val="xl133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4">
    <w:name w:val="xl134"/>
    <w:basedOn w:val="Normln"/>
    <w:uiPriority w:val="99"/>
    <w:rsid w:val="00DF1095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35">
    <w:name w:val="xl135"/>
    <w:basedOn w:val="Normln"/>
    <w:uiPriority w:val="99"/>
    <w:rsid w:val="00DF1095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6">
    <w:name w:val="xl136"/>
    <w:basedOn w:val="Normln"/>
    <w:uiPriority w:val="99"/>
    <w:rsid w:val="00DF1095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37">
    <w:name w:val="xl137"/>
    <w:basedOn w:val="Normln"/>
    <w:uiPriority w:val="99"/>
    <w:rsid w:val="00DF1095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8">
    <w:name w:val="xl138"/>
    <w:basedOn w:val="Normln"/>
    <w:uiPriority w:val="99"/>
    <w:rsid w:val="00DF1095"/>
    <w:pPr>
      <w:pBdr>
        <w:left w:val="single" w:sz="8" w:space="0" w:color="auto"/>
        <w:bottom w:val="double" w:sz="6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39">
    <w:name w:val="xl139"/>
    <w:basedOn w:val="Normln"/>
    <w:uiPriority w:val="99"/>
    <w:rsid w:val="00DF1095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0">
    <w:name w:val="xl140"/>
    <w:basedOn w:val="Normln"/>
    <w:uiPriority w:val="99"/>
    <w:rsid w:val="00DF1095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1">
    <w:name w:val="xl141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2">
    <w:name w:val="xl142"/>
    <w:basedOn w:val="Normln"/>
    <w:uiPriority w:val="99"/>
    <w:rsid w:val="00DF1095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3">
    <w:name w:val="xl143"/>
    <w:basedOn w:val="Normln"/>
    <w:uiPriority w:val="99"/>
    <w:rsid w:val="00DF109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4">
    <w:name w:val="xl144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u w:val="single"/>
      <w:lang w:eastAsia="cs-CZ"/>
    </w:rPr>
  </w:style>
  <w:style w:type="paragraph" w:customStyle="1" w:styleId="xl145">
    <w:name w:val="xl145"/>
    <w:basedOn w:val="Normln"/>
    <w:uiPriority w:val="99"/>
    <w:rsid w:val="00DF109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46">
    <w:name w:val="xl146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7">
    <w:name w:val="xl147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8">
    <w:name w:val="xl148"/>
    <w:basedOn w:val="Normln"/>
    <w:uiPriority w:val="99"/>
    <w:rsid w:val="00DF10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9">
    <w:name w:val="xl149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0">
    <w:name w:val="xl150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51">
    <w:name w:val="xl151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2">
    <w:name w:val="xl152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3">
    <w:name w:val="xl153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54">
    <w:name w:val="xl154"/>
    <w:basedOn w:val="Normln"/>
    <w:uiPriority w:val="99"/>
    <w:rsid w:val="00DF109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55">
    <w:name w:val="xl155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56">
    <w:name w:val="xl156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57">
    <w:name w:val="xl157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58">
    <w:name w:val="xl158"/>
    <w:basedOn w:val="Normln"/>
    <w:uiPriority w:val="99"/>
    <w:rsid w:val="00DF10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9">
    <w:name w:val="xl159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60">
    <w:name w:val="xl160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61">
    <w:name w:val="xl161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62">
    <w:name w:val="xl162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63">
    <w:name w:val="xl163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64">
    <w:name w:val="xl164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65">
    <w:name w:val="xl165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66">
    <w:name w:val="xl166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67">
    <w:name w:val="xl167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68">
    <w:name w:val="xl168"/>
    <w:basedOn w:val="Normln"/>
    <w:uiPriority w:val="99"/>
    <w:rsid w:val="00DF109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69">
    <w:name w:val="xl169"/>
    <w:basedOn w:val="Normln"/>
    <w:uiPriority w:val="99"/>
    <w:rsid w:val="00DF10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70">
    <w:name w:val="xl170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71">
    <w:name w:val="xl171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2">
    <w:name w:val="xl172"/>
    <w:basedOn w:val="Normln"/>
    <w:uiPriority w:val="99"/>
    <w:rsid w:val="00DF10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3">
    <w:name w:val="xl173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74">
    <w:name w:val="xl174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5">
    <w:name w:val="xl175"/>
    <w:basedOn w:val="Normln"/>
    <w:uiPriority w:val="99"/>
    <w:rsid w:val="00DF109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6">
    <w:name w:val="xl176"/>
    <w:basedOn w:val="Normln"/>
    <w:uiPriority w:val="99"/>
    <w:rsid w:val="00DF109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77">
    <w:name w:val="xl177"/>
    <w:basedOn w:val="Normln"/>
    <w:uiPriority w:val="99"/>
    <w:rsid w:val="00DF10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78">
    <w:name w:val="xl178"/>
    <w:basedOn w:val="Normln"/>
    <w:uiPriority w:val="99"/>
    <w:rsid w:val="00DF10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79">
    <w:name w:val="xl179"/>
    <w:basedOn w:val="Normln"/>
    <w:uiPriority w:val="99"/>
    <w:rsid w:val="00DF109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80">
    <w:name w:val="xl180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81">
    <w:name w:val="xl181"/>
    <w:basedOn w:val="Normln"/>
    <w:uiPriority w:val="99"/>
    <w:rsid w:val="00DF1095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82">
    <w:name w:val="xl182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83">
    <w:name w:val="xl183"/>
    <w:basedOn w:val="Normln"/>
    <w:uiPriority w:val="99"/>
    <w:rsid w:val="00DF109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84">
    <w:name w:val="xl184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85">
    <w:name w:val="xl185"/>
    <w:basedOn w:val="Normln"/>
    <w:uiPriority w:val="99"/>
    <w:rsid w:val="00DF10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86">
    <w:name w:val="xl186"/>
    <w:basedOn w:val="Normln"/>
    <w:uiPriority w:val="99"/>
    <w:rsid w:val="00DF10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7">
    <w:name w:val="xl187"/>
    <w:basedOn w:val="Normln"/>
    <w:uiPriority w:val="99"/>
    <w:rsid w:val="00DF109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8">
    <w:name w:val="xl188"/>
    <w:basedOn w:val="Normln"/>
    <w:uiPriority w:val="99"/>
    <w:rsid w:val="00DF109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9">
    <w:name w:val="xl189"/>
    <w:basedOn w:val="Normln"/>
    <w:uiPriority w:val="99"/>
    <w:rsid w:val="00DF10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0">
    <w:name w:val="xl190"/>
    <w:basedOn w:val="Normln"/>
    <w:uiPriority w:val="99"/>
    <w:rsid w:val="00DF10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1">
    <w:name w:val="xl191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92">
    <w:name w:val="xl192"/>
    <w:basedOn w:val="Normln"/>
    <w:uiPriority w:val="99"/>
    <w:rsid w:val="00DF109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93">
    <w:name w:val="xl193"/>
    <w:basedOn w:val="Normln"/>
    <w:uiPriority w:val="99"/>
    <w:rsid w:val="00DF109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94">
    <w:name w:val="xl194"/>
    <w:basedOn w:val="Normln"/>
    <w:uiPriority w:val="99"/>
    <w:rsid w:val="00DF10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A7773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773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99"/>
    <w:qFormat/>
    <w:rsid w:val="00540C0D"/>
    <w:pPr>
      <w:ind w:left="720"/>
      <w:contextualSpacing/>
    </w:pPr>
  </w:style>
  <w:style w:type="table" w:styleId="Mkatabulky">
    <w:name w:val="Table Grid"/>
    <w:basedOn w:val="Normlntabulka"/>
    <w:uiPriority w:val="99"/>
    <w:rsid w:val="00B116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rsid w:val="004204CA"/>
    <w:pPr>
      <w:spacing w:after="0" w:line="240" w:lineRule="auto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204CA"/>
    <w:rPr>
      <w:rFonts w:ascii="Calibri" w:hAnsi="Calibri"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4204CA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rsid w:val="009832E6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832E6"/>
    <w:rPr>
      <w:rFonts w:ascii="Calibri" w:hAnsi="Calibri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9832E6"/>
    <w:rPr>
      <w:rFonts w:cs="Times New Roman"/>
      <w:sz w:val="16"/>
    </w:rPr>
  </w:style>
  <w:style w:type="character" w:customStyle="1" w:styleId="apple-converted-space">
    <w:name w:val="apple-converted-space"/>
    <w:uiPriority w:val="99"/>
    <w:rsid w:val="009832E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14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14F0"/>
    <w:rPr>
      <w:rFonts w:ascii="Calibri" w:hAnsi="Calibri" w:cs="Times New Roman"/>
      <w:b/>
      <w:sz w:val="20"/>
    </w:rPr>
  </w:style>
  <w:style w:type="paragraph" w:styleId="Zhlav">
    <w:name w:val="header"/>
    <w:basedOn w:val="Normln"/>
    <w:link w:val="ZhlavChar"/>
    <w:uiPriority w:val="99"/>
    <w:rsid w:val="0076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61852"/>
    <w:rPr>
      <w:rFonts w:cs="Times New Roman"/>
    </w:rPr>
  </w:style>
  <w:style w:type="paragraph" w:styleId="Zpat">
    <w:name w:val="footer"/>
    <w:basedOn w:val="Normln"/>
    <w:link w:val="ZpatChar"/>
    <w:uiPriority w:val="99"/>
    <w:rsid w:val="0076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61852"/>
    <w:rPr>
      <w:rFonts w:cs="Times New Roman"/>
    </w:rPr>
  </w:style>
  <w:style w:type="paragraph" w:styleId="Revize">
    <w:name w:val="Revision"/>
    <w:hidden/>
    <w:uiPriority w:val="99"/>
    <w:semiHidden/>
    <w:rsid w:val="00B87A2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0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6542-5C79-48B3-9732-65FA61FF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10306</Words>
  <Characters>60811</Characters>
  <Application>Microsoft Office Word</Application>
  <DocSecurity>0</DocSecurity>
  <Lines>506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TYPY FORMULACE KRITÉRIÍ (ZADÁNÍ OTÁZEK DO TESTU)</vt:lpstr>
    </vt:vector>
  </TitlesOfParts>
  <Company>NUOV</Company>
  <LinksUpToDate>false</LinksUpToDate>
  <CharactersWithSpaces>70976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TYPY FORMULACE KRITÉRIÍ (ZADÁNÍ OTÁZEK DO TESTU)</dc:title>
  <dc:creator>Hajná Martina Ing.</dc:creator>
  <cp:lastModifiedBy>Dombrovská Michaela Mgr.</cp:lastModifiedBy>
  <cp:revision>2</cp:revision>
  <cp:lastPrinted>2013-03-25T11:37:00Z</cp:lastPrinted>
  <dcterms:created xsi:type="dcterms:W3CDTF">2014-03-26T14:25:00Z</dcterms:created>
  <dcterms:modified xsi:type="dcterms:W3CDTF">2014-03-26T14:25:00Z</dcterms:modified>
</cp:coreProperties>
</file>