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BEB" w:rsidRDefault="00D84BEB" w:rsidP="00423120"/>
    <w:p w:rsidR="00D84BEB" w:rsidRDefault="00D84BEB" w:rsidP="00423120"/>
    <w:p w:rsidR="004C0308" w:rsidRPr="00540587" w:rsidRDefault="00890421" w:rsidP="00423120">
      <w:pPr>
        <w:jc w:val="center"/>
        <w:rPr>
          <w:b/>
          <w:caps/>
          <w:sz w:val="36"/>
          <w:szCs w:val="36"/>
        </w:rPr>
      </w:pPr>
      <w:r>
        <w:rPr>
          <w:b/>
          <w:caps/>
          <w:sz w:val="36"/>
          <w:szCs w:val="36"/>
        </w:rPr>
        <w:t>Regionální rozvoJ,</w:t>
      </w:r>
      <w:r w:rsidR="00816552">
        <w:rPr>
          <w:b/>
          <w:caps/>
          <w:sz w:val="36"/>
          <w:szCs w:val="36"/>
        </w:rPr>
        <w:t xml:space="preserve"> </w:t>
      </w:r>
      <w:r w:rsidR="004C0308" w:rsidRPr="00540587">
        <w:rPr>
          <w:b/>
          <w:caps/>
          <w:sz w:val="36"/>
          <w:szCs w:val="36"/>
        </w:rPr>
        <w:t>politika</w:t>
      </w:r>
      <w:r w:rsidR="00A20DFF">
        <w:rPr>
          <w:b/>
          <w:caps/>
          <w:sz w:val="36"/>
          <w:szCs w:val="36"/>
        </w:rPr>
        <w:t xml:space="preserve"> A SPRÁVA</w:t>
      </w:r>
    </w:p>
    <w:p w:rsidR="004C0308" w:rsidRPr="00540587" w:rsidRDefault="002A41FE" w:rsidP="00423120">
      <w:pPr>
        <w:jc w:val="center"/>
        <w:rPr>
          <w:b/>
          <w:caps/>
          <w:sz w:val="36"/>
          <w:szCs w:val="36"/>
        </w:rPr>
      </w:pPr>
      <w:r>
        <w:rPr>
          <w:b/>
          <w:caps/>
          <w:sz w:val="36"/>
          <w:szCs w:val="36"/>
        </w:rPr>
        <w:t>DÍ</w:t>
      </w:r>
      <w:r w:rsidR="004C0308" w:rsidRPr="00540587">
        <w:rPr>
          <w:b/>
          <w:caps/>
          <w:sz w:val="36"/>
          <w:szCs w:val="36"/>
        </w:rPr>
        <w:t>l 1: Regionální rozvoj</w:t>
      </w:r>
    </w:p>
    <w:p w:rsidR="004C0308" w:rsidRDefault="004C0308" w:rsidP="00423120">
      <w:pPr>
        <w:rPr>
          <w:sz w:val="28"/>
          <w:szCs w:val="28"/>
        </w:rPr>
      </w:pPr>
    </w:p>
    <w:p w:rsidR="004C0308" w:rsidRDefault="004C0308" w:rsidP="00423120">
      <w:pPr>
        <w:rPr>
          <w:sz w:val="28"/>
          <w:szCs w:val="28"/>
        </w:rPr>
      </w:pPr>
    </w:p>
    <w:p w:rsidR="004C0308" w:rsidRDefault="004C0308" w:rsidP="00423120">
      <w:pPr>
        <w:rPr>
          <w:sz w:val="28"/>
          <w:szCs w:val="28"/>
        </w:rPr>
      </w:pPr>
    </w:p>
    <w:p w:rsidR="004C0308" w:rsidRDefault="004C0308" w:rsidP="00423120">
      <w:pPr>
        <w:rPr>
          <w:sz w:val="28"/>
          <w:szCs w:val="28"/>
        </w:rPr>
      </w:pPr>
    </w:p>
    <w:p w:rsidR="004C0308" w:rsidRPr="00540587" w:rsidRDefault="004C0308" w:rsidP="00423120">
      <w:pPr>
        <w:rPr>
          <w:b/>
          <w:sz w:val="28"/>
          <w:szCs w:val="28"/>
        </w:rPr>
      </w:pPr>
    </w:p>
    <w:p w:rsidR="004C0308" w:rsidRPr="00540587" w:rsidRDefault="004C0308" w:rsidP="00423120">
      <w:pPr>
        <w:jc w:val="center"/>
        <w:rPr>
          <w:b/>
          <w:sz w:val="28"/>
          <w:szCs w:val="28"/>
        </w:rPr>
      </w:pPr>
      <w:r w:rsidRPr="00540587">
        <w:rPr>
          <w:b/>
          <w:sz w:val="32"/>
          <w:szCs w:val="32"/>
        </w:rPr>
        <w:t xml:space="preserve">Milan Viturka, Petr Halámek, Viktorie Klímová, Vilém Pařil, Vladimír Žítek </w:t>
      </w:r>
    </w:p>
    <w:p w:rsidR="004C0308" w:rsidRDefault="004C0308" w:rsidP="00423120">
      <w:pPr>
        <w:jc w:val="center"/>
        <w:rPr>
          <w:b/>
          <w:sz w:val="28"/>
          <w:szCs w:val="28"/>
        </w:rPr>
      </w:pPr>
    </w:p>
    <w:p w:rsidR="004C0308" w:rsidRPr="00890421" w:rsidRDefault="004C0308" w:rsidP="00423120">
      <w:pPr>
        <w:jc w:val="center"/>
        <w:rPr>
          <w:b/>
          <w:color w:val="4F81BD" w:themeColor="accent1"/>
          <w:sz w:val="28"/>
          <w:szCs w:val="28"/>
        </w:rPr>
      </w:pPr>
    </w:p>
    <w:p w:rsidR="004C0308" w:rsidRDefault="004C0308" w:rsidP="00423120">
      <w:pPr>
        <w:jc w:val="center"/>
        <w:rPr>
          <w:b/>
          <w:sz w:val="28"/>
          <w:szCs w:val="28"/>
        </w:rPr>
      </w:pPr>
    </w:p>
    <w:p w:rsidR="004C0308" w:rsidRDefault="004C0308" w:rsidP="00423120">
      <w:pPr>
        <w:jc w:val="center"/>
        <w:rPr>
          <w:b/>
          <w:sz w:val="28"/>
          <w:szCs w:val="28"/>
        </w:rPr>
      </w:pPr>
    </w:p>
    <w:p w:rsidR="004C0308" w:rsidRDefault="004C0308" w:rsidP="00423120">
      <w:pPr>
        <w:jc w:val="center"/>
        <w:rPr>
          <w:b/>
          <w:sz w:val="28"/>
          <w:szCs w:val="28"/>
        </w:rPr>
      </w:pPr>
    </w:p>
    <w:p w:rsidR="004C0308" w:rsidRDefault="004C0308" w:rsidP="00423120">
      <w:pPr>
        <w:jc w:val="center"/>
        <w:rPr>
          <w:b/>
          <w:sz w:val="28"/>
          <w:szCs w:val="28"/>
        </w:rPr>
      </w:pPr>
    </w:p>
    <w:p w:rsidR="004C0308" w:rsidRPr="00762514" w:rsidRDefault="004C0308" w:rsidP="00423120">
      <w:pPr>
        <w:jc w:val="center"/>
        <w:rPr>
          <w:b/>
          <w:sz w:val="28"/>
          <w:szCs w:val="28"/>
        </w:rPr>
      </w:pPr>
    </w:p>
    <w:p w:rsidR="004C0308" w:rsidRPr="00540587" w:rsidRDefault="004C0308" w:rsidP="00423120">
      <w:pPr>
        <w:jc w:val="center"/>
        <w:rPr>
          <w:sz w:val="32"/>
          <w:szCs w:val="32"/>
        </w:rPr>
      </w:pPr>
      <w:r w:rsidRPr="00540587">
        <w:rPr>
          <w:sz w:val="32"/>
          <w:szCs w:val="32"/>
        </w:rPr>
        <w:t>Ekonomicko-správní fakulta Masarykovy univerzity</w:t>
      </w:r>
    </w:p>
    <w:p w:rsidR="004C0308" w:rsidRPr="00433D81" w:rsidRDefault="004C0308" w:rsidP="00423120">
      <w:pPr>
        <w:jc w:val="center"/>
        <w:rPr>
          <w:sz w:val="32"/>
          <w:szCs w:val="32"/>
        </w:rPr>
      </w:pPr>
      <w:r w:rsidRPr="00433D81">
        <w:rPr>
          <w:sz w:val="32"/>
          <w:szCs w:val="32"/>
        </w:rPr>
        <w:t>Brno 201</w:t>
      </w:r>
      <w:r w:rsidR="00433D81" w:rsidRPr="00433D81">
        <w:rPr>
          <w:sz w:val="32"/>
          <w:szCs w:val="32"/>
        </w:rPr>
        <w:t>4</w:t>
      </w:r>
    </w:p>
    <w:p w:rsidR="004C0308" w:rsidRDefault="004C0308" w:rsidP="00423120">
      <w:pPr>
        <w:jc w:val="both"/>
        <w:rPr>
          <w:sz w:val="28"/>
          <w:szCs w:val="28"/>
        </w:rPr>
      </w:pPr>
    </w:p>
    <w:p w:rsidR="004C0308" w:rsidRPr="00494267" w:rsidRDefault="004C0308" w:rsidP="00423120">
      <w:pPr>
        <w:jc w:val="center"/>
        <w:rPr>
          <w:sz w:val="28"/>
          <w:szCs w:val="28"/>
        </w:rPr>
      </w:pPr>
      <w:r w:rsidRPr="00494267">
        <w:rPr>
          <w:sz w:val="28"/>
          <w:szCs w:val="28"/>
        </w:rPr>
        <w:t xml:space="preserve">Zpracováno v rámci projektu Inovace studia ekonomických disciplín v souladu s požadavky znalostní ekonomiky, financovaného s pomocí strukturálních fondů EU – operační program Vzděláváni pro konkurenceschopnost </w:t>
      </w:r>
    </w:p>
    <w:p w:rsidR="00D84BEB" w:rsidRPr="00CA4356" w:rsidRDefault="00D84BEB" w:rsidP="00423120">
      <w:pPr>
        <w:jc w:val="center"/>
        <w:rPr>
          <w:sz w:val="56"/>
          <w:szCs w:val="56"/>
        </w:rPr>
      </w:pPr>
    </w:p>
    <w:p w:rsidR="00D84BEB" w:rsidRPr="00890421" w:rsidRDefault="00D84BEB" w:rsidP="00890421">
      <w:pPr>
        <w:pStyle w:val="01-Nadpis1"/>
      </w:pPr>
      <w:bookmarkStart w:id="0" w:name="_Toc382327177"/>
      <w:r w:rsidRPr="00890421">
        <w:lastRenderedPageBreak/>
        <w:t>Obsah</w:t>
      </w:r>
      <w:bookmarkEnd w:id="0"/>
      <w:r w:rsidRPr="00890421">
        <w:t xml:space="preserve"> </w:t>
      </w:r>
    </w:p>
    <w:p w:rsidR="008D4734" w:rsidRDefault="00D44284">
      <w:pPr>
        <w:pStyle w:val="Obsah1"/>
        <w:rPr>
          <w:rFonts w:asciiTheme="minorHAnsi" w:eastAsiaTheme="minorEastAsia" w:hAnsiTheme="minorHAnsi" w:cstheme="minorBidi"/>
          <w:lang w:eastAsia="cs-CZ"/>
        </w:rPr>
      </w:pPr>
      <w:r w:rsidRPr="004D26B6">
        <w:rPr>
          <w:highlight w:val="lightGray"/>
        </w:rPr>
        <w:fldChar w:fldCharType="begin"/>
      </w:r>
      <w:r w:rsidR="00D84BEB" w:rsidRPr="004D26B6">
        <w:rPr>
          <w:highlight w:val="lightGray"/>
        </w:rPr>
        <w:instrText xml:space="preserve"> TOC \h \z \u \t "01-Nadpis1;1;00-Nadpis;1;02-Nadpis2;2;03-Nadpis3;3" </w:instrText>
      </w:r>
      <w:r w:rsidRPr="004D26B6">
        <w:rPr>
          <w:highlight w:val="lightGray"/>
        </w:rPr>
        <w:fldChar w:fldCharType="separate"/>
      </w:r>
      <w:hyperlink w:anchor="_Toc382327177" w:history="1">
        <w:r w:rsidR="008D4734" w:rsidRPr="00CE688D">
          <w:rPr>
            <w:rStyle w:val="Hypertextovodkaz"/>
          </w:rPr>
          <w:t>Obsah</w:t>
        </w:r>
        <w:r w:rsidR="008D4734">
          <w:rPr>
            <w:webHidden/>
          </w:rPr>
          <w:tab/>
        </w:r>
        <w:r w:rsidR="008D4734">
          <w:rPr>
            <w:webHidden/>
          </w:rPr>
          <w:fldChar w:fldCharType="begin"/>
        </w:r>
        <w:r w:rsidR="008D4734">
          <w:rPr>
            <w:webHidden/>
          </w:rPr>
          <w:instrText xml:space="preserve"> PAGEREF _Toc382327177 \h </w:instrText>
        </w:r>
        <w:r w:rsidR="008D4734">
          <w:rPr>
            <w:webHidden/>
          </w:rPr>
        </w:r>
        <w:r w:rsidR="008D4734">
          <w:rPr>
            <w:webHidden/>
          </w:rPr>
          <w:fldChar w:fldCharType="separate"/>
        </w:r>
        <w:r w:rsidR="00315423">
          <w:rPr>
            <w:webHidden/>
          </w:rPr>
          <w:t>1</w:t>
        </w:r>
        <w:r w:rsidR="008D4734">
          <w:rPr>
            <w:webHidden/>
          </w:rPr>
          <w:fldChar w:fldCharType="end"/>
        </w:r>
      </w:hyperlink>
    </w:p>
    <w:p w:rsidR="008D4734" w:rsidRDefault="00B40349">
      <w:pPr>
        <w:pStyle w:val="Obsah1"/>
        <w:rPr>
          <w:rFonts w:asciiTheme="minorHAnsi" w:eastAsiaTheme="minorEastAsia" w:hAnsiTheme="minorHAnsi" w:cstheme="minorBidi"/>
          <w:lang w:eastAsia="cs-CZ"/>
        </w:rPr>
      </w:pPr>
      <w:hyperlink w:anchor="_Toc382327178" w:history="1">
        <w:r w:rsidR="008D4734" w:rsidRPr="00CE688D">
          <w:rPr>
            <w:rStyle w:val="Hypertextovodkaz"/>
          </w:rPr>
          <w:t>1. Lokální úroveň rozvoje</w:t>
        </w:r>
        <w:r w:rsidR="008D4734">
          <w:rPr>
            <w:webHidden/>
          </w:rPr>
          <w:tab/>
        </w:r>
        <w:r w:rsidR="008D4734">
          <w:rPr>
            <w:webHidden/>
          </w:rPr>
          <w:fldChar w:fldCharType="begin"/>
        </w:r>
        <w:r w:rsidR="008D4734">
          <w:rPr>
            <w:webHidden/>
          </w:rPr>
          <w:instrText xml:space="preserve"> PAGEREF _Toc382327178 \h </w:instrText>
        </w:r>
        <w:r w:rsidR="008D4734">
          <w:rPr>
            <w:webHidden/>
          </w:rPr>
        </w:r>
        <w:r w:rsidR="008D4734">
          <w:rPr>
            <w:webHidden/>
          </w:rPr>
          <w:fldChar w:fldCharType="separate"/>
        </w:r>
        <w:r w:rsidR="00315423">
          <w:rPr>
            <w:webHidden/>
          </w:rPr>
          <w:t>5</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179" w:history="1">
        <w:r w:rsidR="008D4734" w:rsidRPr="00CE688D">
          <w:rPr>
            <w:rStyle w:val="Hypertextovodkaz"/>
          </w:rPr>
          <w:t>1.1. Úvodní poznámky</w:t>
        </w:r>
        <w:r w:rsidR="008D4734">
          <w:rPr>
            <w:webHidden/>
          </w:rPr>
          <w:tab/>
        </w:r>
        <w:r w:rsidR="008D4734">
          <w:rPr>
            <w:webHidden/>
          </w:rPr>
          <w:fldChar w:fldCharType="begin"/>
        </w:r>
        <w:r w:rsidR="008D4734">
          <w:rPr>
            <w:webHidden/>
          </w:rPr>
          <w:instrText xml:space="preserve"> PAGEREF _Toc382327179 \h </w:instrText>
        </w:r>
        <w:r w:rsidR="008D4734">
          <w:rPr>
            <w:webHidden/>
          </w:rPr>
        </w:r>
        <w:r w:rsidR="008D4734">
          <w:rPr>
            <w:webHidden/>
          </w:rPr>
          <w:fldChar w:fldCharType="separate"/>
        </w:r>
        <w:r w:rsidR="00315423">
          <w:rPr>
            <w:webHidden/>
          </w:rPr>
          <w:t>5</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180" w:history="1">
        <w:r w:rsidR="008D4734" w:rsidRPr="00CE688D">
          <w:rPr>
            <w:rStyle w:val="Hypertextovodkaz"/>
          </w:rPr>
          <w:t>1.2. Využití půdy</w:t>
        </w:r>
        <w:r w:rsidR="008D4734">
          <w:rPr>
            <w:webHidden/>
          </w:rPr>
          <w:tab/>
        </w:r>
        <w:r w:rsidR="008D4734">
          <w:rPr>
            <w:webHidden/>
          </w:rPr>
          <w:fldChar w:fldCharType="begin"/>
        </w:r>
        <w:r w:rsidR="008D4734">
          <w:rPr>
            <w:webHidden/>
          </w:rPr>
          <w:instrText xml:space="preserve"> PAGEREF _Toc382327180 \h </w:instrText>
        </w:r>
        <w:r w:rsidR="008D4734">
          <w:rPr>
            <w:webHidden/>
          </w:rPr>
        </w:r>
        <w:r w:rsidR="008D4734">
          <w:rPr>
            <w:webHidden/>
          </w:rPr>
          <w:fldChar w:fldCharType="separate"/>
        </w:r>
        <w:r w:rsidR="00315423">
          <w:rPr>
            <w:webHidden/>
          </w:rPr>
          <w:t>5</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181" w:history="1">
        <w:r w:rsidR="008D4734" w:rsidRPr="00CE688D">
          <w:rPr>
            <w:rStyle w:val="Hypertextovodkaz"/>
          </w:rPr>
          <w:t>1.3. Urbanistické, sociologické a institucionální faktory rozvoje měst</w:t>
        </w:r>
        <w:r w:rsidR="008D4734">
          <w:rPr>
            <w:webHidden/>
          </w:rPr>
          <w:tab/>
        </w:r>
        <w:r w:rsidR="008D4734">
          <w:rPr>
            <w:webHidden/>
          </w:rPr>
          <w:fldChar w:fldCharType="begin"/>
        </w:r>
        <w:r w:rsidR="008D4734">
          <w:rPr>
            <w:webHidden/>
          </w:rPr>
          <w:instrText xml:space="preserve"> PAGEREF _Toc382327181 \h </w:instrText>
        </w:r>
        <w:r w:rsidR="008D4734">
          <w:rPr>
            <w:webHidden/>
          </w:rPr>
        </w:r>
        <w:r w:rsidR="008D4734">
          <w:rPr>
            <w:webHidden/>
          </w:rPr>
          <w:fldChar w:fldCharType="separate"/>
        </w:r>
        <w:r w:rsidR="00315423">
          <w:rPr>
            <w:webHidden/>
          </w:rPr>
          <w:t>11</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182" w:history="1">
        <w:r w:rsidR="008D4734" w:rsidRPr="00CE688D">
          <w:rPr>
            <w:rStyle w:val="Hypertextovodkaz"/>
          </w:rPr>
          <w:t>1.4. Rozvoj měst a aglomerační výhody</w:t>
        </w:r>
        <w:r w:rsidR="008D4734">
          <w:rPr>
            <w:webHidden/>
          </w:rPr>
          <w:tab/>
        </w:r>
        <w:r w:rsidR="008D4734">
          <w:rPr>
            <w:webHidden/>
          </w:rPr>
          <w:fldChar w:fldCharType="begin"/>
        </w:r>
        <w:r w:rsidR="008D4734">
          <w:rPr>
            <w:webHidden/>
          </w:rPr>
          <w:instrText xml:space="preserve"> PAGEREF _Toc382327182 \h </w:instrText>
        </w:r>
        <w:r w:rsidR="008D4734">
          <w:rPr>
            <w:webHidden/>
          </w:rPr>
        </w:r>
        <w:r w:rsidR="008D4734">
          <w:rPr>
            <w:webHidden/>
          </w:rPr>
          <w:fldChar w:fldCharType="separate"/>
        </w:r>
        <w:r w:rsidR="00315423">
          <w:rPr>
            <w:webHidden/>
          </w:rPr>
          <w:t>15</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183" w:history="1">
        <w:r w:rsidR="008D4734" w:rsidRPr="00CE688D">
          <w:rPr>
            <w:rStyle w:val="Hypertextovodkaz"/>
          </w:rPr>
          <w:t>1.5. Ostatní rozvojově významné souvislosti</w:t>
        </w:r>
        <w:r w:rsidR="008D4734">
          <w:rPr>
            <w:webHidden/>
          </w:rPr>
          <w:tab/>
        </w:r>
        <w:r w:rsidR="008D4734">
          <w:rPr>
            <w:webHidden/>
          </w:rPr>
          <w:fldChar w:fldCharType="begin"/>
        </w:r>
        <w:r w:rsidR="008D4734">
          <w:rPr>
            <w:webHidden/>
          </w:rPr>
          <w:instrText xml:space="preserve"> PAGEREF _Toc382327183 \h </w:instrText>
        </w:r>
        <w:r w:rsidR="008D4734">
          <w:rPr>
            <w:webHidden/>
          </w:rPr>
        </w:r>
        <w:r w:rsidR="008D4734">
          <w:rPr>
            <w:webHidden/>
          </w:rPr>
          <w:fldChar w:fldCharType="separate"/>
        </w:r>
        <w:r w:rsidR="00315423">
          <w:rPr>
            <w:webHidden/>
          </w:rPr>
          <w:t>21</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184" w:history="1">
        <w:r w:rsidR="008D4734" w:rsidRPr="00CE688D">
          <w:rPr>
            <w:rStyle w:val="Hypertextovodkaz"/>
          </w:rPr>
          <w:t>1.6. Praktické příklady</w:t>
        </w:r>
        <w:r w:rsidR="008D4734">
          <w:rPr>
            <w:webHidden/>
          </w:rPr>
          <w:tab/>
        </w:r>
        <w:r w:rsidR="008D4734">
          <w:rPr>
            <w:webHidden/>
          </w:rPr>
          <w:fldChar w:fldCharType="begin"/>
        </w:r>
        <w:r w:rsidR="008D4734">
          <w:rPr>
            <w:webHidden/>
          </w:rPr>
          <w:instrText xml:space="preserve"> PAGEREF _Toc382327184 \h </w:instrText>
        </w:r>
        <w:r w:rsidR="008D4734">
          <w:rPr>
            <w:webHidden/>
          </w:rPr>
        </w:r>
        <w:r w:rsidR="008D4734">
          <w:rPr>
            <w:webHidden/>
          </w:rPr>
          <w:fldChar w:fldCharType="separate"/>
        </w:r>
        <w:r w:rsidR="00315423">
          <w:rPr>
            <w:webHidden/>
          </w:rPr>
          <w:t>23</w:t>
        </w:r>
        <w:r w:rsidR="008D4734">
          <w:rPr>
            <w:webHidden/>
          </w:rPr>
          <w:fldChar w:fldCharType="end"/>
        </w:r>
      </w:hyperlink>
    </w:p>
    <w:p w:rsidR="008D4734" w:rsidRDefault="00B40349">
      <w:pPr>
        <w:pStyle w:val="Obsah3"/>
        <w:tabs>
          <w:tab w:val="right" w:leader="dot" w:pos="9062"/>
        </w:tabs>
        <w:rPr>
          <w:rFonts w:asciiTheme="minorHAnsi" w:eastAsiaTheme="minorEastAsia" w:hAnsiTheme="minorHAnsi" w:cstheme="minorBidi"/>
          <w:noProof/>
        </w:rPr>
      </w:pPr>
      <w:hyperlink w:anchor="_Toc382327185" w:history="1">
        <w:r w:rsidR="008D4734" w:rsidRPr="00CE688D">
          <w:rPr>
            <w:rStyle w:val="Hypertextovodkaz"/>
            <w:noProof/>
          </w:rPr>
          <w:t>1.6.1. Oceňování vybraných skupin nemovitostí</w:t>
        </w:r>
        <w:r w:rsidR="008D4734">
          <w:rPr>
            <w:noProof/>
            <w:webHidden/>
          </w:rPr>
          <w:tab/>
        </w:r>
        <w:r w:rsidR="008D4734">
          <w:rPr>
            <w:noProof/>
            <w:webHidden/>
          </w:rPr>
          <w:fldChar w:fldCharType="begin"/>
        </w:r>
        <w:r w:rsidR="008D4734">
          <w:rPr>
            <w:noProof/>
            <w:webHidden/>
          </w:rPr>
          <w:instrText xml:space="preserve"> PAGEREF _Toc382327185 \h </w:instrText>
        </w:r>
        <w:r w:rsidR="008D4734">
          <w:rPr>
            <w:noProof/>
            <w:webHidden/>
          </w:rPr>
        </w:r>
        <w:r w:rsidR="008D4734">
          <w:rPr>
            <w:noProof/>
            <w:webHidden/>
          </w:rPr>
          <w:fldChar w:fldCharType="separate"/>
        </w:r>
        <w:r w:rsidR="00315423">
          <w:rPr>
            <w:noProof/>
            <w:webHidden/>
          </w:rPr>
          <w:t>23</w:t>
        </w:r>
        <w:r w:rsidR="008D4734">
          <w:rPr>
            <w:noProof/>
            <w:webHidden/>
          </w:rPr>
          <w:fldChar w:fldCharType="end"/>
        </w:r>
      </w:hyperlink>
    </w:p>
    <w:p w:rsidR="008D4734" w:rsidRDefault="00B40349">
      <w:pPr>
        <w:pStyle w:val="Obsah3"/>
        <w:tabs>
          <w:tab w:val="right" w:leader="dot" w:pos="9062"/>
        </w:tabs>
        <w:rPr>
          <w:rFonts w:asciiTheme="minorHAnsi" w:eastAsiaTheme="minorEastAsia" w:hAnsiTheme="minorHAnsi" w:cstheme="minorBidi"/>
          <w:noProof/>
        </w:rPr>
      </w:pPr>
      <w:hyperlink w:anchor="_Toc382327186" w:history="1">
        <w:r w:rsidR="008D4734" w:rsidRPr="00CE688D">
          <w:rPr>
            <w:rStyle w:val="Hypertextovodkaz"/>
            <w:noProof/>
          </w:rPr>
          <w:t>1.6.2. Studie proveditelnosti projektů – projekt regenerace brownfield</w:t>
        </w:r>
        <w:r w:rsidR="008D4734">
          <w:rPr>
            <w:noProof/>
            <w:webHidden/>
          </w:rPr>
          <w:tab/>
        </w:r>
        <w:r w:rsidR="008D4734">
          <w:rPr>
            <w:noProof/>
            <w:webHidden/>
          </w:rPr>
          <w:fldChar w:fldCharType="begin"/>
        </w:r>
        <w:r w:rsidR="008D4734">
          <w:rPr>
            <w:noProof/>
            <w:webHidden/>
          </w:rPr>
          <w:instrText xml:space="preserve"> PAGEREF _Toc382327186 \h </w:instrText>
        </w:r>
        <w:r w:rsidR="008D4734">
          <w:rPr>
            <w:noProof/>
            <w:webHidden/>
          </w:rPr>
        </w:r>
        <w:r w:rsidR="008D4734">
          <w:rPr>
            <w:noProof/>
            <w:webHidden/>
          </w:rPr>
          <w:fldChar w:fldCharType="separate"/>
        </w:r>
        <w:r w:rsidR="00315423">
          <w:rPr>
            <w:noProof/>
            <w:webHidden/>
          </w:rPr>
          <w:t>29</w:t>
        </w:r>
        <w:r w:rsidR="008D4734">
          <w:rPr>
            <w:noProof/>
            <w:webHidden/>
          </w:rPr>
          <w:fldChar w:fldCharType="end"/>
        </w:r>
      </w:hyperlink>
    </w:p>
    <w:p w:rsidR="008D4734" w:rsidRDefault="00B40349">
      <w:pPr>
        <w:pStyle w:val="Obsah2"/>
        <w:rPr>
          <w:rFonts w:asciiTheme="minorHAnsi" w:eastAsiaTheme="minorEastAsia" w:hAnsiTheme="minorHAnsi" w:cstheme="minorBidi"/>
        </w:rPr>
      </w:pPr>
      <w:hyperlink w:anchor="_Toc382327187" w:history="1">
        <w:r w:rsidR="008D4734" w:rsidRPr="00CE688D">
          <w:rPr>
            <w:rStyle w:val="Hypertextovodkaz"/>
          </w:rPr>
          <w:t>Použitá literatura</w:t>
        </w:r>
        <w:r w:rsidR="008D4734">
          <w:rPr>
            <w:webHidden/>
          </w:rPr>
          <w:tab/>
        </w:r>
        <w:r w:rsidR="008D4734">
          <w:rPr>
            <w:webHidden/>
          </w:rPr>
          <w:fldChar w:fldCharType="begin"/>
        </w:r>
        <w:r w:rsidR="008D4734">
          <w:rPr>
            <w:webHidden/>
          </w:rPr>
          <w:instrText xml:space="preserve"> PAGEREF _Toc382327187 \h </w:instrText>
        </w:r>
        <w:r w:rsidR="008D4734">
          <w:rPr>
            <w:webHidden/>
          </w:rPr>
        </w:r>
        <w:r w:rsidR="008D4734">
          <w:rPr>
            <w:webHidden/>
          </w:rPr>
          <w:fldChar w:fldCharType="separate"/>
        </w:r>
        <w:r w:rsidR="00315423">
          <w:rPr>
            <w:webHidden/>
          </w:rPr>
          <w:t>35</w:t>
        </w:r>
        <w:r w:rsidR="008D4734">
          <w:rPr>
            <w:webHidden/>
          </w:rPr>
          <w:fldChar w:fldCharType="end"/>
        </w:r>
      </w:hyperlink>
    </w:p>
    <w:p w:rsidR="008D4734" w:rsidRDefault="00B40349">
      <w:pPr>
        <w:pStyle w:val="Obsah1"/>
        <w:rPr>
          <w:rFonts w:asciiTheme="minorHAnsi" w:eastAsiaTheme="minorEastAsia" w:hAnsiTheme="minorHAnsi" w:cstheme="minorBidi"/>
          <w:lang w:eastAsia="cs-CZ"/>
        </w:rPr>
      </w:pPr>
      <w:hyperlink w:anchor="_Toc382327188" w:history="1">
        <w:r w:rsidR="008D4734" w:rsidRPr="00CE688D">
          <w:rPr>
            <w:rStyle w:val="Hypertextovodkaz"/>
          </w:rPr>
          <w:t>2. Mikroregionální úroveň rozvoje</w:t>
        </w:r>
        <w:r w:rsidR="008D4734">
          <w:rPr>
            <w:webHidden/>
          </w:rPr>
          <w:tab/>
        </w:r>
        <w:r w:rsidR="008D4734">
          <w:rPr>
            <w:webHidden/>
          </w:rPr>
          <w:fldChar w:fldCharType="begin"/>
        </w:r>
        <w:r w:rsidR="008D4734">
          <w:rPr>
            <w:webHidden/>
          </w:rPr>
          <w:instrText xml:space="preserve"> PAGEREF _Toc382327188 \h </w:instrText>
        </w:r>
        <w:r w:rsidR="008D4734">
          <w:rPr>
            <w:webHidden/>
          </w:rPr>
        </w:r>
        <w:r w:rsidR="008D4734">
          <w:rPr>
            <w:webHidden/>
          </w:rPr>
          <w:fldChar w:fldCharType="separate"/>
        </w:r>
        <w:r w:rsidR="00315423">
          <w:rPr>
            <w:webHidden/>
          </w:rPr>
          <w:t>38</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189" w:history="1">
        <w:r w:rsidR="008D4734" w:rsidRPr="00CE688D">
          <w:rPr>
            <w:rStyle w:val="Hypertextovodkaz"/>
          </w:rPr>
          <w:t>2.1. Úvodní poznámky</w:t>
        </w:r>
        <w:r w:rsidR="008D4734">
          <w:rPr>
            <w:webHidden/>
          </w:rPr>
          <w:tab/>
        </w:r>
        <w:r w:rsidR="008D4734">
          <w:rPr>
            <w:webHidden/>
          </w:rPr>
          <w:fldChar w:fldCharType="begin"/>
        </w:r>
        <w:r w:rsidR="008D4734">
          <w:rPr>
            <w:webHidden/>
          </w:rPr>
          <w:instrText xml:space="preserve"> PAGEREF _Toc382327189 \h </w:instrText>
        </w:r>
        <w:r w:rsidR="008D4734">
          <w:rPr>
            <w:webHidden/>
          </w:rPr>
        </w:r>
        <w:r w:rsidR="008D4734">
          <w:rPr>
            <w:webHidden/>
          </w:rPr>
          <w:fldChar w:fldCharType="separate"/>
        </w:r>
        <w:r w:rsidR="00315423">
          <w:rPr>
            <w:webHidden/>
          </w:rPr>
          <w:t>38</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190" w:history="1">
        <w:r w:rsidR="008D4734" w:rsidRPr="00CE688D">
          <w:rPr>
            <w:rStyle w:val="Hypertextovodkaz"/>
          </w:rPr>
          <w:t>2.2. Kvalita podnikatelského a sociálního prostředí</w:t>
        </w:r>
        <w:r w:rsidR="008D4734">
          <w:rPr>
            <w:webHidden/>
          </w:rPr>
          <w:tab/>
        </w:r>
        <w:r w:rsidR="008D4734">
          <w:rPr>
            <w:webHidden/>
          </w:rPr>
          <w:fldChar w:fldCharType="begin"/>
        </w:r>
        <w:r w:rsidR="008D4734">
          <w:rPr>
            <w:webHidden/>
          </w:rPr>
          <w:instrText xml:space="preserve"> PAGEREF _Toc382327190 \h </w:instrText>
        </w:r>
        <w:r w:rsidR="008D4734">
          <w:rPr>
            <w:webHidden/>
          </w:rPr>
        </w:r>
        <w:r w:rsidR="008D4734">
          <w:rPr>
            <w:webHidden/>
          </w:rPr>
          <w:fldChar w:fldCharType="separate"/>
        </w:r>
        <w:r w:rsidR="00315423">
          <w:rPr>
            <w:webHidden/>
          </w:rPr>
          <w:t>38</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191" w:history="1">
        <w:r w:rsidR="008D4734" w:rsidRPr="00CE688D">
          <w:rPr>
            <w:rStyle w:val="Hypertextovodkaz"/>
          </w:rPr>
          <w:t>2.3. Pracovní síla</w:t>
        </w:r>
        <w:r w:rsidR="008D4734">
          <w:rPr>
            <w:webHidden/>
          </w:rPr>
          <w:tab/>
        </w:r>
        <w:r w:rsidR="008D4734">
          <w:rPr>
            <w:webHidden/>
          </w:rPr>
          <w:fldChar w:fldCharType="begin"/>
        </w:r>
        <w:r w:rsidR="008D4734">
          <w:rPr>
            <w:webHidden/>
          </w:rPr>
          <w:instrText xml:space="preserve"> PAGEREF _Toc382327191 \h </w:instrText>
        </w:r>
        <w:r w:rsidR="008D4734">
          <w:rPr>
            <w:webHidden/>
          </w:rPr>
        </w:r>
        <w:r w:rsidR="008D4734">
          <w:rPr>
            <w:webHidden/>
          </w:rPr>
          <w:fldChar w:fldCharType="separate"/>
        </w:r>
        <w:r w:rsidR="00315423">
          <w:rPr>
            <w:webHidden/>
          </w:rPr>
          <w:t>46</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192" w:history="1">
        <w:r w:rsidR="008D4734" w:rsidRPr="00CE688D">
          <w:rPr>
            <w:rStyle w:val="Hypertextovodkaz"/>
          </w:rPr>
          <w:t>2.4. Integrační procesy s důrazem na pracovní interakce obcí</w:t>
        </w:r>
        <w:r w:rsidR="008D4734">
          <w:rPr>
            <w:webHidden/>
          </w:rPr>
          <w:tab/>
        </w:r>
        <w:r w:rsidR="008D4734">
          <w:rPr>
            <w:webHidden/>
          </w:rPr>
          <w:fldChar w:fldCharType="begin"/>
        </w:r>
        <w:r w:rsidR="008D4734">
          <w:rPr>
            <w:webHidden/>
          </w:rPr>
          <w:instrText xml:space="preserve"> PAGEREF _Toc382327192 \h </w:instrText>
        </w:r>
        <w:r w:rsidR="008D4734">
          <w:rPr>
            <w:webHidden/>
          </w:rPr>
        </w:r>
        <w:r w:rsidR="008D4734">
          <w:rPr>
            <w:webHidden/>
          </w:rPr>
          <w:fldChar w:fldCharType="separate"/>
        </w:r>
        <w:r w:rsidR="00315423">
          <w:rPr>
            <w:webHidden/>
          </w:rPr>
          <w:t>53</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193" w:history="1">
        <w:r w:rsidR="008D4734" w:rsidRPr="00CE688D">
          <w:rPr>
            <w:rStyle w:val="Hypertextovodkaz"/>
          </w:rPr>
          <w:t>2.5. Rozvojově významné souvislosti migrace</w:t>
        </w:r>
        <w:r w:rsidR="008D4734">
          <w:rPr>
            <w:webHidden/>
          </w:rPr>
          <w:tab/>
        </w:r>
        <w:r w:rsidR="008D4734">
          <w:rPr>
            <w:webHidden/>
          </w:rPr>
          <w:fldChar w:fldCharType="begin"/>
        </w:r>
        <w:r w:rsidR="008D4734">
          <w:rPr>
            <w:webHidden/>
          </w:rPr>
          <w:instrText xml:space="preserve"> PAGEREF _Toc382327193 \h </w:instrText>
        </w:r>
        <w:r w:rsidR="008D4734">
          <w:rPr>
            <w:webHidden/>
          </w:rPr>
        </w:r>
        <w:r w:rsidR="008D4734">
          <w:rPr>
            <w:webHidden/>
          </w:rPr>
          <w:fldChar w:fldCharType="separate"/>
        </w:r>
        <w:r w:rsidR="00315423">
          <w:rPr>
            <w:webHidden/>
          </w:rPr>
          <w:t>57</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194" w:history="1">
        <w:r w:rsidR="008D4734" w:rsidRPr="00CE688D">
          <w:rPr>
            <w:rStyle w:val="Hypertextovodkaz"/>
          </w:rPr>
          <w:t>2.6. Praktické příklady</w:t>
        </w:r>
        <w:r w:rsidR="008D4734">
          <w:rPr>
            <w:webHidden/>
          </w:rPr>
          <w:tab/>
        </w:r>
        <w:r w:rsidR="008D4734">
          <w:rPr>
            <w:webHidden/>
          </w:rPr>
          <w:fldChar w:fldCharType="begin"/>
        </w:r>
        <w:r w:rsidR="008D4734">
          <w:rPr>
            <w:webHidden/>
          </w:rPr>
          <w:instrText xml:space="preserve"> PAGEREF _Toc382327194 \h </w:instrText>
        </w:r>
        <w:r w:rsidR="008D4734">
          <w:rPr>
            <w:webHidden/>
          </w:rPr>
        </w:r>
        <w:r w:rsidR="008D4734">
          <w:rPr>
            <w:webHidden/>
          </w:rPr>
          <w:fldChar w:fldCharType="separate"/>
        </w:r>
        <w:r w:rsidR="00315423">
          <w:rPr>
            <w:webHidden/>
          </w:rPr>
          <w:t>58</w:t>
        </w:r>
        <w:r w:rsidR="008D4734">
          <w:rPr>
            <w:webHidden/>
          </w:rPr>
          <w:fldChar w:fldCharType="end"/>
        </w:r>
      </w:hyperlink>
    </w:p>
    <w:p w:rsidR="008D4734" w:rsidRDefault="00B40349">
      <w:pPr>
        <w:pStyle w:val="Obsah3"/>
        <w:tabs>
          <w:tab w:val="right" w:leader="dot" w:pos="9062"/>
        </w:tabs>
        <w:rPr>
          <w:rFonts w:asciiTheme="minorHAnsi" w:eastAsiaTheme="minorEastAsia" w:hAnsiTheme="minorHAnsi" w:cstheme="minorBidi"/>
          <w:noProof/>
        </w:rPr>
      </w:pPr>
      <w:hyperlink w:anchor="_Toc382327195" w:history="1">
        <w:r w:rsidR="008D4734" w:rsidRPr="00CE688D">
          <w:rPr>
            <w:rStyle w:val="Hypertextovodkaz"/>
            <w:noProof/>
          </w:rPr>
          <w:t>2.6.1. Demografické projekce a prognózy</w:t>
        </w:r>
        <w:r w:rsidR="008D4734">
          <w:rPr>
            <w:noProof/>
            <w:webHidden/>
          </w:rPr>
          <w:tab/>
        </w:r>
        <w:r w:rsidR="008D4734">
          <w:rPr>
            <w:noProof/>
            <w:webHidden/>
          </w:rPr>
          <w:fldChar w:fldCharType="begin"/>
        </w:r>
        <w:r w:rsidR="008D4734">
          <w:rPr>
            <w:noProof/>
            <w:webHidden/>
          </w:rPr>
          <w:instrText xml:space="preserve"> PAGEREF _Toc382327195 \h </w:instrText>
        </w:r>
        <w:r w:rsidR="008D4734">
          <w:rPr>
            <w:noProof/>
            <w:webHidden/>
          </w:rPr>
        </w:r>
        <w:r w:rsidR="008D4734">
          <w:rPr>
            <w:noProof/>
            <w:webHidden/>
          </w:rPr>
          <w:fldChar w:fldCharType="separate"/>
        </w:r>
        <w:r w:rsidR="00315423">
          <w:rPr>
            <w:noProof/>
            <w:webHidden/>
          </w:rPr>
          <w:t>58</w:t>
        </w:r>
        <w:r w:rsidR="008D4734">
          <w:rPr>
            <w:noProof/>
            <w:webHidden/>
          </w:rPr>
          <w:fldChar w:fldCharType="end"/>
        </w:r>
      </w:hyperlink>
    </w:p>
    <w:p w:rsidR="008D4734" w:rsidRDefault="00B40349">
      <w:pPr>
        <w:pStyle w:val="Obsah3"/>
        <w:tabs>
          <w:tab w:val="right" w:leader="dot" w:pos="9062"/>
        </w:tabs>
        <w:rPr>
          <w:rFonts w:asciiTheme="minorHAnsi" w:eastAsiaTheme="minorEastAsia" w:hAnsiTheme="minorHAnsi" w:cstheme="minorBidi"/>
          <w:noProof/>
        </w:rPr>
      </w:pPr>
      <w:hyperlink w:anchor="_Toc382327196" w:history="1">
        <w:r w:rsidR="008D4734" w:rsidRPr="00CE688D">
          <w:rPr>
            <w:rStyle w:val="Hypertextovodkaz"/>
            <w:noProof/>
          </w:rPr>
          <w:t>2.6.2. Studie proveditelnosti projektů Aquapark a wellness centrum</w:t>
        </w:r>
        <w:r w:rsidR="008D4734">
          <w:rPr>
            <w:noProof/>
            <w:webHidden/>
          </w:rPr>
          <w:tab/>
        </w:r>
        <w:r w:rsidR="008D4734">
          <w:rPr>
            <w:noProof/>
            <w:webHidden/>
          </w:rPr>
          <w:fldChar w:fldCharType="begin"/>
        </w:r>
        <w:r w:rsidR="008D4734">
          <w:rPr>
            <w:noProof/>
            <w:webHidden/>
          </w:rPr>
          <w:instrText xml:space="preserve"> PAGEREF _Toc382327196 \h </w:instrText>
        </w:r>
        <w:r w:rsidR="008D4734">
          <w:rPr>
            <w:noProof/>
            <w:webHidden/>
          </w:rPr>
        </w:r>
        <w:r w:rsidR="008D4734">
          <w:rPr>
            <w:noProof/>
            <w:webHidden/>
          </w:rPr>
          <w:fldChar w:fldCharType="separate"/>
        </w:r>
        <w:r w:rsidR="00315423">
          <w:rPr>
            <w:noProof/>
            <w:webHidden/>
          </w:rPr>
          <w:t>62</w:t>
        </w:r>
        <w:r w:rsidR="008D4734">
          <w:rPr>
            <w:noProof/>
            <w:webHidden/>
          </w:rPr>
          <w:fldChar w:fldCharType="end"/>
        </w:r>
      </w:hyperlink>
    </w:p>
    <w:p w:rsidR="008D4734" w:rsidRDefault="00B40349">
      <w:pPr>
        <w:pStyle w:val="Obsah2"/>
        <w:rPr>
          <w:rFonts w:asciiTheme="minorHAnsi" w:eastAsiaTheme="minorEastAsia" w:hAnsiTheme="minorHAnsi" w:cstheme="minorBidi"/>
        </w:rPr>
      </w:pPr>
      <w:hyperlink w:anchor="_Toc382327197" w:history="1">
        <w:r w:rsidR="008D4734" w:rsidRPr="00CE688D">
          <w:rPr>
            <w:rStyle w:val="Hypertextovodkaz"/>
          </w:rPr>
          <w:t>Použitá literatura</w:t>
        </w:r>
        <w:r w:rsidR="008D4734">
          <w:rPr>
            <w:webHidden/>
          </w:rPr>
          <w:tab/>
        </w:r>
        <w:r w:rsidR="008D4734">
          <w:rPr>
            <w:webHidden/>
          </w:rPr>
          <w:fldChar w:fldCharType="begin"/>
        </w:r>
        <w:r w:rsidR="008D4734">
          <w:rPr>
            <w:webHidden/>
          </w:rPr>
          <w:instrText xml:space="preserve"> PAGEREF _Toc382327197 \h </w:instrText>
        </w:r>
        <w:r w:rsidR="008D4734">
          <w:rPr>
            <w:webHidden/>
          </w:rPr>
        </w:r>
        <w:r w:rsidR="008D4734">
          <w:rPr>
            <w:webHidden/>
          </w:rPr>
          <w:fldChar w:fldCharType="separate"/>
        </w:r>
        <w:r w:rsidR="00315423">
          <w:rPr>
            <w:webHidden/>
          </w:rPr>
          <w:t>69</w:t>
        </w:r>
        <w:r w:rsidR="008D4734">
          <w:rPr>
            <w:webHidden/>
          </w:rPr>
          <w:fldChar w:fldCharType="end"/>
        </w:r>
      </w:hyperlink>
    </w:p>
    <w:p w:rsidR="008D4734" w:rsidRDefault="00B40349">
      <w:pPr>
        <w:pStyle w:val="Obsah1"/>
        <w:rPr>
          <w:rFonts w:asciiTheme="minorHAnsi" w:eastAsiaTheme="minorEastAsia" w:hAnsiTheme="minorHAnsi" w:cstheme="minorBidi"/>
          <w:lang w:eastAsia="cs-CZ"/>
        </w:rPr>
      </w:pPr>
      <w:hyperlink w:anchor="_Toc382327198" w:history="1">
        <w:r w:rsidR="008D4734" w:rsidRPr="00CE688D">
          <w:rPr>
            <w:rStyle w:val="Hypertextovodkaz"/>
          </w:rPr>
          <w:t>3. Mezoregionální úroveň</w:t>
        </w:r>
        <w:r w:rsidR="008D4734" w:rsidRPr="00CE688D">
          <w:rPr>
            <w:rStyle w:val="Hypertextovodkaz"/>
            <w:rFonts w:asciiTheme="majorHAnsi" w:hAnsiTheme="majorHAnsi"/>
          </w:rPr>
          <w:t xml:space="preserve"> rozvoje</w:t>
        </w:r>
        <w:r w:rsidR="008D4734">
          <w:rPr>
            <w:webHidden/>
          </w:rPr>
          <w:tab/>
        </w:r>
        <w:r w:rsidR="008D4734">
          <w:rPr>
            <w:webHidden/>
          </w:rPr>
          <w:fldChar w:fldCharType="begin"/>
        </w:r>
        <w:r w:rsidR="008D4734">
          <w:rPr>
            <w:webHidden/>
          </w:rPr>
          <w:instrText xml:space="preserve"> PAGEREF _Toc382327198 \h </w:instrText>
        </w:r>
        <w:r w:rsidR="008D4734">
          <w:rPr>
            <w:webHidden/>
          </w:rPr>
        </w:r>
        <w:r w:rsidR="008D4734">
          <w:rPr>
            <w:webHidden/>
          </w:rPr>
          <w:fldChar w:fldCharType="separate"/>
        </w:r>
        <w:r w:rsidR="00315423">
          <w:rPr>
            <w:webHidden/>
          </w:rPr>
          <w:t>71</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199" w:history="1">
        <w:r w:rsidR="008D4734" w:rsidRPr="00CE688D">
          <w:rPr>
            <w:rStyle w:val="Hypertextovodkaz"/>
          </w:rPr>
          <w:t>3.1. Úvodní poznámky</w:t>
        </w:r>
        <w:r w:rsidR="008D4734">
          <w:rPr>
            <w:webHidden/>
          </w:rPr>
          <w:tab/>
        </w:r>
        <w:r w:rsidR="008D4734">
          <w:rPr>
            <w:webHidden/>
          </w:rPr>
          <w:fldChar w:fldCharType="begin"/>
        </w:r>
        <w:r w:rsidR="008D4734">
          <w:rPr>
            <w:webHidden/>
          </w:rPr>
          <w:instrText xml:space="preserve"> PAGEREF _Toc382327199 \h </w:instrText>
        </w:r>
        <w:r w:rsidR="008D4734">
          <w:rPr>
            <w:webHidden/>
          </w:rPr>
        </w:r>
        <w:r w:rsidR="008D4734">
          <w:rPr>
            <w:webHidden/>
          </w:rPr>
          <w:fldChar w:fldCharType="separate"/>
        </w:r>
        <w:r w:rsidR="00315423">
          <w:rPr>
            <w:webHidden/>
          </w:rPr>
          <w:t>71</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00" w:history="1">
        <w:r w:rsidR="008D4734" w:rsidRPr="00CE688D">
          <w:rPr>
            <w:rStyle w:val="Hypertextovodkaz"/>
          </w:rPr>
          <w:t>3.2. Alokace kapitálu</w:t>
        </w:r>
        <w:r w:rsidR="008D4734">
          <w:rPr>
            <w:webHidden/>
          </w:rPr>
          <w:tab/>
        </w:r>
        <w:r w:rsidR="008D4734">
          <w:rPr>
            <w:webHidden/>
          </w:rPr>
          <w:fldChar w:fldCharType="begin"/>
        </w:r>
        <w:r w:rsidR="008D4734">
          <w:rPr>
            <w:webHidden/>
          </w:rPr>
          <w:instrText xml:space="preserve"> PAGEREF _Toc382327200 \h </w:instrText>
        </w:r>
        <w:r w:rsidR="008D4734">
          <w:rPr>
            <w:webHidden/>
          </w:rPr>
        </w:r>
        <w:r w:rsidR="008D4734">
          <w:rPr>
            <w:webHidden/>
          </w:rPr>
          <w:fldChar w:fldCharType="separate"/>
        </w:r>
        <w:r w:rsidR="00315423">
          <w:rPr>
            <w:webHidden/>
          </w:rPr>
          <w:t>71</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01" w:history="1">
        <w:r w:rsidR="008D4734" w:rsidRPr="00CE688D">
          <w:rPr>
            <w:rStyle w:val="Hypertextovodkaz"/>
          </w:rPr>
          <w:t>3.3. Hodnocení kvality podnikatelského a sociálního prostředí na mezoregionální úrovni</w:t>
        </w:r>
        <w:r w:rsidR="008D4734">
          <w:rPr>
            <w:webHidden/>
          </w:rPr>
          <w:tab/>
        </w:r>
        <w:r w:rsidR="008D4734">
          <w:rPr>
            <w:webHidden/>
          </w:rPr>
          <w:fldChar w:fldCharType="begin"/>
        </w:r>
        <w:r w:rsidR="008D4734">
          <w:rPr>
            <w:webHidden/>
          </w:rPr>
          <w:instrText xml:space="preserve"> PAGEREF _Toc382327201 \h </w:instrText>
        </w:r>
        <w:r w:rsidR="008D4734">
          <w:rPr>
            <w:webHidden/>
          </w:rPr>
        </w:r>
        <w:r w:rsidR="008D4734">
          <w:rPr>
            <w:webHidden/>
          </w:rPr>
          <w:fldChar w:fldCharType="separate"/>
        </w:r>
        <w:r w:rsidR="00315423">
          <w:rPr>
            <w:webHidden/>
          </w:rPr>
          <w:t>77</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02" w:history="1">
        <w:r w:rsidR="008D4734" w:rsidRPr="00CE688D">
          <w:rPr>
            <w:rStyle w:val="Hypertextovodkaz"/>
          </w:rPr>
          <w:t>3.4. Teoretické přístupy k regionálnímu rozvoji – integrační teorie udržitelného regionálního rozvoje</w:t>
        </w:r>
        <w:r w:rsidR="008D4734">
          <w:rPr>
            <w:webHidden/>
          </w:rPr>
          <w:tab/>
        </w:r>
        <w:r w:rsidR="008D4734">
          <w:rPr>
            <w:webHidden/>
          </w:rPr>
          <w:fldChar w:fldCharType="begin"/>
        </w:r>
        <w:r w:rsidR="008D4734">
          <w:rPr>
            <w:webHidden/>
          </w:rPr>
          <w:instrText xml:space="preserve"> PAGEREF _Toc382327202 \h </w:instrText>
        </w:r>
        <w:r w:rsidR="008D4734">
          <w:rPr>
            <w:webHidden/>
          </w:rPr>
        </w:r>
        <w:r w:rsidR="008D4734">
          <w:rPr>
            <w:webHidden/>
          </w:rPr>
          <w:fldChar w:fldCharType="separate"/>
        </w:r>
        <w:r w:rsidR="00315423">
          <w:rPr>
            <w:webHidden/>
          </w:rPr>
          <w:t>83</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03" w:history="1">
        <w:r w:rsidR="008D4734" w:rsidRPr="00CE688D">
          <w:rPr>
            <w:rStyle w:val="Hypertextovodkaz"/>
          </w:rPr>
          <w:t>3.5.  Ostatní rozvojově významné souvislosti</w:t>
        </w:r>
        <w:r w:rsidR="008D4734">
          <w:rPr>
            <w:webHidden/>
          </w:rPr>
          <w:tab/>
        </w:r>
        <w:r w:rsidR="008D4734">
          <w:rPr>
            <w:webHidden/>
          </w:rPr>
          <w:fldChar w:fldCharType="begin"/>
        </w:r>
        <w:r w:rsidR="008D4734">
          <w:rPr>
            <w:webHidden/>
          </w:rPr>
          <w:instrText xml:space="preserve"> PAGEREF _Toc382327203 \h </w:instrText>
        </w:r>
        <w:r w:rsidR="008D4734">
          <w:rPr>
            <w:webHidden/>
          </w:rPr>
        </w:r>
        <w:r w:rsidR="008D4734">
          <w:rPr>
            <w:webHidden/>
          </w:rPr>
          <w:fldChar w:fldCharType="separate"/>
        </w:r>
        <w:r w:rsidR="00315423">
          <w:rPr>
            <w:webHidden/>
          </w:rPr>
          <w:t>94</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04" w:history="1">
        <w:r w:rsidR="008D4734" w:rsidRPr="00CE688D">
          <w:rPr>
            <w:rStyle w:val="Hypertextovodkaz"/>
          </w:rPr>
          <w:t>3.6.  Praktické příklady</w:t>
        </w:r>
        <w:r w:rsidR="008D4734">
          <w:rPr>
            <w:webHidden/>
          </w:rPr>
          <w:tab/>
        </w:r>
        <w:r w:rsidR="008D4734">
          <w:rPr>
            <w:webHidden/>
          </w:rPr>
          <w:fldChar w:fldCharType="begin"/>
        </w:r>
        <w:r w:rsidR="008D4734">
          <w:rPr>
            <w:webHidden/>
          </w:rPr>
          <w:instrText xml:space="preserve"> PAGEREF _Toc382327204 \h </w:instrText>
        </w:r>
        <w:r w:rsidR="008D4734">
          <w:rPr>
            <w:webHidden/>
          </w:rPr>
        </w:r>
        <w:r w:rsidR="008D4734">
          <w:rPr>
            <w:webHidden/>
          </w:rPr>
          <w:fldChar w:fldCharType="separate"/>
        </w:r>
        <w:r w:rsidR="00315423">
          <w:rPr>
            <w:webHidden/>
          </w:rPr>
          <w:t>95</w:t>
        </w:r>
        <w:r w:rsidR="008D4734">
          <w:rPr>
            <w:webHidden/>
          </w:rPr>
          <w:fldChar w:fldCharType="end"/>
        </w:r>
      </w:hyperlink>
    </w:p>
    <w:p w:rsidR="008D4734" w:rsidRDefault="00B40349">
      <w:pPr>
        <w:pStyle w:val="Obsah3"/>
        <w:tabs>
          <w:tab w:val="right" w:leader="dot" w:pos="9062"/>
        </w:tabs>
        <w:rPr>
          <w:rFonts w:asciiTheme="minorHAnsi" w:eastAsiaTheme="minorEastAsia" w:hAnsiTheme="minorHAnsi" w:cstheme="minorBidi"/>
          <w:noProof/>
        </w:rPr>
      </w:pPr>
      <w:hyperlink w:anchor="_Toc382327205" w:history="1">
        <w:r w:rsidR="008D4734" w:rsidRPr="00CE688D">
          <w:rPr>
            <w:rStyle w:val="Hypertextovodkaz"/>
            <w:noProof/>
          </w:rPr>
          <w:t>3.6.1. Vybrané regionální míry</w:t>
        </w:r>
        <w:r w:rsidR="008D4734">
          <w:rPr>
            <w:noProof/>
            <w:webHidden/>
          </w:rPr>
          <w:tab/>
        </w:r>
        <w:r w:rsidR="008D4734">
          <w:rPr>
            <w:noProof/>
            <w:webHidden/>
          </w:rPr>
          <w:fldChar w:fldCharType="begin"/>
        </w:r>
        <w:r w:rsidR="008D4734">
          <w:rPr>
            <w:noProof/>
            <w:webHidden/>
          </w:rPr>
          <w:instrText xml:space="preserve"> PAGEREF _Toc382327205 \h </w:instrText>
        </w:r>
        <w:r w:rsidR="008D4734">
          <w:rPr>
            <w:noProof/>
            <w:webHidden/>
          </w:rPr>
        </w:r>
        <w:r w:rsidR="008D4734">
          <w:rPr>
            <w:noProof/>
            <w:webHidden/>
          </w:rPr>
          <w:fldChar w:fldCharType="separate"/>
        </w:r>
        <w:r w:rsidR="00315423">
          <w:rPr>
            <w:noProof/>
            <w:webHidden/>
          </w:rPr>
          <w:t>95</w:t>
        </w:r>
        <w:r w:rsidR="008D4734">
          <w:rPr>
            <w:noProof/>
            <w:webHidden/>
          </w:rPr>
          <w:fldChar w:fldCharType="end"/>
        </w:r>
      </w:hyperlink>
    </w:p>
    <w:p w:rsidR="008D4734" w:rsidRDefault="00B40349">
      <w:pPr>
        <w:pStyle w:val="Obsah3"/>
        <w:tabs>
          <w:tab w:val="right" w:leader="dot" w:pos="9062"/>
        </w:tabs>
        <w:rPr>
          <w:rFonts w:asciiTheme="minorHAnsi" w:eastAsiaTheme="minorEastAsia" w:hAnsiTheme="minorHAnsi" w:cstheme="minorBidi"/>
          <w:noProof/>
        </w:rPr>
      </w:pPr>
      <w:hyperlink w:anchor="_Toc382327206" w:history="1">
        <w:r w:rsidR="008D4734" w:rsidRPr="00CE688D">
          <w:rPr>
            <w:rStyle w:val="Hypertextovodkaz"/>
            <w:noProof/>
          </w:rPr>
          <w:t>3.6.2. Studie proveditelnosti projektu výstavby vědecko-výzkumného centra</w:t>
        </w:r>
        <w:r w:rsidR="008D4734">
          <w:rPr>
            <w:noProof/>
            <w:webHidden/>
          </w:rPr>
          <w:tab/>
        </w:r>
        <w:r w:rsidR="008D4734">
          <w:rPr>
            <w:noProof/>
            <w:webHidden/>
          </w:rPr>
          <w:fldChar w:fldCharType="begin"/>
        </w:r>
        <w:r w:rsidR="008D4734">
          <w:rPr>
            <w:noProof/>
            <w:webHidden/>
          </w:rPr>
          <w:instrText xml:space="preserve"> PAGEREF _Toc382327206 \h </w:instrText>
        </w:r>
        <w:r w:rsidR="008D4734">
          <w:rPr>
            <w:noProof/>
            <w:webHidden/>
          </w:rPr>
        </w:r>
        <w:r w:rsidR="008D4734">
          <w:rPr>
            <w:noProof/>
            <w:webHidden/>
          </w:rPr>
          <w:fldChar w:fldCharType="separate"/>
        </w:r>
        <w:r w:rsidR="00315423">
          <w:rPr>
            <w:noProof/>
            <w:webHidden/>
          </w:rPr>
          <w:t>100</w:t>
        </w:r>
        <w:r w:rsidR="008D4734">
          <w:rPr>
            <w:noProof/>
            <w:webHidden/>
          </w:rPr>
          <w:fldChar w:fldCharType="end"/>
        </w:r>
      </w:hyperlink>
    </w:p>
    <w:p w:rsidR="008D4734" w:rsidRDefault="00B40349">
      <w:pPr>
        <w:pStyle w:val="Obsah2"/>
        <w:rPr>
          <w:rFonts w:asciiTheme="minorHAnsi" w:eastAsiaTheme="minorEastAsia" w:hAnsiTheme="minorHAnsi" w:cstheme="minorBidi"/>
        </w:rPr>
      </w:pPr>
      <w:hyperlink w:anchor="_Toc382327207" w:history="1">
        <w:r w:rsidR="008D4734" w:rsidRPr="00CE688D">
          <w:rPr>
            <w:rStyle w:val="Hypertextovodkaz"/>
          </w:rPr>
          <w:t>Použitá literatura</w:t>
        </w:r>
        <w:r w:rsidR="008D4734">
          <w:rPr>
            <w:webHidden/>
          </w:rPr>
          <w:tab/>
        </w:r>
        <w:r w:rsidR="008D4734">
          <w:rPr>
            <w:webHidden/>
          </w:rPr>
          <w:fldChar w:fldCharType="begin"/>
        </w:r>
        <w:r w:rsidR="008D4734">
          <w:rPr>
            <w:webHidden/>
          </w:rPr>
          <w:instrText xml:space="preserve"> PAGEREF _Toc382327207 \h </w:instrText>
        </w:r>
        <w:r w:rsidR="008D4734">
          <w:rPr>
            <w:webHidden/>
          </w:rPr>
        </w:r>
        <w:r w:rsidR="008D4734">
          <w:rPr>
            <w:webHidden/>
          </w:rPr>
          <w:fldChar w:fldCharType="separate"/>
        </w:r>
        <w:r w:rsidR="00315423">
          <w:rPr>
            <w:webHidden/>
          </w:rPr>
          <w:t>106</w:t>
        </w:r>
        <w:r w:rsidR="008D4734">
          <w:rPr>
            <w:webHidden/>
          </w:rPr>
          <w:fldChar w:fldCharType="end"/>
        </w:r>
      </w:hyperlink>
    </w:p>
    <w:p w:rsidR="008D4734" w:rsidRDefault="00B40349">
      <w:pPr>
        <w:pStyle w:val="Obsah1"/>
        <w:rPr>
          <w:rFonts w:asciiTheme="minorHAnsi" w:eastAsiaTheme="minorEastAsia" w:hAnsiTheme="minorHAnsi" w:cstheme="minorBidi"/>
          <w:lang w:eastAsia="cs-CZ"/>
        </w:rPr>
      </w:pPr>
      <w:hyperlink w:anchor="_Toc382327208" w:history="1">
        <w:r w:rsidR="008D4734" w:rsidRPr="00CE688D">
          <w:rPr>
            <w:rStyle w:val="Hypertextovodkaz"/>
          </w:rPr>
          <w:t>4. Makroregionální úroveň rozvoje</w:t>
        </w:r>
        <w:r w:rsidR="008D4734">
          <w:rPr>
            <w:webHidden/>
          </w:rPr>
          <w:tab/>
        </w:r>
        <w:r w:rsidR="008D4734">
          <w:rPr>
            <w:webHidden/>
          </w:rPr>
          <w:fldChar w:fldCharType="begin"/>
        </w:r>
        <w:r w:rsidR="008D4734">
          <w:rPr>
            <w:webHidden/>
          </w:rPr>
          <w:instrText xml:space="preserve"> PAGEREF _Toc382327208 \h </w:instrText>
        </w:r>
        <w:r w:rsidR="008D4734">
          <w:rPr>
            <w:webHidden/>
          </w:rPr>
        </w:r>
        <w:r w:rsidR="008D4734">
          <w:rPr>
            <w:webHidden/>
          </w:rPr>
          <w:fldChar w:fldCharType="separate"/>
        </w:r>
        <w:r w:rsidR="00315423">
          <w:rPr>
            <w:webHidden/>
          </w:rPr>
          <w:t>110</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09" w:history="1">
        <w:r w:rsidR="008D4734" w:rsidRPr="00CE688D">
          <w:rPr>
            <w:rStyle w:val="Hypertextovodkaz"/>
          </w:rPr>
          <w:t>4.1. Úvodní poznámky</w:t>
        </w:r>
        <w:r w:rsidR="008D4734">
          <w:rPr>
            <w:webHidden/>
          </w:rPr>
          <w:tab/>
        </w:r>
        <w:r w:rsidR="008D4734">
          <w:rPr>
            <w:webHidden/>
          </w:rPr>
          <w:fldChar w:fldCharType="begin"/>
        </w:r>
        <w:r w:rsidR="008D4734">
          <w:rPr>
            <w:webHidden/>
          </w:rPr>
          <w:instrText xml:space="preserve"> PAGEREF _Toc382327209 \h </w:instrText>
        </w:r>
        <w:r w:rsidR="008D4734">
          <w:rPr>
            <w:webHidden/>
          </w:rPr>
        </w:r>
        <w:r w:rsidR="008D4734">
          <w:rPr>
            <w:webHidden/>
          </w:rPr>
          <w:fldChar w:fldCharType="separate"/>
        </w:r>
        <w:r w:rsidR="00315423">
          <w:rPr>
            <w:webHidden/>
          </w:rPr>
          <w:t>110</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10" w:history="1">
        <w:r w:rsidR="008D4734" w:rsidRPr="00CE688D">
          <w:rPr>
            <w:rStyle w:val="Hypertextovodkaz"/>
          </w:rPr>
          <w:t>4.2. Kvalita institucionálního prostředí</w:t>
        </w:r>
        <w:r w:rsidR="008D4734">
          <w:rPr>
            <w:webHidden/>
          </w:rPr>
          <w:tab/>
        </w:r>
        <w:r w:rsidR="008D4734">
          <w:rPr>
            <w:webHidden/>
          </w:rPr>
          <w:fldChar w:fldCharType="begin"/>
        </w:r>
        <w:r w:rsidR="008D4734">
          <w:rPr>
            <w:webHidden/>
          </w:rPr>
          <w:instrText xml:space="preserve"> PAGEREF _Toc382327210 \h </w:instrText>
        </w:r>
        <w:r w:rsidR="008D4734">
          <w:rPr>
            <w:webHidden/>
          </w:rPr>
        </w:r>
        <w:r w:rsidR="008D4734">
          <w:rPr>
            <w:webHidden/>
          </w:rPr>
          <w:fldChar w:fldCharType="separate"/>
        </w:r>
        <w:r w:rsidR="00315423">
          <w:rPr>
            <w:webHidden/>
          </w:rPr>
          <w:t>110</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11" w:history="1">
        <w:r w:rsidR="008D4734" w:rsidRPr="00CE688D">
          <w:rPr>
            <w:rStyle w:val="Hypertextovodkaz"/>
          </w:rPr>
          <w:t>4.3. Integrační procesy na bázi manažerských interakcí ve veřejné správě</w:t>
        </w:r>
        <w:r w:rsidR="008D4734">
          <w:rPr>
            <w:webHidden/>
          </w:rPr>
          <w:tab/>
        </w:r>
        <w:r w:rsidR="008D4734">
          <w:rPr>
            <w:webHidden/>
          </w:rPr>
          <w:fldChar w:fldCharType="begin"/>
        </w:r>
        <w:r w:rsidR="008D4734">
          <w:rPr>
            <w:webHidden/>
          </w:rPr>
          <w:instrText xml:space="preserve"> PAGEREF _Toc382327211 \h </w:instrText>
        </w:r>
        <w:r w:rsidR="008D4734">
          <w:rPr>
            <w:webHidden/>
          </w:rPr>
        </w:r>
        <w:r w:rsidR="008D4734">
          <w:rPr>
            <w:webHidden/>
          </w:rPr>
          <w:fldChar w:fldCharType="separate"/>
        </w:r>
        <w:r w:rsidR="00315423">
          <w:rPr>
            <w:webHidden/>
          </w:rPr>
          <w:t>115</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12" w:history="1">
        <w:r w:rsidR="008D4734" w:rsidRPr="00CE688D">
          <w:rPr>
            <w:rStyle w:val="Hypertextovodkaz"/>
          </w:rPr>
          <w:t>4.4. Vědecko-technický pokrok</w:t>
        </w:r>
        <w:r w:rsidR="008D4734">
          <w:rPr>
            <w:webHidden/>
          </w:rPr>
          <w:tab/>
        </w:r>
        <w:r w:rsidR="008D4734">
          <w:rPr>
            <w:webHidden/>
          </w:rPr>
          <w:fldChar w:fldCharType="begin"/>
        </w:r>
        <w:r w:rsidR="008D4734">
          <w:rPr>
            <w:webHidden/>
          </w:rPr>
          <w:instrText xml:space="preserve"> PAGEREF _Toc382327212 \h </w:instrText>
        </w:r>
        <w:r w:rsidR="008D4734">
          <w:rPr>
            <w:webHidden/>
          </w:rPr>
        </w:r>
        <w:r w:rsidR="008D4734">
          <w:rPr>
            <w:webHidden/>
          </w:rPr>
          <w:fldChar w:fldCharType="separate"/>
        </w:r>
        <w:r w:rsidR="00315423">
          <w:rPr>
            <w:webHidden/>
          </w:rPr>
          <w:t>121</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13" w:history="1">
        <w:r w:rsidR="008D4734" w:rsidRPr="00CE688D">
          <w:rPr>
            <w:rStyle w:val="Hypertextovodkaz"/>
          </w:rPr>
          <w:t>4.5. Ostatní rozvojově významné souvislosti</w:t>
        </w:r>
        <w:r w:rsidR="008D4734">
          <w:rPr>
            <w:webHidden/>
          </w:rPr>
          <w:tab/>
        </w:r>
        <w:r w:rsidR="008D4734">
          <w:rPr>
            <w:webHidden/>
          </w:rPr>
          <w:fldChar w:fldCharType="begin"/>
        </w:r>
        <w:r w:rsidR="008D4734">
          <w:rPr>
            <w:webHidden/>
          </w:rPr>
          <w:instrText xml:space="preserve"> PAGEREF _Toc382327213 \h </w:instrText>
        </w:r>
        <w:r w:rsidR="008D4734">
          <w:rPr>
            <w:webHidden/>
          </w:rPr>
        </w:r>
        <w:r w:rsidR="008D4734">
          <w:rPr>
            <w:webHidden/>
          </w:rPr>
          <w:fldChar w:fldCharType="separate"/>
        </w:r>
        <w:r w:rsidR="00315423">
          <w:rPr>
            <w:webHidden/>
          </w:rPr>
          <w:t>129</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14" w:history="1">
        <w:r w:rsidR="008D4734" w:rsidRPr="00CE688D">
          <w:rPr>
            <w:rStyle w:val="Hypertextovodkaz"/>
          </w:rPr>
          <w:t>4.6. Praktické příklady</w:t>
        </w:r>
        <w:r w:rsidR="008D4734">
          <w:rPr>
            <w:webHidden/>
          </w:rPr>
          <w:tab/>
        </w:r>
        <w:r w:rsidR="008D4734">
          <w:rPr>
            <w:webHidden/>
          </w:rPr>
          <w:fldChar w:fldCharType="begin"/>
        </w:r>
        <w:r w:rsidR="008D4734">
          <w:rPr>
            <w:webHidden/>
          </w:rPr>
          <w:instrText xml:space="preserve"> PAGEREF _Toc382327214 \h </w:instrText>
        </w:r>
        <w:r w:rsidR="008D4734">
          <w:rPr>
            <w:webHidden/>
          </w:rPr>
        </w:r>
        <w:r w:rsidR="008D4734">
          <w:rPr>
            <w:webHidden/>
          </w:rPr>
          <w:fldChar w:fldCharType="separate"/>
        </w:r>
        <w:r w:rsidR="00315423">
          <w:rPr>
            <w:webHidden/>
          </w:rPr>
          <w:t>131</w:t>
        </w:r>
        <w:r w:rsidR="008D4734">
          <w:rPr>
            <w:webHidden/>
          </w:rPr>
          <w:fldChar w:fldCharType="end"/>
        </w:r>
      </w:hyperlink>
    </w:p>
    <w:p w:rsidR="008D4734" w:rsidRDefault="00B40349">
      <w:pPr>
        <w:pStyle w:val="Obsah3"/>
        <w:tabs>
          <w:tab w:val="right" w:leader="dot" w:pos="9062"/>
        </w:tabs>
        <w:rPr>
          <w:rFonts w:asciiTheme="minorHAnsi" w:eastAsiaTheme="minorEastAsia" w:hAnsiTheme="minorHAnsi" w:cstheme="minorBidi"/>
          <w:noProof/>
        </w:rPr>
      </w:pPr>
      <w:hyperlink w:anchor="_Toc382327215" w:history="1">
        <w:r w:rsidR="008D4734" w:rsidRPr="00CE688D">
          <w:rPr>
            <w:rStyle w:val="Hypertextovodkaz"/>
            <w:noProof/>
          </w:rPr>
          <w:t>4.6.1. Hodnocení konkurenceschopnosti regionů</w:t>
        </w:r>
        <w:r w:rsidR="008D4734">
          <w:rPr>
            <w:noProof/>
            <w:webHidden/>
          </w:rPr>
          <w:tab/>
        </w:r>
        <w:r w:rsidR="008D4734">
          <w:rPr>
            <w:noProof/>
            <w:webHidden/>
          </w:rPr>
          <w:fldChar w:fldCharType="begin"/>
        </w:r>
        <w:r w:rsidR="008D4734">
          <w:rPr>
            <w:noProof/>
            <w:webHidden/>
          </w:rPr>
          <w:instrText xml:space="preserve"> PAGEREF _Toc382327215 \h </w:instrText>
        </w:r>
        <w:r w:rsidR="008D4734">
          <w:rPr>
            <w:noProof/>
            <w:webHidden/>
          </w:rPr>
        </w:r>
        <w:r w:rsidR="008D4734">
          <w:rPr>
            <w:noProof/>
            <w:webHidden/>
          </w:rPr>
          <w:fldChar w:fldCharType="separate"/>
        </w:r>
        <w:r w:rsidR="00315423">
          <w:rPr>
            <w:noProof/>
            <w:webHidden/>
          </w:rPr>
          <w:t>131</w:t>
        </w:r>
        <w:r w:rsidR="008D4734">
          <w:rPr>
            <w:noProof/>
            <w:webHidden/>
          </w:rPr>
          <w:fldChar w:fldCharType="end"/>
        </w:r>
      </w:hyperlink>
    </w:p>
    <w:p w:rsidR="008D4734" w:rsidRDefault="00B40349">
      <w:pPr>
        <w:pStyle w:val="Obsah3"/>
        <w:tabs>
          <w:tab w:val="right" w:leader="dot" w:pos="9062"/>
        </w:tabs>
        <w:rPr>
          <w:rFonts w:asciiTheme="minorHAnsi" w:eastAsiaTheme="minorEastAsia" w:hAnsiTheme="minorHAnsi" w:cstheme="minorBidi"/>
          <w:noProof/>
        </w:rPr>
      </w:pPr>
      <w:hyperlink w:anchor="_Toc382327216" w:history="1">
        <w:r w:rsidR="008D4734" w:rsidRPr="00CE688D">
          <w:rPr>
            <w:rStyle w:val="Hypertextovodkaz"/>
            <w:noProof/>
          </w:rPr>
          <w:t>4.6.2. Multikriteriální hodnocení projektů výstavby expresní silniční infrastruktury</w:t>
        </w:r>
        <w:r w:rsidR="008D4734">
          <w:rPr>
            <w:noProof/>
            <w:webHidden/>
          </w:rPr>
          <w:tab/>
        </w:r>
        <w:r w:rsidR="008D4734">
          <w:rPr>
            <w:noProof/>
            <w:webHidden/>
          </w:rPr>
          <w:fldChar w:fldCharType="begin"/>
        </w:r>
        <w:r w:rsidR="008D4734">
          <w:rPr>
            <w:noProof/>
            <w:webHidden/>
          </w:rPr>
          <w:instrText xml:space="preserve"> PAGEREF _Toc382327216 \h </w:instrText>
        </w:r>
        <w:r w:rsidR="008D4734">
          <w:rPr>
            <w:noProof/>
            <w:webHidden/>
          </w:rPr>
        </w:r>
        <w:r w:rsidR="008D4734">
          <w:rPr>
            <w:noProof/>
            <w:webHidden/>
          </w:rPr>
          <w:fldChar w:fldCharType="separate"/>
        </w:r>
        <w:r w:rsidR="00315423">
          <w:rPr>
            <w:noProof/>
            <w:webHidden/>
          </w:rPr>
          <w:t>137</w:t>
        </w:r>
        <w:r w:rsidR="008D4734">
          <w:rPr>
            <w:noProof/>
            <w:webHidden/>
          </w:rPr>
          <w:fldChar w:fldCharType="end"/>
        </w:r>
      </w:hyperlink>
    </w:p>
    <w:p w:rsidR="008D4734" w:rsidRDefault="00B40349">
      <w:pPr>
        <w:pStyle w:val="Obsah2"/>
        <w:rPr>
          <w:rFonts w:asciiTheme="minorHAnsi" w:eastAsiaTheme="minorEastAsia" w:hAnsiTheme="minorHAnsi" w:cstheme="minorBidi"/>
        </w:rPr>
      </w:pPr>
      <w:hyperlink w:anchor="_Toc382327217" w:history="1">
        <w:r w:rsidR="008D4734" w:rsidRPr="00CE688D">
          <w:rPr>
            <w:rStyle w:val="Hypertextovodkaz"/>
          </w:rPr>
          <w:t>Použitá literatura</w:t>
        </w:r>
        <w:r w:rsidR="008D4734">
          <w:rPr>
            <w:webHidden/>
          </w:rPr>
          <w:tab/>
        </w:r>
        <w:r w:rsidR="008D4734">
          <w:rPr>
            <w:webHidden/>
          </w:rPr>
          <w:fldChar w:fldCharType="begin"/>
        </w:r>
        <w:r w:rsidR="008D4734">
          <w:rPr>
            <w:webHidden/>
          </w:rPr>
          <w:instrText xml:space="preserve"> PAGEREF _Toc382327217 \h </w:instrText>
        </w:r>
        <w:r w:rsidR="008D4734">
          <w:rPr>
            <w:webHidden/>
          </w:rPr>
        </w:r>
        <w:r w:rsidR="008D4734">
          <w:rPr>
            <w:webHidden/>
          </w:rPr>
          <w:fldChar w:fldCharType="separate"/>
        </w:r>
        <w:r w:rsidR="00315423">
          <w:rPr>
            <w:webHidden/>
          </w:rPr>
          <w:t>144</w:t>
        </w:r>
        <w:r w:rsidR="008D4734">
          <w:rPr>
            <w:webHidden/>
          </w:rPr>
          <w:fldChar w:fldCharType="end"/>
        </w:r>
      </w:hyperlink>
    </w:p>
    <w:p w:rsidR="008D4734" w:rsidRDefault="00B40349">
      <w:pPr>
        <w:pStyle w:val="Obsah1"/>
        <w:rPr>
          <w:rFonts w:asciiTheme="minorHAnsi" w:eastAsiaTheme="minorEastAsia" w:hAnsiTheme="minorHAnsi" w:cstheme="minorBidi"/>
          <w:lang w:eastAsia="cs-CZ"/>
        </w:rPr>
      </w:pPr>
      <w:hyperlink w:anchor="_Toc382327218" w:history="1">
        <w:r w:rsidR="008D4734" w:rsidRPr="00CE688D">
          <w:rPr>
            <w:rStyle w:val="Hypertextovodkaz"/>
          </w:rPr>
          <w:t>5. Globální (evropská) úroveň</w:t>
        </w:r>
        <w:r w:rsidR="008D4734">
          <w:rPr>
            <w:webHidden/>
          </w:rPr>
          <w:tab/>
        </w:r>
        <w:r w:rsidR="008D4734">
          <w:rPr>
            <w:webHidden/>
          </w:rPr>
          <w:fldChar w:fldCharType="begin"/>
        </w:r>
        <w:r w:rsidR="008D4734">
          <w:rPr>
            <w:webHidden/>
          </w:rPr>
          <w:instrText xml:space="preserve"> PAGEREF _Toc382327218 \h </w:instrText>
        </w:r>
        <w:r w:rsidR="008D4734">
          <w:rPr>
            <w:webHidden/>
          </w:rPr>
        </w:r>
        <w:r w:rsidR="008D4734">
          <w:rPr>
            <w:webHidden/>
          </w:rPr>
          <w:fldChar w:fldCharType="separate"/>
        </w:r>
        <w:r w:rsidR="00315423">
          <w:rPr>
            <w:webHidden/>
          </w:rPr>
          <w:t>146</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19" w:history="1">
        <w:r w:rsidR="008D4734" w:rsidRPr="00CE688D">
          <w:rPr>
            <w:rStyle w:val="Hypertextovodkaz"/>
          </w:rPr>
          <w:t>5.1. Úvodní poznámky</w:t>
        </w:r>
        <w:r w:rsidR="008D4734">
          <w:rPr>
            <w:webHidden/>
          </w:rPr>
          <w:tab/>
        </w:r>
        <w:r w:rsidR="008D4734">
          <w:rPr>
            <w:webHidden/>
          </w:rPr>
          <w:fldChar w:fldCharType="begin"/>
        </w:r>
        <w:r w:rsidR="008D4734">
          <w:rPr>
            <w:webHidden/>
          </w:rPr>
          <w:instrText xml:space="preserve"> PAGEREF _Toc382327219 \h </w:instrText>
        </w:r>
        <w:r w:rsidR="008D4734">
          <w:rPr>
            <w:webHidden/>
          </w:rPr>
        </w:r>
        <w:r w:rsidR="008D4734">
          <w:rPr>
            <w:webHidden/>
          </w:rPr>
          <w:fldChar w:fldCharType="separate"/>
        </w:r>
        <w:r w:rsidR="00315423">
          <w:rPr>
            <w:webHidden/>
          </w:rPr>
          <w:t>146</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20" w:history="1">
        <w:r w:rsidR="008D4734" w:rsidRPr="00CE688D">
          <w:rPr>
            <w:rStyle w:val="Hypertextovodkaz"/>
          </w:rPr>
          <w:t>5.2. Mezinárodní obchod</w:t>
        </w:r>
        <w:r w:rsidR="008D4734">
          <w:rPr>
            <w:webHidden/>
          </w:rPr>
          <w:tab/>
        </w:r>
        <w:r w:rsidR="008D4734">
          <w:rPr>
            <w:webHidden/>
          </w:rPr>
          <w:fldChar w:fldCharType="begin"/>
        </w:r>
        <w:r w:rsidR="008D4734">
          <w:rPr>
            <w:webHidden/>
          </w:rPr>
          <w:instrText xml:space="preserve"> PAGEREF _Toc382327220 \h </w:instrText>
        </w:r>
        <w:r w:rsidR="008D4734">
          <w:rPr>
            <w:webHidden/>
          </w:rPr>
        </w:r>
        <w:r w:rsidR="008D4734">
          <w:rPr>
            <w:webHidden/>
          </w:rPr>
          <w:fldChar w:fldCharType="separate"/>
        </w:r>
        <w:r w:rsidR="00315423">
          <w:rPr>
            <w:webHidden/>
          </w:rPr>
          <w:t>146</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21" w:history="1">
        <w:r w:rsidR="008D4734" w:rsidRPr="00CE688D">
          <w:rPr>
            <w:rStyle w:val="Hypertextovodkaz"/>
          </w:rPr>
          <w:t>5.3. Integrační procesy na bázi obchodních interakcí</w:t>
        </w:r>
        <w:r w:rsidR="008D4734">
          <w:rPr>
            <w:webHidden/>
          </w:rPr>
          <w:tab/>
        </w:r>
        <w:r w:rsidR="008D4734">
          <w:rPr>
            <w:webHidden/>
          </w:rPr>
          <w:fldChar w:fldCharType="begin"/>
        </w:r>
        <w:r w:rsidR="008D4734">
          <w:rPr>
            <w:webHidden/>
          </w:rPr>
          <w:instrText xml:space="preserve"> PAGEREF _Toc382327221 \h </w:instrText>
        </w:r>
        <w:r w:rsidR="008D4734">
          <w:rPr>
            <w:webHidden/>
          </w:rPr>
        </w:r>
        <w:r w:rsidR="008D4734">
          <w:rPr>
            <w:webHidden/>
          </w:rPr>
          <w:fldChar w:fldCharType="separate"/>
        </w:r>
        <w:r w:rsidR="00315423">
          <w:rPr>
            <w:webHidden/>
          </w:rPr>
          <w:t>150</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22" w:history="1">
        <w:r w:rsidR="008D4734" w:rsidRPr="00CE688D">
          <w:rPr>
            <w:rStyle w:val="Hypertextovodkaz"/>
          </w:rPr>
          <w:t>5.4. Role nadnárodních firem v procesu globalizace</w:t>
        </w:r>
        <w:r w:rsidR="008D4734">
          <w:rPr>
            <w:webHidden/>
          </w:rPr>
          <w:tab/>
        </w:r>
        <w:r w:rsidR="008D4734">
          <w:rPr>
            <w:webHidden/>
          </w:rPr>
          <w:fldChar w:fldCharType="begin"/>
        </w:r>
        <w:r w:rsidR="008D4734">
          <w:rPr>
            <w:webHidden/>
          </w:rPr>
          <w:instrText xml:space="preserve"> PAGEREF _Toc382327222 \h </w:instrText>
        </w:r>
        <w:r w:rsidR="008D4734">
          <w:rPr>
            <w:webHidden/>
          </w:rPr>
        </w:r>
        <w:r w:rsidR="008D4734">
          <w:rPr>
            <w:webHidden/>
          </w:rPr>
          <w:fldChar w:fldCharType="separate"/>
        </w:r>
        <w:r w:rsidR="00315423">
          <w:rPr>
            <w:webHidden/>
          </w:rPr>
          <w:t>155</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23" w:history="1">
        <w:r w:rsidR="008D4734" w:rsidRPr="00CE688D">
          <w:rPr>
            <w:rStyle w:val="Hypertextovodkaz"/>
          </w:rPr>
          <w:t>5.5. Ostatní rozvojově významné souvislosti</w:t>
        </w:r>
        <w:r w:rsidR="008D4734">
          <w:rPr>
            <w:webHidden/>
          </w:rPr>
          <w:tab/>
        </w:r>
        <w:r w:rsidR="008D4734">
          <w:rPr>
            <w:webHidden/>
          </w:rPr>
          <w:fldChar w:fldCharType="begin"/>
        </w:r>
        <w:r w:rsidR="008D4734">
          <w:rPr>
            <w:webHidden/>
          </w:rPr>
          <w:instrText xml:space="preserve"> PAGEREF _Toc382327223 \h </w:instrText>
        </w:r>
        <w:r w:rsidR="008D4734">
          <w:rPr>
            <w:webHidden/>
          </w:rPr>
        </w:r>
        <w:r w:rsidR="008D4734">
          <w:rPr>
            <w:webHidden/>
          </w:rPr>
          <w:fldChar w:fldCharType="separate"/>
        </w:r>
        <w:r w:rsidR="00315423">
          <w:rPr>
            <w:webHidden/>
          </w:rPr>
          <w:t>162</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24" w:history="1">
        <w:r w:rsidR="008D4734" w:rsidRPr="00CE688D">
          <w:rPr>
            <w:rStyle w:val="Hypertextovodkaz"/>
          </w:rPr>
          <w:t>5.6. Praktické příklady</w:t>
        </w:r>
        <w:r w:rsidR="008D4734">
          <w:rPr>
            <w:webHidden/>
          </w:rPr>
          <w:tab/>
        </w:r>
        <w:r w:rsidR="008D4734">
          <w:rPr>
            <w:webHidden/>
          </w:rPr>
          <w:fldChar w:fldCharType="begin"/>
        </w:r>
        <w:r w:rsidR="008D4734">
          <w:rPr>
            <w:webHidden/>
          </w:rPr>
          <w:instrText xml:space="preserve"> PAGEREF _Toc382327224 \h </w:instrText>
        </w:r>
        <w:r w:rsidR="008D4734">
          <w:rPr>
            <w:webHidden/>
          </w:rPr>
        </w:r>
        <w:r w:rsidR="008D4734">
          <w:rPr>
            <w:webHidden/>
          </w:rPr>
          <w:fldChar w:fldCharType="separate"/>
        </w:r>
        <w:r w:rsidR="00315423">
          <w:rPr>
            <w:webHidden/>
          </w:rPr>
          <w:t>167</w:t>
        </w:r>
        <w:r w:rsidR="008D4734">
          <w:rPr>
            <w:webHidden/>
          </w:rPr>
          <w:fldChar w:fldCharType="end"/>
        </w:r>
      </w:hyperlink>
    </w:p>
    <w:p w:rsidR="008D4734" w:rsidRDefault="00B40349">
      <w:pPr>
        <w:pStyle w:val="Obsah3"/>
        <w:tabs>
          <w:tab w:val="right" w:leader="dot" w:pos="9062"/>
        </w:tabs>
        <w:rPr>
          <w:rFonts w:asciiTheme="minorHAnsi" w:eastAsiaTheme="minorEastAsia" w:hAnsiTheme="minorHAnsi" w:cstheme="minorBidi"/>
          <w:noProof/>
        </w:rPr>
      </w:pPr>
      <w:hyperlink w:anchor="_Toc382327225" w:history="1">
        <w:r w:rsidR="008D4734" w:rsidRPr="00CE688D">
          <w:rPr>
            <w:rStyle w:val="Hypertextovodkaz"/>
            <w:noProof/>
          </w:rPr>
          <w:t>5.6.1. Hodnocení teritoriální konkurenceschopnosti</w:t>
        </w:r>
        <w:r w:rsidR="008D4734">
          <w:rPr>
            <w:noProof/>
            <w:webHidden/>
          </w:rPr>
          <w:tab/>
        </w:r>
        <w:r w:rsidR="008D4734">
          <w:rPr>
            <w:noProof/>
            <w:webHidden/>
          </w:rPr>
          <w:fldChar w:fldCharType="begin"/>
        </w:r>
        <w:r w:rsidR="008D4734">
          <w:rPr>
            <w:noProof/>
            <w:webHidden/>
          </w:rPr>
          <w:instrText xml:space="preserve"> PAGEREF _Toc382327225 \h </w:instrText>
        </w:r>
        <w:r w:rsidR="008D4734">
          <w:rPr>
            <w:noProof/>
            <w:webHidden/>
          </w:rPr>
        </w:r>
        <w:r w:rsidR="008D4734">
          <w:rPr>
            <w:noProof/>
            <w:webHidden/>
          </w:rPr>
          <w:fldChar w:fldCharType="separate"/>
        </w:r>
        <w:r w:rsidR="00315423">
          <w:rPr>
            <w:noProof/>
            <w:webHidden/>
          </w:rPr>
          <w:t>167</w:t>
        </w:r>
        <w:r w:rsidR="008D4734">
          <w:rPr>
            <w:noProof/>
            <w:webHidden/>
          </w:rPr>
          <w:fldChar w:fldCharType="end"/>
        </w:r>
      </w:hyperlink>
    </w:p>
    <w:p w:rsidR="008D4734" w:rsidRDefault="00B40349">
      <w:pPr>
        <w:pStyle w:val="Obsah3"/>
        <w:tabs>
          <w:tab w:val="right" w:leader="dot" w:pos="9062"/>
        </w:tabs>
        <w:rPr>
          <w:rFonts w:asciiTheme="minorHAnsi" w:eastAsiaTheme="minorEastAsia" w:hAnsiTheme="minorHAnsi" w:cstheme="minorBidi"/>
          <w:noProof/>
        </w:rPr>
      </w:pPr>
      <w:hyperlink w:anchor="_Toc382327226" w:history="1">
        <w:r w:rsidR="008D4734" w:rsidRPr="00CE688D">
          <w:rPr>
            <w:rStyle w:val="Hypertextovodkaz"/>
            <w:noProof/>
          </w:rPr>
          <w:t>5.6.2. Důsledky demografické revoluce</w:t>
        </w:r>
        <w:r w:rsidR="008D4734">
          <w:rPr>
            <w:noProof/>
            <w:webHidden/>
          </w:rPr>
          <w:tab/>
        </w:r>
        <w:r w:rsidR="008D4734">
          <w:rPr>
            <w:noProof/>
            <w:webHidden/>
          </w:rPr>
          <w:fldChar w:fldCharType="begin"/>
        </w:r>
        <w:r w:rsidR="008D4734">
          <w:rPr>
            <w:noProof/>
            <w:webHidden/>
          </w:rPr>
          <w:instrText xml:space="preserve"> PAGEREF _Toc382327226 \h </w:instrText>
        </w:r>
        <w:r w:rsidR="008D4734">
          <w:rPr>
            <w:noProof/>
            <w:webHidden/>
          </w:rPr>
        </w:r>
        <w:r w:rsidR="008D4734">
          <w:rPr>
            <w:noProof/>
            <w:webHidden/>
          </w:rPr>
          <w:fldChar w:fldCharType="separate"/>
        </w:r>
        <w:r w:rsidR="00315423">
          <w:rPr>
            <w:noProof/>
            <w:webHidden/>
          </w:rPr>
          <w:t>174</w:t>
        </w:r>
        <w:r w:rsidR="008D4734">
          <w:rPr>
            <w:noProof/>
            <w:webHidden/>
          </w:rPr>
          <w:fldChar w:fldCharType="end"/>
        </w:r>
      </w:hyperlink>
    </w:p>
    <w:p w:rsidR="008D4734" w:rsidRDefault="00B40349">
      <w:pPr>
        <w:pStyle w:val="Obsah2"/>
        <w:rPr>
          <w:rFonts w:asciiTheme="minorHAnsi" w:eastAsiaTheme="minorEastAsia" w:hAnsiTheme="minorHAnsi" w:cstheme="minorBidi"/>
        </w:rPr>
      </w:pPr>
      <w:hyperlink w:anchor="_Toc382327227" w:history="1">
        <w:r w:rsidR="008D4734" w:rsidRPr="00CE688D">
          <w:rPr>
            <w:rStyle w:val="Hypertextovodkaz"/>
          </w:rPr>
          <w:t>Použitá literatura</w:t>
        </w:r>
        <w:r w:rsidR="008D4734">
          <w:rPr>
            <w:webHidden/>
          </w:rPr>
          <w:tab/>
        </w:r>
        <w:r w:rsidR="008D4734">
          <w:rPr>
            <w:webHidden/>
          </w:rPr>
          <w:fldChar w:fldCharType="begin"/>
        </w:r>
        <w:r w:rsidR="008D4734">
          <w:rPr>
            <w:webHidden/>
          </w:rPr>
          <w:instrText xml:space="preserve"> PAGEREF _Toc382327227 \h </w:instrText>
        </w:r>
        <w:r w:rsidR="008D4734">
          <w:rPr>
            <w:webHidden/>
          </w:rPr>
        </w:r>
        <w:r w:rsidR="008D4734">
          <w:rPr>
            <w:webHidden/>
          </w:rPr>
          <w:fldChar w:fldCharType="separate"/>
        </w:r>
        <w:r w:rsidR="00315423">
          <w:rPr>
            <w:webHidden/>
          </w:rPr>
          <w:t>184</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28" w:history="1">
        <w:r w:rsidR="008D4734" w:rsidRPr="00CE688D">
          <w:rPr>
            <w:rStyle w:val="Hypertextovodkaz"/>
          </w:rPr>
          <w:t>Seznam tabulek</w:t>
        </w:r>
        <w:r w:rsidR="008D4734">
          <w:rPr>
            <w:webHidden/>
          </w:rPr>
          <w:tab/>
        </w:r>
        <w:r w:rsidR="008D4734">
          <w:rPr>
            <w:webHidden/>
          </w:rPr>
          <w:fldChar w:fldCharType="begin"/>
        </w:r>
        <w:r w:rsidR="008D4734">
          <w:rPr>
            <w:webHidden/>
          </w:rPr>
          <w:instrText xml:space="preserve"> PAGEREF _Toc382327228 \h </w:instrText>
        </w:r>
        <w:r w:rsidR="008D4734">
          <w:rPr>
            <w:webHidden/>
          </w:rPr>
        </w:r>
        <w:r w:rsidR="008D4734">
          <w:rPr>
            <w:webHidden/>
          </w:rPr>
          <w:fldChar w:fldCharType="separate"/>
        </w:r>
        <w:r w:rsidR="00315423">
          <w:rPr>
            <w:webHidden/>
          </w:rPr>
          <w:t>187</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29" w:history="1">
        <w:r w:rsidR="008D4734" w:rsidRPr="00CE688D">
          <w:rPr>
            <w:rStyle w:val="Hypertextovodkaz"/>
          </w:rPr>
          <w:t>Seznam obrázků</w:t>
        </w:r>
        <w:r w:rsidR="008D4734">
          <w:rPr>
            <w:webHidden/>
          </w:rPr>
          <w:tab/>
        </w:r>
        <w:r w:rsidR="008D4734">
          <w:rPr>
            <w:webHidden/>
          </w:rPr>
          <w:fldChar w:fldCharType="begin"/>
        </w:r>
        <w:r w:rsidR="008D4734">
          <w:rPr>
            <w:webHidden/>
          </w:rPr>
          <w:instrText xml:space="preserve"> PAGEREF _Toc382327229 \h </w:instrText>
        </w:r>
        <w:r w:rsidR="008D4734">
          <w:rPr>
            <w:webHidden/>
          </w:rPr>
        </w:r>
        <w:r w:rsidR="008D4734">
          <w:rPr>
            <w:webHidden/>
          </w:rPr>
          <w:fldChar w:fldCharType="separate"/>
        </w:r>
        <w:r w:rsidR="00315423">
          <w:rPr>
            <w:webHidden/>
          </w:rPr>
          <w:t>189</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30" w:history="1">
        <w:r w:rsidR="008D4734" w:rsidRPr="00CE688D">
          <w:rPr>
            <w:rStyle w:val="Hypertextovodkaz"/>
          </w:rPr>
          <w:t>Jmenný rejstřík</w:t>
        </w:r>
        <w:r w:rsidR="008D4734">
          <w:rPr>
            <w:webHidden/>
          </w:rPr>
          <w:tab/>
        </w:r>
        <w:r w:rsidR="008D4734">
          <w:rPr>
            <w:webHidden/>
          </w:rPr>
          <w:fldChar w:fldCharType="begin"/>
        </w:r>
        <w:r w:rsidR="008D4734">
          <w:rPr>
            <w:webHidden/>
          </w:rPr>
          <w:instrText xml:space="preserve"> PAGEREF _Toc382327230 \h </w:instrText>
        </w:r>
        <w:r w:rsidR="008D4734">
          <w:rPr>
            <w:webHidden/>
          </w:rPr>
        </w:r>
        <w:r w:rsidR="008D4734">
          <w:rPr>
            <w:webHidden/>
          </w:rPr>
          <w:fldChar w:fldCharType="separate"/>
        </w:r>
        <w:r w:rsidR="00315423">
          <w:rPr>
            <w:webHidden/>
          </w:rPr>
          <w:t>191</w:t>
        </w:r>
        <w:r w:rsidR="008D4734">
          <w:rPr>
            <w:webHidden/>
          </w:rPr>
          <w:fldChar w:fldCharType="end"/>
        </w:r>
      </w:hyperlink>
    </w:p>
    <w:p w:rsidR="008D4734" w:rsidRDefault="00B40349">
      <w:pPr>
        <w:pStyle w:val="Obsah2"/>
        <w:rPr>
          <w:rFonts w:asciiTheme="minorHAnsi" w:eastAsiaTheme="minorEastAsia" w:hAnsiTheme="minorHAnsi" w:cstheme="minorBidi"/>
        </w:rPr>
      </w:pPr>
      <w:hyperlink w:anchor="_Toc382327231" w:history="1">
        <w:r w:rsidR="008D4734" w:rsidRPr="00CE688D">
          <w:rPr>
            <w:rStyle w:val="Hypertextovodkaz"/>
          </w:rPr>
          <w:t>Věcný rejstřík</w:t>
        </w:r>
        <w:r w:rsidR="008D4734">
          <w:rPr>
            <w:webHidden/>
          </w:rPr>
          <w:tab/>
        </w:r>
        <w:r w:rsidR="008D4734">
          <w:rPr>
            <w:webHidden/>
          </w:rPr>
          <w:fldChar w:fldCharType="begin"/>
        </w:r>
        <w:r w:rsidR="008D4734">
          <w:rPr>
            <w:webHidden/>
          </w:rPr>
          <w:instrText xml:space="preserve"> PAGEREF _Toc382327231 \h </w:instrText>
        </w:r>
        <w:r w:rsidR="008D4734">
          <w:rPr>
            <w:webHidden/>
          </w:rPr>
        </w:r>
        <w:r w:rsidR="008D4734">
          <w:rPr>
            <w:webHidden/>
          </w:rPr>
          <w:fldChar w:fldCharType="separate"/>
        </w:r>
        <w:r w:rsidR="00315423">
          <w:rPr>
            <w:webHidden/>
          </w:rPr>
          <w:t>191</w:t>
        </w:r>
        <w:r w:rsidR="008D4734">
          <w:rPr>
            <w:webHidden/>
          </w:rPr>
          <w:fldChar w:fldCharType="end"/>
        </w:r>
      </w:hyperlink>
    </w:p>
    <w:p w:rsidR="003A53FB" w:rsidRDefault="00D44284" w:rsidP="00532377">
      <w:r w:rsidRPr="004D26B6">
        <w:rPr>
          <w:highlight w:val="lightGray"/>
        </w:rPr>
        <w:fldChar w:fldCharType="end"/>
      </w:r>
      <w:bookmarkStart w:id="1" w:name="_GoBack"/>
      <w:bookmarkEnd w:id="1"/>
    </w:p>
    <w:p w:rsidR="00ED6438" w:rsidRPr="00532377" w:rsidRDefault="00551A21" w:rsidP="00532377">
      <w:r>
        <w:rPr>
          <w:b/>
          <w:sz w:val="26"/>
          <w:szCs w:val="26"/>
        </w:rPr>
        <w:t>Řešitelé:</w:t>
      </w:r>
    </w:p>
    <w:p w:rsidR="00ED6438" w:rsidRDefault="00ED6438" w:rsidP="00ED6438">
      <w:pPr>
        <w:spacing w:before="100" w:after="100"/>
        <w:ind w:left="-113" w:right="-113"/>
        <w:rPr>
          <w:sz w:val="24"/>
          <w:szCs w:val="24"/>
        </w:rPr>
      </w:pPr>
      <w:r>
        <w:rPr>
          <w:sz w:val="24"/>
          <w:szCs w:val="24"/>
        </w:rPr>
        <w:t xml:space="preserve">Doc. RNDr. </w:t>
      </w:r>
      <w:r w:rsidRPr="00466B84">
        <w:rPr>
          <w:sz w:val="24"/>
          <w:szCs w:val="24"/>
        </w:rPr>
        <w:t>Milan Viturka: celková koncepce</w:t>
      </w:r>
      <w:r w:rsidRPr="00466B84">
        <w:rPr>
          <w:sz w:val="24"/>
          <w:szCs w:val="24"/>
        </w:rPr>
        <w:sym w:font="Symbol" w:char="F03B"/>
      </w:r>
      <w:r w:rsidR="00D449D4">
        <w:rPr>
          <w:sz w:val="24"/>
          <w:szCs w:val="24"/>
        </w:rPr>
        <w:t xml:space="preserve">  úvod, </w:t>
      </w:r>
      <w:proofErr w:type="gramStart"/>
      <w:r w:rsidR="00D449D4">
        <w:rPr>
          <w:sz w:val="24"/>
          <w:szCs w:val="24"/>
        </w:rPr>
        <w:t>1.</w:t>
      </w:r>
      <w:r w:rsidRPr="00466B84">
        <w:rPr>
          <w:sz w:val="24"/>
          <w:szCs w:val="24"/>
        </w:rPr>
        <w:t>1</w:t>
      </w:r>
      <w:proofErr w:type="gramEnd"/>
      <w:r w:rsidRPr="00466B84">
        <w:rPr>
          <w:sz w:val="24"/>
          <w:szCs w:val="24"/>
        </w:rPr>
        <w:t>.</w:t>
      </w:r>
      <w:r w:rsidR="00D449D4">
        <w:rPr>
          <w:sz w:val="24"/>
          <w:szCs w:val="24"/>
        </w:rPr>
        <w:t>, 1.</w:t>
      </w:r>
      <w:r w:rsidR="00C333B5">
        <w:rPr>
          <w:sz w:val="24"/>
          <w:szCs w:val="24"/>
        </w:rPr>
        <w:t>4., 1.5., 2.1., 2.</w:t>
      </w:r>
      <w:r w:rsidR="00BA2308">
        <w:rPr>
          <w:sz w:val="24"/>
          <w:szCs w:val="24"/>
        </w:rPr>
        <w:t>2., 2.</w:t>
      </w:r>
      <w:r w:rsidR="00C333B5">
        <w:rPr>
          <w:sz w:val="24"/>
          <w:szCs w:val="24"/>
        </w:rPr>
        <w:t>4., 3.1., 3.</w:t>
      </w:r>
      <w:r w:rsidR="00BA2308">
        <w:rPr>
          <w:sz w:val="24"/>
          <w:szCs w:val="24"/>
        </w:rPr>
        <w:t>3., 3</w:t>
      </w:r>
      <w:r w:rsidR="00C333B5">
        <w:rPr>
          <w:sz w:val="24"/>
          <w:szCs w:val="24"/>
        </w:rPr>
        <w:t>.</w:t>
      </w:r>
      <w:r w:rsidRPr="00466B84">
        <w:rPr>
          <w:sz w:val="24"/>
          <w:szCs w:val="24"/>
        </w:rPr>
        <w:t>4.</w:t>
      </w:r>
      <w:r w:rsidR="003A53FB">
        <w:rPr>
          <w:sz w:val="24"/>
          <w:szCs w:val="24"/>
        </w:rPr>
        <w:t>, 4.1., 4.</w:t>
      </w:r>
      <w:r w:rsidR="00C333B5">
        <w:rPr>
          <w:sz w:val="24"/>
          <w:szCs w:val="24"/>
        </w:rPr>
        <w:t>3., 4.6.2.</w:t>
      </w:r>
      <w:r w:rsidR="003A53FB">
        <w:rPr>
          <w:sz w:val="24"/>
          <w:szCs w:val="24"/>
        </w:rPr>
        <w:t>, 5.1., 5.2., 5.5., 5.6.2</w:t>
      </w:r>
      <w:r w:rsidRPr="00466B84">
        <w:rPr>
          <w:sz w:val="24"/>
          <w:szCs w:val="24"/>
        </w:rPr>
        <w:t>.</w:t>
      </w:r>
    </w:p>
    <w:p w:rsidR="00ED6438" w:rsidRPr="007E2E90" w:rsidRDefault="003A53FB" w:rsidP="00ED6438">
      <w:pPr>
        <w:spacing w:before="100" w:after="100"/>
        <w:ind w:left="-113" w:right="-113"/>
        <w:rPr>
          <w:sz w:val="24"/>
          <w:szCs w:val="24"/>
        </w:rPr>
      </w:pPr>
      <w:r>
        <w:rPr>
          <w:sz w:val="24"/>
          <w:szCs w:val="24"/>
        </w:rPr>
        <w:t>Ing. Petr Halámek, Ph.D.: 1.6.2.</w:t>
      </w:r>
      <w:r w:rsidR="00ED6438">
        <w:rPr>
          <w:sz w:val="24"/>
          <w:szCs w:val="24"/>
        </w:rPr>
        <w:t>, 2.6</w:t>
      </w:r>
      <w:r>
        <w:rPr>
          <w:sz w:val="24"/>
          <w:szCs w:val="24"/>
        </w:rPr>
        <w:t>.</w:t>
      </w:r>
      <w:r w:rsidR="00ED6438">
        <w:rPr>
          <w:sz w:val="24"/>
          <w:szCs w:val="24"/>
        </w:rPr>
        <w:t>2</w:t>
      </w:r>
      <w:r>
        <w:rPr>
          <w:sz w:val="24"/>
          <w:szCs w:val="24"/>
        </w:rPr>
        <w:t>., 3.6.2.</w:t>
      </w:r>
      <w:r w:rsidR="00ED6438">
        <w:rPr>
          <w:sz w:val="24"/>
          <w:szCs w:val="24"/>
        </w:rPr>
        <w:t xml:space="preserve">, </w:t>
      </w:r>
      <w:proofErr w:type="gramStart"/>
      <w:r>
        <w:rPr>
          <w:sz w:val="24"/>
          <w:szCs w:val="24"/>
        </w:rPr>
        <w:t>4.</w:t>
      </w:r>
      <w:r w:rsidR="00ED6438">
        <w:rPr>
          <w:sz w:val="24"/>
          <w:szCs w:val="24"/>
        </w:rPr>
        <w:t>5</w:t>
      </w:r>
      <w:proofErr w:type="gramEnd"/>
      <w:r w:rsidR="00A20DFF">
        <w:rPr>
          <w:sz w:val="24"/>
          <w:szCs w:val="24"/>
        </w:rPr>
        <w:t>.</w:t>
      </w:r>
      <w:r w:rsidR="00ED6438" w:rsidRPr="007E2E90">
        <w:rPr>
          <w:sz w:val="24"/>
          <w:szCs w:val="24"/>
        </w:rPr>
        <w:t>,</w:t>
      </w:r>
      <w:r w:rsidR="00A20DFF">
        <w:rPr>
          <w:sz w:val="24"/>
          <w:szCs w:val="24"/>
        </w:rPr>
        <w:t xml:space="preserve"> 5.2., 5.5.</w:t>
      </w:r>
    </w:p>
    <w:p w:rsidR="00ED6438" w:rsidRPr="007E2E90" w:rsidRDefault="00ED6438" w:rsidP="00ED6438">
      <w:pPr>
        <w:spacing w:before="100" w:after="100"/>
        <w:ind w:left="-113" w:right="-113"/>
        <w:rPr>
          <w:sz w:val="24"/>
          <w:szCs w:val="24"/>
        </w:rPr>
      </w:pPr>
      <w:r w:rsidRPr="007E2E90">
        <w:rPr>
          <w:sz w:val="24"/>
          <w:szCs w:val="24"/>
        </w:rPr>
        <w:t>Ing. Vik</w:t>
      </w:r>
      <w:r w:rsidR="003A53FB">
        <w:rPr>
          <w:sz w:val="24"/>
          <w:szCs w:val="24"/>
        </w:rPr>
        <w:t>torie Klímová, Ph.D.: 1.2, 1.6.1.</w:t>
      </w:r>
      <w:r w:rsidRPr="007E2E90">
        <w:rPr>
          <w:sz w:val="24"/>
          <w:szCs w:val="24"/>
        </w:rPr>
        <w:t xml:space="preserve">, </w:t>
      </w:r>
      <w:proofErr w:type="gramStart"/>
      <w:r w:rsidRPr="007E2E90">
        <w:rPr>
          <w:sz w:val="24"/>
          <w:szCs w:val="24"/>
        </w:rPr>
        <w:t>2.3</w:t>
      </w:r>
      <w:proofErr w:type="gramEnd"/>
      <w:r w:rsidR="003A53FB">
        <w:rPr>
          <w:sz w:val="24"/>
          <w:szCs w:val="24"/>
        </w:rPr>
        <w:t>.</w:t>
      </w:r>
      <w:r w:rsidRPr="007E2E90">
        <w:rPr>
          <w:sz w:val="24"/>
          <w:szCs w:val="24"/>
        </w:rPr>
        <w:t xml:space="preserve">, </w:t>
      </w:r>
      <w:r w:rsidR="003A53FB">
        <w:rPr>
          <w:sz w:val="24"/>
          <w:szCs w:val="24"/>
        </w:rPr>
        <w:t>2.</w:t>
      </w:r>
      <w:r w:rsidRPr="007E2E90">
        <w:rPr>
          <w:sz w:val="24"/>
          <w:szCs w:val="24"/>
        </w:rPr>
        <w:t>5</w:t>
      </w:r>
      <w:r w:rsidR="003A53FB">
        <w:rPr>
          <w:sz w:val="24"/>
          <w:szCs w:val="24"/>
        </w:rPr>
        <w:t>.</w:t>
      </w:r>
      <w:r w:rsidRPr="007E2E90">
        <w:rPr>
          <w:sz w:val="24"/>
          <w:szCs w:val="24"/>
        </w:rPr>
        <w:t>, 2.6</w:t>
      </w:r>
      <w:r w:rsidR="003A53FB">
        <w:rPr>
          <w:sz w:val="24"/>
          <w:szCs w:val="24"/>
        </w:rPr>
        <w:t>.1.</w:t>
      </w:r>
      <w:r w:rsidRPr="007E2E90">
        <w:rPr>
          <w:sz w:val="24"/>
          <w:szCs w:val="24"/>
        </w:rPr>
        <w:t>, 3.2</w:t>
      </w:r>
      <w:r w:rsidR="003A53FB">
        <w:rPr>
          <w:sz w:val="24"/>
          <w:szCs w:val="24"/>
        </w:rPr>
        <w:t>.</w:t>
      </w:r>
      <w:r w:rsidRPr="007E2E90">
        <w:rPr>
          <w:sz w:val="24"/>
          <w:szCs w:val="24"/>
        </w:rPr>
        <w:t>, 3.5</w:t>
      </w:r>
      <w:r w:rsidR="003A53FB">
        <w:rPr>
          <w:sz w:val="24"/>
          <w:szCs w:val="24"/>
        </w:rPr>
        <w:t>., 3.6.</w:t>
      </w:r>
      <w:r w:rsidRPr="007E2E90">
        <w:rPr>
          <w:sz w:val="24"/>
          <w:szCs w:val="24"/>
        </w:rPr>
        <w:t>1</w:t>
      </w:r>
      <w:r w:rsidR="003A53FB">
        <w:rPr>
          <w:sz w:val="24"/>
          <w:szCs w:val="24"/>
        </w:rPr>
        <w:t>., 4.2., 4.</w:t>
      </w:r>
      <w:r w:rsidRPr="007E2E90">
        <w:rPr>
          <w:sz w:val="24"/>
          <w:szCs w:val="24"/>
        </w:rPr>
        <w:t xml:space="preserve">4., </w:t>
      </w:r>
    </w:p>
    <w:p w:rsidR="00ED6438" w:rsidRPr="007E2E90" w:rsidRDefault="003A53FB" w:rsidP="00ED6438">
      <w:pPr>
        <w:spacing w:before="100" w:after="100"/>
        <w:ind w:left="-113" w:right="-113"/>
        <w:rPr>
          <w:sz w:val="24"/>
          <w:szCs w:val="24"/>
        </w:rPr>
      </w:pPr>
      <w:r>
        <w:rPr>
          <w:sz w:val="24"/>
          <w:szCs w:val="24"/>
        </w:rPr>
        <w:t xml:space="preserve">4.6.1., </w:t>
      </w:r>
      <w:proofErr w:type="gramStart"/>
      <w:r>
        <w:rPr>
          <w:sz w:val="24"/>
          <w:szCs w:val="24"/>
        </w:rPr>
        <w:t>5.3</w:t>
      </w:r>
      <w:proofErr w:type="gramEnd"/>
      <w:r>
        <w:rPr>
          <w:sz w:val="24"/>
          <w:szCs w:val="24"/>
        </w:rPr>
        <w:t>., 5.4., 5.6.1.</w:t>
      </w:r>
    </w:p>
    <w:p w:rsidR="00ED6438" w:rsidRPr="007E2E90" w:rsidRDefault="003A53FB" w:rsidP="00ED6438">
      <w:pPr>
        <w:spacing w:before="100" w:after="100"/>
        <w:ind w:left="-113" w:right="-113"/>
        <w:rPr>
          <w:sz w:val="24"/>
          <w:szCs w:val="24"/>
        </w:rPr>
      </w:pPr>
      <w:r>
        <w:rPr>
          <w:sz w:val="24"/>
          <w:szCs w:val="24"/>
        </w:rPr>
        <w:t xml:space="preserve">Ing. Vilém Pařil: </w:t>
      </w:r>
      <w:proofErr w:type="gramStart"/>
      <w:r>
        <w:rPr>
          <w:sz w:val="24"/>
          <w:szCs w:val="24"/>
        </w:rPr>
        <w:t>1.3</w:t>
      </w:r>
      <w:proofErr w:type="gramEnd"/>
      <w:r>
        <w:rPr>
          <w:sz w:val="24"/>
          <w:szCs w:val="24"/>
        </w:rPr>
        <w:t>., 1.5., 2.4., 3.3., 4.</w:t>
      </w:r>
      <w:r w:rsidR="00ED6438" w:rsidRPr="007E2E90">
        <w:rPr>
          <w:sz w:val="24"/>
          <w:szCs w:val="24"/>
        </w:rPr>
        <w:t>3.,</w:t>
      </w:r>
      <w:r>
        <w:rPr>
          <w:sz w:val="24"/>
          <w:szCs w:val="24"/>
        </w:rPr>
        <w:t xml:space="preserve"> 4.5., 4.6.2., 5.</w:t>
      </w:r>
      <w:r w:rsidR="00BA2308">
        <w:rPr>
          <w:sz w:val="24"/>
          <w:szCs w:val="24"/>
        </w:rPr>
        <w:t>2.</w:t>
      </w:r>
      <w:r>
        <w:rPr>
          <w:sz w:val="24"/>
          <w:szCs w:val="24"/>
        </w:rPr>
        <w:t>, 5.5., 5.6.2</w:t>
      </w:r>
      <w:r w:rsidR="00ED6438" w:rsidRPr="007E2E90">
        <w:rPr>
          <w:sz w:val="24"/>
          <w:szCs w:val="24"/>
        </w:rPr>
        <w:t>.</w:t>
      </w:r>
    </w:p>
    <w:p w:rsidR="00ED6438" w:rsidRPr="007E2E90" w:rsidRDefault="00ED6438" w:rsidP="00ED6438">
      <w:pPr>
        <w:spacing w:before="100" w:after="100"/>
        <w:ind w:left="-113" w:right="-113"/>
        <w:rPr>
          <w:sz w:val="24"/>
          <w:szCs w:val="24"/>
        </w:rPr>
      </w:pPr>
      <w:r w:rsidRPr="007E2E90">
        <w:rPr>
          <w:sz w:val="24"/>
          <w:szCs w:val="24"/>
        </w:rPr>
        <w:t xml:space="preserve">Ing. </w:t>
      </w:r>
      <w:r w:rsidR="003A53FB">
        <w:rPr>
          <w:sz w:val="24"/>
          <w:szCs w:val="24"/>
        </w:rPr>
        <w:t xml:space="preserve">Vladimír Žítek, PhD.: 1.2, 1.6.1., 2.3, 2.5, 2.6.1., 3.2, </w:t>
      </w:r>
      <w:proofErr w:type="gramStart"/>
      <w:r w:rsidR="003A53FB">
        <w:rPr>
          <w:sz w:val="24"/>
          <w:szCs w:val="24"/>
        </w:rPr>
        <w:t>3.</w:t>
      </w:r>
      <w:r w:rsidRPr="007E2E90">
        <w:rPr>
          <w:sz w:val="24"/>
          <w:szCs w:val="24"/>
        </w:rPr>
        <w:t>5</w:t>
      </w:r>
      <w:r w:rsidR="003A53FB">
        <w:rPr>
          <w:sz w:val="24"/>
          <w:szCs w:val="24"/>
        </w:rPr>
        <w:t>., 3.6.1</w:t>
      </w:r>
      <w:proofErr w:type="gramEnd"/>
      <w:r w:rsidR="003A53FB">
        <w:rPr>
          <w:sz w:val="24"/>
          <w:szCs w:val="24"/>
        </w:rPr>
        <w:t>., 4.2., 4.4., 4.6.1.</w:t>
      </w:r>
      <w:r w:rsidRPr="007E2E90">
        <w:rPr>
          <w:sz w:val="24"/>
          <w:szCs w:val="24"/>
        </w:rPr>
        <w:t xml:space="preserve">, </w:t>
      </w:r>
    </w:p>
    <w:p w:rsidR="00ED6438" w:rsidRPr="007E2E90" w:rsidRDefault="003A53FB" w:rsidP="00ED6438">
      <w:pPr>
        <w:spacing w:before="100" w:after="100"/>
        <w:ind w:left="-113" w:right="-113"/>
        <w:rPr>
          <w:sz w:val="24"/>
          <w:szCs w:val="24"/>
        </w:rPr>
      </w:pPr>
      <w:proofErr w:type="gramStart"/>
      <w:r>
        <w:rPr>
          <w:sz w:val="24"/>
          <w:szCs w:val="24"/>
        </w:rPr>
        <w:t>5.3., 5.6.1</w:t>
      </w:r>
      <w:proofErr w:type="gramEnd"/>
      <w:r w:rsidR="00ED6438" w:rsidRPr="007E2E90">
        <w:rPr>
          <w:sz w:val="24"/>
          <w:szCs w:val="24"/>
        </w:rPr>
        <w:t>.</w:t>
      </w:r>
    </w:p>
    <w:p w:rsidR="007127B4" w:rsidRPr="007E2E90" w:rsidRDefault="007127B4" w:rsidP="00423120">
      <w:pPr>
        <w:spacing w:line="240" w:lineRule="auto"/>
        <w:rPr>
          <w:sz w:val="24"/>
          <w:szCs w:val="24"/>
        </w:rPr>
      </w:pPr>
      <w:r w:rsidRPr="007E2E90">
        <w:rPr>
          <w:sz w:val="24"/>
          <w:szCs w:val="24"/>
        </w:rPr>
        <w:br w:type="page"/>
      </w:r>
    </w:p>
    <w:p w:rsidR="00D84BEB" w:rsidRPr="00B40349" w:rsidRDefault="00D84BEB" w:rsidP="00027AD4">
      <w:pPr>
        <w:pStyle w:val="Styl3"/>
      </w:pPr>
      <w:r w:rsidRPr="00B40349">
        <w:lastRenderedPageBreak/>
        <w:t xml:space="preserve">Úvod </w:t>
      </w:r>
    </w:p>
    <w:p w:rsidR="00B5453B" w:rsidRPr="00B5453B" w:rsidRDefault="00B5453B" w:rsidP="00AA10C6">
      <w:pPr>
        <w:pStyle w:val="05-Text"/>
      </w:pPr>
      <w:r w:rsidRPr="00227AE5">
        <w:t>Globalizace světové ekonomiky podmínila významné změny i v hospodářské politice, kdy je stále vět</w:t>
      </w:r>
      <w:r w:rsidR="002A41FE">
        <w:t>ší pozornost věnována prostorové</w:t>
      </w:r>
      <w:r w:rsidRPr="00227AE5">
        <w:t xml:space="preserve"> dimenzi</w:t>
      </w:r>
      <w:r w:rsidR="002A41FE">
        <w:t xml:space="preserve"> hospodářského rozvoje a tedy i </w:t>
      </w:r>
      <w:r w:rsidRPr="00227AE5">
        <w:t>regionální politice. V teoretické oblasti pak dochází k postupným proměnám tradičních přístupů směrem k jejich vyšší komplexnosti. V této souvislosti je po</w:t>
      </w:r>
      <w:r w:rsidRPr="00B5453B">
        <w:t>třebné zmínit negativní ovlivňování vypovídací schopnosti výchozích ekonomických teorií hlavního proudu (zejména formálně téměř dokonalých neoklasických teorií) přebíráním přírodovědného gnozeologického rámce uzavřených fyzikálních systémů nerespektujícího zpětné vazby, které jsou ovšem typickým rysem společenských systémů. V</w:t>
      </w:r>
      <w:r w:rsidRPr="00227AE5">
        <w:t>zhledem k silně zjednodušujícím výchozím předpokladům mikroekonomicky založených teorií hospodářského růstu (např. předpokladu  prostorové homo</w:t>
      </w:r>
      <w:r w:rsidR="00A20DFF">
        <w:t xml:space="preserve">genity, ačkoliv </w:t>
      </w:r>
      <w:r w:rsidRPr="00227AE5">
        <w:t>se jednotlivé regiony</w:t>
      </w:r>
      <w:r w:rsidR="00A20DFF">
        <w:t xml:space="preserve"> výrazně</w:t>
      </w:r>
      <w:r w:rsidRPr="00227AE5">
        <w:t xml:space="preserve"> odlišují rozdílnou velikostí, hustotou obyvatelstva a úrovní příjmů a tedy i rozdílnou velikosti a strukturou poptávky) se postupně rozvinula či inovovala celá řada alternativních teoretických směrů. Z</w:t>
      </w:r>
      <w:r w:rsidR="00A20DFF">
        <w:t xml:space="preserve"> těchto směrů lze uvést zejména </w:t>
      </w:r>
      <w:r w:rsidRPr="00227AE5">
        <w:t>evoluční</w:t>
      </w:r>
      <w:r w:rsidR="00A20DFF">
        <w:t xml:space="preserve"> a </w:t>
      </w:r>
      <w:r w:rsidR="00A20DFF" w:rsidRPr="00227AE5">
        <w:t>behaviorální</w:t>
      </w:r>
      <w:r w:rsidR="00C333B5">
        <w:t xml:space="preserve"> ekonomii, které se snaží o </w:t>
      </w:r>
      <w:r w:rsidRPr="00227AE5">
        <w:t xml:space="preserve">zohlednění </w:t>
      </w:r>
      <w:r w:rsidR="00A20DFF">
        <w:t xml:space="preserve">oboustranných dopadů předchozího vývoje, resp. </w:t>
      </w:r>
      <w:r w:rsidRPr="00227AE5">
        <w:t>podnikatelského prostředí</w:t>
      </w:r>
      <w:r w:rsidR="00C333B5">
        <w:t xml:space="preserve"> a </w:t>
      </w:r>
      <w:r w:rsidRPr="00227AE5">
        <w:t>chování firem.</w:t>
      </w:r>
    </w:p>
    <w:p w:rsidR="00B5453B" w:rsidRPr="003022DD" w:rsidRDefault="00B5453B" w:rsidP="00423120">
      <w:pPr>
        <w:pStyle w:val="05-Text"/>
      </w:pPr>
      <w:r w:rsidRPr="00B567BA">
        <w:t>V souladu s výše uvedenými poznámkami je první dí</w:t>
      </w:r>
      <w:r w:rsidR="002A41FE">
        <w:t>l publikace Region</w:t>
      </w:r>
      <w:r w:rsidR="00A20DFF">
        <w:t>ální rozvoj</w:t>
      </w:r>
      <w:r w:rsidR="00816552">
        <w:t xml:space="preserve"> a</w:t>
      </w:r>
      <w:r w:rsidR="00C333B5">
        <w:t> </w:t>
      </w:r>
      <w:r w:rsidRPr="00B567BA">
        <w:t>politika</w:t>
      </w:r>
      <w:r w:rsidR="00A20DFF">
        <w:t xml:space="preserve"> a správa</w:t>
      </w:r>
      <w:r w:rsidRPr="00B567BA">
        <w:t xml:space="preserve"> zaměřen na regionální rozvoj jako systémový proces, který je analyzován na základě aplikace hierarchického principu. Prezentace jednotlivých jevů a problémů spojených s regionálním rozvojem je tak logicky uspořádána od lokální (lokální trhy jako základní stavební jednotky ekonomiky) přes mi</w:t>
      </w:r>
      <w:r w:rsidR="002A41FE">
        <w:t>kroregionální, mezoregionální a </w:t>
      </w:r>
      <w:r w:rsidRPr="00B567BA">
        <w:t>makroekonomickou úroveň až po globální úroveň (se zvláštním zřetelem na Evropskou unii), přičemž hlavní důraz je položen na interpretaci prostorových aspektů z pohledu kvality ekonomického rozvoje</w:t>
      </w:r>
      <w:r>
        <w:t>. Pokud jde o</w:t>
      </w:r>
      <w:r w:rsidRPr="00B567BA">
        <w:t xml:space="preserve"> praktické příklady (případové studie) řešení odpovídajících problémů</w:t>
      </w:r>
      <w:r w:rsidR="002A41FE">
        <w:t>,</w:t>
      </w:r>
      <w:r>
        <w:t xml:space="preserve"> jsou </w:t>
      </w:r>
      <w:r w:rsidR="002A41FE">
        <w:t xml:space="preserve">zde </w:t>
      </w:r>
      <w:r>
        <w:t xml:space="preserve">prezentovány především příklady z České republiky, které byly z větší části </w:t>
      </w:r>
      <w:r w:rsidRPr="003022DD">
        <w:t xml:space="preserve">zpracovány na Katedře regionálního rozvoje a správy Ekonomicko-správní fakulty Masarykovy univerzity. V souladu s tím je významná pozornost věnována i prezentaci originální integrační teorie udržitelného regionálního rozvoje, kterou lze vzhledem k její komplexnosti efektivně využít při vytváření strategie regionálního rozvoje České republiky. </w:t>
      </w:r>
    </w:p>
    <w:p w:rsidR="00B5453B" w:rsidRDefault="00B5453B" w:rsidP="00423120">
      <w:pPr>
        <w:pStyle w:val="05-Text"/>
      </w:pPr>
      <w:r w:rsidRPr="00B5453B">
        <w:t xml:space="preserve">Rostoucí pozornost </w:t>
      </w:r>
      <w:r w:rsidR="002A41FE">
        <w:t xml:space="preserve">je </w:t>
      </w:r>
      <w:r w:rsidRPr="00B5453B">
        <w:t>věnovaná problematice regionálního rozvoje (repre</w:t>
      </w:r>
      <w:r w:rsidR="00A20DFF">
        <w:t xml:space="preserve">zentovaná </w:t>
      </w:r>
      <w:r w:rsidR="003D24EC">
        <w:t xml:space="preserve">otázkami typu – </w:t>
      </w:r>
      <w:r w:rsidRPr="00B5453B">
        <w:t>jaké jsou hlavní faktory regionálního rozvoje, proč se některé regiony rozvíjejí rychleji než jiné či proč přetrvávají sociální rozdíly mezi regiony) logicky vyvolala značnou poptávku po nových teoretických a metodologických přístupech v regionálním výzkumu. Tento vývoj představuje novou výzvu zejména pro regionální vědy, mezi které jsou obvykle řazeny regionální/prostorová ekonomie, ekonomická geografie a prostorové plánování. V tomto ohledu bude náš další zájem orientován především na regionální ekonomii. K tomu je potřebné úvodem poznamenat, že pokud jde o základní vazby regionální ekonomie na obecnou ekonomickou teorii, jde o poněkud komplikovanou záležitost. Hlavní důvod spočívá v již výše naznačené nedostatečné pozornosti věnované prostorové (a do určité míry i časové) dimenzi ekonomických interakcí v rámci ekonomických teorií hlavního proudu. Řešení tohoto problému lze pokládat za základní úkol teorií regionálního rozvoje. Ze</w:t>
      </w:r>
      <w:r w:rsidR="00DB780B">
        <w:t> </w:t>
      </w:r>
      <w:r w:rsidRPr="00B5453B">
        <w:t xml:space="preserve">světově známých ekonomů a dalších odborníků se v minulosti těmto otázkám věnovali </w:t>
      </w:r>
      <w:r w:rsidR="00C73712">
        <w:lastRenderedPageBreak/>
        <w:t>např.</w:t>
      </w:r>
      <w:r w:rsidRPr="00B5453B">
        <w:t xml:space="preserve"> A. Marshall, A. Weber, W. Christaller, E, Hoover, A, </w:t>
      </w:r>
      <w:r w:rsidR="00D62EB1">
        <w:t>Lösch, F. Perroux, W. Isard, M. </w:t>
      </w:r>
      <w:hyperlink r:id="rId9" w:tooltip="Melvin L. Greenhut (stránka neexistuje)" w:history="1">
        <w:r w:rsidRPr="00EC3C73">
          <w:t>Greenhut</w:t>
        </w:r>
      </w:hyperlink>
      <w:r w:rsidRPr="00EC3C73">
        <w:t xml:space="preserve">, G. </w:t>
      </w:r>
      <w:r w:rsidR="00C73712">
        <w:t xml:space="preserve">Myrdal a </w:t>
      </w:r>
      <w:r w:rsidRPr="00EC3C73">
        <w:t>Hirschman, v</w:t>
      </w:r>
      <w:r w:rsidRPr="00B5453B">
        <w:t xml:space="preserve"> současnosti pak B. Lundvall, R. Lucas, P. </w:t>
      </w:r>
      <w:r w:rsidR="00D62EB1">
        <w:t>Romer, M. </w:t>
      </w:r>
      <w:r w:rsidR="00C73712">
        <w:t>Porter či P. Krugman.</w:t>
      </w:r>
    </w:p>
    <w:p w:rsidR="003F6316" w:rsidRDefault="003F6316" w:rsidP="00423120">
      <w:pPr>
        <w:pStyle w:val="05-Text"/>
      </w:pPr>
      <w:r w:rsidRPr="003F6316">
        <w:t>V daném kontextu je potřebné upozornit na skutečnost, že poněkud opomíjeny zůstávají terminologické otázky, kde je potřebné upozornit</w:t>
      </w:r>
      <w:r w:rsidR="00C333B5">
        <w:t xml:space="preserve"> zejména na časté zaměňování (a </w:t>
      </w:r>
      <w:r w:rsidRPr="003F6316">
        <w:t>rovněž účelové zužování) pojmů růst a rozvoj. Všeobecně se má za to, že růst se vztahuje ke kvantitativním změnám, jejichž nejznámějším agregátním vyjádřením jsou změny v úrovni HDP, zatímco rozvoj se vztahuje k širším kvalitativním změnám, které nelze plně matematicky formalizovat. V našem případě pod pojmem společenský rozvoj rozumíme obecně všechny aktivity směřující ke zlepšování ekonomických a sociálních fundamentů kvality života obyvatel příslušných k dané společnosti resp. daného území – ve druhém případě pak hovoříme o regionálním rozvoji. Rozvoj je tedy komplexnějším pojmem než růst, neboť klade hlavní důraz na kvalitativní změny (indukova</w:t>
      </w:r>
      <w:r w:rsidR="00C333B5">
        <w:t xml:space="preserve">né zejména vědecko-technickým </w:t>
      </w:r>
      <w:r w:rsidR="00C333B5" w:rsidRPr="00C333B5">
        <w:t>a</w:t>
      </w:r>
      <w:r w:rsidR="00C333B5">
        <w:t> </w:t>
      </w:r>
      <w:r w:rsidRPr="00C333B5">
        <w:t>sociálním</w:t>
      </w:r>
      <w:r w:rsidRPr="003F6316">
        <w:t xml:space="preserve"> pokrokem) a jejich následné šíření ve společnosti</w:t>
      </w:r>
      <w:r w:rsidR="00C333B5">
        <w:t xml:space="preserve"> prostřednictvím dělby práce. </w:t>
      </w:r>
      <w:r w:rsidR="00C333B5" w:rsidRPr="00C333B5">
        <w:t>V</w:t>
      </w:r>
      <w:r w:rsidR="00C333B5">
        <w:t> </w:t>
      </w:r>
      <w:r w:rsidRPr="00C333B5">
        <w:t>této</w:t>
      </w:r>
      <w:r w:rsidRPr="003F6316">
        <w:t xml:space="preserve"> souvislosti lze logicky souhlasit s tézí o vzájemné závislosti růstu a rozvoje. Pokud však tuto tézi začneme blíže zkoumat, zjistíme, že jde spíše o průměrnou než jednoznačnou závislost a otázku zda hospodářský růst lze považovat za hlavní cíl společenského rozvoje je tedy zcela legitimní.</w:t>
      </w:r>
    </w:p>
    <w:p w:rsidR="00C73712" w:rsidRPr="00B5453B" w:rsidRDefault="00C73712" w:rsidP="00423120">
      <w:pPr>
        <w:pStyle w:val="05-Text"/>
      </w:pPr>
    </w:p>
    <w:p w:rsidR="00D84BEB" w:rsidRPr="00A91347" w:rsidRDefault="00D84BEB" w:rsidP="00890421">
      <w:pPr>
        <w:pStyle w:val="01-Nadpis1"/>
      </w:pPr>
      <w:r>
        <w:br w:type="page"/>
      </w:r>
      <w:bookmarkStart w:id="2" w:name="_Toc382327178"/>
      <w:r w:rsidRPr="00A91347">
        <w:lastRenderedPageBreak/>
        <w:t>1. Lokální úroveň rozvoje</w:t>
      </w:r>
      <w:bookmarkEnd w:id="2"/>
    </w:p>
    <w:p w:rsidR="00D84BEB" w:rsidRPr="00890421" w:rsidRDefault="00D84BEB" w:rsidP="00890421">
      <w:pPr>
        <w:pStyle w:val="02-Nadpis2"/>
      </w:pPr>
      <w:bookmarkStart w:id="3" w:name="_Toc382327179"/>
      <w:r w:rsidRPr="00890421">
        <w:t>1.1. Úvodní poznámky</w:t>
      </w:r>
      <w:bookmarkEnd w:id="3"/>
    </w:p>
    <w:p w:rsidR="00D84BEB" w:rsidRPr="00437342" w:rsidRDefault="00D84BEB" w:rsidP="00423120">
      <w:pPr>
        <w:pStyle w:val="05-Text"/>
      </w:pPr>
      <w:r w:rsidRPr="00437342">
        <w:t>Lokální úroveň formovaná trvalými lidskými sídly, zejména městy (mezi nejstarší města patří nesporně syrský Damašek, jehož historie sahá do obdob</w:t>
      </w:r>
      <w:r w:rsidR="00190139">
        <w:t>í 10 až 8 tis. let př. n. l., a </w:t>
      </w:r>
      <w:r w:rsidRPr="00437342">
        <w:t>dále izraelské Jericho či libanonský Byblos), nepochybně představuje prvotní základ historického vývoje společenských systémů. Jejich vývoj od městských států pak pokračoval přes národní státy (za nejstarší národní stát je považováno Jap</w:t>
      </w:r>
      <w:r w:rsidR="00190139">
        <w:t xml:space="preserve">onsko, založené roku 660 </w:t>
      </w:r>
      <w:r w:rsidR="00190139" w:rsidRPr="00034C7D">
        <w:t>př. n. </w:t>
      </w:r>
      <w:r w:rsidRPr="00034C7D">
        <w:t>l.)</w:t>
      </w:r>
      <w:r w:rsidRPr="00437342">
        <w:t xml:space="preserve"> až po moderní státy.</w:t>
      </w:r>
    </w:p>
    <w:p w:rsidR="00D84BEB" w:rsidRPr="00437342" w:rsidRDefault="00D84BEB" w:rsidP="00423120">
      <w:pPr>
        <w:pStyle w:val="05-Text"/>
      </w:pPr>
      <w:r w:rsidRPr="00437342">
        <w:t>Výzkumem lokální úrovně sídel se v rámci ekonomických věd vedle regionální ekonomie zabývá především urbanistická ekonomie, z dalších věd pak zvláště ekonomická geografie, sociologie a dále urbanismus orientovaný především na plánování rozvoje měst. V souladu s takto vymezeným výzkumným zájmem je lokální úroveň postupně diskutována z pohledu využití výrobního faktoru půdy, urbanistických, sociologických a institucionální faktorů rozvoje měst, aglomeračních výhod a rovněž z pohledu relevantních environmentálních souvislostí. Explanačně zaměřené části kapitoly jsou doplněny praktickými příklady ekonomických kalkulací (oceňování vybraných skupin nemovitostí, studie proveditelnosti vybraného projektu lokálního významu).</w:t>
      </w:r>
    </w:p>
    <w:p w:rsidR="00D84BEB" w:rsidRPr="00E80574" w:rsidRDefault="00D84BEB" w:rsidP="00890421">
      <w:pPr>
        <w:pStyle w:val="02-Nadpis2"/>
        <w:rPr>
          <w:i/>
          <w:iCs/>
        </w:rPr>
      </w:pPr>
      <w:bookmarkStart w:id="4" w:name="_Toc382327180"/>
      <w:r w:rsidRPr="00E80574">
        <w:t>1.2. Využití půdy</w:t>
      </w:r>
      <w:bookmarkEnd w:id="4"/>
    </w:p>
    <w:p w:rsidR="00D84BEB" w:rsidRPr="00D35EB2" w:rsidRDefault="00D84BEB" w:rsidP="00423120">
      <w:pPr>
        <w:pStyle w:val="05-Text"/>
        <w:rPr>
          <w:color w:val="0000FF"/>
          <w:lang w:eastAsia="en-US"/>
        </w:rPr>
      </w:pPr>
      <w:r w:rsidRPr="00340627">
        <w:rPr>
          <w:lang w:eastAsia="en-US"/>
        </w:rPr>
        <w:t xml:space="preserve">Půda je výrobním faktorem, který je nepřemístitelný a </w:t>
      </w:r>
      <w:r w:rsidR="00190139">
        <w:rPr>
          <w:lang w:eastAsia="en-US"/>
        </w:rPr>
        <w:t>jehož množství je limitováno, a </w:t>
      </w:r>
      <w:r w:rsidRPr="00064793">
        <w:rPr>
          <w:lang w:eastAsia="en-US"/>
        </w:rPr>
        <w:t xml:space="preserve">to jak do rozsahu (množství), tak </w:t>
      </w:r>
      <w:r>
        <w:rPr>
          <w:lang w:eastAsia="en-US"/>
        </w:rPr>
        <w:t xml:space="preserve">co do </w:t>
      </w:r>
      <w:r w:rsidRPr="00064793">
        <w:rPr>
          <w:lang w:eastAsia="en-US"/>
        </w:rPr>
        <w:t>možn</w:t>
      </w:r>
      <w:r>
        <w:rPr>
          <w:lang w:eastAsia="en-US"/>
        </w:rPr>
        <w:t>ých</w:t>
      </w:r>
      <w:r w:rsidRPr="00064793">
        <w:rPr>
          <w:lang w:eastAsia="en-US"/>
        </w:rPr>
        <w:t xml:space="preserve"> způsob</w:t>
      </w:r>
      <w:r>
        <w:rPr>
          <w:lang w:eastAsia="en-US"/>
        </w:rPr>
        <w:t>ů</w:t>
      </w:r>
      <w:r w:rsidRPr="00064793">
        <w:rPr>
          <w:lang w:eastAsia="en-US"/>
        </w:rPr>
        <w:t xml:space="preserve"> využití. Obecně má půda různou podobu, jako jsou například stavební pozemky, lesní a zemědělská půda, ale jako výrobní faktor zahrnuje i vodní zdroje a nerostné bohatství. Cenou půdy je pozemková renta, která vyjadřuje příjem vlastníka půd</w:t>
      </w:r>
      <w:r w:rsidR="00190139">
        <w:rPr>
          <w:lang w:eastAsia="en-US"/>
        </w:rPr>
        <w:t>y plynoucí z jejího vlastnictví</w:t>
      </w:r>
      <w:r w:rsidRPr="00064793">
        <w:rPr>
          <w:vertAlign w:val="superscript"/>
          <w:lang w:eastAsia="en-US"/>
        </w:rPr>
        <w:footnoteReference w:id="1"/>
      </w:r>
      <w:r w:rsidRPr="00064793">
        <w:rPr>
          <w:lang w:eastAsia="en-US"/>
        </w:rPr>
        <w:t>.</w:t>
      </w:r>
      <w:r w:rsidRPr="00064793">
        <w:rPr>
          <w:vertAlign w:val="superscript"/>
          <w:lang w:eastAsia="en-US"/>
        </w:rPr>
        <w:t xml:space="preserve"> </w:t>
      </w:r>
    </w:p>
    <w:p w:rsidR="00D84BEB" w:rsidRPr="00D35EB2" w:rsidRDefault="00D84BEB" w:rsidP="00423120">
      <w:pPr>
        <w:pStyle w:val="05-Text"/>
        <w:rPr>
          <w:color w:val="0000FF"/>
          <w:lang w:eastAsia="en-US"/>
        </w:rPr>
      </w:pPr>
      <w:r w:rsidRPr="00BE09A9">
        <w:rPr>
          <w:lang w:eastAsia="en-US"/>
        </w:rPr>
        <w:t xml:space="preserve">Zkoumání půdy jakožto výrobního faktoru sahá k počátkům ekonomického myšlení. </w:t>
      </w:r>
      <w:r w:rsidRPr="0090454A">
        <w:rPr>
          <w:lang w:eastAsia="en-US"/>
        </w:rPr>
        <w:t>Relevantní teoretické koncepty</w:t>
      </w:r>
      <w:r w:rsidR="00190139">
        <w:rPr>
          <w:lang w:eastAsia="en-US"/>
        </w:rPr>
        <w:t>,</w:t>
      </w:r>
      <w:r w:rsidRPr="0090454A">
        <w:rPr>
          <w:lang w:eastAsia="en-US"/>
        </w:rPr>
        <w:t xml:space="preserve"> kdy je půda</w:t>
      </w:r>
      <w:r w:rsidR="00BA6F21">
        <w:rPr>
          <w:lang w:eastAsia="en-US"/>
        </w:rPr>
        <w:t>,</w:t>
      </w:r>
      <w:r w:rsidRPr="0090454A">
        <w:rPr>
          <w:lang w:eastAsia="en-US"/>
        </w:rPr>
        <w:t xml:space="preserve"> resp. nerostné bohatství chápána jako klíčový výrobní faktor, se objevily v období vrcholícího merkantilismu, tzn. v 17. století (Honová, 2009). Širší základ současného pojetí teorie daného výrobního faktoru však přináší až klasická škola politické ekonomie, a to především v dílech A. S</w:t>
      </w:r>
      <w:r w:rsidR="00190139">
        <w:rPr>
          <w:lang w:eastAsia="en-US"/>
        </w:rPr>
        <w:t>mithe, T. Malthuse a zejména D. </w:t>
      </w:r>
      <w:r w:rsidRPr="0090454A">
        <w:rPr>
          <w:lang w:eastAsia="en-US"/>
        </w:rPr>
        <w:t xml:space="preserve">Ricarda. </w:t>
      </w:r>
    </w:p>
    <w:p w:rsidR="00D84BEB" w:rsidRPr="00D35EB2" w:rsidRDefault="00D84BEB" w:rsidP="00423120">
      <w:pPr>
        <w:pStyle w:val="05-Text"/>
        <w:rPr>
          <w:color w:val="0000FF"/>
          <w:lang w:eastAsia="en-US"/>
        </w:rPr>
      </w:pPr>
      <w:r w:rsidRPr="002255DA">
        <w:rPr>
          <w:lang w:eastAsia="en-US"/>
        </w:rPr>
        <w:t>Přestože půda nebyla pro</w:t>
      </w:r>
      <w:r w:rsidR="00190139">
        <w:rPr>
          <w:lang w:eastAsia="en-US"/>
        </w:rPr>
        <w:t xml:space="preserve"> A.</w:t>
      </w:r>
      <w:r>
        <w:rPr>
          <w:lang w:eastAsia="en-US"/>
        </w:rPr>
        <w:t xml:space="preserve"> </w:t>
      </w:r>
      <w:r w:rsidRPr="002255DA">
        <w:rPr>
          <w:lang w:eastAsia="en-US"/>
        </w:rPr>
        <w:t xml:space="preserve">Smithe (1776) tématem sama o sobě, lze v jeho díle nalézt určité poznámky, které nacházejí reflexi v díle jeho následovníků. Smith považoval pozemkovou rentu za přebytek ceny nad náklady (tedy </w:t>
      </w:r>
      <w:r w:rsidR="00190139">
        <w:rPr>
          <w:lang w:eastAsia="en-US"/>
        </w:rPr>
        <w:t>nikoliv za náklad), což vedlo k </w:t>
      </w:r>
      <w:r w:rsidRPr="002255DA">
        <w:rPr>
          <w:lang w:eastAsia="en-US"/>
        </w:rPr>
        <w:t xml:space="preserve">formulaci tvrzení, že zatímco mzdy (faktor práce) a zisky (faktor kapitál) jsou příčinou cen produkce, renta je jejich důsledkem (Holman, 2005). Podle něj se dále renta mění nejen </w:t>
      </w:r>
      <w:r w:rsidRPr="00F35A17">
        <w:rPr>
          <w:lang w:eastAsia="en-US"/>
        </w:rPr>
        <w:t xml:space="preserve">v závislosti na úrodnosti půdy, ale také s polohou, kdy v blízkosti velkých měst je vyšší </w:t>
      </w:r>
      <w:r w:rsidRPr="00F35A17">
        <w:rPr>
          <w:lang w:eastAsia="en-US"/>
        </w:rPr>
        <w:lastRenderedPageBreak/>
        <w:t>než</w:t>
      </w:r>
      <w:r w:rsidR="00190139">
        <w:rPr>
          <w:lang w:eastAsia="en-US"/>
        </w:rPr>
        <w:t> </w:t>
      </w:r>
      <w:r w:rsidRPr="00F35A17">
        <w:rPr>
          <w:lang w:eastAsia="en-US"/>
        </w:rPr>
        <w:t>stejně úrodná půda v odlehlých částech území. Zajímavě jistě působí také Smithův postoj k příčinám a důsledkům změny v užívání půdy. Říká, že majitel mění její využití v závislosti na možnosti zvýšení pozemkové renty. V této souvislosti zohledňuje nejen okamžitý výnos, ale také skutečnost, že zisk přijde až s určitým zpožděním, které souvisí s časem potřebným na realizaci této změny (Honová, 2009). Podíváme-li se na proměnu nejúrodnější orné půdy na jižní Moravě nejprve v řepková moře a v dalším období její zastavění fotovoltaickými elektrárnami</w:t>
      </w:r>
      <w:r w:rsidR="00190139">
        <w:rPr>
          <w:lang w:eastAsia="en-US"/>
        </w:rPr>
        <w:t>,</w:t>
      </w:r>
      <w:r w:rsidRPr="00F35A17">
        <w:rPr>
          <w:lang w:eastAsia="en-US"/>
        </w:rPr>
        <w:t xml:space="preserve"> je zřejmé, že uv</w:t>
      </w:r>
      <w:r w:rsidR="00034C7D">
        <w:rPr>
          <w:lang w:eastAsia="en-US"/>
        </w:rPr>
        <w:t>edené tvrzení je platné i dnes.</w:t>
      </w:r>
    </w:p>
    <w:p w:rsidR="00D84BEB" w:rsidRPr="002E7720" w:rsidRDefault="00D84BEB" w:rsidP="00AA10C6">
      <w:pPr>
        <w:keepNext/>
        <w:spacing w:after="120"/>
        <w:ind w:firstLine="720"/>
        <w:jc w:val="both"/>
        <w:rPr>
          <w:sz w:val="24"/>
          <w:szCs w:val="24"/>
          <w:lang w:eastAsia="en-US"/>
        </w:rPr>
      </w:pPr>
      <w:r w:rsidRPr="002E7720">
        <w:rPr>
          <w:sz w:val="24"/>
          <w:szCs w:val="24"/>
          <w:lang w:eastAsia="en-US"/>
        </w:rPr>
        <w:t xml:space="preserve">T. Malthus se domníval, že renta má dvě hlavní příčiny: </w:t>
      </w:r>
    </w:p>
    <w:p w:rsidR="00D84BEB" w:rsidRPr="002E7720" w:rsidRDefault="00D84BEB" w:rsidP="00423120">
      <w:pPr>
        <w:pStyle w:val="05-vet-s-slovnm"/>
        <w:numPr>
          <w:ilvl w:val="0"/>
          <w:numId w:val="10"/>
        </w:numPr>
        <w:spacing w:after="200"/>
        <w:ind w:left="357" w:hanging="357"/>
      </w:pPr>
      <w:r w:rsidRPr="002E7720">
        <w:t xml:space="preserve">půda dává větší produkt, než potřebují rolníci pro svoji obživu; jde o dar přírody vlastníkovi půdy, </w:t>
      </w:r>
    </w:p>
    <w:p w:rsidR="00332AD2" w:rsidRPr="002E7720" w:rsidRDefault="00D84BEB" w:rsidP="00AA10C6">
      <w:pPr>
        <w:pStyle w:val="05-vet-s-slovnm"/>
        <w:numPr>
          <w:ilvl w:val="0"/>
          <w:numId w:val="10"/>
        </w:numPr>
        <w:spacing w:after="120"/>
        <w:ind w:left="357" w:hanging="357"/>
      </w:pPr>
      <w:r w:rsidRPr="002E7720">
        <w:t>půdy se liší přirozenou ú</w:t>
      </w:r>
      <w:r w:rsidR="00190139">
        <w:t>rodností a vzdáleností od trhu.</w:t>
      </w:r>
    </w:p>
    <w:p w:rsidR="00D84BEB" w:rsidRPr="005A5B88" w:rsidRDefault="00D84BEB" w:rsidP="00423120">
      <w:pPr>
        <w:pStyle w:val="05-Text"/>
        <w:ind w:firstLine="0"/>
        <w:rPr>
          <w:lang w:eastAsia="en-US"/>
        </w:rPr>
      </w:pPr>
      <w:r w:rsidRPr="005A5B88">
        <w:rPr>
          <w:lang w:eastAsia="en-US"/>
        </w:rPr>
        <w:t>Konstatuje také, že zvyšování počtu obyvatel vede v důsledku nedostatku zemědělské produkce k přesunu zemědělské výroby do horších podmínek, kde půda dříve nebyla obdělávána, neboť by nebyly pokryty příslušné náklady. Tento vývoj pak jde nutně ruku v ruce se zvyšováním ceny obilí (v důsledku rostoucí poptávky), neboť náklady rolníků jsou na těchto méně úrodných půdách vyšší (Holman, 2005).</w:t>
      </w:r>
    </w:p>
    <w:p w:rsidR="00D84BEB" w:rsidRDefault="00D84BEB" w:rsidP="00423120">
      <w:pPr>
        <w:pStyle w:val="05-Text"/>
        <w:rPr>
          <w:lang w:eastAsia="en-US"/>
        </w:rPr>
      </w:pPr>
      <w:r w:rsidRPr="00C97B6F">
        <w:rPr>
          <w:lang w:eastAsia="en-US"/>
        </w:rPr>
        <w:t xml:space="preserve">Malthusovy závěry odmítal Ricardo, který dospěl k poznání, že je to pouze rozdíl v kvalitě a množství půdy, které diferencují pozemkovou rentu (Honová, 2009). Renta vzniká z rozdílných výnosů kapitálů, které jsou vloženy do různě úrodných </w:t>
      </w:r>
      <w:r>
        <w:rPr>
          <w:lang w:eastAsia="en-US"/>
        </w:rPr>
        <w:t xml:space="preserve">(bonitních) </w:t>
      </w:r>
      <w:r w:rsidRPr="00C97B6F">
        <w:rPr>
          <w:lang w:eastAsia="en-US"/>
        </w:rPr>
        <w:t xml:space="preserve">půd. Obecně pak platí, že každá půda vynáší rentu, jejíž velikost je dána </w:t>
      </w:r>
      <w:r w:rsidR="00190139">
        <w:rPr>
          <w:lang w:eastAsia="en-US"/>
        </w:rPr>
        <w:t>rozdílem mezi její výnosností a </w:t>
      </w:r>
      <w:r w:rsidRPr="00C97B6F">
        <w:rPr>
          <w:lang w:eastAsia="en-US"/>
        </w:rPr>
        <w:t xml:space="preserve">výnosnosti půdy, kterou se ještě vyplatí obdělávat (přináší alespoň nulový ekonomický zisk). Je třeba ještě zdůraznit, že výnosnost je </w:t>
      </w:r>
      <w:r>
        <w:rPr>
          <w:lang w:eastAsia="en-US"/>
        </w:rPr>
        <w:t xml:space="preserve">výrazně </w:t>
      </w:r>
      <w:r w:rsidRPr="00C97B6F">
        <w:rPr>
          <w:lang w:eastAsia="en-US"/>
        </w:rPr>
        <w:t xml:space="preserve">ovlivněna nejen vlastní úrodností, ale také vzdáleností od trhu. </w:t>
      </w:r>
    </w:p>
    <w:p w:rsidR="00D84BEB" w:rsidRPr="004A75E6" w:rsidRDefault="00D84BEB" w:rsidP="00423120">
      <w:pPr>
        <w:pStyle w:val="05-Text"/>
        <w:rPr>
          <w:lang w:eastAsia="en-US"/>
        </w:rPr>
      </w:pPr>
      <w:r w:rsidRPr="004A75E6">
        <w:rPr>
          <w:lang w:eastAsia="en-US"/>
        </w:rPr>
        <w:t xml:space="preserve">Ricardova teorie diferenční pozemkové renty je </w:t>
      </w:r>
      <w:r>
        <w:rPr>
          <w:lang w:eastAsia="en-US"/>
        </w:rPr>
        <w:t>v podstatě</w:t>
      </w:r>
      <w:r w:rsidRPr="004A75E6">
        <w:rPr>
          <w:lang w:eastAsia="en-US"/>
        </w:rPr>
        <w:t xml:space="preserve"> pouze speciálním případem teorie mezní produktivity</w:t>
      </w:r>
      <w:r>
        <w:rPr>
          <w:lang w:eastAsia="en-US"/>
        </w:rPr>
        <w:t xml:space="preserve"> výrobního faktoru</w:t>
      </w:r>
      <w:r w:rsidRPr="004A75E6">
        <w:rPr>
          <w:lang w:eastAsia="en-US"/>
        </w:rPr>
        <w:t>, kterou později formuloval J. Thünen. Považoval půdu za fixní výrobní faktor a kapitál za faktor variabilní, přičemž platí, že při klesajícím výnosu variabilního faktoru (zisk) dochází k růstu fixního faktoru (pozemková renta)</w:t>
      </w:r>
      <w:r>
        <w:rPr>
          <w:lang w:eastAsia="en-US"/>
        </w:rPr>
        <w:t>.</w:t>
      </w:r>
    </w:p>
    <w:p w:rsidR="00D84BEB" w:rsidRPr="00743C28" w:rsidRDefault="00D84BEB" w:rsidP="00AA10C6">
      <w:pPr>
        <w:pStyle w:val="05-Text"/>
        <w:spacing w:after="120"/>
        <w:rPr>
          <w:lang w:eastAsia="en-US"/>
        </w:rPr>
      </w:pPr>
      <w:r w:rsidRPr="00743C28">
        <w:rPr>
          <w:lang w:eastAsia="en-US"/>
        </w:rPr>
        <w:t>Přestože J. Thünen vytvořil komplexní ekonomický model, nemá vzhledem k zaměření t</w:t>
      </w:r>
      <w:r>
        <w:rPr>
          <w:lang w:eastAsia="en-US"/>
        </w:rPr>
        <w:t>ohot</w:t>
      </w:r>
      <w:r w:rsidRPr="00743C28">
        <w:rPr>
          <w:lang w:eastAsia="en-US"/>
        </w:rPr>
        <w:t xml:space="preserve">o </w:t>
      </w:r>
      <w:r>
        <w:rPr>
          <w:lang w:eastAsia="en-US"/>
        </w:rPr>
        <w:t xml:space="preserve">učebního </w:t>
      </w:r>
      <w:r w:rsidRPr="00743C28">
        <w:rPr>
          <w:lang w:eastAsia="en-US"/>
        </w:rPr>
        <w:t xml:space="preserve">textu smysl jej celý popisovat. Pozornost </w:t>
      </w:r>
      <w:r>
        <w:rPr>
          <w:lang w:eastAsia="en-US"/>
        </w:rPr>
        <w:t>j</w:t>
      </w:r>
      <w:r w:rsidRPr="00743C28">
        <w:rPr>
          <w:lang w:eastAsia="en-US"/>
        </w:rPr>
        <w:t>e zaměř</w:t>
      </w:r>
      <w:r>
        <w:rPr>
          <w:lang w:eastAsia="en-US"/>
        </w:rPr>
        <w:t>ena na</w:t>
      </w:r>
      <w:r w:rsidRPr="00743C28">
        <w:rPr>
          <w:lang w:eastAsia="en-US"/>
        </w:rPr>
        <w:t> t</w:t>
      </w:r>
      <w:r>
        <w:rPr>
          <w:lang w:eastAsia="en-US"/>
        </w:rPr>
        <w:t>y</w:t>
      </w:r>
      <w:r w:rsidRPr="00743C28">
        <w:rPr>
          <w:lang w:eastAsia="en-US"/>
        </w:rPr>
        <w:t xml:space="preserve"> část</w:t>
      </w:r>
      <w:r>
        <w:rPr>
          <w:lang w:eastAsia="en-US"/>
        </w:rPr>
        <w:t>i</w:t>
      </w:r>
      <w:r w:rsidRPr="00743C28">
        <w:rPr>
          <w:lang w:eastAsia="en-US"/>
        </w:rPr>
        <w:t xml:space="preserve"> modelu, které jsou relevantní pro vysvětlení využívání půdy</w:t>
      </w:r>
      <w:r w:rsidR="00BA6F21">
        <w:rPr>
          <w:lang w:eastAsia="en-US"/>
        </w:rPr>
        <w:t>,</w:t>
      </w:r>
      <w:r w:rsidRPr="00743C28">
        <w:rPr>
          <w:lang w:eastAsia="en-US"/>
        </w:rPr>
        <w:t xml:space="preserve"> resp. významu polohové renty, která </w:t>
      </w:r>
      <w:r>
        <w:rPr>
          <w:lang w:eastAsia="en-US"/>
        </w:rPr>
        <w:t>představuje</w:t>
      </w:r>
      <w:r w:rsidRPr="00743C28">
        <w:rPr>
          <w:lang w:eastAsia="en-US"/>
        </w:rPr>
        <w:t xml:space="preserve"> klíčový bod </w:t>
      </w:r>
      <w:r>
        <w:rPr>
          <w:lang w:eastAsia="en-US"/>
        </w:rPr>
        <w:t>celého modelu</w:t>
      </w:r>
      <w:r w:rsidRPr="00743C28">
        <w:rPr>
          <w:lang w:eastAsia="en-US"/>
        </w:rPr>
        <w:t>. Thünen zde vycházel z abstraktního modelu izolovaného hospodářství (státu), které je vymezeno následujícími parametry (Maier, T</w:t>
      </w:r>
      <w:r w:rsidR="00635CB0">
        <w:rPr>
          <w:lang w:eastAsia="en-US"/>
        </w:rPr>
        <w:t>ö</w:t>
      </w:r>
      <w:r w:rsidRPr="00743C28">
        <w:rPr>
          <w:lang w:eastAsia="en-US"/>
        </w:rPr>
        <w:t>dtling, 1997; Belajová, Fáziková, 2005):</w:t>
      </w:r>
    </w:p>
    <w:p w:rsidR="00D84BEB" w:rsidRPr="00743C28" w:rsidRDefault="00D84BEB" w:rsidP="00423120">
      <w:pPr>
        <w:pStyle w:val="06-vet-bez-sel"/>
        <w:spacing w:after="200"/>
      </w:pPr>
      <w:r w:rsidRPr="00743C28">
        <w:t>existuje ekonomický prostor izolovaný od okolí, který se nachází na homogenní ploše</w:t>
      </w:r>
      <w:r w:rsidR="00C333B5">
        <w:t xml:space="preserve"> </w:t>
      </w:r>
      <w:r w:rsidRPr="00743C28">
        <w:rPr>
          <w:vertAlign w:val="superscript"/>
        </w:rPr>
        <w:footnoteReference w:id="2"/>
      </w:r>
      <w:r w:rsidRPr="00743C28">
        <w:t>,</w:t>
      </w:r>
    </w:p>
    <w:p w:rsidR="00D84BEB" w:rsidRPr="00743C28" w:rsidRDefault="00D84BEB" w:rsidP="00423120">
      <w:pPr>
        <w:pStyle w:val="06-vet-bez-sel"/>
        <w:spacing w:after="200"/>
      </w:pPr>
      <w:r w:rsidRPr="00743C28">
        <w:t xml:space="preserve">všichni spotřebitelé </w:t>
      </w:r>
      <w:r>
        <w:t xml:space="preserve">se nacházejí </w:t>
      </w:r>
      <w:r w:rsidRPr="00743C28">
        <w:t>v jednom místě, kde jsou obchodovány všechny produkty,</w:t>
      </w:r>
    </w:p>
    <w:p w:rsidR="00D84BEB" w:rsidRPr="00743C28" w:rsidRDefault="00D84BEB" w:rsidP="00423120">
      <w:pPr>
        <w:pStyle w:val="06-vet-bez-sel"/>
        <w:spacing w:after="200"/>
      </w:pPr>
      <w:r w:rsidRPr="00743C28">
        <w:t>všichni výrobci mají stejn</w:t>
      </w:r>
      <w:r>
        <w:t>ou</w:t>
      </w:r>
      <w:r w:rsidRPr="00743C28">
        <w:t xml:space="preserve"> produkční funkci pro stejné produkty,</w:t>
      </w:r>
    </w:p>
    <w:p w:rsidR="00D84BEB" w:rsidRPr="00743C28" w:rsidRDefault="00D84BEB" w:rsidP="00423120">
      <w:pPr>
        <w:pStyle w:val="06-vet-bez-sel"/>
        <w:spacing w:after="200"/>
      </w:pPr>
      <w:r w:rsidRPr="00743C28">
        <w:t>dopravní spojení je ze všech stran stejné, neexistují žádné překážky,</w:t>
      </w:r>
    </w:p>
    <w:p w:rsidR="00D84BEB" w:rsidRPr="0071558F" w:rsidRDefault="00D84BEB" w:rsidP="00423120">
      <w:pPr>
        <w:pStyle w:val="06-vet-bez-sel"/>
        <w:spacing w:after="200"/>
      </w:pPr>
      <w:r w:rsidRPr="00743C28">
        <w:t>dopravní náklady jsou rozdílné pro různé produkty.</w:t>
      </w:r>
    </w:p>
    <w:p w:rsidR="00D84BEB" w:rsidRPr="00E77D54" w:rsidRDefault="00D84BEB" w:rsidP="00423120">
      <w:pPr>
        <w:pStyle w:val="05-Text"/>
        <w:rPr>
          <w:lang w:eastAsia="en-US"/>
        </w:rPr>
      </w:pPr>
      <w:r>
        <w:rPr>
          <w:lang w:eastAsia="en-US"/>
        </w:rPr>
        <w:lastRenderedPageBreak/>
        <w:t>J</w:t>
      </w:r>
      <w:r w:rsidRPr="00E77D54">
        <w:rPr>
          <w:lang w:eastAsia="en-US"/>
        </w:rPr>
        <w:t xml:space="preserve">e tedy zřejmé, že výrobci při </w:t>
      </w:r>
      <w:r>
        <w:rPr>
          <w:lang w:eastAsia="en-US"/>
        </w:rPr>
        <w:t>vše</w:t>
      </w:r>
      <w:r w:rsidRPr="00E77D54">
        <w:rPr>
          <w:lang w:eastAsia="en-US"/>
        </w:rPr>
        <w:t>obecné snaze maximalizovat zisk a při vědomí dokonalé mobility kapitálu mohou zaplatit za pronájem půdy maximálně částku rovnající se polohové rentě. Její výše pak závisí na dopravních nákladech, na produkovaném statku (naléhavost spotřeby</w:t>
      </w:r>
      <w:r w:rsidR="00BA6F21">
        <w:rPr>
          <w:lang w:eastAsia="en-US"/>
        </w:rPr>
        <w:t>,</w:t>
      </w:r>
      <w:r w:rsidRPr="00E77D54">
        <w:rPr>
          <w:lang w:eastAsia="en-US"/>
        </w:rPr>
        <w:t xml:space="preserve"> resp. nároky na jakost produktu) a tržní ceně (Ježek, 2002).</w:t>
      </w:r>
    </w:p>
    <w:p w:rsidR="00635CB0" w:rsidRDefault="00D84BEB" w:rsidP="00AA10C6">
      <w:pPr>
        <w:pStyle w:val="05-Text"/>
        <w:spacing w:after="120"/>
        <w:rPr>
          <w:lang w:eastAsia="en-US"/>
        </w:rPr>
      </w:pPr>
      <w:r w:rsidRPr="00E77D54">
        <w:rPr>
          <w:lang w:eastAsia="en-US"/>
        </w:rPr>
        <w:t>Obecně tak platí, že v blízkosti trhu je půda využívána k produkci plodin, které jsou ziskovější a jejich</w:t>
      </w:r>
      <w:r>
        <w:rPr>
          <w:lang w:eastAsia="en-US"/>
        </w:rPr>
        <w:t>ž</w:t>
      </w:r>
      <w:r w:rsidRPr="00E77D54">
        <w:rPr>
          <w:lang w:eastAsia="en-US"/>
        </w:rPr>
        <w:t xml:space="preserve"> doprava je nákladnější. S rostoucí vzdáleností od centra se pak půda využívá postupně pro zemědělské aktivity s nižší ziskovostí, které mají nižší dopravní náklady. To je důsledek toho, že farmáři o půdu soutěží, současně však v souladu s předpoklady modelu nemohou být stejné druhy produkce umístěny ve výrazně jiných lokalitách (Čadil, 2010). </w:t>
      </w:r>
      <w:r w:rsidRPr="00F1238D">
        <w:rPr>
          <w:lang w:eastAsia="en-US"/>
        </w:rPr>
        <w:t>Výše pozemkové renty je dána vztahem (Čadil, 2010):</w:t>
      </w:r>
    </w:p>
    <w:p w:rsidR="00635CB0" w:rsidRDefault="00D84BEB" w:rsidP="00AA10C6">
      <w:pPr>
        <w:pStyle w:val="05-Text"/>
        <w:spacing w:after="120"/>
        <w:jc w:val="center"/>
        <w:rPr>
          <w:lang w:eastAsia="en-US"/>
        </w:rPr>
      </w:pPr>
      <w:r w:rsidRPr="00F1238D">
        <w:rPr>
          <w:position w:val="-10"/>
          <w:lang w:eastAsia="en-US"/>
        </w:rPr>
        <w:object w:dxaOrig="22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8.75pt" o:ole="">
            <v:imagedata r:id="rId10" o:title=""/>
          </v:shape>
          <o:OLEObject Type="Embed" ProgID="Equation.3" ShapeID="_x0000_i1025" DrawAspect="Content" ObjectID="_1456295313" r:id="rId11"/>
        </w:object>
      </w:r>
      <w:r w:rsidRPr="00F1238D">
        <w:rPr>
          <w:lang w:eastAsia="en-US"/>
        </w:rPr>
        <w:t>,</w:t>
      </w:r>
    </w:p>
    <w:p w:rsidR="00D84BEB" w:rsidRPr="00F1238D" w:rsidRDefault="00D84BEB" w:rsidP="00423120">
      <w:pPr>
        <w:pStyle w:val="05-Text"/>
        <w:ind w:firstLine="0"/>
        <w:rPr>
          <w:lang w:eastAsia="en-US"/>
        </w:rPr>
      </w:pPr>
      <w:r w:rsidRPr="00F1238D">
        <w:rPr>
          <w:lang w:eastAsia="en-US"/>
        </w:rPr>
        <w:t xml:space="preserve">kde </w:t>
      </w:r>
      <w:r w:rsidRPr="00F1238D">
        <w:rPr>
          <w:i/>
          <w:lang w:eastAsia="en-US"/>
        </w:rPr>
        <w:t>R</w:t>
      </w:r>
      <w:r w:rsidRPr="00F1238D">
        <w:rPr>
          <w:i/>
          <w:vertAlign w:val="subscript"/>
          <w:lang w:eastAsia="en-US"/>
        </w:rPr>
        <w:t>L</w:t>
      </w:r>
      <w:r w:rsidRPr="00F1238D">
        <w:rPr>
          <w:lang w:eastAsia="en-US"/>
        </w:rPr>
        <w:t xml:space="preserve"> je ekonomický zisk farmáře transformovaný v rentu vlastníka, </w:t>
      </w:r>
      <w:r w:rsidRPr="00F1238D">
        <w:rPr>
          <w:i/>
          <w:lang w:eastAsia="en-US"/>
        </w:rPr>
        <w:t>P</w:t>
      </w:r>
      <w:r w:rsidRPr="00F1238D">
        <w:rPr>
          <w:lang w:eastAsia="en-US"/>
        </w:rPr>
        <w:t xml:space="preserve"> je cena produkce, </w:t>
      </w:r>
      <w:r w:rsidRPr="00F1238D">
        <w:rPr>
          <w:i/>
          <w:lang w:eastAsia="en-US"/>
        </w:rPr>
        <w:t>AC</w:t>
      </w:r>
      <w:r w:rsidRPr="00F1238D">
        <w:rPr>
          <w:lang w:eastAsia="en-US"/>
        </w:rPr>
        <w:t xml:space="preserve"> jsou průměrné náklady na jednotku produkce, </w:t>
      </w:r>
      <w:r w:rsidRPr="00F1238D">
        <w:rPr>
          <w:i/>
          <w:lang w:eastAsia="en-US"/>
        </w:rPr>
        <w:t>t</w:t>
      </w:r>
      <w:r w:rsidRPr="00F1238D">
        <w:rPr>
          <w:lang w:eastAsia="en-US"/>
        </w:rPr>
        <w:t xml:space="preserve"> je dopravní tarif, </w:t>
      </w:r>
      <w:r w:rsidRPr="00F1238D">
        <w:rPr>
          <w:i/>
          <w:lang w:eastAsia="en-US"/>
        </w:rPr>
        <w:t xml:space="preserve">d </w:t>
      </w:r>
      <w:r w:rsidRPr="00F1238D">
        <w:rPr>
          <w:lang w:eastAsia="en-US"/>
        </w:rPr>
        <w:t xml:space="preserve">vzdálenost od centrálního trhu a </w:t>
      </w:r>
      <w:r w:rsidRPr="00F1238D">
        <w:rPr>
          <w:i/>
          <w:lang w:eastAsia="en-US"/>
        </w:rPr>
        <w:t>Q</w:t>
      </w:r>
      <w:r w:rsidRPr="00F1238D">
        <w:rPr>
          <w:lang w:eastAsia="en-US"/>
        </w:rPr>
        <w:t xml:space="preserve"> je objem produkce.</w:t>
      </w:r>
    </w:p>
    <w:p w:rsidR="00D84BEB" w:rsidRPr="00D35EB2" w:rsidRDefault="00D84BEB" w:rsidP="00AA10C6">
      <w:pPr>
        <w:pStyle w:val="05-Text"/>
        <w:spacing w:after="120"/>
        <w:rPr>
          <w:color w:val="0000FF"/>
          <w:lang w:eastAsia="en-US"/>
        </w:rPr>
      </w:pPr>
      <w:r w:rsidRPr="00F1238D">
        <w:rPr>
          <w:lang w:eastAsia="en-US"/>
        </w:rPr>
        <w:t xml:space="preserve">Na jednoduchém příkladu lze ukázat, jak dospěl Thünen k modelu prostorové produkční struktury. Předpokládejme dvě komodity, a to zeleninu a obilí, při daných cenách trhu, jejichž polohová renta je </w:t>
      </w:r>
      <w:r w:rsidRPr="00F1238D">
        <w:rPr>
          <w:i/>
          <w:lang w:eastAsia="en-US"/>
        </w:rPr>
        <w:t>R</w:t>
      </w:r>
      <w:r w:rsidRPr="00F1238D">
        <w:rPr>
          <w:i/>
          <w:vertAlign w:val="subscript"/>
          <w:lang w:eastAsia="en-US"/>
        </w:rPr>
        <w:t>Z</w:t>
      </w:r>
      <w:r w:rsidRPr="00F1238D">
        <w:rPr>
          <w:lang w:eastAsia="en-US"/>
        </w:rPr>
        <w:t xml:space="preserve"> (zelenina) a </w:t>
      </w:r>
      <w:r w:rsidRPr="00F1238D">
        <w:rPr>
          <w:i/>
          <w:lang w:eastAsia="en-US"/>
        </w:rPr>
        <w:t>R</w:t>
      </w:r>
      <w:r w:rsidRPr="00F1238D">
        <w:rPr>
          <w:i/>
          <w:vertAlign w:val="subscript"/>
          <w:lang w:eastAsia="en-US"/>
        </w:rPr>
        <w:t>O</w:t>
      </w:r>
      <w:r w:rsidRPr="00F1238D">
        <w:rPr>
          <w:lang w:eastAsia="en-US"/>
        </w:rPr>
        <w:t xml:space="preserve"> (obilí). Zelenina má vzhledem k požadavkům trhu na jakost vyšší dopravní náklady, čemuž odpovídá strmější průběh křivky polohové renty. Z obrázku je patrné, že producenti v zóně A budou pěstovat zeleninu, neboť tak maximalizují zisk, resp. polohovou rentu. Analogicky v zóně B budou rolníci ze stejných důvodů pěstovat obilí (Ježek, 2002; Belajová, Fáziková, 2005).</w:t>
      </w:r>
    </w:p>
    <w:p w:rsidR="00D84BEB" w:rsidRPr="00D35EB2" w:rsidRDefault="00262CE4" w:rsidP="00423120">
      <w:pPr>
        <w:keepNext/>
        <w:widowControl w:val="0"/>
        <w:jc w:val="center"/>
        <w:rPr>
          <w:sz w:val="24"/>
          <w:szCs w:val="24"/>
          <w:lang w:eastAsia="en-US"/>
        </w:rPr>
      </w:pPr>
      <w:r>
        <w:rPr>
          <w:noProof/>
          <w:sz w:val="24"/>
          <w:szCs w:val="24"/>
          <w:lang w:val="en-GB" w:eastAsia="en-GB"/>
        </w:rPr>
        <w:drawing>
          <wp:inline distT="0" distB="0" distL="0" distR="0" wp14:anchorId="7D8BDE59" wp14:editId="79DDF018">
            <wp:extent cx="2951537" cy="3533775"/>
            <wp:effectExtent l="0" t="0" r="0" b="0"/>
            <wp:docPr id="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1537" cy="3533775"/>
                    </a:xfrm>
                    <a:prstGeom prst="rect">
                      <a:avLst/>
                    </a:prstGeom>
                    <a:noFill/>
                    <a:ln>
                      <a:noFill/>
                    </a:ln>
                  </pic:spPr>
                </pic:pic>
              </a:graphicData>
            </a:graphic>
          </wp:inline>
        </w:drawing>
      </w:r>
    </w:p>
    <w:p w:rsidR="00D84BEB" w:rsidRPr="003806C6" w:rsidRDefault="00D84BEB" w:rsidP="004A32D0">
      <w:pPr>
        <w:pStyle w:val="0G-Titulek"/>
        <w:ind w:firstLine="0"/>
      </w:pPr>
      <w:bookmarkStart w:id="5" w:name="_Toc349768217"/>
      <w:bookmarkStart w:id="6" w:name="_Toc382326805"/>
      <w:r w:rsidRPr="003806C6">
        <w:t xml:space="preserve">Obrázek 1: Thünenův model využití půdy: </w:t>
      </w:r>
      <w:r w:rsidR="00455008">
        <w:t>p</w:t>
      </w:r>
      <w:r w:rsidRPr="003806C6">
        <w:t>olohová renta pěstování zeleniny a obilí</w:t>
      </w:r>
      <w:bookmarkEnd w:id="5"/>
      <w:bookmarkEnd w:id="6"/>
    </w:p>
    <w:p w:rsidR="00D84BEB" w:rsidRPr="003806C6" w:rsidRDefault="00D84BEB" w:rsidP="004A32D0">
      <w:pPr>
        <w:pStyle w:val="0G-Pramen"/>
        <w:spacing w:after="200"/>
        <w:ind w:firstLine="0"/>
      </w:pPr>
      <w:r w:rsidRPr="003806C6">
        <w:t>Pramen: Ježek, 2002; Čadil, 2010 (upraveno).</w:t>
      </w:r>
    </w:p>
    <w:p w:rsidR="00D84BEB" w:rsidRPr="00D35EB2" w:rsidRDefault="00D84BEB" w:rsidP="00AA10C6">
      <w:pPr>
        <w:pStyle w:val="05-Text"/>
        <w:spacing w:after="120"/>
        <w:rPr>
          <w:lang w:eastAsia="en-US"/>
        </w:rPr>
      </w:pPr>
      <w:r w:rsidRPr="007B0D41">
        <w:rPr>
          <w:lang w:eastAsia="en-US"/>
        </w:rPr>
        <w:lastRenderedPageBreak/>
        <w:t>Jednotlivé zóny zemědělské výroby znázornil Thünen v podobě koncentrického modelu (viz následující obrázek). Střed tvoří centrální sídlo s trhem, které je obklopeno jednotlivými zemědělskými zónami</w:t>
      </w:r>
      <w:r w:rsidR="00423120">
        <w:rPr>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6"/>
        <w:gridCol w:w="6506"/>
      </w:tblGrid>
      <w:tr w:rsidR="00D84BEB" w:rsidRPr="00BD5341" w:rsidTr="00D852D9">
        <w:tc>
          <w:tcPr>
            <w:tcW w:w="2706" w:type="dxa"/>
            <w:tcBorders>
              <w:top w:val="nil"/>
              <w:left w:val="nil"/>
              <w:bottom w:val="nil"/>
              <w:right w:val="nil"/>
            </w:tcBorders>
          </w:tcPr>
          <w:p w:rsidR="00D84BEB" w:rsidRPr="00D852D9" w:rsidRDefault="00262CE4" w:rsidP="00423120">
            <w:pPr>
              <w:keepNext/>
              <w:jc w:val="both"/>
              <w:rPr>
                <w:rFonts w:ascii="Calibri" w:hAnsi="Calibri"/>
                <w:lang w:eastAsia="en-US"/>
              </w:rPr>
            </w:pPr>
            <w:r>
              <w:rPr>
                <w:rFonts w:ascii="Calibri" w:hAnsi="Calibri"/>
                <w:noProof/>
                <w:lang w:val="en-GB" w:eastAsia="en-GB"/>
              </w:rPr>
              <w:drawing>
                <wp:inline distT="0" distB="0" distL="0" distR="0" wp14:anchorId="7C94B177" wp14:editId="6F692308">
                  <wp:extent cx="1562735" cy="1541780"/>
                  <wp:effectExtent l="0" t="0" r="0" b="1270"/>
                  <wp:docPr id="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735" cy="1541780"/>
                          </a:xfrm>
                          <a:prstGeom prst="rect">
                            <a:avLst/>
                          </a:prstGeom>
                          <a:noFill/>
                          <a:ln>
                            <a:noFill/>
                          </a:ln>
                        </pic:spPr>
                      </pic:pic>
                    </a:graphicData>
                  </a:graphic>
                </wp:inline>
              </w:drawing>
            </w:r>
          </w:p>
        </w:tc>
        <w:tc>
          <w:tcPr>
            <w:tcW w:w="6506" w:type="dxa"/>
            <w:tcBorders>
              <w:top w:val="nil"/>
              <w:left w:val="nil"/>
              <w:bottom w:val="nil"/>
              <w:right w:val="nil"/>
            </w:tcBorders>
          </w:tcPr>
          <w:p w:rsidR="00D84BEB" w:rsidRPr="00D852D9" w:rsidRDefault="00D84BEB" w:rsidP="00423120">
            <w:pPr>
              <w:keepNext/>
              <w:ind w:left="720"/>
              <w:contextualSpacing/>
              <w:jc w:val="both"/>
              <w:rPr>
                <w:rFonts w:ascii="Calibri" w:hAnsi="Calibri"/>
                <w:lang w:eastAsia="en-US"/>
              </w:rPr>
            </w:pPr>
          </w:p>
          <w:p w:rsidR="00D84BEB" w:rsidRPr="00D852D9" w:rsidRDefault="00D84BEB" w:rsidP="00423120">
            <w:pPr>
              <w:keepNext/>
              <w:numPr>
                <w:ilvl w:val="0"/>
                <w:numId w:val="14"/>
              </w:numPr>
              <w:contextualSpacing/>
              <w:jc w:val="both"/>
              <w:rPr>
                <w:lang w:eastAsia="en-US"/>
              </w:rPr>
            </w:pPr>
            <w:r w:rsidRPr="00D852D9">
              <w:rPr>
                <w:lang w:eastAsia="en-US"/>
              </w:rPr>
              <w:t>příměstské zemědělství (zelenina, ovoce, mléko, květiny)</w:t>
            </w:r>
          </w:p>
          <w:p w:rsidR="00D84BEB" w:rsidRPr="00D852D9" w:rsidRDefault="00D84BEB" w:rsidP="00423120">
            <w:pPr>
              <w:keepNext/>
              <w:numPr>
                <w:ilvl w:val="0"/>
                <w:numId w:val="14"/>
              </w:numPr>
              <w:contextualSpacing/>
              <w:jc w:val="both"/>
              <w:rPr>
                <w:lang w:eastAsia="en-US"/>
              </w:rPr>
            </w:pPr>
            <w:r w:rsidRPr="00D852D9">
              <w:rPr>
                <w:lang w:eastAsia="en-US"/>
              </w:rPr>
              <w:t>produkce palivového a stavebního dřeva</w:t>
            </w:r>
          </w:p>
          <w:p w:rsidR="00D84BEB" w:rsidRPr="00D852D9" w:rsidRDefault="00D84BEB" w:rsidP="00423120">
            <w:pPr>
              <w:keepNext/>
              <w:numPr>
                <w:ilvl w:val="0"/>
                <w:numId w:val="14"/>
              </w:numPr>
              <w:contextualSpacing/>
              <w:jc w:val="both"/>
              <w:rPr>
                <w:lang w:eastAsia="en-US"/>
              </w:rPr>
            </w:pPr>
            <w:r w:rsidRPr="00D852D9">
              <w:rPr>
                <w:lang w:eastAsia="en-US"/>
              </w:rPr>
              <w:t>střídavé zemědělství bez úhoru</w:t>
            </w:r>
          </w:p>
          <w:p w:rsidR="00D84BEB" w:rsidRPr="00D852D9" w:rsidRDefault="00D84BEB" w:rsidP="00423120">
            <w:pPr>
              <w:keepNext/>
              <w:numPr>
                <w:ilvl w:val="0"/>
                <w:numId w:val="14"/>
              </w:numPr>
              <w:contextualSpacing/>
              <w:jc w:val="both"/>
              <w:rPr>
                <w:lang w:eastAsia="en-US"/>
              </w:rPr>
            </w:pPr>
            <w:r w:rsidRPr="00D852D9">
              <w:rPr>
                <w:lang w:eastAsia="en-US"/>
              </w:rPr>
              <w:t>střídavé zemědělství s úhory a pastvinami</w:t>
            </w:r>
          </w:p>
          <w:p w:rsidR="00D84BEB" w:rsidRPr="00D852D9" w:rsidRDefault="00D84BEB" w:rsidP="00423120">
            <w:pPr>
              <w:keepNext/>
              <w:numPr>
                <w:ilvl w:val="0"/>
                <w:numId w:val="14"/>
              </w:numPr>
              <w:contextualSpacing/>
              <w:jc w:val="both"/>
              <w:rPr>
                <w:lang w:eastAsia="en-US"/>
              </w:rPr>
            </w:pPr>
            <w:r w:rsidRPr="00D852D9">
              <w:rPr>
                <w:lang w:eastAsia="en-US"/>
              </w:rPr>
              <w:t>trojpolní systém (jař, ozim, úhor)</w:t>
            </w:r>
          </w:p>
          <w:p w:rsidR="00D84BEB" w:rsidRPr="00D852D9" w:rsidRDefault="000D2F39" w:rsidP="00423120">
            <w:pPr>
              <w:keepNext/>
              <w:numPr>
                <w:ilvl w:val="0"/>
                <w:numId w:val="14"/>
              </w:numPr>
              <w:contextualSpacing/>
              <w:jc w:val="both"/>
              <w:rPr>
                <w:lang w:eastAsia="en-US"/>
              </w:rPr>
            </w:pPr>
            <w:r>
              <w:rPr>
                <w:lang w:eastAsia="en-US"/>
              </w:rPr>
              <w:t>pastevectví</w:t>
            </w:r>
          </w:p>
          <w:p w:rsidR="00D84BEB" w:rsidRPr="00D852D9" w:rsidRDefault="00D84BEB" w:rsidP="00423120">
            <w:pPr>
              <w:keepNext/>
              <w:jc w:val="both"/>
              <w:rPr>
                <w:rFonts w:ascii="Calibri" w:hAnsi="Calibri"/>
                <w:lang w:eastAsia="en-US"/>
              </w:rPr>
            </w:pPr>
          </w:p>
        </w:tc>
      </w:tr>
    </w:tbl>
    <w:p w:rsidR="00D84BEB" w:rsidRDefault="00D84BEB" w:rsidP="004A32D0">
      <w:pPr>
        <w:pStyle w:val="0G-Titulek"/>
        <w:ind w:firstLine="0"/>
      </w:pPr>
      <w:bookmarkStart w:id="7" w:name="_Toc349768218"/>
      <w:bookmarkStart w:id="8" w:name="_Toc349824536"/>
      <w:bookmarkStart w:id="9" w:name="_Toc382326806"/>
      <w:r w:rsidRPr="004B5A13">
        <w:t>Obrázek 2: Thünenův model koncentrických zón zemědělské výroby</w:t>
      </w:r>
      <w:bookmarkEnd w:id="7"/>
      <w:bookmarkEnd w:id="8"/>
      <w:bookmarkEnd w:id="9"/>
    </w:p>
    <w:p w:rsidR="00D84BEB" w:rsidRPr="00423120" w:rsidRDefault="00D84BEB" w:rsidP="004A32D0">
      <w:pPr>
        <w:pStyle w:val="0G-Pramen"/>
        <w:spacing w:after="200"/>
        <w:ind w:firstLine="0"/>
      </w:pPr>
      <w:r w:rsidRPr="00464531">
        <w:t>Pramen: Belajová, Fáziková, 2005 (doplněno a přepracováno)</w:t>
      </w:r>
    </w:p>
    <w:p w:rsidR="00D84BEB" w:rsidRPr="00BD5341" w:rsidRDefault="00D84BEB" w:rsidP="00423120">
      <w:pPr>
        <w:pStyle w:val="05-Text"/>
        <w:rPr>
          <w:color w:val="0000FF"/>
          <w:lang w:eastAsia="en-US"/>
        </w:rPr>
      </w:pPr>
      <w:r w:rsidRPr="00D356CC">
        <w:rPr>
          <w:lang w:eastAsia="en-US"/>
        </w:rPr>
        <w:t xml:space="preserve">K podobným závěrům, které formuloval Thünen pro zemědělskou výrobu, dospěl A.Schäffle také v případě průmyslové výroby. Schäffle předpokládal, že výroba se </w:t>
      </w:r>
      <w:r>
        <w:rPr>
          <w:lang w:eastAsia="en-US"/>
        </w:rPr>
        <w:t xml:space="preserve">rovněž </w:t>
      </w:r>
      <w:r w:rsidRPr="00D356CC">
        <w:rPr>
          <w:lang w:eastAsia="en-US"/>
        </w:rPr>
        <w:t xml:space="preserve">lokalizuje po obvodu koncentrických kruhů v závislosti na výši </w:t>
      </w:r>
      <w:r>
        <w:rPr>
          <w:lang w:eastAsia="en-US"/>
        </w:rPr>
        <w:t xml:space="preserve">odpovídajících </w:t>
      </w:r>
      <w:r w:rsidRPr="00D356CC">
        <w:rPr>
          <w:lang w:eastAsia="en-US"/>
        </w:rPr>
        <w:t xml:space="preserve">dopravních nákladů. Formuloval také </w:t>
      </w:r>
      <w:r>
        <w:rPr>
          <w:lang w:eastAsia="en-US"/>
        </w:rPr>
        <w:t>premisu</w:t>
      </w:r>
      <w:r w:rsidRPr="00D356CC">
        <w:rPr>
          <w:lang w:eastAsia="en-US"/>
        </w:rPr>
        <w:t xml:space="preserve">, že </w:t>
      </w:r>
      <w:r>
        <w:rPr>
          <w:lang w:eastAsia="en-US"/>
        </w:rPr>
        <w:t xml:space="preserve">konkrétní </w:t>
      </w:r>
      <w:r w:rsidRPr="00D356CC">
        <w:rPr>
          <w:lang w:eastAsia="en-US"/>
        </w:rPr>
        <w:t>lokalizace</w:t>
      </w:r>
      <w:r w:rsidR="000D2F39">
        <w:rPr>
          <w:lang w:eastAsia="en-US"/>
        </w:rPr>
        <w:t xml:space="preserve"> průmyslu závisí na nárocích na </w:t>
      </w:r>
      <w:r w:rsidRPr="00D356CC">
        <w:rPr>
          <w:lang w:eastAsia="en-US"/>
        </w:rPr>
        <w:t>rozsah půdy</w:t>
      </w:r>
      <w:r w:rsidR="00BA6F21">
        <w:rPr>
          <w:lang w:eastAsia="en-US"/>
        </w:rPr>
        <w:t>,</w:t>
      </w:r>
      <w:r w:rsidRPr="00D356CC">
        <w:rPr>
          <w:lang w:eastAsia="en-US"/>
        </w:rPr>
        <w:t xml:space="preserve"> resp. pozemků. Čím jsou požadované plochy větší, tím větší je tendence </w:t>
      </w:r>
      <w:r>
        <w:rPr>
          <w:lang w:eastAsia="en-US"/>
        </w:rPr>
        <w:t>vy</w:t>
      </w:r>
      <w:r w:rsidRPr="00D356CC">
        <w:rPr>
          <w:lang w:eastAsia="en-US"/>
        </w:rPr>
        <w:t xml:space="preserve">místit výrobu </w:t>
      </w:r>
      <w:r>
        <w:rPr>
          <w:lang w:eastAsia="en-US"/>
        </w:rPr>
        <w:t>z</w:t>
      </w:r>
      <w:r w:rsidRPr="00D356CC">
        <w:rPr>
          <w:lang w:eastAsia="en-US"/>
        </w:rPr>
        <w:t xml:space="preserve"> města </w:t>
      </w:r>
      <w:r>
        <w:rPr>
          <w:lang w:eastAsia="en-US"/>
        </w:rPr>
        <w:t>do území s</w:t>
      </w:r>
      <w:r w:rsidRPr="00D356CC">
        <w:rPr>
          <w:lang w:eastAsia="en-US"/>
        </w:rPr>
        <w:t xml:space="preserve"> nižší pozemkov</w:t>
      </w:r>
      <w:r>
        <w:rPr>
          <w:lang w:eastAsia="en-US"/>
        </w:rPr>
        <w:t>ou</w:t>
      </w:r>
      <w:r w:rsidRPr="00D356CC">
        <w:rPr>
          <w:lang w:eastAsia="en-US"/>
        </w:rPr>
        <w:t xml:space="preserve"> rent</w:t>
      </w:r>
      <w:r>
        <w:rPr>
          <w:lang w:eastAsia="en-US"/>
        </w:rPr>
        <w:t>ou</w:t>
      </w:r>
      <w:r w:rsidRPr="00D356CC">
        <w:rPr>
          <w:lang w:eastAsia="en-US"/>
        </w:rPr>
        <w:t xml:space="preserve"> </w:t>
      </w:r>
      <w:r>
        <w:rPr>
          <w:lang w:eastAsia="en-US"/>
        </w:rPr>
        <w:t xml:space="preserve">– </w:t>
      </w:r>
      <w:r w:rsidRPr="00D356CC">
        <w:rPr>
          <w:lang w:eastAsia="en-US"/>
        </w:rPr>
        <w:t>suburbá</w:t>
      </w:r>
      <w:r>
        <w:rPr>
          <w:lang w:eastAsia="en-US"/>
        </w:rPr>
        <w:t>n</w:t>
      </w:r>
      <w:r w:rsidRPr="00D356CC">
        <w:rPr>
          <w:lang w:eastAsia="en-US"/>
        </w:rPr>
        <w:t>ní průmysl</w:t>
      </w:r>
      <w:r>
        <w:rPr>
          <w:lang w:eastAsia="en-US"/>
        </w:rPr>
        <w:t xml:space="preserve"> </w:t>
      </w:r>
      <w:r w:rsidRPr="00D356CC">
        <w:rPr>
          <w:lang w:eastAsia="en-US"/>
        </w:rPr>
        <w:t>(Hamalová a kol., 1996).</w:t>
      </w:r>
    </w:p>
    <w:p w:rsidR="00D84BEB" w:rsidRPr="00A83046" w:rsidRDefault="00D84BEB" w:rsidP="00423120">
      <w:pPr>
        <w:pStyle w:val="05-Text"/>
        <w:rPr>
          <w:lang w:eastAsia="en-US"/>
        </w:rPr>
      </w:pPr>
      <w:r w:rsidRPr="00A83046">
        <w:rPr>
          <w:lang w:eastAsia="en-US"/>
        </w:rPr>
        <w:t xml:space="preserve">Nejvýznamnější oblastí aplikace Thünenova modelu se z dnešního pohledu jeví teorie prostorové struktury měst, jejímž základem je neoklasická ekonomická analýza.  </w:t>
      </w:r>
      <w:r>
        <w:rPr>
          <w:lang w:eastAsia="en-US"/>
        </w:rPr>
        <w:t>Hlavním p</w:t>
      </w:r>
      <w:r w:rsidRPr="00A83046">
        <w:rPr>
          <w:lang w:eastAsia="en-US"/>
        </w:rPr>
        <w:t>ředstavitelem</w:t>
      </w:r>
      <w:r>
        <w:rPr>
          <w:lang w:eastAsia="en-US"/>
        </w:rPr>
        <w:t xml:space="preserve">, </w:t>
      </w:r>
      <w:r w:rsidRPr="00A83046">
        <w:rPr>
          <w:lang w:eastAsia="en-US"/>
        </w:rPr>
        <w:t>s nímž jsou spojovány počátky tohoto konceptu</w:t>
      </w:r>
      <w:r w:rsidR="003234EE">
        <w:rPr>
          <w:lang w:eastAsia="en-US"/>
        </w:rPr>
        <w:t>,</w:t>
      </w:r>
      <w:r w:rsidRPr="00A83046">
        <w:rPr>
          <w:lang w:eastAsia="en-US"/>
        </w:rPr>
        <w:t xml:space="preserve"> je W. Alonso</w:t>
      </w:r>
      <w:r>
        <w:rPr>
          <w:lang w:eastAsia="en-US"/>
        </w:rPr>
        <w:t>,</w:t>
      </w:r>
      <w:r w:rsidR="003234EE">
        <w:rPr>
          <w:lang w:eastAsia="en-US"/>
        </w:rPr>
        <w:t xml:space="preserve"> který při </w:t>
      </w:r>
      <w:r w:rsidRPr="00A83046">
        <w:rPr>
          <w:lang w:eastAsia="en-US"/>
        </w:rPr>
        <w:t xml:space="preserve">rozdělování jednotlivých aktivit uskutečňovaných v rámci města využil právě Thünenův koncentrický model. Neoklasický model využití půdy je </w:t>
      </w:r>
      <w:r>
        <w:rPr>
          <w:lang w:eastAsia="en-US"/>
        </w:rPr>
        <w:t xml:space="preserve">zde </w:t>
      </w:r>
      <w:r w:rsidRPr="00A83046">
        <w:rPr>
          <w:lang w:eastAsia="en-US"/>
        </w:rPr>
        <w:t>vystaven na stejných předpokladech</w:t>
      </w:r>
      <w:r w:rsidR="003234EE">
        <w:rPr>
          <w:lang w:eastAsia="en-US"/>
        </w:rPr>
        <w:t>,</w:t>
      </w:r>
      <w:r>
        <w:rPr>
          <w:lang w:eastAsia="en-US"/>
        </w:rPr>
        <w:t xml:space="preserve"> tj. </w:t>
      </w:r>
      <w:r w:rsidRPr="00A83046">
        <w:rPr>
          <w:lang w:eastAsia="en-US"/>
        </w:rPr>
        <w:t>homogenní prostor, dokonalé informace o trhu, snaha o maximalizaci zisku či užitku, s drobnou terminologickou odlišností</w:t>
      </w:r>
      <w:r>
        <w:rPr>
          <w:lang w:eastAsia="en-US"/>
        </w:rPr>
        <w:t xml:space="preserve"> – </w:t>
      </w:r>
      <w:r w:rsidRPr="00A83046">
        <w:rPr>
          <w:lang w:eastAsia="en-US"/>
        </w:rPr>
        <w:t xml:space="preserve">veškeré tržní transakce se odehrávají v centru </w:t>
      </w:r>
      <w:r>
        <w:rPr>
          <w:lang w:eastAsia="en-US"/>
        </w:rPr>
        <w:t>označovaném</w:t>
      </w:r>
      <w:r w:rsidRPr="00A83046">
        <w:rPr>
          <w:lang w:eastAsia="en-US"/>
        </w:rPr>
        <w:t xml:space="preserve"> jako central business district (CBD), pozemkov</w:t>
      </w:r>
      <w:r>
        <w:rPr>
          <w:lang w:eastAsia="en-US"/>
        </w:rPr>
        <w:t>á</w:t>
      </w:r>
      <w:r w:rsidRPr="00A83046">
        <w:rPr>
          <w:lang w:eastAsia="en-US"/>
        </w:rPr>
        <w:t xml:space="preserve"> rent</w:t>
      </w:r>
      <w:r>
        <w:rPr>
          <w:lang w:eastAsia="en-US"/>
        </w:rPr>
        <w:t>a</w:t>
      </w:r>
      <w:r w:rsidRPr="00A83046">
        <w:rPr>
          <w:lang w:eastAsia="en-US"/>
        </w:rPr>
        <w:t xml:space="preserve"> </w:t>
      </w:r>
      <w:r>
        <w:rPr>
          <w:lang w:eastAsia="en-US"/>
        </w:rPr>
        <w:t xml:space="preserve">je </w:t>
      </w:r>
      <w:r w:rsidRPr="00A83046">
        <w:rPr>
          <w:lang w:eastAsia="en-US"/>
        </w:rPr>
        <w:t>pak označ</w:t>
      </w:r>
      <w:r>
        <w:rPr>
          <w:lang w:eastAsia="en-US"/>
        </w:rPr>
        <w:t xml:space="preserve">ována </w:t>
      </w:r>
      <w:r w:rsidR="000724A0">
        <w:rPr>
          <w:lang w:eastAsia="en-US"/>
        </w:rPr>
        <w:t>jako bid rent (Maier, Čtyr</w:t>
      </w:r>
      <w:r w:rsidRPr="00A83046">
        <w:rPr>
          <w:lang w:eastAsia="en-US"/>
        </w:rPr>
        <w:t>oký, 2000;</w:t>
      </w:r>
      <w:r w:rsidRPr="00A83046">
        <w:rPr>
          <w:rFonts w:ascii="Calibri" w:hAnsi="Calibri"/>
          <w:lang w:eastAsia="en-US"/>
        </w:rPr>
        <w:t xml:space="preserve"> </w:t>
      </w:r>
      <w:r w:rsidRPr="00A83046">
        <w:rPr>
          <w:lang w:eastAsia="en-US"/>
        </w:rPr>
        <w:t xml:space="preserve">Belajová, Fáziková, 2005). </w:t>
      </w:r>
    </w:p>
    <w:p w:rsidR="00D84BEB" w:rsidRPr="00A83046" w:rsidRDefault="00D84BEB" w:rsidP="00423120">
      <w:pPr>
        <w:pStyle w:val="05-Text"/>
        <w:rPr>
          <w:lang w:eastAsia="en-US"/>
        </w:rPr>
      </w:pPr>
      <w:r w:rsidRPr="00A83046">
        <w:rPr>
          <w:lang w:eastAsia="en-US"/>
        </w:rPr>
        <w:t xml:space="preserve">Základním prvkem alokačního mechanismu tohoto modelu je trade off mezi velikostí pozemku (ale fakticky bid rent) a vzdáleností od centra (tedy dopravními náklady). Neoklasická teorie tedy využívá mechanismu mikroekonomické analýzy chování spotřebitele, v jejíž grafické podobě existují stejné úrovně užitku (indiferenční křivky) při různých kombinacích vzdálenosti pozemku a výše pozemkové renty. Nastavení hladiny užitku je individuální a odvíjí se od výše příjmu domácnosti a výše výdajů na </w:t>
      </w:r>
      <w:r>
        <w:rPr>
          <w:lang w:eastAsia="en-US"/>
        </w:rPr>
        <w:t xml:space="preserve">její </w:t>
      </w:r>
      <w:r w:rsidRPr="00A83046">
        <w:rPr>
          <w:lang w:eastAsia="en-US"/>
        </w:rPr>
        <w:t>běžnou spotřebu (Čadil, 2010)</w:t>
      </w:r>
      <w:r>
        <w:rPr>
          <w:lang w:eastAsia="en-US"/>
        </w:rPr>
        <w:t xml:space="preserve">. </w:t>
      </w:r>
      <w:r w:rsidRPr="00A83046">
        <w:rPr>
          <w:lang w:eastAsia="en-US"/>
        </w:rPr>
        <w:t>Z hlediska teorie využití půdy jsou považová</w:t>
      </w:r>
      <w:r w:rsidR="003234EE">
        <w:rPr>
          <w:lang w:eastAsia="en-US"/>
        </w:rPr>
        <w:t>ny výdaje na běžnou spotřebu za </w:t>
      </w:r>
      <w:r w:rsidRPr="00A83046">
        <w:rPr>
          <w:lang w:eastAsia="en-US"/>
        </w:rPr>
        <w:t>tu část příjmů, kterou nelze využít na úhradu bydlení. Po jejich odečtení má domácnost k dispozici příjmy, které dělí mezi rentu (nájemné) a dopravní náklady (náklady na překonání vzdálenosti). Je tedy logické, že platí elementární pravidlo</w:t>
      </w:r>
      <w:r>
        <w:rPr>
          <w:lang w:eastAsia="en-US"/>
        </w:rPr>
        <w:t>, že</w:t>
      </w:r>
      <w:r w:rsidRPr="00A83046">
        <w:rPr>
          <w:lang w:eastAsia="en-US"/>
        </w:rPr>
        <w:t xml:space="preserve"> s rostoucí vzdáleností klesá nájemné na m</w:t>
      </w:r>
      <w:r w:rsidRPr="00A83046">
        <w:rPr>
          <w:vertAlign w:val="superscript"/>
          <w:lang w:eastAsia="en-US"/>
        </w:rPr>
        <w:t>2</w:t>
      </w:r>
      <w:r w:rsidRPr="00A83046">
        <w:rPr>
          <w:lang w:eastAsia="en-US"/>
        </w:rPr>
        <w:t xml:space="preserve">. </w:t>
      </w:r>
    </w:p>
    <w:p w:rsidR="00D84BEB" w:rsidRPr="00A83046" w:rsidRDefault="00D84BEB" w:rsidP="00423120">
      <w:pPr>
        <w:pStyle w:val="05-Text"/>
        <w:rPr>
          <w:lang w:eastAsia="en-US"/>
        </w:rPr>
      </w:pPr>
      <w:r w:rsidRPr="00A83046">
        <w:rPr>
          <w:lang w:eastAsia="en-US"/>
        </w:rPr>
        <w:lastRenderedPageBreak/>
        <w:t>Na základě vztahu mezi požadovanou velikostí bydlení a částk</w:t>
      </w:r>
      <w:r>
        <w:rPr>
          <w:lang w:eastAsia="en-US"/>
        </w:rPr>
        <w:t>ou</w:t>
      </w:r>
      <w:r w:rsidRPr="00A83046">
        <w:rPr>
          <w:lang w:eastAsia="en-US"/>
        </w:rPr>
        <w:t xml:space="preserve">, kterou má domácnost k dispozici, lze konstruovat její bid rent křivku (Sýkora, 1993). Křivka bid rent představuje množinu kombinací výše renty (nájmu) a vzdálenosti, při kterých daná domácnost maximalizuje svůj užitek. Sklon </w:t>
      </w:r>
      <w:r>
        <w:rPr>
          <w:lang w:eastAsia="en-US"/>
        </w:rPr>
        <w:t xml:space="preserve">této </w:t>
      </w:r>
      <w:r w:rsidRPr="00A83046">
        <w:rPr>
          <w:lang w:eastAsia="en-US"/>
        </w:rPr>
        <w:t>křivky je dán velikostí příjmu domácnosti</w:t>
      </w:r>
      <w:r w:rsidR="003234EE">
        <w:rPr>
          <w:lang w:eastAsia="en-US"/>
        </w:rPr>
        <w:t>,</w:t>
      </w:r>
      <w:r w:rsidRPr="00A83046">
        <w:rPr>
          <w:lang w:eastAsia="en-US"/>
        </w:rPr>
        <w:t xml:space="preserve"> přičemž platí, že domácnost s nižšími příjmy je ochotná v centru (při nulové vzd</w:t>
      </w:r>
      <w:r w:rsidR="003234EE">
        <w:rPr>
          <w:lang w:eastAsia="en-US"/>
        </w:rPr>
        <w:t xml:space="preserve">álenosti) platit vyšší rentu za </w:t>
      </w:r>
      <w:r w:rsidRPr="00A83046">
        <w:rPr>
          <w:lang w:eastAsia="en-US"/>
        </w:rPr>
        <w:t>m</w:t>
      </w:r>
      <w:r w:rsidRPr="00A83046">
        <w:rPr>
          <w:vertAlign w:val="superscript"/>
          <w:lang w:eastAsia="en-US"/>
        </w:rPr>
        <w:t>2</w:t>
      </w:r>
      <w:r w:rsidRPr="00A83046">
        <w:rPr>
          <w:lang w:eastAsia="en-US"/>
        </w:rPr>
        <w:t xml:space="preserve"> než domácnost s vyššími příjmy. To je dáno spotřebitelským očekáváním obou domácností, kdy domácnost s vyššími příjmy požaduje v rámci maximalizace svého užitku větší plochu, než domácnost s nižšími příjmy. </w:t>
      </w:r>
    </w:p>
    <w:p w:rsidR="00D84BEB" w:rsidRPr="00A83046" w:rsidRDefault="00D84BEB" w:rsidP="00AA10C6">
      <w:pPr>
        <w:pStyle w:val="05-Text"/>
        <w:spacing w:after="120"/>
        <w:rPr>
          <w:lang w:eastAsia="en-US"/>
        </w:rPr>
      </w:pPr>
      <w:r w:rsidRPr="00A83046">
        <w:rPr>
          <w:lang w:eastAsia="en-US"/>
        </w:rPr>
        <w:t>Obecně potom platí, že pro různé bid rent křivky existují hranice vzdálenosti, kde by daná domácnost teoreticky mohla ještě bydlet, ale pouze při nulové rentě</w:t>
      </w:r>
      <w:r w:rsidR="00BA6F21">
        <w:rPr>
          <w:lang w:eastAsia="en-US"/>
        </w:rPr>
        <w:t>,</w:t>
      </w:r>
      <w:r w:rsidRPr="00A83046">
        <w:rPr>
          <w:lang w:eastAsia="en-US"/>
        </w:rPr>
        <w:t xml:space="preserve"> </w:t>
      </w:r>
      <w:r>
        <w:rPr>
          <w:lang w:eastAsia="en-US"/>
        </w:rPr>
        <w:t xml:space="preserve">resp. </w:t>
      </w:r>
      <w:r w:rsidRPr="00A83046">
        <w:rPr>
          <w:lang w:eastAsia="en-US"/>
        </w:rPr>
        <w:t>nájmu. Takovou hranicí je na následujícím obrázku vzdálenost 10 km (Sýkora, 1993)</w:t>
      </w:r>
      <w:r>
        <w:rPr>
          <w:lang w:eastAsia="en-US"/>
        </w:rPr>
        <w:t>.</w:t>
      </w:r>
      <w:r w:rsidRPr="00A83046">
        <w:rPr>
          <w:lang w:eastAsia="en-US"/>
        </w:rPr>
        <w:t xml:space="preserve"> Při této vzdálenosti je domácnost s vyššími příjmy (B) schopna do</w:t>
      </w:r>
      <w:r w:rsidR="003234EE">
        <w:rPr>
          <w:lang w:eastAsia="en-US"/>
        </w:rPr>
        <w:t>sáhnout požadovaného bydlení za </w:t>
      </w:r>
      <w:r w:rsidRPr="00A83046">
        <w:rPr>
          <w:lang w:eastAsia="en-US"/>
        </w:rPr>
        <w:t>cenu 500 Kč</w:t>
      </w:r>
      <w:r>
        <w:rPr>
          <w:lang w:eastAsia="en-US"/>
        </w:rPr>
        <w:t xml:space="preserve"> za</w:t>
      </w:r>
      <w:r w:rsidRPr="002B654C">
        <w:rPr>
          <w:lang w:eastAsia="en-US"/>
        </w:rPr>
        <w:t xml:space="preserve"> </w:t>
      </w:r>
      <w:r w:rsidRPr="00A83046">
        <w:rPr>
          <w:lang w:eastAsia="en-US"/>
        </w:rPr>
        <w:t>m</w:t>
      </w:r>
      <w:r w:rsidRPr="00A83046">
        <w:rPr>
          <w:vertAlign w:val="superscript"/>
          <w:lang w:eastAsia="en-US"/>
        </w:rPr>
        <w:t>2</w:t>
      </w:r>
      <w:r>
        <w:rPr>
          <w:lang w:eastAsia="en-US"/>
        </w:rPr>
        <w:t xml:space="preserve">. </w:t>
      </w:r>
      <w:r w:rsidRPr="00A83046">
        <w:rPr>
          <w:lang w:eastAsia="en-US"/>
        </w:rPr>
        <w:t>Z</w:t>
      </w:r>
      <w:r>
        <w:rPr>
          <w:lang w:eastAsia="en-US"/>
        </w:rPr>
        <w:t xml:space="preserve"> </w:t>
      </w:r>
      <w:r w:rsidRPr="00A83046">
        <w:rPr>
          <w:lang w:eastAsia="en-US"/>
        </w:rPr>
        <w:t xml:space="preserve">hlediska rozdělení prostoru pro různé příjmové skupiny domácností má pak zvláštní význam bod V, pro který platí, že ve vzdálenosti (0, V) je bydlení dostupnější (schopnost zaplatit vyšší rentu) pro domácnost s nižšími příjmy (A). Ve vzdálenosti vyšší než V je potom schopnost zaplatit vyšší nájem na straně domácnosti s vyššími příjmy. Tento mechanismus </w:t>
      </w:r>
      <w:r>
        <w:rPr>
          <w:lang w:eastAsia="en-US"/>
        </w:rPr>
        <w:t>tak umožňuje</w:t>
      </w:r>
      <w:r w:rsidRPr="00A83046">
        <w:rPr>
          <w:lang w:eastAsia="en-US"/>
        </w:rPr>
        <w:t xml:space="preserve"> </w:t>
      </w:r>
      <w:r>
        <w:rPr>
          <w:lang w:eastAsia="en-US"/>
        </w:rPr>
        <w:t xml:space="preserve">obecně </w:t>
      </w:r>
      <w:r w:rsidRPr="00A83046">
        <w:rPr>
          <w:lang w:eastAsia="en-US"/>
        </w:rPr>
        <w:t>vysvětl</w:t>
      </w:r>
      <w:r>
        <w:rPr>
          <w:lang w:eastAsia="en-US"/>
        </w:rPr>
        <w:t>it</w:t>
      </w:r>
      <w:r w:rsidRPr="00A83046">
        <w:rPr>
          <w:lang w:eastAsia="en-US"/>
        </w:rPr>
        <w:t xml:space="preserve"> prostorové segregace různých příjmových skupin ve městě. </w:t>
      </w:r>
    </w:p>
    <w:p w:rsidR="00D84BEB" w:rsidRPr="00A83046" w:rsidRDefault="00262CE4" w:rsidP="003D24EC">
      <w:pPr>
        <w:keepNext/>
        <w:spacing w:after="0"/>
        <w:ind w:firstLine="709"/>
        <w:jc w:val="center"/>
        <w:rPr>
          <w:color w:val="FF0000"/>
          <w:sz w:val="24"/>
          <w:szCs w:val="24"/>
          <w:lang w:eastAsia="en-US"/>
        </w:rPr>
      </w:pPr>
      <w:r>
        <w:rPr>
          <w:noProof/>
          <w:color w:val="FF0000"/>
          <w:sz w:val="24"/>
          <w:szCs w:val="24"/>
          <w:lang w:val="en-GB" w:eastAsia="en-GB"/>
        </w:rPr>
        <w:drawing>
          <wp:inline distT="0" distB="0" distL="0" distR="0" wp14:anchorId="2F71CD0A" wp14:editId="3BD3B819">
            <wp:extent cx="4667885" cy="3838575"/>
            <wp:effectExtent l="0" t="0" r="0" b="9525"/>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885" cy="3838575"/>
                    </a:xfrm>
                    <a:prstGeom prst="rect">
                      <a:avLst/>
                    </a:prstGeom>
                    <a:noFill/>
                    <a:ln>
                      <a:noFill/>
                    </a:ln>
                  </pic:spPr>
                </pic:pic>
              </a:graphicData>
            </a:graphic>
          </wp:inline>
        </w:drawing>
      </w:r>
    </w:p>
    <w:p w:rsidR="00D84BEB" w:rsidRDefault="00D84BEB" w:rsidP="004A32D0">
      <w:pPr>
        <w:pStyle w:val="0G-Titulek"/>
      </w:pPr>
      <w:bookmarkStart w:id="10" w:name="_Toc349768219"/>
      <w:bookmarkStart w:id="11" w:name="_Toc382326807"/>
      <w:r w:rsidRPr="00E80574">
        <w:t xml:space="preserve">Obrázek </w:t>
      </w:r>
      <w:r>
        <w:t>3</w:t>
      </w:r>
      <w:r w:rsidRPr="00E80574">
        <w:t>: Bid rent křivky pro dvě domácnosti s různými příjmy</w:t>
      </w:r>
      <w:bookmarkEnd w:id="10"/>
      <w:bookmarkEnd w:id="11"/>
    </w:p>
    <w:p w:rsidR="00D84BEB" w:rsidRPr="003234EE" w:rsidRDefault="00D84BEB" w:rsidP="004A32D0">
      <w:pPr>
        <w:pStyle w:val="0G-Pramen"/>
        <w:spacing w:after="200"/>
      </w:pPr>
      <w:r w:rsidRPr="00464531">
        <w:t>Pramen: Sýkora, 1993 (přepracováno a doplněno).</w:t>
      </w:r>
    </w:p>
    <w:p w:rsidR="00D84BEB" w:rsidRDefault="00D84BEB" w:rsidP="00AA10C6">
      <w:pPr>
        <w:pStyle w:val="05-Text"/>
        <w:spacing w:after="120"/>
        <w:rPr>
          <w:lang w:eastAsia="en-US"/>
        </w:rPr>
      </w:pPr>
      <w:r w:rsidRPr="00A83046">
        <w:rPr>
          <w:lang w:eastAsia="en-US"/>
        </w:rPr>
        <w:t xml:space="preserve">Uvedený neoklasický model je možné rozšířit, jak již bylo uvedeno, také na vysvětlení využití půdy ve městě pro různé aktivity (funkce). </w:t>
      </w:r>
      <w:r>
        <w:rPr>
          <w:lang w:eastAsia="en-US"/>
        </w:rPr>
        <w:t>Užitá v</w:t>
      </w:r>
      <w:r w:rsidRPr="00A83046">
        <w:rPr>
          <w:lang w:eastAsia="en-US"/>
        </w:rPr>
        <w:t>ýchodiska jsou přitom shodná. Jelikož nejsou domácnosti schopné konkurovat průmyslové výrobě</w:t>
      </w:r>
      <w:r w:rsidR="00BA6F21">
        <w:rPr>
          <w:lang w:eastAsia="en-US"/>
        </w:rPr>
        <w:t>,</w:t>
      </w:r>
      <w:r>
        <w:rPr>
          <w:lang w:eastAsia="en-US"/>
        </w:rPr>
        <w:t xml:space="preserve"> </w:t>
      </w:r>
      <w:r w:rsidRPr="00A83046">
        <w:rPr>
          <w:lang w:eastAsia="en-US"/>
        </w:rPr>
        <w:t xml:space="preserve">resp. obecně </w:t>
      </w:r>
      <w:r w:rsidRPr="00A83046">
        <w:rPr>
          <w:lang w:eastAsia="en-US"/>
        </w:rPr>
        <w:lastRenderedPageBreak/>
        <w:t>podnikatelským subjektům, které jsou schopny z jednotky plochy získat vyšší zisk v porovnání s užitkem domácností, mohou reálně získat méně výhodně položené pozemky než obchodní a průmyslové subjekty (Belajová, Fáziková, 2005). Připomeňme, že je to způsobeno strmostí křivek bid rent, kdy pro některé ekonomi</w:t>
      </w:r>
      <w:r w:rsidR="003234EE">
        <w:rPr>
          <w:lang w:eastAsia="en-US"/>
        </w:rPr>
        <w:t>cké činnosti klesá ziskovost se </w:t>
      </w:r>
      <w:r w:rsidRPr="00A83046">
        <w:rPr>
          <w:lang w:eastAsia="en-US"/>
        </w:rPr>
        <w:t xml:space="preserve">vzdáleností od centra (CBD) velmi prudce, naopak jiné </w:t>
      </w:r>
      <w:r>
        <w:rPr>
          <w:lang w:eastAsia="en-US"/>
        </w:rPr>
        <w:t xml:space="preserve">funkce </w:t>
      </w:r>
      <w:r w:rsidRPr="00A83046">
        <w:rPr>
          <w:lang w:eastAsia="en-US"/>
        </w:rPr>
        <w:t>se stávají s rostoucí vzdáleností konkurenceschopnější. To velmi dobře ukazuje následující obrázek znázorňující prostorové rozložení obchodní zóny (R</w:t>
      </w:r>
      <w:r w:rsidRPr="00A83046">
        <w:rPr>
          <w:vertAlign w:val="subscript"/>
          <w:lang w:eastAsia="en-US"/>
        </w:rPr>
        <w:t>o</w:t>
      </w:r>
      <w:r w:rsidRPr="00A83046">
        <w:rPr>
          <w:lang w:eastAsia="en-US"/>
        </w:rPr>
        <w:t>), průmyslové zóny (R</w:t>
      </w:r>
      <w:r w:rsidRPr="00A83046">
        <w:rPr>
          <w:vertAlign w:val="subscript"/>
          <w:lang w:eastAsia="en-US"/>
        </w:rPr>
        <w:t>p</w:t>
      </w:r>
      <w:r w:rsidRPr="00A83046">
        <w:rPr>
          <w:lang w:eastAsia="en-US"/>
        </w:rPr>
        <w:t>), zóny bydlení (R</w:t>
      </w:r>
      <w:r w:rsidRPr="00A83046">
        <w:rPr>
          <w:vertAlign w:val="subscript"/>
          <w:lang w:eastAsia="en-US"/>
        </w:rPr>
        <w:t>b</w:t>
      </w:r>
      <w:r w:rsidRPr="00A83046">
        <w:rPr>
          <w:lang w:eastAsia="en-US"/>
        </w:rPr>
        <w:t>) a zóny zemědělské výroby (R</w:t>
      </w:r>
      <w:r w:rsidRPr="00A83046">
        <w:rPr>
          <w:vertAlign w:val="subscript"/>
          <w:lang w:eastAsia="en-US"/>
        </w:rPr>
        <w:t>z</w:t>
      </w:r>
      <w:r w:rsidRPr="00A83046">
        <w:rPr>
          <w:lang w:eastAsia="en-US"/>
        </w:rPr>
        <w:t>).</w:t>
      </w:r>
    </w:p>
    <w:p w:rsidR="00D84BEB" w:rsidRPr="00087E00" w:rsidRDefault="00D84BEB" w:rsidP="00423120">
      <w:pPr>
        <w:keepNext/>
        <w:ind w:firstLine="709"/>
        <w:jc w:val="both"/>
        <w:rPr>
          <w:color w:val="FF0000"/>
          <w:sz w:val="24"/>
          <w:szCs w:val="24"/>
          <w:lang w:eastAsia="en-US"/>
        </w:rPr>
      </w:pPr>
    </w:p>
    <w:p w:rsidR="00D84BEB" w:rsidRPr="00A83046" w:rsidRDefault="00262CE4" w:rsidP="00423120">
      <w:pPr>
        <w:keepNext/>
        <w:keepLines/>
        <w:jc w:val="center"/>
        <w:rPr>
          <w:color w:val="0000FF"/>
          <w:sz w:val="24"/>
          <w:szCs w:val="24"/>
          <w:lang w:eastAsia="en-US"/>
        </w:rPr>
      </w:pPr>
      <w:r>
        <w:rPr>
          <w:noProof/>
          <w:color w:val="0000FF"/>
          <w:sz w:val="24"/>
          <w:szCs w:val="24"/>
          <w:lang w:val="en-GB" w:eastAsia="en-GB"/>
        </w:rPr>
        <w:drawing>
          <wp:inline distT="0" distB="0" distL="0" distR="0" wp14:anchorId="444A6B27" wp14:editId="75FD895D">
            <wp:extent cx="4731385" cy="4497705"/>
            <wp:effectExtent l="0" t="0" r="0" b="0"/>
            <wp:docPr id="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5">
                      <a:extLst>
                        <a:ext uri="{28A0092B-C50C-407E-A947-70E740481C1C}">
                          <a14:useLocalDpi xmlns:a14="http://schemas.microsoft.com/office/drawing/2010/main" val="0"/>
                        </a:ext>
                      </a:extLst>
                    </a:blip>
                    <a:srcRect l="-2527" r="4404" b="-192"/>
                    <a:stretch>
                      <a:fillRect/>
                    </a:stretch>
                  </pic:blipFill>
                  <pic:spPr bwMode="auto">
                    <a:xfrm>
                      <a:off x="0" y="0"/>
                      <a:ext cx="4731385" cy="4497705"/>
                    </a:xfrm>
                    <a:prstGeom prst="rect">
                      <a:avLst/>
                    </a:prstGeom>
                    <a:noFill/>
                    <a:ln>
                      <a:noFill/>
                    </a:ln>
                  </pic:spPr>
                </pic:pic>
              </a:graphicData>
            </a:graphic>
          </wp:inline>
        </w:drawing>
      </w:r>
    </w:p>
    <w:p w:rsidR="00D84BEB" w:rsidRDefault="00D84BEB" w:rsidP="004A32D0">
      <w:pPr>
        <w:pStyle w:val="0G-Titulek"/>
      </w:pPr>
      <w:bookmarkStart w:id="12" w:name="_Toc382326808"/>
      <w:r w:rsidRPr="00E80574">
        <w:t xml:space="preserve">Obrázek </w:t>
      </w:r>
      <w:r w:rsidRPr="001C16F9">
        <w:t>4</w:t>
      </w:r>
      <w:r w:rsidRPr="00E80574">
        <w:t>: Alonsův model struktury města</w:t>
      </w:r>
      <w:bookmarkEnd w:id="12"/>
    </w:p>
    <w:p w:rsidR="00D84BEB" w:rsidRPr="00464531" w:rsidRDefault="00D84BEB" w:rsidP="004A32D0">
      <w:pPr>
        <w:pStyle w:val="0G-Pramen"/>
        <w:spacing w:after="200"/>
      </w:pPr>
      <w:r w:rsidRPr="00464531">
        <w:t>Pramen: Belajová, Fáziková, 2005 (doplněno a přepracováno).</w:t>
      </w:r>
    </w:p>
    <w:p w:rsidR="00D84BEB" w:rsidRDefault="00D84BEB" w:rsidP="008725D4">
      <w:pPr>
        <w:pStyle w:val="05-Text"/>
        <w:spacing w:after="120"/>
        <w:rPr>
          <w:lang w:eastAsia="en-US"/>
        </w:rPr>
      </w:pPr>
      <w:r w:rsidRPr="00087E00">
        <w:rPr>
          <w:lang w:eastAsia="en-US"/>
        </w:rPr>
        <w:t xml:space="preserve">Alonsův </w:t>
      </w:r>
      <w:r w:rsidRPr="00E13961">
        <w:rPr>
          <w:lang w:eastAsia="en-US"/>
        </w:rPr>
        <w:t>model</w:t>
      </w:r>
      <w:r w:rsidR="003234EE">
        <w:rPr>
          <w:lang w:eastAsia="en-US"/>
        </w:rPr>
        <w:t xml:space="preserve"> má</w:t>
      </w:r>
      <w:r w:rsidRPr="00E13961">
        <w:rPr>
          <w:lang w:eastAsia="en-US"/>
        </w:rPr>
        <w:t xml:space="preserve"> </w:t>
      </w:r>
      <w:r>
        <w:rPr>
          <w:lang w:eastAsia="en-US"/>
        </w:rPr>
        <w:t xml:space="preserve">i </w:t>
      </w:r>
      <w:r w:rsidRPr="00E13961">
        <w:rPr>
          <w:lang w:eastAsia="en-US"/>
        </w:rPr>
        <w:t>přes nesporný přínos pro vysvětlení podstaty rozmístění e</w:t>
      </w:r>
      <w:r w:rsidR="003234EE">
        <w:rPr>
          <w:lang w:eastAsia="en-US"/>
        </w:rPr>
        <w:t xml:space="preserve">konomických aktivit ve městě </w:t>
      </w:r>
      <w:r w:rsidRPr="00E13961">
        <w:rPr>
          <w:lang w:eastAsia="en-US"/>
        </w:rPr>
        <w:t>řadu omezení. Na první pohled jsou zřejmé především dvě:</w:t>
      </w:r>
    </w:p>
    <w:p w:rsidR="00D84BEB" w:rsidRDefault="00D84BEB" w:rsidP="00DD17E2">
      <w:pPr>
        <w:pStyle w:val="05-vet-s-slovnm"/>
        <w:numPr>
          <w:ilvl w:val="0"/>
          <w:numId w:val="45"/>
        </w:numPr>
        <w:ind w:left="284" w:hanging="284"/>
        <w:rPr>
          <w:rStyle w:val="05-vet-s-slovnmChar"/>
        </w:rPr>
      </w:pPr>
      <w:r w:rsidRPr="003149AE">
        <w:rPr>
          <w:rStyle w:val="05-vet-s-slovnmChar"/>
        </w:rPr>
        <w:t xml:space="preserve">struktura měst je reálně značně diferencovaná přírodními danostmi, jako jsou nerovný terén, existence vodních toků, heterogenita půdy a následně vzniklou základní infrastrukturou liniových komunikací (zejména silnic), </w:t>
      </w:r>
    </w:p>
    <w:p w:rsidR="00D84BEB" w:rsidRDefault="008725D4" w:rsidP="00423120">
      <w:pPr>
        <w:pStyle w:val="05-vet-s-slovnm"/>
        <w:numPr>
          <w:ilvl w:val="0"/>
          <w:numId w:val="0"/>
        </w:numPr>
        <w:spacing w:after="200"/>
        <w:ind w:left="284" w:hanging="284"/>
      </w:pPr>
      <w:r>
        <w:t xml:space="preserve">2) </w:t>
      </w:r>
      <w:r w:rsidR="00D84BEB" w:rsidRPr="00E13961">
        <w:t xml:space="preserve">už města střední velikosti jsou charakteristická tím, že mají více center (zejména v důsledku historického spojení více menších sídel do jednoho města, případně v důsledku </w:t>
      </w:r>
      <w:r w:rsidR="00D84BEB" w:rsidRPr="00E13961">
        <w:lastRenderedPageBreak/>
        <w:t>vzniku nových obchodních center na zelené louce), nikoliv jen jedno, jak předpokládá Alonso.</w:t>
      </w:r>
    </w:p>
    <w:p w:rsidR="00D84BEB" w:rsidRPr="00A91347" w:rsidRDefault="00D84BEB" w:rsidP="00890421">
      <w:pPr>
        <w:pStyle w:val="02-Nadpis2"/>
        <w:rPr>
          <w:i/>
          <w:iCs/>
        </w:rPr>
      </w:pPr>
      <w:bookmarkStart w:id="13" w:name="_Toc382327181"/>
      <w:r w:rsidRPr="00A91347">
        <w:t>1.3. Urbanistické, sociologické a institucionální faktory rozvoje měst</w:t>
      </w:r>
      <w:bookmarkEnd w:id="13"/>
    </w:p>
    <w:p w:rsidR="00D84BEB" w:rsidRPr="00B635A3" w:rsidRDefault="00D84BEB" w:rsidP="00423120">
      <w:pPr>
        <w:pStyle w:val="05-Text"/>
      </w:pPr>
      <w:r w:rsidRPr="00B635A3">
        <w:t xml:space="preserve">Ke studiu </w:t>
      </w:r>
      <w:r>
        <w:t xml:space="preserve">měst </w:t>
      </w:r>
      <w:r w:rsidRPr="00B635A3">
        <w:t>lze přistupovat z pohledu různých teoretických paradigmat, např. geografického, urbanistického, antropologického, sociálně-ek</w:t>
      </w:r>
      <w:r w:rsidR="00C333B5">
        <w:t>ologického, institucionálního a </w:t>
      </w:r>
      <w:r w:rsidRPr="00B635A3">
        <w:t xml:space="preserve">politicko-ekonomického, přičemž všechny tyto „úhly pohledu“ se samozřejmě nezbytně prolínají a vzájemně doplňují.  </w:t>
      </w:r>
      <w:r>
        <w:t>Jako z</w:t>
      </w:r>
      <w:r w:rsidRPr="00B635A3">
        <w:t>ákladní metodologick</w:t>
      </w:r>
      <w:r>
        <w:t>é</w:t>
      </w:r>
      <w:r w:rsidRPr="00B635A3">
        <w:t xml:space="preserve"> přístupy </w:t>
      </w:r>
      <w:r>
        <w:t>k</w:t>
      </w:r>
      <w:r w:rsidRPr="00B635A3">
        <w:t xml:space="preserve">e studiu měst </w:t>
      </w:r>
      <w:r>
        <w:t>lze označit přístupy</w:t>
      </w:r>
      <w:r w:rsidRPr="00B635A3">
        <w:t xml:space="preserve"> zabývající se fyzickou strukturou měst (geografický přístup), urbánní etnologií a antropologií (antropologický přístup), využitím půdy (ekonomický přístup), funkční a sociálně prostorovou strukturou měst (urbanistický přístup), sociologií města (sociálně-ekologický přístup), rozdělením moci (institucionální přístup). V následující kapitole jsou blíže rozebrány poslední tři z výše jmenovaných metodologických přístupů studia městských sídel, skrze které lze nahlížet </w:t>
      </w:r>
      <w:r>
        <w:t>především</w:t>
      </w:r>
      <w:r w:rsidRPr="00B635A3">
        <w:t xml:space="preserve"> na sociologickou stránku rozvoje. </w:t>
      </w:r>
    </w:p>
    <w:p w:rsidR="00D84BEB" w:rsidRPr="00B97247" w:rsidRDefault="00D84BEB" w:rsidP="00423120">
      <w:pPr>
        <w:pStyle w:val="05-Text"/>
        <w:rPr>
          <w:color w:val="0000FF"/>
        </w:rPr>
      </w:pPr>
      <w:r w:rsidRPr="00B635A3">
        <w:t>Prostorová struktura měst je determinována dvěma základními komponentami, a to fyzickým a sociálním</w:t>
      </w:r>
      <w:r>
        <w:t xml:space="preserve"> </w:t>
      </w:r>
      <w:r w:rsidRPr="00B635A3">
        <w:t xml:space="preserve">prostředím. Fyzické prostředí představuje environmentální (blízkost přírodně významných lokalit, míra znečištění ovzduší, dostupnost městské zeleně, úroveň hluku apod.) a morfologické aspekty (morfologická struktura území, ale také např. charakter zástavby z pohledu horizontálního i vertikálního). Sociální prostředí pak </w:t>
      </w:r>
      <w:r>
        <w:t>vy</w:t>
      </w:r>
      <w:r w:rsidRPr="00B635A3">
        <w:t>tv</w:t>
      </w:r>
      <w:r>
        <w:t>á</w:t>
      </w:r>
      <w:r w:rsidRPr="00B635A3">
        <w:t xml:space="preserve">ří jednotliví aktéři socioekonomických procesů. Na studium sociálního prostředí lze nahlížet z hlediska individuálních charakteristik, pak hovoříme o analýze sociální prostorové struktury, nebo z hlediska celkového charakteru lidské činnosti (např. doprava, služby, bydlení, průmysl), pak hovoříme o tzv. analýze funkční prostorové struktury města. Dle výše uvedeného lze tedy studovat především fyzickou, funkční a sociální prostorovou strukturu (Sýkora, </w:t>
      </w:r>
      <w:r>
        <w:t>1993</w:t>
      </w:r>
      <w:r>
        <w:sym w:font="Symbol" w:char="F03B"/>
      </w:r>
      <w:r>
        <w:t xml:space="preserve"> </w:t>
      </w:r>
      <w:r w:rsidRPr="00B635A3">
        <w:t xml:space="preserve">2001). Z hlediska morfogenetických zón pak můžeme města </w:t>
      </w:r>
      <w:r>
        <w:t>členit</w:t>
      </w:r>
      <w:r w:rsidRPr="00B635A3">
        <w:t xml:space="preserve"> na tři zóny: kompaktní, přechodnou a suburbánní čili příměstskou (Kavan, 2012), přičemž jednotlivé zóny </w:t>
      </w:r>
      <w:r>
        <w:t>s</w:t>
      </w:r>
      <w:r w:rsidRPr="00B635A3">
        <w:t xml:space="preserve">e </w:t>
      </w:r>
      <w:r>
        <w:t xml:space="preserve">výrazně odlišují intenzitou </w:t>
      </w:r>
      <w:r w:rsidRPr="00B635A3">
        <w:t>změn</w:t>
      </w:r>
      <w:r>
        <w:t xml:space="preserve"> indukovaných</w:t>
      </w:r>
      <w:r w:rsidRPr="00B635A3">
        <w:t xml:space="preserve"> nov</w:t>
      </w:r>
      <w:r>
        <w:t>ou</w:t>
      </w:r>
      <w:r w:rsidRPr="00B635A3">
        <w:t xml:space="preserve"> zástavb</w:t>
      </w:r>
      <w:r>
        <w:t>ou</w:t>
      </w:r>
      <w:r w:rsidRPr="00B635A3">
        <w:t xml:space="preserve"> nebo transformac</w:t>
      </w:r>
      <w:r>
        <w:t>í</w:t>
      </w:r>
      <w:r w:rsidRPr="00B635A3">
        <w:t xml:space="preserve"> stávající zástavby.</w:t>
      </w:r>
    </w:p>
    <w:p w:rsidR="00D84BEB" w:rsidRPr="00B97247" w:rsidRDefault="00D84BEB" w:rsidP="00423120">
      <w:pPr>
        <w:pStyle w:val="05-Text"/>
        <w:rPr>
          <w:color w:val="0000FF"/>
        </w:rPr>
      </w:pPr>
      <w:r w:rsidRPr="00063D28">
        <w:t>Pokud jde o studium sociálně prostorové struktury sídel</w:t>
      </w:r>
      <w:r>
        <w:t>,</w:t>
      </w:r>
      <w:r w:rsidR="00C333B5">
        <w:t xml:space="preserve"> je vhodné podotknout, že do </w:t>
      </w:r>
      <w:r w:rsidRPr="00063D28">
        <w:t xml:space="preserve">analýz zabývající se touto </w:t>
      </w:r>
      <w:r w:rsidRPr="00600F38">
        <w:t xml:space="preserve">problematikou jsou jako jeden ze základních vstupů zahrnováni jednotliví obyvatelé sídel </w:t>
      </w:r>
      <w:r>
        <w:t xml:space="preserve">v souladu s </w:t>
      </w:r>
      <w:r w:rsidRPr="00600F38">
        <w:t>jejich trval</w:t>
      </w:r>
      <w:r>
        <w:t>ým</w:t>
      </w:r>
      <w:r w:rsidRPr="00600F38">
        <w:t xml:space="preserve"> bydliště</w:t>
      </w:r>
      <w:r>
        <w:t>m</w:t>
      </w:r>
      <w:r w:rsidRPr="00600F38">
        <w:t xml:space="preserve"> (v tomto kontextu je </w:t>
      </w:r>
      <w:r>
        <w:t>ovšem potřebné</w:t>
      </w:r>
      <w:r w:rsidRPr="00600F38">
        <w:t xml:space="preserve"> zmínit, že pro přesnější reflexi sociální reality je nutné zahrnovat i obyvatele pobývající v dané lokalitě přechodně či dokonce ilegálně, což dokresluje celkovou socioekonomickou situaci). Při hodnocení sociální prostorové struktury lze analyzovat následující komponenty: demografický status (věková struktura, počet dětí, rozvodovost apod.), socioekonomický status (vzdělanost, profese apod.), etnický status či v poslední době též genderový status.</w:t>
      </w:r>
    </w:p>
    <w:p w:rsidR="00D84BEB" w:rsidRPr="00864C3F" w:rsidRDefault="00D84BEB" w:rsidP="00AA10C6">
      <w:pPr>
        <w:pStyle w:val="05-Text"/>
        <w:spacing w:after="120"/>
      </w:pPr>
      <w:r w:rsidRPr="00864C3F">
        <w:t>Existují dva základní přístupy hodnocení změn sociálně-prostorové struktury sídel:</w:t>
      </w:r>
    </w:p>
    <w:p w:rsidR="00D84BEB" w:rsidRDefault="00D84BEB" w:rsidP="00AA10C6">
      <w:pPr>
        <w:pStyle w:val="05-Text"/>
        <w:numPr>
          <w:ilvl w:val="0"/>
          <w:numId w:val="15"/>
        </w:numPr>
        <w:spacing w:after="120"/>
        <w:ind w:left="357" w:hanging="357"/>
      </w:pPr>
      <w:r w:rsidRPr="00687F56">
        <w:t xml:space="preserve">Srovnání stavu prostorových vzorců dílčích stránek prostorové struktury města ve </w:t>
      </w:r>
      <w:r>
        <w:t>dvou nebo více časových řezech.</w:t>
      </w:r>
    </w:p>
    <w:p w:rsidR="00D84BEB" w:rsidRPr="00864C3F" w:rsidRDefault="00D84BEB" w:rsidP="00AA10C6">
      <w:pPr>
        <w:pStyle w:val="05-Text"/>
        <w:spacing w:after="120"/>
        <w:ind w:firstLine="0"/>
      </w:pPr>
      <w:r>
        <w:t>P</w:t>
      </w:r>
      <w:r w:rsidRPr="00864C3F">
        <w:t>říklad</w:t>
      </w:r>
      <w:r>
        <w:t>em</w:t>
      </w:r>
      <w:r w:rsidRPr="00864C3F">
        <w:t xml:space="preserve"> může být např. srovnání rozmístění vysokoškolsky vzdělaného obyvatelstva v rámci určitého města ve dvou po sobě jdoucích sčítáních lidu. Prostorové znázornění oblastí </w:t>
      </w:r>
      <w:r w:rsidRPr="00864C3F">
        <w:lastRenderedPageBreak/>
        <w:t>s vyšší mírou vysokoškolsky vzdělaných obyvatel pak umožňuje sledovat, zda v rámci města (příp. jeho spádové oblasti) dochází k migraci této skupiny obyvatel. Tento způsob zkoumání prostorových struktur měst využívá především kvantitat</w:t>
      </w:r>
      <w:r w:rsidR="00C333B5">
        <w:t>ivní metody a agregovaná data a </w:t>
      </w:r>
      <w:r w:rsidRPr="00864C3F">
        <w:t>zaměřuje se na zkoumání jednotlivých dílčích komponent metodou formální abstrakce.</w:t>
      </w:r>
    </w:p>
    <w:p w:rsidR="008725D4" w:rsidRDefault="00D84BEB" w:rsidP="008725D4">
      <w:pPr>
        <w:pStyle w:val="05-Text"/>
        <w:numPr>
          <w:ilvl w:val="0"/>
          <w:numId w:val="15"/>
        </w:numPr>
        <w:spacing w:after="120"/>
        <w:ind w:left="357" w:hanging="357"/>
      </w:pPr>
      <w:r w:rsidRPr="00687F56">
        <w:t>Zachycení nejvýznamnějších procesů proměny sociálně prostorových struktur.</w:t>
      </w:r>
    </w:p>
    <w:p w:rsidR="00D84BEB" w:rsidRPr="00864C3F" w:rsidRDefault="00D84BEB" w:rsidP="008725D4">
      <w:pPr>
        <w:pStyle w:val="05-Text"/>
        <w:spacing w:after="120"/>
        <w:ind w:firstLine="0"/>
        <w:rPr>
          <w:color w:val="0000FF"/>
        </w:rPr>
      </w:pPr>
      <w:r w:rsidRPr="0015160D">
        <w:t>Příkladem zachycení nejvýznamnějších procesů mohou být určité specifické jevy, ke kterým dochází v rámci společenských změn a které jsou odrazem proměn např. hodnotového rámce společnosti či změn myšlenkových schémat určujících chování jednotlivých aktérů (spotřebitelů, domácností, firem apod.). Projevem takovéto změny může být např. proces suburbanizace, který se v České republice začal významně rozvíjet na přelomu druhého tisíciletí a který je důležitým aspektem současných rozvojových trendů našich nejen nejvýznamnějších měst</w:t>
      </w:r>
      <w:r w:rsidR="00BA6F21">
        <w:t>,</w:t>
      </w:r>
      <w:r w:rsidRPr="0015160D">
        <w:t xml:space="preserve"> </w:t>
      </w:r>
      <w:r>
        <w:t>resp.</w:t>
      </w:r>
      <w:r w:rsidRPr="0015160D">
        <w:t xml:space="preserve"> městských aglomerací. Tento přístup vedle výše uvedených kvantitativních metod a agregovaných souborů dat nutně využívá i doplňujících terénních průzkumů či šetření. Zatímco v předchozím případě je primárním cílem především zachycení určitých prostorových změn a jejich co nejobjektivnější deskripce, v případě zkoumání </w:t>
      </w:r>
      <w:r>
        <w:t xml:space="preserve">hlavních </w:t>
      </w:r>
      <w:r w:rsidRPr="0015160D">
        <w:t xml:space="preserve">procesů projevujících se v prostorové struktuře je cílem nejen popis těchto procesů, ale především jeho interpretace a tedy i identifikace klíčových faktorů, které k těmto změnám přispěly (respektive explanace vztahů příčin a </w:t>
      </w:r>
      <w:r>
        <w:t>ná</w:t>
      </w:r>
      <w:r w:rsidRPr="0015160D">
        <w:t>sledků), a to metodou věcné abstrakce (Sýkora, 2001). Z </w:t>
      </w:r>
      <w:r>
        <w:t>daného</w:t>
      </w:r>
      <w:r w:rsidRPr="0015160D">
        <w:t xml:space="preserve"> pohledu studia sociální struktury sídel je důležité, zda v lokalitě zůstávají původní obyvatelé nebo zda jsou původní obyvatelé nahrazování novými obyvateli (např. prostřednictvím gentrifikace).</w:t>
      </w:r>
    </w:p>
    <w:p w:rsidR="00D84BEB" w:rsidRDefault="00D84BEB" w:rsidP="00423120">
      <w:pPr>
        <w:pStyle w:val="05-Text"/>
      </w:pPr>
      <w:r w:rsidRPr="00AF43C0">
        <w:t xml:space="preserve">Sociologie města se zabývá městem jako sociálně prostorovou organizací lidských společenství a procesy vytváření těchto společenství. Na úvod této části uveďme definici města dle největšího českého sociologa měst Jiřího Musila: „Město je složitým sociálním systémem, vyznačujícím se rozvinutou dělbou práce a velkou hustotou obyvatelstva, které je sociálně velmi různorodé, nezabývá se zemědělstvím a vytvořilo si soustavu interakcí, </w:t>
      </w:r>
      <w:r w:rsidRPr="00AA2A1F">
        <w:t>charakterizovanou distancí v meziosobních vztazích, pa</w:t>
      </w:r>
      <w:r w:rsidR="00675F0A">
        <w:t>rtikulárností sociálních rolí a </w:t>
      </w:r>
      <w:r w:rsidRPr="00AA2A1F">
        <w:t>nepřímými způsoby sociální kontroly“</w:t>
      </w:r>
      <w:r>
        <w:t>.</w:t>
      </w:r>
      <w:r w:rsidRPr="00AA2A1F">
        <w:t xml:space="preserve"> Každá z</w:t>
      </w:r>
      <w:r>
        <w:t>e</w:t>
      </w:r>
      <w:r w:rsidRPr="00AA2A1F">
        <w:t> sociologick</w:t>
      </w:r>
      <w:r>
        <w:t>ých</w:t>
      </w:r>
      <w:r w:rsidRPr="00AA2A1F">
        <w:t xml:space="preserve"> teorií, které se studiem města zabývají</w:t>
      </w:r>
      <w:r>
        <w:t>,</w:t>
      </w:r>
      <w:r w:rsidRPr="00AA2A1F">
        <w:t xml:space="preserve"> se pak pohybuje mezi dvěma extrémy radikálního urbanismu a </w:t>
      </w:r>
      <w:r w:rsidRPr="00F6429B">
        <w:t>radikálního antiurbanismu či kulturního pesimismu nebo optimismu (Musil, 1967).</w:t>
      </w:r>
    </w:p>
    <w:p w:rsidR="00D84BEB" w:rsidRDefault="00D84BEB" w:rsidP="00423120">
      <w:pPr>
        <w:pStyle w:val="05-Text"/>
      </w:pPr>
      <w:r w:rsidRPr="007339FF">
        <w:t xml:space="preserve">Institucionální přístup </w:t>
      </w:r>
      <w:r>
        <w:t xml:space="preserve">je zaměřen především na </w:t>
      </w:r>
      <w:r w:rsidRPr="007339FF">
        <w:t>vysvětlení některých pozorovaných konfliktů mezi různými zájmovými skupinami a důrazem na roli nositelů moci pro rozvoj města ve vztahu k jejich ekonomickému a politickému vlivu. Hlavními představiteli jsou Rex a Moore</w:t>
      </w:r>
      <w:r>
        <w:t xml:space="preserve"> </w:t>
      </w:r>
      <w:r w:rsidRPr="007339FF">
        <w:t>(</w:t>
      </w:r>
      <w:r w:rsidRPr="00F92567">
        <w:t>1967)</w:t>
      </w:r>
      <w:r w:rsidRPr="007339FF">
        <w:t>, kteří rozvoj bydlení vysvětlovali zařazením obyvatel dle společenských tříd</w:t>
      </w:r>
      <w:r w:rsidRPr="00F92567">
        <w:t>. Na tyto dva autory pak navazuje R. Pahl, který se zabývá p</w:t>
      </w:r>
      <w:r w:rsidR="00675F0A">
        <w:t>ředevším otázkami zaměřenými na </w:t>
      </w:r>
      <w:r w:rsidRPr="00F92567">
        <w:t>to, kdo rozhoduje o nedostatkových zdrojích</w:t>
      </w:r>
      <w:r>
        <w:t>,</w:t>
      </w:r>
      <w:r w:rsidRPr="00F92567">
        <w:t xml:space="preserve"> </w:t>
      </w:r>
      <w:r>
        <w:t>na</w:t>
      </w:r>
      <w:r w:rsidRPr="00F92567">
        <w:t xml:space="preserve"> způsob</w:t>
      </w:r>
      <w:r>
        <w:t>y</w:t>
      </w:r>
      <w:r w:rsidRPr="00F92567">
        <w:t xml:space="preserve"> jejich rozdělování a kdo je jejich konečným příjemcem, přičemž zdůrazňuje lokální úroveň těchto problémů a za klíčové aktéry pak považuje municipální úředníky (Pahl</w:t>
      </w:r>
      <w:r>
        <w:t>,</w:t>
      </w:r>
      <w:r w:rsidRPr="00F92567">
        <w:t xml:space="preserve"> 1975). Dalšími autory jsou Basset a</w:t>
      </w:r>
      <w:r w:rsidR="00675F0A">
        <w:t xml:space="preserve"> Short, kteří do </w:t>
      </w:r>
      <w:r w:rsidRPr="00F92567">
        <w:t>studia města vnesli důležitost vlivu vládních politik na specifika lokálního či municipálního prostředí skrze síť vzájemně propojených vztahů a dále vyzdvihl</w:t>
      </w:r>
      <w:r>
        <w:t>i</w:t>
      </w:r>
      <w:r w:rsidRPr="00F92567">
        <w:t xml:space="preserve"> roli soukromého sektoru</w:t>
      </w:r>
      <w:r>
        <w:t>, zejména</w:t>
      </w:r>
      <w:r w:rsidRPr="00F92567">
        <w:t xml:space="preserve"> developerů (Basset, Short</w:t>
      </w:r>
      <w:r>
        <w:t>,</w:t>
      </w:r>
      <w:r w:rsidRPr="00F92567">
        <w:t xml:space="preserve"> 1980).</w:t>
      </w:r>
    </w:p>
    <w:p w:rsidR="007E2E90" w:rsidRDefault="00D84BEB" w:rsidP="00AA10C6">
      <w:pPr>
        <w:pStyle w:val="05-Text"/>
        <w:spacing w:after="120"/>
      </w:pPr>
      <w:r>
        <w:lastRenderedPageBreak/>
        <w:t xml:space="preserve">V další části jsou uvedeny vybrané teoretické přístupy ke studiu měst, akcentující především urbanistické a sociologické pohledy na jejich rozvoj. </w:t>
      </w:r>
      <w:r w:rsidRPr="00D2095A">
        <w:t xml:space="preserve">Prvním z nich je </w:t>
      </w:r>
      <w:r>
        <w:t>t</w:t>
      </w:r>
      <w:r w:rsidRPr="00D2095A">
        <w:t>eorie soustředných zón (teorie koncentrických pásem</w:t>
      </w:r>
      <w:r>
        <w:t>.</w:t>
      </w:r>
      <w:r w:rsidRPr="00D2095A">
        <w:t xml:space="preserve"> </w:t>
      </w:r>
      <w:r>
        <w:t>Po</w:t>
      </w:r>
      <w:r w:rsidRPr="00D2095A">
        <w:t>le této teorie, jejímž hlavním představitelem je E. Burgess, se</w:t>
      </w:r>
      <w:r w:rsidRPr="00F6429B">
        <w:t xml:space="preserve"> města rozvíjí ze svého obchodně-správního centra prostřednictvím soustředných zón, přičemž každá z nich je charakterizována specifickými </w:t>
      </w:r>
      <w:r w:rsidRPr="00DB6E18">
        <w:t>sociologickými charakteristikami. Jde o následující zóny (Burgess, 1925):</w:t>
      </w:r>
    </w:p>
    <w:p w:rsidR="001C06EC" w:rsidRDefault="001C06EC" w:rsidP="00AA10C6">
      <w:pPr>
        <w:pStyle w:val="05-Text"/>
        <w:spacing w:after="120"/>
        <w:ind w:firstLine="0"/>
      </w:pPr>
      <w:r>
        <w:t>1. zóna – centrální obchodní čtvrť, kde žije menší počet obyvatel s trvalým bydlištěm</w:t>
      </w:r>
      <w:r w:rsidR="00AA10C6">
        <w:t>,</w:t>
      </w:r>
    </w:p>
    <w:p w:rsidR="001C06EC" w:rsidRDefault="001C06EC" w:rsidP="00AA10C6">
      <w:pPr>
        <w:pStyle w:val="05-Text"/>
        <w:tabs>
          <w:tab w:val="left" w:pos="142"/>
        </w:tabs>
        <w:spacing w:after="120"/>
        <w:ind w:firstLine="0"/>
      </w:pPr>
      <w:r>
        <w:t xml:space="preserve">2. zóna – přechodná </w:t>
      </w:r>
      <w:r w:rsidRPr="001C06EC">
        <w:t>část s vysokou hustotou osídlení, kde žije první generace nově přistěhovalých a je zde mírně zastoupen obchod a lehký průmysl,</w:t>
      </w:r>
    </w:p>
    <w:p w:rsidR="001C06EC" w:rsidRDefault="001C06EC" w:rsidP="00AA10C6">
      <w:pPr>
        <w:pStyle w:val="05-Text"/>
        <w:spacing w:after="120"/>
        <w:ind w:firstLine="0"/>
      </w:pPr>
      <w:r>
        <w:t xml:space="preserve">3. zóna – </w:t>
      </w:r>
      <w:r w:rsidRPr="001C06EC">
        <w:t>obytná zóna pro dělnické skupiny obyvatel,</w:t>
      </w:r>
    </w:p>
    <w:p w:rsidR="001C06EC" w:rsidRDefault="00AA10C6" w:rsidP="00AA10C6">
      <w:pPr>
        <w:pStyle w:val="05-Text"/>
        <w:spacing w:after="120"/>
        <w:ind w:firstLine="0"/>
      </w:pPr>
      <w:r>
        <w:t xml:space="preserve">4. </w:t>
      </w:r>
      <w:r w:rsidR="001C06EC">
        <w:t xml:space="preserve">zóna – </w:t>
      </w:r>
      <w:r w:rsidR="001C06EC" w:rsidRPr="001C06EC">
        <w:t>obytná zóna pro střední ale i vyšší skupiny obyvatel, výskyt lukrativnějších nájemních domů a vilových čtvrtí,</w:t>
      </w:r>
    </w:p>
    <w:p w:rsidR="001C06EC" w:rsidRDefault="001C06EC" w:rsidP="00AA10C6">
      <w:pPr>
        <w:pStyle w:val="05-Text"/>
        <w:spacing w:after="120"/>
        <w:ind w:firstLine="0"/>
      </w:pPr>
      <w:r>
        <w:t xml:space="preserve">5. zóna – </w:t>
      </w:r>
      <w:r w:rsidRPr="001C06EC">
        <w:t>jde o předměstskou zónu s jednotlivými satelity, ze</w:t>
      </w:r>
      <w:r w:rsidR="00C333B5">
        <w:t xml:space="preserve"> kterých obyvatelé dojíždějí za </w:t>
      </w:r>
      <w:r w:rsidRPr="001C06EC">
        <w:t>prací do centra města.</w:t>
      </w:r>
    </w:p>
    <w:p w:rsidR="00D84BEB" w:rsidRPr="002C3EB2" w:rsidRDefault="00D84BEB" w:rsidP="00423120">
      <w:pPr>
        <w:pStyle w:val="05-Text"/>
      </w:pPr>
      <w:r w:rsidRPr="00C06411">
        <w:t>Další teori</w:t>
      </w:r>
      <w:r>
        <w:t>í</w:t>
      </w:r>
      <w:r w:rsidRPr="00C06411">
        <w:t xml:space="preserve"> rozvoje měst </w:t>
      </w:r>
      <w:r w:rsidR="00675F0A">
        <w:t xml:space="preserve">vychází z tzv. </w:t>
      </w:r>
      <w:r w:rsidRPr="00C06411">
        <w:t>Chicagsk</w:t>
      </w:r>
      <w:r>
        <w:t>é</w:t>
      </w:r>
      <w:r w:rsidRPr="00C06411">
        <w:t xml:space="preserve"> škol</w:t>
      </w:r>
      <w:r>
        <w:t xml:space="preserve">y a </w:t>
      </w:r>
      <w:r w:rsidRPr="00C06411">
        <w:t>jejím hlavním představitelem je R. Park, který rozlišoval biotickou a kulturní úroveň rozvoje společnosti, přičemž na biotické úrovni se uplatňují klíčové evoluční principy soutěže a sukcese a kulturní úroveň je nadstavbou úrovně biotické. Stěžejní roli tedy hraje úroveň biotická, která nejvíce ovlivňuje rozmístění různých funkcí ve městech a je projevem prosazení progresivnější</w:t>
      </w:r>
      <w:r>
        <w:t>ch prvků či aktérů (Park, 1936).</w:t>
      </w:r>
    </w:p>
    <w:p w:rsidR="00D84BEB" w:rsidRPr="002E4457" w:rsidRDefault="00D84BEB" w:rsidP="00AA10C6">
      <w:pPr>
        <w:keepNext/>
        <w:widowControl w:val="0"/>
        <w:spacing w:after="120"/>
        <w:ind w:firstLine="720"/>
        <w:jc w:val="both"/>
        <w:rPr>
          <w:sz w:val="24"/>
          <w:szCs w:val="24"/>
        </w:rPr>
      </w:pPr>
      <w:r w:rsidRPr="004A23C1">
        <w:rPr>
          <w:sz w:val="24"/>
          <w:szCs w:val="24"/>
        </w:rPr>
        <w:t>Dalším přístupem je tzv. sektorová teorie, kterou poprvé uvedl H. Hoyt</w:t>
      </w:r>
      <w:r>
        <w:rPr>
          <w:sz w:val="24"/>
          <w:szCs w:val="24"/>
        </w:rPr>
        <w:t xml:space="preserve">. </w:t>
      </w:r>
      <w:r w:rsidRPr="004A23C1">
        <w:rPr>
          <w:sz w:val="24"/>
          <w:szCs w:val="24"/>
        </w:rPr>
        <w:t xml:space="preserve">Tato </w:t>
      </w:r>
      <w:r w:rsidRPr="002E4457">
        <w:rPr>
          <w:sz w:val="24"/>
          <w:szCs w:val="24"/>
        </w:rPr>
        <w:t>teorie v podstatě navazuje na teorii soustředných zón, ale v některých aspektech ji doplňuje. Hlavními teoretickými východisky jsou následující předpoklady (Hoyt, 1937):</w:t>
      </w:r>
    </w:p>
    <w:p w:rsidR="008725D4" w:rsidRDefault="00D84BEB" w:rsidP="00DD17E2">
      <w:pPr>
        <w:pStyle w:val="Odstavecseseznamem"/>
        <w:keepNext/>
        <w:widowControl w:val="0"/>
        <w:numPr>
          <w:ilvl w:val="0"/>
          <w:numId w:val="8"/>
        </w:numPr>
        <w:spacing w:after="120"/>
        <w:ind w:left="357" w:hanging="357"/>
        <w:jc w:val="both"/>
        <w:rPr>
          <w:sz w:val="24"/>
          <w:szCs w:val="24"/>
        </w:rPr>
      </w:pPr>
      <w:r w:rsidRPr="002C3EB2">
        <w:rPr>
          <w:sz w:val="24"/>
          <w:szCs w:val="24"/>
        </w:rPr>
        <w:t>kolem obchodních center nedochází k utváření průmyslových zón, ty se naopak vytvářejí především podél vodních toků, železniční a silniční infrastruktury nebo na kraji měst</w:t>
      </w:r>
      <w:r>
        <w:rPr>
          <w:sz w:val="24"/>
          <w:szCs w:val="24"/>
        </w:rPr>
        <w:t>,</w:t>
      </w:r>
    </w:p>
    <w:p w:rsidR="008725D4" w:rsidRDefault="00D84BEB" w:rsidP="00DD17E2">
      <w:pPr>
        <w:pStyle w:val="Odstavecseseznamem"/>
        <w:keepNext/>
        <w:widowControl w:val="0"/>
        <w:numPr>
          <w:ilvl w:val="0"/>
          <w:numId w:val="8"/>
        </w:numPr>
        <w:spacing w:after="120"/>
        <w:ind w:left="357" w:hanging="357"/>
        <w:jc w:val="both"/>
        <w:rPr>
          <w:sz w:val="24"/>
          <w:szCs w:val="24"/>
        </w:rPr>
      </w:pPr>
      <w:r w:rsidRPr="00DD17E2">
        <w:rPr>
          <w:sz w:val="24"/>
          <w:szCs w:val="24"/>
        </w:rPr>
        <w:t>obytné zóny obydlené bohatšími obyvateli nejsou rozmístěny rovnoměrně v posledním soustředném pásmu kompaktního města, ale nacházejí se pouze v některých jeho částech, přičemž s rozvojem města a jeho územní expanzí se tit</w:t>
      </w:r>
      <w:r w:rsidR="00675F0A" w:rsidRPr="00DD17E2">
        <w:rPr>
          <w:sz w:val="24"/>
          <w:szCs w:val="24"/>
        </w:rPr>
        <w:t>o obyvatelé stěhují ve směru od </w:t>
      </w:r>
      <w:r w:rsidRPr="00DD17E2">
        <w:rPr>
          <w:sz w:val="24"/>
          <w:szCs w:val="24"/>
        </w:rPr>
        <w:t>jeho středu a své nemovitosti přenechávají obyvatelům s nižšími příjmy,</w:t>
      </w:r>
    </w:p>
    <w:p w:rsidR="00B66EE4" w:rsidRPr="00DD17E2" w:rsidRDefault="00D84BEB" w:rsidP="00DD17E2">
      <w:pPr>
        <w:pStyle w:val="Odstavecseseznamem"/>
        <w:keepNext/>
        <w:widowControl w:val="0"/>
        <w:numPr>
          <w:ilvl w:val="0"/>
          <w:numId w:val="8"/>
        </w:numPr>
        <w:ind w:left="357" w:hanging="357"/>
        <w:jc w:val="both"/>
        <w:rPr>
          <w:sz w:val="24"/>
          <w:szCs w:val="24"/>
        </w:rPr>
      </w:pPr>
      <w:r w:rsidRPr="00DD17E2">
        <w:rPr>
          <w:sz w:val="24"/>
          <w:szCs w:val="24"/>
        </w:rPr>
        <w:t>obytné zóny s luxusnějším bydlením a bohatými obyvateli se utvářejí v blízkosti obchodních a správních center a rozvíjí se spíše podél komunikací či obchodních zón.</w:t>
      </w:r>
    </w:p>
    <w:p w:rsidR="00D84BEB" w:rsidRPr="00B66EE4" w:rsidRDefault="00D84BEB" w:rsidP="00B66EE4">
      <w:pPr>
        <w:keepNext/>
        <w:widowControl w:val="0"/>
        <w:ind w:firstLine="720"/>
        <w:contextualSpacing/>
        <w:jc w:val="both"/>
        <w:rPr>
          <w:sz w:val="24"/>
          <w:szCs w:val="24"/>
        </w:rPr>
      </w:pPr>
      <w:r w:rsidRPr="00B66EE4">
        <w:rPr>
          <w:sz w:val="24"/>
          <w:szCs w:val="24"/>
        </w:rPr>
        <w:t>Proti oběma předešlým teoriím se již vymezuje teorie několika jader, vykazující řadu odlišností. Základní rozdíl spočívá v předpokladu, že ve městech se vyskytuje nikoliv jedno hlavní centrum, nýbrž několik významných center/jader. Každé jádro má přitom určitou specifickou funkci či významné zaměření, např. na maloobchod, bankovnictví, správu, vzdělávání či rekreaci. V některých městech mohou tato jádra existovat již od samého vzniku a jinde se mohou utvářet postupně, kdy nová centra vznikla na zelené louce jako přirozený důsledek přetížení infrastruktury vnitřních částí města.  Za důvody jejich vzniku jsou považovány zejména (Harris, Ullman, 1945):</w:t>
      </w:r>
    </w:p>
    <w:p w:rsidR="00D84BEB" w:rsidRPr="006204F4" w:rsidRDefault="00D84BEB" w:rsidP="00DD17E2">
      <w:pPr>
        <w:pStyle w:val="Odstavecseseznamem"/>
        <w:keepNext/>
        <w:numPr>
          <w:ilvl w:val="0"/>
          <w:numId w:val="9"/>
        </w:numPr>
        <w:spacing w:after="0"/>
        <w:ind w:left="357" w:hanging="357"/>
        <w:jc w:val="both"/>
        <w:rPr>
          <w:sz w:val="24"/>
          <w:szCs w:val="24"/>
        </w:rPr>
      </w:pPr>
      <w:r w:rsidRPr="006204F4">
        <w:rPr>
          <w:sz w:val="24"/>
          <w:szCs w:val="24"/>
        </w:rPr>
        <w:lastRenderedPageBreak/>
        <w:t>některé činnosti jako např. těžký průmysl vyžadují dobré napojení na dopravní sítě vyššího řádu, kdežto u jiných činností postačuje napojení na lokální sítě</w:t>
      </w:r>
      <w:r>
        <w:rPr>
          <w:sz w:val="24"/>
          <w:szCs w:val="24"/>
        </w:rPr>
        <w:t>,</w:t>
      </w:r>
    </w:p>
    <w:p w:rsidR="00D84BEB" w:rsidRPr="00C71ED5" w:rsidRDefault="00D84BEB" w:rsidP="00DD17E2">
      <w:pPr>
        <w:keepNext/>
        <w:numPr>
          <w:ilvl w:val="0"/>
          <w:numId w:val="9"/>
        </w:numPr>
        <w:spacing w:after="0"/>
        <w:ind w:left="357" w:hanging="357"/>
        <w:contextualSpacing/>
        <w:jc w:val="both"/>
        <w:rPr>
          <w:sz w:val="24"/>
          <w:szCs w:val="24"/>
        </w:rPr>
      </w:pPr>
      <w:r w:rsidRPr="006204F4">
        <w:rPr>
          <w:sz w:val="24"/>
          <w:szCs w:val="24"/>
        </w:rPr>
        <w:t>obdobné správní, obchodní či průmyslové aktivity mohou těžit z blízkosti dalších firem,</w:t>
      </w:r>
      <w:r w:rsidRPr="00C71ED5">
        <w:rPr>
          <w:sz w:val="24"/>
          <w:szCs w:val="24"/>
        </w:rPr>
        <w:t xml:space="preserve"> institucí a organizací se stejným nebo příbuzným předmětem činnosti a mohou tak vytvářet určité úspory v transakčních nákladech a zároveň povzbudit poptávku po jejich službách a produktech</w:t>
      </w:r>
      <w:r>
        <w:rPr>
          <w:sz w:val="24"/>
          <w:szCs w:val="24"/>
        </w:rPr>
        <w:t>,</w:t>
      </w:r>
    </w:p>
    <w:p w:rsidR="00D84BEB" w:rsidRPr="00C71ED5" w:rsidRDefault="00D84BEB" w:rsidP="00DD17E2">
      <w:pPr>
        <w:keepNext/>
        <w:numPr>
          <w:ilvl w:val="0"/>
          <w:numId w:val="9"/>
        </w:numPr>
        <w:spacing w:after="0"/>
        <w:ind w:left="357" w:hanging="357"/>
        <w:contextualSpacing/>
        <w:jc w:val="both"/>
        <w:rPr>
          <w:sz w:val="24"/>
          <w:szCs w:val="24"/>
        </w:rPr>
      </w:pPr>
      <w:r w:rsidRPr="00C71ED5">
        <w:rPr>
          <w:sz w:val="24"/>
          <w:szCs w:val="24"/>
        </w:rPr>
        <w:t>na druhé straně existují aktivity, které se vzájemně zcela vylučují anebo jsou ve významně antagonistickém vztahu (např. průmyslové a rekreační zóny apod.)</w:t>
      </w:r>
      <w:r>
        <w:rPr>
          <w:sz w:val="24"/>
          <w:szCs w:val="24"/>
        </w:rPr>
        <w:t>,</w:t>
      </w:r>
    </w:p>
    <w:p w:rsidR="00D84BEB" w:rsidRPr="00864C3F" w:rsidRDefault="00D84BEB" w:rsidP="00DD17E2">
      <w:pPr>
        <w:keepNext/>
        <w:numPr>
          <w:ilvl w:val="0"/>
          <w:numId w:val="9"/>
        </w:numPr>
        <w:ind w:left="357" w:hanging="357"/>
        <w:contextualSpacing/>
        <w:jc w:val="both"/>
        <w:rPr>
          <w:sz w:val="24"/>
          <w:szCs w:val="24"/>
        </w:rPr>
      </w:pPr>
      <w:r w:rsidRPr="00C71ED5">
        <w:rPr>
          <w:sz w:val="24"/>
          <w:szCs w:val="24"/>
        </w:rPr>
        <w:t xml:space="preserve">posledním důvodem postupného </w:t>
      </w:r>
      <w:r>
        <w:rPr>
          <w:sz w:val="24"/>
          <w:szCs w:val="24"/>
        </w:rPr>
        <w:t xml:space="preserve">vzniku několika </w:t>
      </w:r>
      <w:r w:rsidRPr="00C71ED5">
        <w:rPr>
          <w:sz w:val="24"/>
          <w:szCs w:val="24"/>
        </w:rPr>
        <w:t>městských jader jsou příliš vysoké náklady na umístění určitých aktivit v původním hlavním městském centru.</w:t>
      </w:r>
    </w:p>
    <w:p w:rsidR="00D84BEB" w:rsidRPr="007B3B7B" w:rsidRDefault="00D84BEB" w:rsidP="00423120">
      <w:pPr>
        <w:pStyle w:val="04-Podnadipsek"/>
        <w:spacing w:after="200"/>
        <w:ind w:firstLine="720"/>
        <w:rPr>
          <w:b w:val="0"/>
          <w:color w:val="0000FF"/>
        </w:rPr>
      </w:pPr>
      <w:r w:rsidRPr="007B3B7B">
        <w:rPr>
          <w:b w:val="0"/>
        </w:rPr>
        <w:t>Základním východiskem teorie přirozených oblastí je předpoklad, že „členové téže rasové, etnické, národnostní, náboženské nebo jinak kulturně či sociálně odlišné skupiny mají výraznou tendenci soustřeďovat se v téže oblasti – jde vlastně o územní průmět ko</w:t>
      </w:r>
      <w:r w:rsidR="00675F0A">
        <w:rPr>
          <w:b w:val="0"/>
        </w:rPr>
        <w:t>ncentrace a </w:t>
      </w:r>
      <w:r w:rsidRPr="007B3B7B">
        <w:rPr>
          <w:b w:val="0"/>
        </w:rPr>
        <w:t xml:space="preserve">segregace některých složek obyvatelstva“ (Musil, 1967). </w:t>
      </w:r>
      <w:r>
        <w:rPr>
          <w:b w:val="0"/>
        </w:rPr>
        <w:t>T</w:t>
      </w:r>
      <w:r w:rsidRPr="007B3B7B">
        <w:rPr>
          <w:b w:val="0"/>
        </w:rPr>
        <w:t>eorie představuje určitou paralelu procesů uplatňovaných v přírodě, kdy v určité lokalitě žij</w:t>
      </w:r>
      <w:r w:rsidR="00675F0A">
        <w:rPr>
          <w:b w:val="0"/>
        </w:rPr>
        <w:t>í jen určité typy rostlinných a </w:t>
      </w:r>
      <w:r w:rsidRPr="007B3B7B">
        <w:rPr>
          <w:b w:val="0"/>
        </w:rPr>
        <w:t>živočišných společenstev. Ve vztahu k sociologické struktuře města t</w:t>
      </w:r>
      <w:r>
        <w:rPr>
          <w:b w:val="0"/>
        </w:rPr>
        <w:t>ak</w:t>
      </w:r>
      <w:r w:rsidR="00675F0A">
        <w:rPr>
          <w:b w:val="0"/>
        </w:rPr>
        <w:t xml:space="preserve"> může docházet ke </w:t>
      </w:r>
      <w:r w:rsidRPr="007B3B7B">
        <w:rPr>
          <w:b w:val="0"/>
        </w:rPr>
        <w:t>koncentraci národnostních či etnických menšin (Murdie, 1969), nábožensky smýšlejících komunit či jiným způsobem vymezených sociálních skupin (např. ekologickým způsobem života) v určitých lokalitách, jejichž prostorové rozmístění v rámci města je tedy determinováno hodnotovým systémem a převládajícími aktivitami dané skupiny obyvatel.</w:t>
      </w:r>
    </w:p>
    <w:p w:rsidR="00D84BEB" w:rsidRDefault="00262CE4" w:rsidP="00B66EE4">
      <w:pPr>
        <w:keepNext/>
        <w:spacing w:after="0"/>
        <w:jc w:val="center"/>
        <w:rPr>
          <w:sz w:val="24"/>
          <w:szCs w:val="24"/>
        </w:rPr>
      </w:pPr>
      <w:r>
        <w:rPr>
          <w:noProof/>
          <w:lang w:val="en-GB" w:eastAsia="en-GB"/>
        </w:rPr>
        <w:drawing>
          <wp:inline distT="0" distB="0" distL="0" distR="0" wp14:anchorId="1A8B9898" wp14:editId="7869B098">
            <wp:extent cx="3668395" cy="3487420"/>
            <wp:effectExtent l="0" t="0" r="8255" b="0"/>
            <wp:docPr id="6" name="obrázek 6" descr="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ázek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8395" cy="3487420"/>
                    </a:xfrm>
                    <a:prstGeom prst="rect">
                      <a:avLst/>
                    </a:prstGeom>
                    <a:noFill/>
                    <a:ln>
                      <a:noFill/>
                    </a:ln>
                  </pic:spPr>
                </pic:pic>
              </a:graphicData>
            </a:graphic>
          </wp:inline>
        </w:drawing>
      </w:r>
    </w:p>
    <w:p w:rsidR="00D84BEB" w:rsidRDefault="00D84BEB" w:rsidP="004A32D0">
      <w:pPr>
        <w:pStyle w:val="0G-Titulek"/>
      </w:pPr>
      <w:bookmarkStart w:id="14" w:name="_Toc349768220"/>
      <w:bookmarkStart w:id="15" w:name="_Toc382326809"/>
      <w:r w:rsidRPr="00E80574">
        <w:t xml:space="preserve">Obrázek </w:t>
      </w:r>
      <w:r>
        <w:t>5</w:t>
      </w:r>
      <w:r w:rsidRPr="00E80574">
        <w:t xml:space="preserve">: </w:t>
      </w:r>
      <w:r w:rsidRPr="00864C3F">
        <w:t>Modely</w:t>
      </w:r>
      <w:r>
        <w:t xml:space="preserve"> strukt</w:t>
      </w:r>
      <w:r w:rsidRPr="0088406F">
        <w:t>u</w:t>
      </w:r>
      <w:r>
        <w:t>ry města</w:t>
      </w:r>
      <w:bookmarkEnd w:id="14"/>
      <w:bookmarkEnd w:id="15"/>
    </w:p>
    <w:p w:rsidR="00D84BEB" w:rsidRPr="00864C3F" w:rsidRDefault="00D84BEB" w:rsidP="004A32D0">
      <w:pPr>
        <w:pStyle w:val="0G-Pramen"/>
        <w:spacing w:after="200"/>
      </w:pPr>
      <w:r w:rsidRPr="00864C3F">
        <w:t xml:space="preserve">Pramen: </w:t>
      </w:r>
      <w:proofErr w:type="gramStart"/>
      <w:r w:rsidRPr="00864C3F">
        <w:t>Musil,  1967</w:t>
      </w:r>
      <w:proofErr w:type="gramEnd"/>
      <w:r w:rsidRPr="00864C3F">
        <w:t>.</w:t>
      </w:r>
    </w:p>
    <w:p w:rsidR="00D84BEB" w:rsidRDefault="00D84BEB" w:rsidP="00423120">
      <w:pPr>
        <w:pStyle w:val="05-Text"/>
      </w:pPr>
      <w:r>
        <w:t xml:space="preserve">Poslední uvedenou </w:t>
      </w:r>
      <w:r w:rsidRPr="009D0AA9">
        <w:t xml:space="preserve">teorií, která byla </w:t>
      </w:r>
      <w:r>
        <w:t xml:space="preserve">určitou </w:t>
      </w:r>
      <w:r w:rsidRPr="009D0AA9">
        <w:t>reakcí na výše uvedené koncepty</w:t>
      </w:r>
      <w:r>
        <w:t>,</w:t>
      </w:r>
      <w:r w:rsidRPr="009D0AA9">
        <w:t xml:space="preserve"> je teorie symbolických hodnot W. Fireye</w:t>
      </w:r>
      <w:r>
        <w:t>. Tato teorie</w:t>
      </w:r>
      <w:r w:rsidRPr="009D0AA9">
        <w:t xml:space="preserve"> především podrobuje kritice přístup</w:t>
      </w:r>
      <w:r>
        <w:t>y</w:t>
      </w:r>
      <w:r w:rsidRPr="009D0AA9">
        <w:t xml:space="preserve"> ke studiu </w:t>
      </w:r>
      <w:r w:rsidRPr="009D0AA9">
        <w:lastRenderedPageBreak/>
        <w:t xml:space="preserve">města </w:t>
      </w:r>
      <w:r>
        <w:t xml:space="preserve">vycházející </w:t>
      </w:r>
      <w:r w:rsidRPr="009D0AA9">
        <w:t xml:space="preserve">pouze </w:t>
      </w:r>
      <w:r>
        <w:t>z</w:t>
      </w:r>
      <w:r w:rsidRPr="009D0AA9">
        <w:t xml:space="preserve"> ekonomického paradigmatu a uvádí, že rozhodnutí obyvatel týkající se výběru jejich bydliště je ovlivněno také kulturními faktory, jejich preferencemi, tradicemi a touhou po určité společenské prestiži (Firey</w:t>
      </w:r>
      <w:r>
        <w:t>,</w:t>
      </w:r>
      <w:r w:rsidRPr="009D0AA9">
        <w:t xml:space="preserve"> 1947). V tomto kontextu jsou zmiňovány příklady vyvíjejících se módních proudů</w:t>
      </w:r>
      <w:r>
        <w:t>,</w:t>
      </w:r>
      <w:r w:rsidRPr="009D0AA9">
        <w:t xml:space="preserve"> </w:t>
      </w:r>
      <w:r>
        <w:t xml:space="preserve">kdy </w:t>
      </w:r>
      <w:r w:rsidRPr="009D0AA9">
        <w:t>určité čtvrt</w:t>
      </w:r>
      <w:r>
        <w:t>ě</w:t>
      </w:r>
      <w:r w:rsidRPr="009D0AA9">
        <w:t xml:space="preserve"> </w:t>
      </w:r>
      <w:r>
        <w:t>zafixované</w:t>
      </w:r>
      <w:r w:rsidRPr="009D0AA9">
        <w:t xml:space="preserve"> v povědomí obyvatel jako míst</w:t>
      </w:r>
      <w:r>
        <w:t>o</w:t>
      </w:r>
      <w:r w:rsidRPr="009D0AA9">
        <w:t xml:space="preserve"> s negativním nádechem se mohou postupem času vlivem </w:t>
      </w:r>
      <w:r>
        <w:t>těchto proudů</w:t>
      </w:r>
      <w:r w:rsidRPr="009D0AA9">
        <w:t xml:space="preserve"> stá</w:t>
      </w:r>
      <w:r>
        <w:t>t</w:t>
      </w:r>
      <w:r w:rsidRPr="009D0AA9">
        <w:t xml:space="preserve"> atraktivnějšími.</w:t>
      </w:r>
    </w:p>
    <w:p w:rsidR="00D84BEB" w:rsidRPr="00A91347" w:rsidRDefault="00D84BEB" w:rsidP="00890421">
      <w:pPr>
        <w:pStyle w:val="02-Nadpis2"/>
      </w:pPr>
      <w:bookmarkStart w:id="16" w:name="_Toc382327182"/>
      <w:r w:rsidRPr="00A91347">
        <w:t>1.4. Rozvoj měst a aglomerační výhody</w:t>
      </w:r>
      <w:bookmarkEnd w:id="16"/>
      <w:r w:rsidRPr="00A91347">
        <w:t xml:space="preserve"> </w:t>
      </w:r>
    </w:p>
    <w:p w:rsidR="00D84BEB" w:rsidRDefault="00D84BEB" w:rsidP="00423120">
      <w:pPr>
        <w:pStyle w:val="05-Text"/>
      </w:pPr>
      <w:r w:rsidRPr="005815D8">
        <w:t>Města ne</w:t>
      </w:r>
      <w:r>
        <w:t>sporně</w:t>
      </w:r>
      <w:r w:rsidRPr="005815D8">
        <w:t xml:space="preserve"> hrají rozhodující roli v ekonomickém rozvoji a tato jejich role se v podmínkách </w:t>
      </w:r>
      <w:r>
        <w:t>sílící</w:t>
      </w:r>
      <w:r w:rsidRPr="005815D8">
        <w:t xml:space="preserve"> </w:t>
      </w:r>
      <w:r w:rsidRPr="002945F4">
        <w:t xml:space="preserve">globalizace ekonomiky </w:t>
      </w:r>
      <w:r>
        <w:t>i na</w:t>
      </w:r>
      <w:r w:rsidRPr="002945F4">
        <w:t xml:space="preserve">dále </w:t>
      </w:r>
      <w:r w:rsidRPr="001F1186">
        <w:t>zvyšuje</w:t>
      </w:r>
      <w:r>
        <w:t>.</w:t>
      </w:r>
      <w:r w:rsidRPr="001F1186">
        <w:rPr>
          <w:color w:val="0000FF"/>
        </w:rPr>
        <w:t xml:space="preserve"> </w:t>
      </w:r>
      <w:r w:rsidRPr="002945F4">
        <w:t>V souladu s</w:t>
      </w:r>
      <w:r>
        <w:t> tímto vývojem</w:t>
      </w:r>
      <w:r w:rsidRPr="002945F4">
        <w:t xml:space="preserve"> je rozvoj měst </w:t>
      </w:r>
      <w:r w:rsidRPr="008C2829">
        <w:t xml:space="preserve">kromě „tradičních“ přírodních, </w:t>
      </w:r>
      <w:r>
        <w:t>ekonomických</w:t>
      </w:r>
      <w:r w:rsidRPr="008C2829">
        <w:t xml:space="preserve"> a sociálních faktorů ve stále větší míře ovlivňován </w:t>
      </w:r>
      <w:r>
        <w:t xml:space="preserve">dalšími </w:t>
      </w:r>
      <w:r w:rsidRPr="008C2829">
        <w:t xml:space="preserve">faktory, které mnohde </w:t>
      </w:r>
      <w:r>
        <w:t xml:space="preserve">významově </w:t>
      </w:r>
      <w:r w:rsidRPr="008C2829">
        <w:t xml:space="preserve">překrývají původní faktory stojící za jejich vznikem a </w:t>
      </w:r>
      <w:r>
        <w:t xml:space="preserve">dlouhodobým </w:t>
      </w:r>
      <w:r w:rsidRPr="00B16BCA">
        <w:t>historickým</w:t>
      </w:r>
      <w:r>
        <w:t xml:space="preserve"> vý</w:t>
      </w:r>
      <w:r w:rsidRPr="00B16BCA">
        <w:t xml:space="preserve">vojem. Obecně </w:t>
      </w:r>
      <w:r>
        <w:t>pak</w:t>
      </w:r>
      <w:r w:rsidRPr="00B16BCA">
        <w:t xml:space="preserve"> </w:t>
      </w:r>
      <w:r>
        <w:t xml:space="preserve">pochopitelně </w:t>
      </w:r>
      <w:r w:rsidRPr="00B16BCA">
        <w:t xml:space="preserve">platí, že </w:t>
      </w:r>
      <w:r>
        <w:t xml:space="preserve">interaktivní </w:t>
      </w:r>
      <w:r w:rsidRPr="00B16BCA">
        <w:t xml:space="preserve">působení ekonomických a mimoekonomických faktorů </w:t>
      </w:r>
      <w:r>
        <w:t xml:space="preserve">vede k </w:t>
      </w:r>
      <w:r w:rsidRPr="00B16BCA">
        <w:t>vytvář</w:t>
      </w:r>
      <w:r>
        <w:t>ení</w:t>
      </w:r>
      <w:r w:rsidRPr="00B16BCA">
        <w:t xml:space="preserve"> </w:t>
      </w:r>
      <w:r>
        <w:t xml:space="preserve">stále </w:t>
      </w:r>
      <w:r w:rsidRPr="00B16BCA">
        <w:t>složit</w:t>
      </w:r>
      <w:r>
        <w:t xml:space="preserve">ějších a více hierarchizovaných socioekonomických </w:t>
      </w:r>
      <w:r w:rsidRPr="00B16BCA">
        <w:t>systém</w:t>
      </w:r>
      <w:r>
        <w:t>ů,</w:t>
      </w:r>
      <w:r w:rsidRPr="00B16BCA">
        <w:t xml:space="preserve"> </w:t>
      </w:r>
      <w:r>
        <w:t xml:space="preserve">integrovaných řadou </w:t>
      </w:r>
      <w:r w:rsidRPr="00B16BCA">
        <w:t xml:space="preserve">přímých a </w:t>
      </w:r>
      <w:r>
        <w:t xml:space="preserve">nepřímých </w:t>
      </w:r>
      <w:r w:rsidRPr="00B16BCA">
        <w:t xml:space="preserve">vazeb produkujících </w:t>
      </w:r>
      <w:r>
        <w:t>velké množství</w:t>
      </w:r>
      <w:r w:rsidRPr="00B16BCA">
        <w:t xml:space="preserve"> synergických efektů </w:t>
      </w:r>
      <w:r>
        <w:t>(jejichž výsledný účinek je výrazně větší než prostý součet jednotlivých účinků). P</w:t>
      </w:r>
      <w:r w:rsidRPr="008C2829">
        <w:t>roto</w:t>
      </w:r>
      <w:r>
        <w:t xml:space="preserve"> p</w:t>
      </w:r>
      <w:r w:rsidRPr="008C2829">
        <w:t>říliš nepřekvapuje, že pomocí rozdílů v</w:t>
      </w:r>
      <w:r>
        <w:t xml:space="preserve"> dosaženém </w:t>
      </w:r>
      <w:r w:rsidRPr="008C2829">
        <w:t>stupni urbanizace</w:t>
      </w:r>
      <w:r>
        <w:t xml:space="preserve">, kterou lze primárně chápat jako proces </w:t>
      </w:r>
      <w:r w:rsidRPr="00865B4E">
        <w:t>soustřeďování života do měst na úkor venkova</w:t>
      </w:r>
      <w:r>
        <w:t xml:space="preserve">, </w:t>
      </w:r>
      <w:r w:rsidRPr="008C2829">
        <w:t xml:space="preserve">jsou často vysvětlovány </w:t>
      </w:r>
      <w:r w:rsidR="00675F0A">
        <w:t>i </w:t>
      </w:r>
      <w:r>
        <w:t xml:space="preserve">vznikající </w:t>
      </w:r>
      <w:r w:rsidRPr="008C2829">
        <w:t>rozdíly v produktivitě práce a příjmech obyvatelstva</w:t>
      </w:r>
      <w:r w:rsidR="000E54D6">
        <w:t>,</w:t>
      </w:r>
      <w:r w:rsidRPr="008C2829">
        <w:t xml:space="preserve"> a to nejen mezi ekonomicky rozvinutými a málo rozvinutými zeměmi, </w:t>
      </w:r>
      <w:r>
        <w:t xml:space="preserve">ale i v </w:t>
      </w:r>
      <w:r w:rsidRPr="008C2829">
        <w:t xml:space="preserve">rámci homogenizovaných souborů zemí </w:t>
      </w:r>
      <w:r>
        <w:t xml:space="preserve">s podobnou ekonomickou úrovní </w:t>
      </w:r>
      <w:r w:rsidRPr="005815D8">
        <w:t xml:space="preserve">(např. podle studie McKinsey Global Institute žije v 50 největších městech v USA a </w:t>
      </w:r>
      <w:r>
        <w:t xml:space="preserve">v </w:t>
      </w:r>
      <w:r w:rsidRPr="005815D8">
        <w:t>Evropě 164</w:t>
      </w:r>
      <w:r w:rsidR="00BA6F21">
        <w:t>,</w:t>
      </w:r>
      <w:r w:rsidRPr="005815D8">
        <w:t xml:space="preserve"> resp. 102 milionů obyvatel, přičemž téměř o 40 % vyšší úroveň HDP/obyv. v USA je ze 75 % přičítána vyššímu stupni urbanizace</w:t>
      </w:r>
      <w:r>
        <w:t xml:space="preserve"> v USA než</w:t>
      </w:r>
      <w:r w:rsidR="00D62EB1">
        <w:t> </w:t>
      </w:r>
      <w:r w:rsidR="00C333B5">
        <w:t>v </w:t>
      </w:r>
      <w:r>
        <w:t>Evropě</w:t>
      </w:r>
      <w:r w:rsidRPr="005815D8">
        <w:t xml:space="preserve">). </w:t>
      </w:r>
      <w:r>
        <w:t>Na tomto místě je ovšem potřebné zdůraznit, že podobné závěry</w:t>
      </w:r>
      <w:r w:rsidRPr="005815D8">
        <w:t xml:space="preserve"> pochopitelně </w:t>
      </w:r>
      <w:r>
        <w:t xml:space="preserve">nemají a logicky ani </w:t>
      </w:r>
      <w:r w:rsidRPr="005815D8">
        <w:t>ne</w:t>
      </w:r>
      <w:r>
        <w:t xml:space="preserve">mohou mít </w:t>
      </w:r>
      <w:r w:rsidRPr="005815D8">
        <w:t>jednoznačn</w:t>
      </w:r>
      <w:r>
        <w:t>ou platnost</w:t>
      </w:r>
      <w:r w:rsidRPr="005815D8">
        <w:t xml:space="preserve"> – pokud </w:t>
      </w:r>
      <w:r>
        <w:t xml:space="preserve">např. v uvedeném kontextu </w:t>
      </w:r>
      <w:r w:rsidRPr="005815D8">
        <w:t>odhlédneme od často přehlížených rozdílů v samotném vymezení měst</w:t>
      </w:r>
      <w:r>
        <w:t xml:space="preserve"> v různých zemích,</w:t>
      </w:r>
      <w:r w:rsidRPr="005815D8">
        <w:t xml:space="preserve"> je</w:t>
      </w:r>
      <w:r>
        <w:t xml:space="preserve"> </w:t>
      </w:r>
      <w:r w:rsidRPr="005815D8">
        <w:t>nepochybné</w:t>
      </w:r>
      <w:r w:rsidR="00D753E3">
        <w:t>,</w:t>
      </w:r>
      <w:r w:rsidRPr="005815D8">
        <w:t xml:space="preserve"> že za ekonomickou úrovní jednotlivých zemí </w:t>
      </w:r>
      <w:r>
        <w:t>se nacházejí</w:t>
      </w:r>
      <w:r w:rsidRPr="005815D8">
        <w:t xml:space="preserve"> </w:t>
      </w:r>
      <w:r>
        <w:t xml:space="preserve">celá řada </w:t>
      </w:r>
      <w:r w:rsidRPr="005815D8">
        <w:t>další</w:t>
      </w:r>
      <w:r>
        <w:t>ch</w:t>
      </w:r>
      <w:r w:rsidRPr="005815D8">
        <w:t xml:space="preserve"> </w:t>
      </w:r>
      <w:r>
        <w:t xml:space="preserve">přírodních, </w:t>
      </w:r>
      <w:r w:rsidRPr="005815D8">
        <w:t>historick</w:t>
      </w:r>
      <w:r>
        <w:t>ých</w:t>
      </w:r>
      <w:r w:rsidRPr="005815D8">
        <w:t>, sociální</w:t>
      </w:r>
      <w:r>
        <w:t>ch,</w:t>
      </w:r>
      <w:r w:rsidRPr="005815D8">
        <w:t xml:space="preserve"> institucionální</w:t>
      </w:r>
      <w:r>
        <w:t>ch,</w:t>
      </w:r>
      <w:r w:rsidRPr="005815D8">
        <w:t xml:space="preserve"> politick</w:t>
      </w:r>
      <w:r>
        <w:t>ých</w:t>
      </w:r>
      <w:r w:rsidRPr="005815D8">
        <w:t xml:space="preserve"> </w:t>
      </w:r>
      <w:r>
        <w:t xml:space="preserve">a </w:t>
      </w:r>
      <w:r w:rsidRPr="005815D8">
        <w:t>specifick</w:t>
      </w:r>
      <w:r>
        <w:t>ých</w:t>
      </w:r>
      <w:r w:rsidRPr="005815D8">
        <w:t xml:space="preserve"> faktor</w:t>
      </w:r>
      <w:r>
        <w:t>ů</w:t>
      </w:r>
      <w:r w:rsidRPr="005815D8">
        <w:t xml:space="preserve">, které </w:t>
      </w:r>
      <w:r>
        <w:t>lze</w:t>
      </w:r>
      <w:r w:rsidRPr="005815D8">
        <w:t xml:space="preserve"> </w:t>
      </w:r>
      <w:r>
        <w:t xml:space="preserve">často jen velmi </w:t>
      </w:r>
      <w:r w:rsidRPr="005815D8">
        <w:t>obtížn</w:t>
      </w:r>
      <w:r>
        <w:t>ě</w:t>
      </w:r>
      <w:r w:rsidRPr="005815D8">
        <w:t xml:space="preserve"> kvantifikovat a tedy i </w:t>
      </w:r>
      <w:r>
        <w:t xml:space="preserve">následně </w:t>
      </w:r>
      <w:r w:rsidRPr="005815D8">
        <w:t>zako</w:t>
      </w:r>
      <w:r w:rsidR="00C333B5">
        <w:t>mponovat do </w:t>
      </w:r>
      <w:r w:rsidRPr="005815D8">
        <w:t xml:space="preserve">matematicko-statických modelů </w:t>
      </w:r>
      <w:r>
        <w:t xml:space="preserve">ekonomického rozvoje </w:t>
      </w:r>
      <w:r w:rsidRPr="005815D8">
        <w:t xml:space="preserve">(výsledky jejich aplikace jsou </w:t>
      </w:r>
      <w:r>
        <w:t xml:space="preserve">navíc </w:t>
      </w:r>
      <w:r w:rsidRPr="005815D8">
        <w:t xml:space="preserve">vždy determinovány výběrem příslušných parametrů </w:t>
      </w:r>
      <w:r>
        <w:t>a</w:t>
      </w:r>
      <w:r w:rsidR="00C333B5">
        <w:t xml:space="preserve"> proměnných vstupujících do </w:t>
      </w:r>
      <w:r w:rsidRPr="005815D8">
        <w:t xml:space="preserve">daného modelu). </w:t>
      </w:r>
      <w:r>
        <w:t>Na druhé straně lze nicméně jen obtížně zpochybnit empiricky potvrzenou skutečnost, že jedním ze základních mechanizmů ekonomického rozvoje v podmínkách nedokonalé konkurence jsou vnitřní a vnější úspory z rozsahu. Vnitřní</w:t>
      </w:r>
      <w:r w:rsidR="00BA6F21">
        <w:t>,</w:t>
      </w:r>
      <w:r>
        <w:t xml:space="preserve"> resp. interní úspory z rozsahu vznikají</w:t>
      </w:r>
      <w:r w:rsidRPr="001E00F3">
        <w:t xml:space="preserve"> při velkém objemu výroby</w:t>
      </w:r>
      <w:r>
        <w:t xml:space="preserve">, kdy se </w:t>
      </w:r>
      <w:r w:rsidRPr="001E00F3">
        <w:t xml:space="preserve">fixní </w:t>
      </w:r>
      <w:r>
        <w:t>(např. náklady</w:t>
      </w:r>
      <w:r w:rsidR="00D62EB1">
        <w:t xml:space="preserve"> na </w:t>
      </w:r>
      <w:r>
        <w:t>nákup strojů a zařízení či náklady na technické, market</w:t>
      </w:r>
      <w:r w:rsidR="00C333B5">
        <w:t>ingové a organizační inovace) i </w:t>
      </w:r>
      <w:r>
        <w:t xml:space="preserve">variabilní (např. náklady na nákup meziproduktů či mzdy zaměstnanců) </w:t>
      </w:r>
      <w:r w:rsidRPr="001E00F3">
        <w:t>náklady</w:t>
      </w:r>
      <w:r>
        <w:t xml:space="preserve"> rozpouštějí ve</w:t>
      </w:r>
      <w:r w:rsidRPr="001E00F3">
        <w:t xml:space="preserve"> větší</w:t>
      </w:r>
      <w:r>
        <w:t>m</w:t>
      </w:r>
      <w:r w:rsidRPr="001E00F3">
        <w:t xml:space="preserve"> </w:t>
      </w:r>
      <w:r w:rsidRPr="00B51EB5">
        <w:t>množství jednotek</w:t>
      </w:r>
      <w:r>
        <w:t xml:space="preserve"> produkce</w:t>
      </w:r>
      <w:r w:rsidRPr="00B51EB5">
        <w:t xml:space="preserve">, takže průměrné náklady na jednotku vyrobené produkce </w:t>
      </w:r>
      <w:r w:rsidRPr="006366E6">
        <w:t xml:space="preserve">klesají. Tyto úspory jsou významné zejména </w:t>
      </w:r>
      <w:r>
        <w:t>v případě</w:t>
      </w:r>
      <w:r w:rsidRPr="006366E6">
        <w:t xml:space="preserve"> velkých firem s vysokými </w:t>
      </w:r>
      <w:r w:rsidRPr="00B72764">
        <w:t>fixními náklady a spolu s úsporami ze specializace výroby pak tvoří rozhodující komponenty interních úspor. V interakci s vnější</w:t>
      </w:r>
      <w:r>
        <w:t>mi</w:t>
      </w:r>
      <w:r w:rsidRPr="00B72764">
        <w:t xml:space="preserve"> úspor</w:t>
      </w:r>
      <w:r>
        <w:t>ami</w:t>
      </w:r>
      <w:r w:rsidRPr="00B72764">
        <w:t xml:space="preserve"> však tyto úspory mohou z</w:t>
      </w:r>
      <w:r w:rsidR="00C333B5">
        <w:t>ískávat i </w:t>
      </w:r>
      <w:r w:rsidRPr="00B72764">
        <w:t xml:space="preserve">kooperující menší firmy, zejména pokud jsou členy organizovaných shluků firem/klastrů </w:t>
      </w:r>
      <w:r w:rsidRPr="00B72764">
        <w:lastRenderedPageBreak/>
        <w:t>založených na vzájemné důvěře a společných cílech (patrně nejznámějším příkladem je koncentrace ICT firem v kalifornském Silicon Valley).</w:t>
      </w:r>
      <w:r>
        <w:t xml:space="preserve"> V</w:t>
      </w:r>
      <w:r w:rsidRPr="00B72764">
        <w:t>nější</w:t>
      </w:r>
      <w:r w:rsidR="00BA6F21">
        <w:t>,</w:t>
      </w:r>
      <w:r w:rsidRPr="00B72764">
        <w:t xml:space="preserve"> resp. externí úspory lze členit na úspory generované kvalitním podnikatelským prostředím</w:t>
      </w:r>
      <w:r w:rsidR="00D753E3">
        <w:t>,</w:t>
      </w:r>
      <w:r w:rsidRPr="00B72764">
        <w:t xml:space="preserve"> t</w:t>
      </w:r>
      <w:r>
        <w:t xml:space="preserve">zn. </w:t>
      </w:r>
      <w:r w:rsidRPr="00B72764">
        <w:t>urbanizační úspory (spojené např. s kvalitním vzdělávacím systémem či kvalit</w:t>
      </w:r>
      <w:r w:rsidR="00D753E3">
        <w:t xml:space="preserve">ní technickou infrastrukturou) </w:t>
      </w:r>
      <w:r w:rsidRPr="00B72764">
        <w:t>podporující diverzifikaci ekonomických aktivit s pozitivními dopady na inovativnost firem</w:t>
      </w:r>
      <w:r w:rsidR="00D62EB1">
        <w:t xml:space="preserve"> </w:t>
      </w:r>
      <w:r w:rsidR="00C333B5">
        <w:t>a dále na </w:t>
      </w:r>
      <w:r w:rsidRPr="00B72764">
        <w:t>úspory generované blízkostí firem (působících v rámci jednoho nebo několika odvětví)</w:t>
      </w:r>
      <w:r w:rsidR="00D753E3">
        <w:t>,</w:t>
      </w:r>
      <w:r w:rsidRPr="00B72764">
        <w:t xml:space="preserve"> t</w:t>
      </w:r>
      <w:r>
        <w:t>zn</w:t>
      </w:r>
      <w:r w:rsidR="00D753E3">
        <w:t xml:space="preserve">. lokalizační úspory </w:t>
      </w:r>
      <w:r w:rsidRPr="00B72764">
        <w:t xml:space="preserve">podporující specializaci ekonomických </w:t>
      </w:r>
      <w:r w:rsidR="00C333B5">
        <w:t>aktivit s pozitivními dopady na </w:t>
      </w:r>
      <w:r w:rsidRPr="00B72764">
        <w:t xml:space="preserve">efektivitu firem. </w:t>
      </w:r>
    </w:p>
    <w:p w:rsidR="00D84BEB" w:rsidRPr="00B72764" w:rsidRDefault="00D84BEB" w:rsidP="00423120">
      <w:pPr>
        <w:pStyle w:val="05-Text"/>
      </w:pPr>
      <w:r w:rsidRPr="00DA39C5">
        <w:t>Postupnou konceptualizací různých pojetí vnějších úspor vznikl dnes již široce</w:t>
      </w:r>
      <w:r w:rsidRPr="00B72764">
        <w:t xml:space="preserve"> požívaný termín aglomerační úspory (agglomeration economies). Vnější úspory mají vazby jak na kvantitativní stránky urbanizace (extenzivní rozvoj měst spojený s dynamickým růstem počtu jejich obyvatel – podle údajů OECD žije v současnosti ve městech více než ¾ obyvatel planety) s obousměrnými vazbami na rozsah ekonomických aktivit, tak na kvalitativní stránky urbanizace (intenzivní rozvoj měst spojený se zvyšováním blahobytu jejich obyvatel) s obousměrnými vazbami na zvyšování úrovně tvorby př</w:t>
      </w:r>
      <w:r w:rsidR="00D753E3">
        <w:t>idané hodnoty výrobků a služeb)</w:t>
      </w:r>
      <w:r w:rsidR="00C333B5">
        <w:t xml:space="preserve"> </w:t>
      </w:r>
      <w:r w:rsidRPr="00B72764">
        <w:rPr>
          <w:rStyle w:val="Znakapoznpodarou"/>
        </w:rPr>
        <w:footnoteReference w:id="3"/>
      </w:r>
      <w:r>
        <w:t xml:space="preserve">. </w:t>
      </w:r>
      <w:r w:rsidR="00C333B5">
        <w:t>Za </w:t>
      </w:r>
      <w:r w:rsidRPr="00B72764">
        <w:t>počáteční bod geneze pojmu aglomerační ekonomika js</w:t>
      </w:r>
      <w:r w:rsidR="00D753E3">
        <w:t>ou všeobecně pokládány práce A. </w:t>
      </w:r>
      <w:r w:rsidRPr="00B72764">
        <w:t>Marshalla, které představují spojovací článek mezi klasickou a neoklasickou ekonomickou teorií. Již na přelomu 19. a 20. století Marshall definoval tři základní typy vnějších úspor: sdílení pracovního trhu, společné využívání specializovaných dodavatelů a specializované infrastruktury a šíření znalostí a informací. Sdílení velkého a tedy i kvalitativně diferenciovaného pracovního trhu poskytuje zaměstnavatelům příznivé podmínky pro nábor nových pracovníků vyhovujících měnícím se požadavkům</w:t>
      </w:r>
      <w:r w:rsidR="00C333B5">
        <w:t xml:space="preserve"> na úroveň jejich kvalifikace a </w:t>
      </w:r>
      <w:r w:rsidRPr="00B72764">
        <w:t>dovedností a propuštěným zaměstnancům pak poskytuje větší možnosti nového pracovního uplatnění. V souladu s tím se logicky snižují i odpovídající náklady (např. náklady firem na zaškolení nových pracovníků či náklady spojené s hledáním zaměstnání).</w:t>
      </w:r>
      <w:r w:rsidRPr="00B72764">
        <w:rPr>
          <w:color w:val="0000FF"/>
        </w:rPr>
        <w:t xml:space="preserve"> </w:t>
      </w:r>
      <w:r w:rsidRPr="00B72764">
        <w:t>Koncentrace specializovaných dodavatelů výrobků a služeb (např. softwarové, designérské a právní služby) a dostupnost specializované infrastruktury (např. vědecko-výzkumné infrastruktury či infrastruktury pro přenos dat) zajišťuje relativně snadnou dostupnost sofistikovaných materiálových i nemateriálových vstupů v požadované kvalitě a čase a za přijatelnou cenu (volně podle Blažek, Uhlíř, 2011).</w:t>
      </w:r>
      <w:r>
        <w:t xml:space="preserve"> Tyto vstupy jsou </w:t>
      </w:r>
      <w:r w:rsidRPr="00B72764">
        <w:t>poptáv</w:t>
      </w:r>
      <w:r>
        <w:t>ány</w:t>
      </w:r>
      <w:r w:rsidRPr="00B72764">
        <w:t xml:space="preserve"> zejména velkými firmami nacházejícími se na vrcholu produkčních řetězců </w:t>
      </w:r>
      <w:r>
        <w:t>(</w:t>
      </w:r>
      <w:r w:rsidRPr="00B72764">
        <w:t>včetně jejich ústředí</w:t>
      </w:r>
      <w:r>
        <w:t>),</w:t>
      </w:r>
      <w:r w:rsidR="00C333B5">
        <w:t xml:space="preserve"> sídlících obvykle ve </w:t>
      </w:r>
      <w:r w:rsidRPr="00B72764">
        <w:t>velkých městech</w:t>
      </w:r>
      <w:r>
        <w:t>.</w:t>
      </w:r>
      <w:r w:rsidRPr="00B72764">
        <w:t xml:space="preserve"> Šíření</w:t>
      </w:r>
      <w:r w:rsidR="00BA6F21">
        <w:t>,</w:t>
      </w:r>
      <w:r w:rsidRPr="00B72764">
        <w:t xml:space="preserve"> resp. přelévání (spillovers) znalostí přirozeně úzce souvisí s úrovní jejich akumulace. </w:t>
      </w:r>
      <w:r w:rsidRPr="009820F6">
        <w:t xml:space="preserve">Vyšší úroveň akumulace znalostí spolu s příznivými podmínkami pro neformální kontakty </w:t>
      </w:r>
      <w:r w:rsidR="001C06EC" w:rsidRPr="009820F6">
        <w:t xml:space="preserve">(umožňující </w:t>
      </w:r>
      <w:r w:rsidRPr="009820F6">
        <w:t>předávání tzv. nekodifikovatelných znalostí, např. osobních zkušeností s</w:t>
      </w:r>
      <w:r w:rsidR="001C06EC" w:rsidRPr="009820F6">
        <w:t xml:space="preserve"> novými produkty</w:t>
      </w:r>
      <w:r w:rsidRPr="009820F6">
        <w:t xml:space="preserve">, které </w:t>
      </w:r>
      <w:r w:rsidR="001C06EC" w:rsidRPr="009820F6">
        <w:t xml:space="preserve">nelze komplexně </w:t>
      </w:r>
      <w:r w:rsidRPr="009820F6">
        <w:t>vyjádřit v</w:t>
      </w:r>
      <w:r w:rsidR="00275DD2" w:rsidRPr="009820F6">
        <w:t> </w:t>
      </w:r>
      <w:r w:rsidRPr="009820F6">
        <w:t>písemné</w:t>
      </w:r>
      <w:r w:rsidR="00275DD2" w:rsidRPr="009820F6">
        <w:t>,</w:t>
      </w:r>
      <w:r w:rsidRPr="009820F6">
        <w:t xml:space="preserve"> tj. kodifikované podobě nebo bez ztráty jejich aktuálno</w:t>
      </w:r>
      <w:r w:rsidR="001C06EC" w:rsidRPr="009820F6">
        <w:t>sti</w:t>
      </w:r>
      <w:r w:rsidRPr="009820F6">
        <w:t>) stimuluje kumulativní proces učení spojený se snižováním transakčních nákladů na získání relevantních informací.</w:t>
      </w:r>
      <w:r w:rsidRPr="00B72764">
        <w:t xml:space="preserve"> Z hlediska dlouhodobé konkurenceschopnosti </w:t>
      </w:r>
      <w:r>
        <w:t xml:space="preserve">pochopitelně </w:t>
      </w:r>
      <w:r w:rsidRPr="00B72764">
        <w:t xml:space="preserve">hraje nejvýznamnější roli přelévání znalostí posilujících transfer, adopci a tvorbu inovací. Tento proces je poměrně často spojován </w:t>
      </w:r>
      <w:r w:rsidRPr="00B72764">
        <w:lastRenderedPageBreak/>
        <w:t>s</w:t>
      </w:r>
      <w:r w:rsidR="00C333B5">
        <w:t> </w:t>
      </w:r>
      <w:r w:rsidRPr="00B72764">
        <w:t xml:space="preserve">produkcí pozitivních externalit (tyto externality ovšem produkují i ostatní aglomerační úspory). K  tomu je </w:t>
      </w:r>
      <w:r>
        <w:t>ovšem třeba</w:t>
      </w:r>
      <w:r w:rsidRPr="00B72764">
        <w:t xml:space="preserve"> připomenout, že znalosti nejsou</w:t>
      </w:r>
      <w:r>
        <w:t xml:space="preserve"> (</w:t>
      </w:r>
      <w:r w:rsidRPr="00B72764">
        <w:t>snad s výjimkou znalostí generovaných veřejnými vědecko-výzkumnými institucemi</w:t>
      </w:r>
      <w:r>
        <w:t>)</w:t>
      </w:r>
      <w:r w:rsidRPr="00B72764">
        <w:t xml:space="preserve"> všeobecně dostupnou komoditou </w:t>
      </w:r>
      <w:r>
        <w:t xml:space="preserve">– </w:t>
      </w:r>
      <w:r w:rsidRPr="00B72764">
        <w:t xml:space="preserve">viz </w:t>
      </w:r>
      <w:r>
        <w:t xml:space="preserve">např. </w:t>
      </w:r>
      <w:r w:rsidRPr="00B72764">
        <w:t xml:space="preserve">ochrana duševního vlastnictví prostřednictvím patentů či udělování licencí. </w:t>
      </w:r>
    </w:p>
    <w:p w:rsidR="00D84BEB" w:rsidRDefault="00D84BEB" w:rsidP="00027AD4">
      <w:pPr>
        <w:pStyle w:val="05-Text"/>
      </w:pPr>
      <w:r w:rsidRPr="00EB63B2">
        <w:t xml:space="preserve">Pro společné </w:t>
      </w:r>
      <w:r>
        <w:t xml:space="preserve">hodnocení </w:t>
      </w:r>
      <w:r w:rsidRPr="00EB63B2">
        <w:t xml:space="preserve">problematiky interních a externích úspor se využívá klasifikace vypracovaná B. Ohlinem a E. Hooverem (McCann, 2009), která </w:t>
      </w:r>
      <w:r>
        <w:t>klade důraz na</w:t>
      </w:r>
      <w:r w:rsidR="00C333B5">
        <w:t> </w:t>
      </w:r>
      <w:r w:rsidRPr="00EB63B2">
        <w:t xml:space="preserve">specifické podmínky jednotlivých </w:t>
      </w:r>
      <w:r>
        <w:t xml:space="preserve">městských </w:t>
      </w:r>
      <w:r w:rsidRPr="00EB63B2">
        <w:t>sídel a velkých firem. Podle této klasifikace jsou uvedené úspory členěny do tří typů: interní úspory z rozsahu (významný důraz je položen na specifika</w:t>
      </w:r>
      <w:r w:rsidRPr="009B6949">
        <w:t xml:space="preserve"> </w:t>
      </w:r>
      <w:r w:rsidRPr="00EB63B2">
        <w:t xml:space="preserve">firem), lokalizační úspory (významný důraz je položen na specifika </w:t>
      </w:r>
      <w:r>
        <w:t xml:space="preserve">jednotlivých </w:t>
      </w:r>
      <w:r w:rsidRPr="00EB63B2">
        <w:t>odvětv</w:t>
      </w:r>
      <w:r>
        <w:t>í</w:t>
      </w:r>
      <w:r w:rsidRPr="00EB63B2">
        <w:t xml:space="preserve">) a urbanizační úspory (významný důraz je položen na urbanistická specifika). </w:t>
      </w:r>
      <w:r w:rsidRPr="00C333B5">
        <w:t>Ze</w:t>
      </w:r>
      <w:r w:rsidR="00C333B5">
        <w:t> </w:t>
      </w:r>
      <w:r w:rsidRPr="00C333B5">
        <w:t>všeobecných</w:t>
      </w:r>
      <w:r>
        <w:t xml:space="preserve"> výhod spojených s procesem urbanizace je třeba dále zmínit zejména pestřejší nabídku pracovních příležitostí, vzdělání a sociálních kontaktů, která zvyšuje průměrnou hladinu lidského kapitálu, chápaného jako souhr</w:t>
      </w:r>
      <w:r w:rsidR="00C333B5">
        <w:t>n znalostí získávaných učením a </w:t>
      </w:r>
      <w:r>
        <w:t>dovedností získávaných praxí (O´Sullivan, 2009). V tomto kontextu je možné konstatovat, že vyšší hladina lidského kapitálu usnadňuje komunikaci mezi jednotlivými aktéry a obyvateli sídel. Na druhé straně pochopitelně nelze podceňovat negativní externality</w:t>
      </w:r>
      <w:r w:rsidR="00BA6F21">
        <w:t>,</w:t>
      </w:r>
      <w:r>
        <w:t xml:space="preserve"> resp. aglomerační ztráty vznikající především ve velkých městských aglomeracích, ze kterých lze uvést např. vyšší tlaky na růst mezd indukované rostoucími životními náklady, vysokou cenu nemovitostí, vyšší kriminalit</w:t>
      </w:r>
      <w:r w:rsidR="009B7AE7">
        <w:t>o</w:t>
      </w:r>
      <w:r>
        <w:t>u, zhoršenou kvalitu životního prostředí či dopravní</w:t>
      </w:r>
      <w:r w:rsidR="009B7AE7">
        <w:t>m</w:t>
      </w:r>
      <w:r>
        <w:t xml:space="preserve"> přetížení</w:t>
      </w:r>
      <w:r w:rsidR="009B7AE7">
        <w:t>m</w:t>
      </w:r>
      <w:r>
        <w:t xml:space="preserve"> území s negativními dopady na celkovou efektivitu lokalizovaných firem (Henning, Moodysson, Nilsson, 2010). Rostoucí produkce těchto negativních externalit ohrožuje zvláště příliš fragmentované odvětvové segmenty malých firem (působících např. v maloobchodě či podnikatelských službách), kde výrazn</w:t>
      </w:r>
      <w:r w:rsidR="00C333B5">
        <w:t>ě limituje jejich efektivnost a </w:t>
      </w:r>
      <w:r>
        <w:t xml:space="preserve">konkurenceschopnost. V extrémním případě mohou jimi generované ztráty převýšit úspory z rozsahu a další rozvoj příslušného města se tak může stát neefektivním. Na druhé straně je možné produkci negativních externalit považovat i za významný limit koncentračního působení fenoménu aglomeračních </w:t>
      </w:r>
      <w:r w:rsidR="009B7AE7">
        <w:t>úspor. Celkově tak lze konstato</w:t>
      </w:r>
      <w:r>
        <w:t xml:space="preserve">vat, že vzájemné interakce obou typů externalit zajišťují dynamickou rovnováhu sídelních systémů v dlouhém časovém </w:t>
      </w:r>
      <w:r w:rsidRPr="00B31D8C">
        <w:t xml:space="preserve">horizontu. </w:t>
      </w:r>
    </w:p>
    <w:p w:rsidR="00D84BEB" w:rsidRPr="009B7AE7" w:rsidRDefault="00D84BEB" w:rsidP="00027AD4">
      <w:pPr>
        <w:pStyle w:val="05-Text"/>
        <w:rPr>
          <w:color w:val="FF0000"/>
        </w:rPr>
      </w:pPr>
      <w:r>
        <w:t>A</w:t>
      </w:r>
      <w:r w:rsidRPr="00B31D8C">
        <w:t xml:space="preserve">glomerační úspory </w:t>
      </w:r>
      <w:r>
        <w:t xml:space="preserve">je možné </w:t>
      </w:r>
      <w:r w:rsidRPr="00B31D8C">
        <w:t>přiřadit ke klasickým</w:t>
      </w:r>
      <w:r w:rsidR="00C333B5">
        <w:t xml:space="preserve"> zdrojům ekonomického růstu, za </w:t>
      </w:r>
      <w:r w:rsidRPr="00B31D8C">
        <w:t xml:space="preserve">které jsou obvykle pokládány prohlubování kapitálu (zvyšování kapitálové vybavenosti pracovní síly), zvyšování hladiny lidského kapitálu a technologický rozvoj (O´Sullivan, 2009). K tomu je potřebné poznamenat, že </w:t>
      </w:r>
      <w:r>
        <w:t xml:space="preserve">z prostorového pohledu </w:t>
      </w:r>
      <w:r w:rsidRPr="00B31D8C">
        <w:t xml:space="preserve">existence aglomeračních úspor limituje možnosti </w:t>
      </w:r>
      <w:r>
        <w:t xml:space="preserve">trvalého </w:t>
      </w:r>
      <w:r w:rsidRPr="00B31D8C">
        <w:t xml:space="preserve">prosazení konvergenčních </w:t>
      </w:r>
      <w:r w:rsidRPr="00CE0E6C">
        <w:t>tendencí v regionálním rozvoji (</w:t>
      </w:r>
      <w:r w:rsidRPr="009820F6">
        <w:t>Stimson, Stough, Roberts, 2006). Tato empiricky snadno ověřitelná skutečnost byla nepřímo zohledněna i v nové teorii ekonomického růstu</w:t>
      </w:r>
      <w:r w:rsidR="009B7AE7" w:rsidRPr="009820F6">
        <w:t>,</w:t>
      </w:r>
      <w:r w:rsidRPr="009820F6">
        <w:t xml:space="preserve"> která opouští některé nerealistické koncepty starších teorií ekonomického růstu, zejména dokonalou konkurenci, konstantní výnosy </w:t>
      </w:r>
      <w:r w:rsidR="009820F6" w:rsidRPr="009820F6">
        <w:t>z rozsahu (popírající v podstatě</w:t>
      </w:r>
      <w:r w:rsidRPr="009820F6">
        <w:t xml:space="preserve"> existenci lokalizačních výhod) </w:t>
      </w:r>
      <w:r w:rsidR="009820F6" w:rsidRPr="009820F6">
        <w:t xml:space="preserve">a dokonalou informovanost </w:t>
      </w:r>
      <w:r w:rsidRPr="009820F6">
        <w:t>aktérů, které nahrazuje nedokonalou konkurencí, rostoucími výnosy z rozsahu a nedokonalo</w:t>
      </w:r>
      <w:r w:rsidR="009820F6" w:rsidRPr="009820F6">
        <w:t xml:space="preserve">u informovaností </w:t>
      </w:r>
      <w:r w:rsidRPr="009820F6">
        <w:t>aktérů.</w:t>
      </w:r>
    </w:p>
    <w:p w:rsidR="00D84BEB" w:rsidRPr="006F15E4" w:rsidRDefault="009820F6" w:rsidP="00423120">
      <w:pPr>
        <w:pStyle w:val="05-Text"/>
        <w:rPr>
          <w:color w:val="0000FF"/>
        </w:rPr>
      </w:pPr>
      <w:r w:rsidRPr="009820F6">
        <w:t>Trvalou</w:t>
      </w:r>
      <w:r w:rsidR="00D84BEB" w:rsidRPr="009820F6">
        <w:t xml:space="preserve"> snah</w:t>
      </w:r>
      <w:r w:rsidRPr="009820F6">
        <w:t>u</w:t>
      </w:r>
      <w:r w:rsidR="00D84BEB" w:rsidRPr="009820F6">
        <w:t xml:space="preserve"> firem o dosahování vnitřních a vnějších úspor, která se začala výrazně prosazovat po</w:t>
      </w:r>
      <w:r w:rsidR="009B7AE7" w:rsidRPr="009820F6">
        <w:t xml:space="preserve"> nástupu průmyslové revoluce </w:t>
      </w:r>
      <w:r w:rsidR="00D84BEB" w:rsidRPr="009820F6">
        <w:t xml:space="preserve">spolu s prvotní snahou firem být v blízkosti </w:t>
      </w:r>
      <w:r w:rsidR="00D84BEB" w:rsidRPr="009820F6">
        <w:lastRenderedPageBreak/>
        <w:t>koncentrované poptávky</w:t>
      </w:r>
      <w:r w:rsidR="009B7AE7" w:rsidRPr="009820F6">
        <w:t>,</w:t>
      </w:r>
      <w:r w:rsidR="00D84BEB" w:rsidRPr="009820F6">
        <w:t xml:space="preserve"> lze pokládat za nejvýznamnější všeobecně působící </w:t>
      </w:r>
      <w:r w:rsidRPr="009820F6">
        <w:t>mechanizmy utváření územní dělby</w:t>
      </w:r>
      <w:r w:rsidR="00D84BEB" w:rsidRPr="009820F6">
        <w:t xml:space="preserve"> práce v podmínkách tržní ekonomiky. Různorodé</w:t>
      </w:r>
      <w:r w:rsidR="00C333B5">
        <w:t xml:space="preserve"> výhody plynoucí z </w:t>
      </w:r>
      <w:r w:rsidR="00D84BEB" w:rsidRPr="00B529C4">
        <w:t>koncentrace obyvatelstva, ekonomických aktivit, politické moci a dalších faktorů (např. geografick</w:t>
      </w:r>
      <w:r w:rsidR="00D84BEB">
        <w:t>é</w:t>
      </w:r>
      <w:r w:rsidR="00D84BEB" w:rsidRPr="00B529C4">
        <w:t xml:space="preserve"> poloh</w:t>
      </w:r>
      <w:r w:rsidR="00D84BEB">
        <w:t>y</w:t>
      </w:r>
      <w:r w:rsidR="00D84BEB" w:rsidRPr="00B529C4">
        <w:t xml:space="preserve">) poskytují městům </w:t>
      </w:r>
      <w:r w:rsidR="00D84BEB">
        <w:t xml:space="preserve">řadu nenahraditelných </w:t>
      </w:r>
      <w:r w:rsidR="00D84BEB" w:rsidRPr="00272C84">
        <w:t>komparativní</w:t>
      </w:r>
      <w:r w:rsidR="00D84BEB">
        <w:t>ch</w:t>
      </w:r>
      <w:r w:rsidR="00D84BEB" w:rsidRPr="00272C84">
        <w:t xml:space="preserve"> výhod, které nepochybně umožňují efektivnější specializaci ekonomických činností než ve venkovském prostoru. Tato </w:t>
      </w:r>
      <w:r w:rsidR="00D84BEB" w:rsidRPr="00212599">
        <w:t xml:space="preserve">specializace návazně stimuluje investice do technologií s pozitivními dopady na produktivitu výroby, která spolu s aglomeračními úsporami dále posiluje dominanci měst jako center produkce, směny a spotřeby výrobků a služeb. </w:t>
      </w:r>
      <w:r w:rsidR="00D84BEB" w:rsidRPr="006F15E4">
        <w:t xml:space="preserve">Podle E. Glasera a M. Ressegera zvyšuje velikost města v oblastech </w:t>
      </w:r>
      <w:r w:rsidR="00D84BEB">
        <w:t>v interakci s</w:t>
      </w:r>
      <w:r w:rsidR="00D84BEB" w:rsidRPr="006F15E4">
        <w:t xml:space="preserve"> vysokou koncentrací kvalifikovaných pracovníků </w:t>
      </w:r>
      <w:r w:rsidR="00D84BEB" w:rsidRPr="00A121B2">
        <w:t>produktivitu práce o přibližně 45 % (Glaeser, Resseger, 2010). Rozvoj informačních a komunikačních technologií, které nesporně snižují náklady na oběh informací a koordinaci činností v rámci produkčních řetězců, pak umož</w:t>
      </w:r>
      <w:r w:rsidR="00C333B5">
        <w:t>nil postupné oddělení řízení od </w:t>
      </w:r>
      <w:r w:rsidR="00D84BEB" w:rsidRPr="00A121B2">
        <w:t>reálné výroby. Výsledkem tohoto procesu je přeměna největších měst na centra řízení</w:t>
      </w:r>
      <w:r w:rsidR="00C333B5">
        <w:t xml:space="preserve"> a </w:t>
      </w:r>
      <w:r w:rsidR="00A121B2" w:rsidRPr="00A121B2">
        <w:t>centra</w:t>
      </w:r>
      <w:r w:rsidR="00D84BEB" w:rsidRPr="00A121B2">
        <w:t xml:space="preserve"> produkce progresivních služeb (zejména finanční, pojišťovací, vědecko-výzkumné, informační, komunikační, právní a vybrané podpůrné služby), zatímco menší města zůstala v lepších případech specializovanými centry průmyslové</w:t>
      </w:r>
      <w:r w:rsidR="00D84BEB" w:rsidRPr="006F15E4">
        <w:t xml:space="preserve"> výroby a nižších </w:t>
      </w:r>
      <w:r w:rsidR="00D84BEB">
        <w:t xml:space="preserve">(zejména spotřebních) </w:t>
      </w:r>
      <w:r w:rsidR="00D84BEB" w:rsidRPr="006F15E4">
        <w:t xml:space="preserve">služeb, ovšem při </w:t>
      </w:r>
      <w:r w:rsidR="00D84BEB">
        <w:t xml:space="preserve">zvyšující se </w:t>
      </w:r>
      <w:r w:rsidR="00D84BEB" w:rsidRPr="006F15E4">
        <w:t xml:space="preserve">závislostí na </w:t>
      </w:r>
      <w:r w:rsidR="00D84BEB">
        <w:t xml:space="preserve">hlavních </w:t>
      </w:r>
      <w:r w:rsidR="00D84BEB" w:rsidRPr="006F15E4">
        <w:t xml:space="preserve">řídících centrech. Výše uvedené skutečnosti lze shrnout do závěru, že charakteristickým rysem současného </w:t>
      </w:r>
      <w:r w:rsidR="00D84BEB">
        <w:t xml:space="preserve">dynamického </w:t>
      </w:r>
      <w:r w:rsidR="00D84BEB" w:rsidRPr="006F15E4">
        <w:t>vývoje měst v podmínkách globální ekonomiky je prohlubování jejich významové hierarchie v souladu s posilováním vertikálních vazeb v oblasti řízení ekonomického rozvoje</w:t>
      </w:r>
      <w:r w:rsidR="00D84BEB">
        <w:t>.</w:t>
      </w:r>
      <w:r w:rsidR="00D84BEB" w:rsidRPr="006F15E4">
        <w:t xml:space="preserve"> </w:t>
      </w:r>
      <w:r w:rsidR="00D84BEB">
        <w:t xml:space="preserve">Z obecnějšího pohledu jde o </w:t>
      </w:r>
      <w:r w:rsidR="00D84BEB" w:rsidRPr="006F15E4">
        <w:t>proces intenzivní koncentrac</w:t>
      </w:r>
      <w:r w:rsidR="00D84BEB">
        <w:t>e</w:t>
      </w:r>
      <w:r w:rsidR="00D84BEB" w:rsidRPr="006F15E4">
        <w:t xml:space="preserve"> </w:t>
      </w:r>
      <w:r w:rsidR="00D84BEB">
        <w:t xml:space="preserve">společenského </w:t>
      </w:r>
      <w:r w:rsidR="00D84BEB" w:rsidRPr="006F15E4">
        <w:t>významu</w:t>
      </w:r>
      <w:r w:rsidR="00D84BEB">
        <w:t xml:space="preserve">, jehož nejvyšším stádiem je vytváření dynamických sítí </w:t>
      </w:r>
      <w:r w:rsidR="00D84BEB" w:rsidRPr="006F15E4">
        <w:t xml:space="preserve">metropolí </w:t>
      </w:r>
      <w:r w:rsidR="00D84BEB" w:rsidRPr="009820F6">
        <w:t>globálního významu jako určitého završení jejich historického vývoje (globální upgrading). V tomto směru lze podrobněji rozlišov</w:t>
      </w:r>
      <w:r w:rsidR="00FC68D3" w:rsidRPr="009820F6">
        <w:t>at metropole globálního významu</w:t>
      </w:r>
      <w:r w:rsidRPr="009820F6">
        <w:t xml:space="preserve"> </w:t>
      </w:r>
      <w:r w:rsidR="00D84BEB" w:rsidRPr="009820F6">
        <w:t>zahrnující</w:t>
      </w:r>
      <w:r w:rsidR="00FC68D3" w:rsidRPr="009820F6">
        <w:t>,</w:t>
      </w:r>
      <w:r w:rsidR="00D84BEB" w:rsidRPr="009820F6">
        <w:t xml:space="preserve"> podle studie společnosti A. T. Kearney</w:t>
      </w:r>
      <w:r w:rsidR="00FC68D3" w:rsidRPr="009820F6">
        <w:t>,</w:t>
      </w:r>
      <w:r w:rsidR="00D84BEB" w:rsidRPr="009820F6">
        <w:t xml:space="preserve"> v současnosti celkem 66 měst</w:t>
      </w:r>
      <w:r w:rsidR="00D84BEB" w:rsidRPr="00FC68D3">
        <w:rPr>
          <w:color w:val="FF0000"/>
        </w:rPr>
        <w:t xml:space="preserve"> </w:t>
      </w:r>
      <w:r w:rsidR="00D84BEB">
        <w:t xml:space="preserve">(vybraných na základě celkem pěti významových kritérií, vztahujících </w:t>
      </w:r>
      <w:proofErr w:type="gramStart"/>
      <w:r w:rsidR="00D84BEB">
        <w:t>se</w:t>
      </w:r>
      <w:proofErr w:type="gramEnd"/>
      <w:r w:rsidR="00D84BEB">
        <w:t xml:space="preserve"> k obchodním aktivitám, úrovni lidského kapitálu,  informačním tokům, kultuře a politickému vlivu) a</w:t>
      </w:r>
      <w:r w:rsidR="00D84BEB" w:rsidRPr="006F15E4">
        <w:t xml:space="preserve"> na n</w:t>
      </w:r>
      <w:r w:rsidR="00D84BEB">
        <w:t>ě</w:t>
      </w:r>
      <w:r w:rsidR="00D84BEB" w:rsidRPr="006F15E4">
        <w:t xml:space="preserve"> navázan</w:t>
      </w:r>
      <w:r w:rsidR="00D84BEB">
        <w:t>ou síť</w:t>
      </w:r>
      <w:r w:rsidR="00D84BEB" w:rsidRPr="006F15E4">
        <w:t xml:space="preserve"> menší</w:t>
      </w:r>
      <w:r w:rsidR="00D84BEB">
        <w:t>ch</w:t>
      </w:r>
      <w:r w:rsidR="00D84BEB" w:rsidRPr="006F15E4">
        <w:t xml:space="preserve"> metropol</w:t>
      </w:r>
      <w:r w:rsidR="00D84BEB">
        <w:t>í</w:t>
      </w:r>
      <w:r w:rsidR="00D84BEB" w:rsidRPr="006F15E4">
        <w:t xml:space="preserve"> subglobálního významu</w:t>
      </w:r>
      <w:r w:rsidR="00D84BEB">
        <w:t xml:space="preserve"> (selektivně podřízených globálním metropolím), kam lze zařadit </w:t>
      </w:r>
      <w:r w:rsidR="00D84BEB" w:rsidRPr="006F15E4">
        <w:t>i Prah</w:t>
      </w:r>
      <w:r w:rsidR="00D84BEB">
        <w:t>u</w:t>
      </w:r>
      <w:r w:rsidR="00D84BEB" w:rsidRPr="006F15E4">
        <w:t xml:space="preserve">. </w:t>
      </w:r>
    </w:p>
    <w:p w:rsidR="00D84BEB" w:rsidRDefault="00D84BEB" w:rsidP="00423120">
      <w:pPr>
        <w:pStyle w:val="05-Text"/>
      </w:pPr>
      <w:r w:rsidRPr="001E3148">
        <w:t>Mikroekonomicky založen</w:t>
      </w:r>
      <w:r>
        <w:t>á</w:t>
      </w:r>
      <w:r w:rsidRPr="001E3148">
        <w:t xml:space="preserve"> teorie aglomeračních úspor v účelné kombinaci s dále prezentovan</w:t>
      </w:r>
      <w:r>
        <w:t>ou skupinou</w:t>
      </w:r>
      <w:r w:rsidRPr="001E3148">
        <w:t xml:space="preserve"> teori</w:t>
      </w:r>
      <w:r>
        <w:t xml:space="preserve">í </w:t>
      </w:r>
      <w:r w:rsidRPr="001E3148">
        <w:t xml:space="preserve">centrálních míst </w:t>
      </w:r>
      <w:r>
        <w:t xml:space="preserve">(Christaller, </w:t>
      </w:r>
      <w:r w:rsidRPr="00E430A6">
        <w:t>Lösch</w:t>
      </w:r>
      <w:r>
        <w:t xml:space="preserve">) </w:t>
      </w:r>
      <w:r w:rsidRPr="001E3148">
        <w:t>umožňuj</w:t>
      </w:r>
      <w:r>
        <w:t>e</w:t>
      </w:r>
      <w:r w:rsidRPr="001E3148">
        <w:t xml:space="preserve"> pochopit hlavní </w:t>
      </w:r>
      <w:r>
        <w:t>faktory dlouhodobě ovlivňující prostorové</w:t>
      </w:r>
      <w:r w:rsidRPr="001E3148">
        <w:t xml:space="preserve"> </w:t>
      </w:r>
      <w:r>
        <w:t>uspořádání ekonomiky a jeho efektivnost a hlavní vývojové tendence</w:t>
      </w:r>
      <w:r w:rsidRPr="00425020">
        <w:rPr>
          <w:rStyle w:val="Znakapoznpodarou"/>
        </w:rPr>
        <w:t xml:space="preserve"> </w:t>
      </w:r>
      <w:r>
        <w:rPr>
          <w:rStyle w:val="Znakapoznpodarou"/>
        </w:rPr>
        <w:footnoteReference w:id="4"/>
      </w:r>
      <w:r>
        <w:t>.</w:t>
      </w:r>
      <w:r w:rsidRPr="001E3148">
        <w:t xml:space="preserve"> </w:t>
      </w:r>
      <w:r>
        <w:t xml:space="preserve">Tato kombinace zároveň </w:t>
      </w:r>
      <w:r w:rsidRPr="001E3148">
        <w:t>poskytuj</w:t>
      </w:r>
      <w:r>
        <w:t>e vhodný</w:t>
      </w:r>
      <w:r w:rsidRPr="001E3148">
        <w:t xml:space="preserve"> explanační rámec </w:t>
      </w:r>
      <w:r w:rsidR="00C333B5">
        <w:t>i pro </w:t>
      </w:r>
      <w:r w:rsidRPr="00304056">
        <w:t xml:space="preserve">pochopení dalších jevů a procesů spojených s regionálním rozvojem, </w:t>
      </w:r>
      <w:r>
        <w:t>kterým je věnována pozorn</w:t>
      </w:r>
      <w:bookmarkStart w:id="17" w:name="_Toc349768207"/>
      <w:r w:rsidR="00FC68D3">
        <w:t>ost v následujících kapitolách</w:t>
      </w:r>
      <w:r w:rsidR="00DD17E2">
        <w:t>.</w:t>
      </w:r>
    </w:p>
    <w:p w:rsidR="00DD17E2" w:rsidRDefault="00DD17E2">
      <w:pPr>
        <w:spacing w:after="0" w:line="240" w:lineRule="auto"/>
        <w:rPr>
          <w:rFonts w:ascii="Calibri" w:hAnsi="Calibri" w:cs="Calibri"/>
          <w:b/>
          <w:sz w:val="24"/>
          <w:szCs w:val="24"/>
          <w:lang w:eastAsia="en-US"/>
        </w:rPr>
      </w:pPr>
      <w:r>
        <w:br w:type="page"/>
      </w:r>
    </w:p>
    <w:p w:rsidR="00202BDD" w:rsidRPr="00202BDD" w:rsidRDefault="00202BDD" w:rsidP="004941FF">
      <w:pPr>
        <w:pStyle w:val="0T-Titulek"/>
      </w:pPr>
      <w:bookmarkStart w:id="18" w:name="_Toc382326428"/>
      <w:r w:rsidRPr="00FC68D3">
        <w:lastRenderedPageBreak/>
        <w:t>Tabulka 1: Index globálních měst</w:t>
      </w:r>
      <w:bookmarkEnd w:id="18"/>
    </w:p>
    <w:tbl>
      <w:tblPr>
        <w:tblW w:w="450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500"/>
        <w:gridCol w:w="1500"/>
        <w:gridCol w:w="1500"/>
      </w:tblGrid>
      <w:tr w:rsidR="00D84BEB" w:rsidRPr="00EC1F82" w:rsidTr="00EC1F82">
        <w:trPr>
          <w:tblCellSpacing w:w="15" w:type="dxa"/>
          <w:jc w:val="center"/>
        </w:trPr>
        <w:tc>
          <w:tcPr>
            <w:tcW w:w="1455" w:type="dxa"/>
          </w:tcPr>
          <w:bookmarkEnd w:id="17"/>
          <w:p w:rsidR="00D84BEB" w:rsidRPr="00D62EB1" w:rsidRDefault="00D84BEB" w:rsidP="00514BEE">
            <w:pPr>
              <w:spacing w:after="0" w:line="240" w:lineRule="auto"/>
              <w:rPr>
                <w:rFonts w:asciiTheme="minorHAnsi" w:hAnsiTheme="minorHAnsi" w:cstheme="minorHAnsi"/>
                <w:b/>
                <w:lang w:eastAsia="en-GB"/>
              </w:rPr>
            </w:pPr>
            <w:r w:rsidRPr="00D62EB1">
              <w:rPr>
                <w:rFonts w:asciiTheme="minorHAnsi" w:hAnsiTheme="minorHAnsi" w:cstheme="minorHAnsi"/>
                <w:b/>
                <w:lang w:eastAsia="en-GB"/>
              </w:rPr>
              <w:t>Město</w:t>
            </w:r>
          </w:p>
        </w:tc>
        <w:tc>
          <w:tcPr>
            <w:tcW w:w="1470" w:type="dxa"/>
          </w:tcPr>
          <w:p w:rsidR="00D84BEB" w:rsidRPr="00D62EB1" w:rsidRDefault="00D84BEB" w:rsidP="00514BEE">
            <w:pPr>
              <w:spacing w:after="0" w:line="240" w:lineRule="auto"/>
              <w:jc w:val="center"/>
              <w:rPr>
                <w:rFonts w:asciiTheme="minorHAnsi" w:hAnsiTheme="minorHAnsi" w:cstheme="minorHAnsi"/>
                <w:b/>
                <w:lang w:eastAsia="en-GB"/>
              </w:rPr>
            </w:pPr>
            <w:r w:rsidRPr="00D62EB1">
              <w:rPr>
                <w:rFonts w:asciiTheme="minorHAnsi" w:hAnsiTheme="minorHAnsi" w:cstheme="minorHAnsi"/>
                <w:b/>
                <w:lang w:eastAsia="en-GB"/>
              </w:rPr>
              <w:t>pořadí 2012</w:t>
            </w:r>
          </w:p>
        </w:tc>
        <w:tc>
          <w:tcPr>
            <w:tcW w:w="1455" w:type="dxa"/>
          </w:tcPr>
          <w:p w:rsidR="00D84BEB" w:rsidRPr="00D62EB1" w:rsidRDefault="00D84BEB" w:rsidP="00514BEE">
            <w:pPr>
              <w:spacing w:after="0" w:line="240" w:lineRule="auto"/>
              <w:jc w:val="center"/>
              <w:rPr>
                <w:rFonts w:asciiTheme="minorHAnsi" w:hAnsiTheme="minorHAnsi" w:cstheme="minorHAnsi"/>
                <w:b/>
                <w:lang w:eastAsia="en-GB"/>
              </w:rPr>
            </w:pPr>
            <w:r w:rsidRPr="00D62EB1">
              <w:rPr>
                <w:rFonts w:asciiTheme="minorHAnsi" w:hAnsiTheme="minorHAnsi" w:cstheme="minorHAnsi"/>
                <w:b/>
                <w:lang w:eastAsia="en-GB"/>
              </w:rPr>
              <w:t>pořadí 2010</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New York</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London</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2.</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2.</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Paris</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3.</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3.</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Tokyo</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4.</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4.</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Hong Kong</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5.</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5.</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Los Angeles</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6.</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6.</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Chicago</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7.</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8.</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 xml:space="preserve">Seoul </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8.</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9.</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Brussels</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9.</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13.</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Washington</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10.</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11.</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Singapore</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11.</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7.</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 xml:space="preserve">Sydney </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12.</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16.</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 xml:space="preserve">Wienna </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13.</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18.</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 xml:space="preserve">Beijing </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14.</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12.</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 xml:space="preserve">Boston </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15.</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29.</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 xml:space="preserve">Toronto </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16.</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10.</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 xml:space="preserve">San Francisco </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17.</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15.</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Madrid</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18.</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14.</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Moscow</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19.</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19.</w:t>
            </w:r>
          </w:p>
        </w:tc>
      </w:tr>
      <w:tr w:rsidR="00D84BEB" w:rsidRPr="00EC1F82" w:rsidTr="00EC1F82">
        <w:trPr>
          <w:tblCellSpacing w:w="15" w:type="dxa"/>
          <w:jc w:val="center"/>
        </w:trPr>
        <w:tc>
          <w:tcPr>
            <w:tcW w:w="1455" w:type="dxa"/>
          </w:tcPr>
          <w:p w:rsidR="00D84BEB" w:rsidRPr="00D62EB1" w:rsidRDefault="00D84BEB" w:rsidP="00514BEE">
            <w:pPr>
              <w:spacing w:after="0" w:line="240" w:lineRule="auto"/>
              <w:rPr>
                <w:rFonts w:asciiTheme="minorHAnsi" w:hAnsiTheme="minorHAnsi" w:cstheme="minorHAnsi"/>
                <w:lang w:eastAsia="en-GB"/>
              </w:rPr>
            </w:pPr>
            <w:r w:rsidRPr="00D62EB1">
              <w:rPr>
                <w:rFonts w:asciiTheme="minorHAnsi" w:hAnsiTheme="minorHAnsi" w:cstheme="minorHAnsi"/>
                <w:lang w:eastAsia="en-GB"/>
              </w:rPr>
              <w:t xml:space="preserve">Berlin </w:t>
            </w:r>
          </w:p>
        </w:tc>
        <w:tc>
          <w:tcPr>
            <w:tcW w:w="1470"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20.</w:t>
            </w:r>
          </w:p>
        </w:tc>
        <w:tc>
          <w:tcPr>
            <w:tcW w:w="1455" w:type="dxa"/>
          </w:tcPr>
          <w:p w:rsidR="00D84BEB" w:rsidRPr="00D62EB1" w:rsidRDefault="00D84BEB" w:rsidP="00514BEE">
            <w:pPr>
              <w:spacing w:after="0" w:line="240" w:lineRule="auto"/>
              <w:jc w:val="center"/>
              <w:rPr>
                <w:rFonts w:asciiTheme="minorHAnsi" w:hAnsiTheme="minorHAnsi" w:cstheme="minorHAnsi"/>
                <w:lang w:eastAsia="en-GB"/>
              </w:rPr>
            </w:pPr>
            <w:r w:rsidRPr="00D62EB1">
              <w:rPr>
                <w:rFonts w:asciiTheme="minorHAnsi" w:hAnsiTheme="minorHAnsi" w:cstheme="minorHAnsi"/>
                <w:lang w:eastAsia="en-GB"/>
              </w:rPr>
              <w:t>17.</w:t>
            </w:r>
          </w:p>
        </w:tc>
      </w:tr>
    </w:tbl>
    <w:p w:rsidR="00D84BEB" w:rsidRPr="0071558F" w:rsidRDefault="00D84BEB" w:rsidP="00D62EB1">
      <w:pPr>
        <w:pStyle w:val="0T-Pramen"/>
        <w:spacing w:after="120"/>
      </w:pPr>
      <w:r w:rsidRPr="0071558F">
        <w:t>Pramen: A. T. Kearney: 2012 Global Cities Index.</w:t>
      </w:r>
    </w:p>
    <w:p w:rsidR="00D84BEB" w:rsidRPr="000E4322" w:rsidRDefault="00D84BEB" w:rsidP="00D62EB1">
      <w:pPr>
        <w:pStyle w:val="05-Text"/>
        <w:spacing w:after="120"/>
        <w:rPr>
          <w:color w:val="FF0000"/>
        </w:rPr>
      </w:pPr>
      <w:r w:rsidRPr="00304056">
        <w:t>Významnou předností teorie centrálních míst</w:t>
      </w:r>
      <w:r>
        <w:t xml:space="preserve"> </w:t>
      </w:r>
      <w:r w:rsidRPr="00304056">
        <w:t>W. Christaller</w:t>
      </w:r>
      <w:r w:rsidR="00FC68D3">
        <w:t>a</w:t>
      </w:r>
      <w:r>
        <w:t xml:space="preserve"> </w:t>
      </w:r>
      <w:r w:rsidRPr="00304056">
        <w:t xml:space="preserve">je její </w:t>
      </w:r>
      <w:r>
        <w:t xml:space="preserve">obecný </w:t>
      </w:r>
      <w:r w:rsidRPr="00304056">
        <w:t>soulad s</w:t>
      </w:r>
      <w:r>
        <w:t> </w:t>
      </w:r>
      <w:r w:rsidRPr="00304056">
        <w:t xml:space="preserve">empirickými poznatky o </w:t>
      </w:r>
      <w:r>
        <w:t xml:space="preserve">hierarchickém prostorovém </w:t>
      </w:r>
      <w:r w:rsidRPr="00304056">
        <w:t xml:space="preserve">uspořádání </w:t>
      </w:r>
      <w:r>
        <w:t>společenských s</w:t>
      </w:r>
      <w:r w:rsidRPr="00F76E6A">
        <w:t>ystém</w:t>
      </w:r>
      <w:r>
        <w:t>ů</w:t>
      </w:r>
      <w:r w:rsidR="00BA6F21">
        <w:t>,</w:t>
      </w:r>
      <w:r>
        <w:t xml:space="preserve"> resp. sociálně-geografické diferenciaci prostoru (Hampl, 2005)</w:t>
      </w:r>
      <w:r w:rsidRPr="00A51571">
        <w:t xml:space="preserve">. </w:t>
      </w:r>
      <w:r>
        <w:t xml:space="preserve">Tato </w:t>
      </w:r>
      <w:r w:rsidRPr="00A51571">
        <w:t>teorie zdůrazňuje</w:t>
      </w:r>
      <w:r>
        <w:t xml:space="preserve">, že </w:t>
      </w:r>
      <w:r w:rsidR="00C333B5">
        <w:t>za </w:t>
      </w:r>
      <w:r w:rsidRPr="00A51571">
        <w:t>předpokladu</w:t>
      </w:r>
      <w:r w:rsidRPr="008D2FAC">
        <w:t xml:space="preserve"> </w:t>
      </w:r>
      <w:r w:rsidRPr="003A567D">
        <w:t>rovnoměrného rozmístění populace v</w:t>
      </w:r>
      <w:r>
        <w:t xml:space="preserve">e fyzicky </w:t>
      </w:r>
      <w:r w:rsidRPr="003A567D">
        <w:t>homogenním prostoru</w:t>
      </w:r>
      <w:r w:rsidR="00FC68D3" w:rsidRPr="00C333B5">
        <w:t>,</w:t>
      </w:r>
      <w:r w:rsidRPr="00FC68D3">
        <w:rPr>
          <w:color w:val="FF0000"/>
        </w:rPr>
        <w:t xml:space="preserve"> </w:t>
      </w:r>
      <w:r>
        <w:t xml:space="preserve">a </w:t>
      </w:r>
      <w:r w:rsidR="00C333B5">
        <w:t>tedy i </w:t>
      </w:r>
      <w:r w:rsidRPr="003A567D">
        <w:t>jednotného gradientu dopravní dostupnosti</w:t>
      </w:r>
      <w:r>
        <w:t>, vyrovnané úrovně</w:t>
      </w:r>
      <w:r w:rsidRPr="003A567D">
        <w:t xml:space="preserve"> příjmů a </w:t>
      </w:r>
      <w:r>
        <w:t xml:space="preserve">standardizovaných </w:t>
      </w:r>
      <w:r w:rsidRPr="003A567D">
        <w:t>spotřebitelských preferencí</w:t>
      </w:r>
      <w:r w:rsidR="00BA6264" w:rsidRPr="00BA6264">
        <w:rPr>
          <w:color w:val="FF0000"/>
        </w:rPr>
        <w:t>,</w:t>
      </w:r>
      <w:r w:rsidRPr="00BA6264">
        <w:rPr>
          <w:color w:val="FF0000"/>
        </w:rPr>
        <w:t xml:space="preserve"> </w:t>
      </w:r>
      <w:r>
        <w:t>má</w:t>
      </w:r>
      <w:r w:rsidRPr="003A567D">
        <w:t xml:space="preserve"> rozmístění sídel </w:t>
      </w:r>
      <w:r w:rsidRPr="00567A9B">
        <w:t>pravidelný charakter, přičemž jejich velikostní struktura korespond</w:t>
      </w:r>
      <w:r>
        <w:t xml:space="preserve">uje </w:t>
      </w:r>
      <w:r w:rsidRPr="00567A9B">
        <w:t xml:space="preserve">s jejich hierarchickým postavením </w:t>
      </w:r>
      <w:r>
        <w:t xml:space="preserve">posuzovaným </w:t>
      </w:r>
      <w:r w:rsidRPr="00567A9B">
        <w:t xml:space="preserve">z hlediska obslužných (obchod a </w:t>
      </w:r>
      <w:r w:rsidRPr="000024F1">
        <w:t xml:space="preserve">další spotřebitelské služby) funkcí. </w:t>
      </w:r>
      <w:r>
        <w:t>Výsledné „kaskádové“ územní u</w:t>
      </w:r>
      <w:r w:rsidRPr="000024F1">
        <w:t xml:space="preserve">spořádání </w:t>
      </w:r>
      <w:r>
        <w:t xml:space="preserve">funkčních </w:t>
      </w:r>
      <w:r w:rsidRPr="000024F1">
        <w:t xml:space="preserve">systémů </w:t>
      </w:r>
      <w:r w:rsidR="00BA6264">
        <w:t xml:space="preserve">osídlení </w:t>
      </w:r>
      <w:r w:rsidRPr="000024F1">
        <w:t>má</w:t>
      </w:r>
      <w:r w:rsidR="00BA6264">
        <w:t xml:space="preserve"> pak</w:t>
      </w:r>
      <w:r w:rsidRPr="000024F1">
        <w:t xml:space="preserve"> jednotnou hexagonální geometrickou strukturu, </w:t>
      </w:r>
      <w:r>
        <w:t xml:space="preserve">která se </w:t>
      </w:r>
      <w:r w:rsidRPr="000024F1">
        <w:t>opakuj</w:t>
      </w:r>
      <w:r>
        <w:t>e</w:t>
      </w:r>
      <w:r w:rsidRPr="000024F1">
        <w:t xml:space="preserve"> ve všech regionech. Tato struktura </w:t>
      </w:r>
      <w:r>
        <w:t xml:space="preserve">odráží </w:t>
      </w:r>
      <w:r w:rsidR="00C333B5">
        <w:t>chování spotřebitelů a </w:t>
      </w:r>
      <w:r w:rsidRPr="000024F1">
        <w:t xml:space="preserve">podnikatelů, </w:t>
      </w:r>
      <w:r>
        <w:t>kdy</w:t>
      </w:r>
      <w:r w:rsidRPr="000024F1">
        <w:t xml:space="preserve"> malá sídla jsou schopna efektivně poskytovat pouze limitovaný rozsah zboží a služeb </w:t>
      </w:r>
      <w:r>
        <w:t>splňujících požadavek minimální</w:t>
      </w:r>
      <w:r w:rsidR="00BA6F21">
        <w:t>,</w:t>
      </w:r>
      <w:r>
        <w:t xml:space="preserve"> resp. prahové poptávky (např. základní potraviny, poštovní služby) </w:t>
      </w:r>
      <w:r w:rsidRPr="000024F1">
        <w:t xml:space="preserve">a zbývající poptávka </w:t>
      </w:r>
      <w:r>
        <w:t>pak</w:t>
      </w:r>
      <w:r w:rsidRPr="000024F1">
        <w:t xml:space="preserve"> musí být </w:t>
      </w:r>
      <w:r>
        <w:t xml:space="preserve">uspokojována </w:t>
      </w:r>
      <w:r w:rsidRPr="000024F1">
        <w:t>ve větších centrech</w:t>
      </w:r>
      <w:r>
        <w:t xml:space="preserve"> (např. nábytek či zdravotnické služby). Dražší výrobky a služby s menší frekvencí nákupů tedy mají vyšší hranici tržního dosahu než levnější výrobky a služby s vyšší frekvencí nákupů</w:t>
      </w:r>
      <w:r w:rsidRPr="000024F1">
        <w:t xml:space="preserve">. </w:t>
      </w:r>
      <w:r>
        <w:t>Odpovídající obslužné</w:t>
      </w:r>
      <w:r w:rsidRPr="000024F1">
        <w:t xml:space="preserve"> </w:t>
      </w:r>
      <w:r>
        <w:t>oblasti</w:t>
      </w:r>
      <w:r w:rsidRPr="000024F1">
        <w:t xml:space="preserve"> se pak </w:t>
      </w:r>
      <w:r>
        <w:t xml:space="preserve">v podobě hierarchizované sítě šestiúhelníků pokrývajících celý region </w:t>
      </w:r>
      <w:r w:rsidRPr="000024F1">
        <w:t>utvářejí v souladu s časovou dostupností</w:t>
      </w:r>
      <w:r>
        <w:t xml:space="preserve"> jednotlivých center (centrálních míst)</w:t>
      </w:r>
      <w:r w:rsidRPr="000024F1">
        <w:t xml:space="preserve"> a dopravními náklady</w:t>
      </w:r>
      <w:r>
        <w:t xml:space="preserve">, přičemž hierarchicky nejvýše postavené centrální </w:t>
      </w:r>
      <w:r>
        <w:lastRenderedPageBreak/>
        <w:t xml:space="preserve">místo s nejvyšším rozsahem </w:t>
      </w:r>
      <w:r w:rsidRPr="001E47CE">
        <w:t xml:space="preserve">poskytovaných výrobků a služeb se nachází ve středu </w:t>
      </w:r>
      <w:r>
        <w:t xml:space="preserve">daného </w:t>
      </w:r>
      <w:r w:rsidRPr="001E47CE">
        <w:t>regionu (</w:t>
      </w:r>
      <w:r>
        <w:t>chápaného jako</w:t>
      </w:r>
      <w:r w:rsidRPr="001E47CE">
        <w:t xml:space="preserve"> územní jednotka, v jejímž rámci je komplexně uspokojována </w:t>
      </w:r>
      <w:r>
        <w:t xml:space="preserve">relevantní </w:t>
      </w:r>
      <w:r w:rsidRPr="001E47CE">
        <w:t>poptávka obyvatelstva po zboží a službách). V </w:t>
      </w:r>
      <w:r w:rsidRPr="00581C13">
        <w:t xml:space="preserve">základním </w:t>
      </w:r>
      <w:r>
        <w:t xml:space="preserve">Christallerově </w:t>
      </w:r>
      <w:r w:rsidRPr="00581C13">
        <w:t>modelu každé centrum vyššího řádu obsluhuje 3x větší území než o řád nižší centr</w:t>
      </w:r>
      <w:r>
        <w:t xml:space="preserve">a, </w:t>
      </w:r>
      <w:r w:rsidRPr="00581C13">
        <w:t>lokaliz</w:t>
      </w:r>
      <w:r>
        <w:t xml:space="preserve">ovaná </w:t>
      </w:r>
      <w:r w:rsidRPr="00581C13">
        <w:t xml:space="preserve">v rozích šestiúhelníku </w:t>
      </w:r>
      <w:r>
        <w:t>vymezujícího</w:t>
      </w:r>
      <w:r w:rsidRPr="00581C13">
        <w:t xml:space="preserve"> obslužnou oblast </w:t>
      </w:r>
      <w:r>
        <w:t xml:space="preserve">centra </w:t>
      </w:r>
      <w:r w:rsidRPr="00581C13">
        <w:t xml:space="preserve">vyššího </w:t>
      </w:r>
      <w:r>
        <w:t>řádu.</w:t>
      </w:r>
      <w:r w:rsidRPr="00581C13">
        <w:t xml:space="preserve"> Významným </w:t>
      </w:r>
      <w:r w:rsidRPr="002F3F5E">
        <w:t xml:space="preserve">nedostatkem teorie </w:t>
      </w:r>
      <w:r>
        <w:t>kromě</w:t>
      </w:r>
      <w:r w:rsidRPr="002F3F5E">
        <w:t xml:space="preserve"> jejího statického </w:t>
      </w:r>
      <w:r>
        <w:t xml:space="preserve">a rigidního </w:t>
      </w:r>
      <w:r w:rsidRPr="002F3F5E">
        <w:t>charakteru</w:t>
      </w:r>
      <w:r>
        <w:t xml:space="preserve"> je </w:t>
      </w:r>
      <w:r w:rsidRPr="002F3F5E">
        <w:t xml:space="preserve">především </w:t>
      </w:r>
      <w:r>
        <w:t xml:space="preserve">její odvětvová </w:t>
      </w:r>
      <w:r w:rsidRPr="002F3F5E">
        <w:t>koncentrace pouze na obchod a služby, kter</w:t>
      </w:r>
      <w:r>
        <w:t>á je charakteristická</w:t>
      </w:r>
      <w:r w:rsidRPr="002F3F5E">
        <w:t xml:space="preserve"> </w:t>
      </w:r>
      <w:r>
        <w:t>pouze</w:t>
      </w:r>
      <w:r w:rsidRPr="002F3F5E">
        <w:t xml:space="preserve"> pro velká města metropolitního významu (Mulligan, Partridge, Carruthers, 2012). T</w:t>
      </w:r>
      <w:r>
        <w:t>yto</w:t>
      </w:r>
      <w:r w:rsidRPr="002F3F5E">
        <w:t xml:space="preserve"> nedostatk</w:t>
      </w:r>
      <w:r>
        <w:t>y</w:t>
      </w:r>
      <w:r w:rsidRPr="002F3F5E">
        <w:t xml:space="preserve"> se snaž</w:t>
      </w:r>
      <w:r>
        <w:t>ila</w:t>
      </w:r>
      <w:r w:rsidRPr="002F3F5E">
        <w:t xml:space="preserve"> odstranit Löschova modifikace</w:t>
      </w:r>
      <w:r>
        <w:t xml:space="preserve"> teorie centrálních míst</w:t>
      </w:r>
      <w:r w:rsidRPr="002F3F5E">
        <w:t>, označov</w:t>
      </w:r>
      <w:r>
        <w:t>a</w:t>
      </w:r>
      <w:r w:rsidRPr="002F3F5E">
        <w:t>n</w:t>
      </w:r>
      <w:r>
        <w:t xml:space="preserve">á obvykle </w:t>
      </w:r>
      <w:r w:rsidRPr="002F3F5E">
        <w:t xml:space="preserve">jako teorie tržních </w:t>
      </w:r>
      <w:r w:rsidRPr="00626680">
        <w:t>zón. Tato</w:t>
      </w:r>
      <w:r w:rsidR="00BA6264" w:rsidRPr="00626680">
        <w:t xml:space="preserve"> teorie sice pracuje s podobným</w:t>
      </w:r>
      <w:r w:rsidRPr="00626680">
        <w:t xml:space="preserve"> geometrický</w:t>
      </w:r>
      <w:r w:rsidR="00C333B5">
        <w:t>m uspořádáním, avšak zahrnuje i </w:t>
      </w:r>
      <w:r w:rsidRPr="00626680">
        <w:t xml:space="preserve">průmysl (dalším významným rozdílem je aplikace přístupu zdola-nahoru/bottom-up). Velikost jednotlivých tržních zón se pak u této teorie primárně odvíjí od cenové elasticity poptávky, kde platí následující úměra: vyšší elasticita poptávky, typická pro standardizované zboží </w:t>
      </w:r>
      <w:r w:rsidRPr="00626680">
        <w:sym w:font="Symbol" w:char="F0AE"/>
      </w:r>
      <w:r w:rsidRPr="00626680">
        <w:t xml:space="preserve"> vyšší závislost na dopravních nákladech </w:t>
      </w:r>
      <w:r w:rsidRPr="00626680">
        <w:sym w:font="Symbol" w:char="F0AE"/>
      </w:r>
      <w:r w:rsidRPr="00626680">
        <w:t xml:space="preserve"> menší velikost tržních zón (uvedený mechanizmus lze považovat za jednu z hlavních příčin postupného vytlačování produkce standardních výrobků z velkých center do jejich zázemí). Löschova teorie je výrazně realističtější, zejména pokud jde o vývoj menších center s významnou</w:t>
      </w:r>
      <w:r w:rsidR="00C333B5">
        <w:t xml:space="preserve"> orientací na </w:t>
      </w:r>
      <w:r w:rsidRPr="00E430A6">
        <w:t xml:space="preserve">zpracovatelský </w:t>
      </w:r>
      <w:r w:rsidRPr="002F3F5E">
        <w:t>průmysl</w:t>
      </w:r>
      <w:r>
        <w:t xml:space="preserve">. Tato centra si obvykle udržují své významové </w:t>
      </w:r>
      <w:r w:rsidRPr="000E4322">
        <w:t>postavení</w:t>
      </w:r>
      <w:r w:rsidR="00C333B5">
        <w:t xml:space="preserve"> </w:t>
      </w:r>
      <w:r w:rsidR="00C333B5" w:rsidRPr="00C333B5">
        <w:t>po</w:t>
      </w:r>
      <w:r w:rsidR="00C333B5">
        <w:t> </w:t>
      </w:r>
      <w:r w:rsidRPr="00C333B5">
        <w:t>relativně</w:t>
      </w:r>
      <w:r w:rsidRPr="0035066C">
        <w:t xml:space="preserve"> dlouhé období, čímž se významně odlišují od velikostně podobných center orientovaných na obchod a služby, která vzhledem k r</w:t>
      </w:r>
      <w:r w:rsidR="00C333B5">
        <w:t>ostoucím příjmům obyvatelstva a </w:t>
      </w:r>
      <w:r w:rsidRPr="0035066C">
        <w:t>rychlému rozvoji dopravy a komunikačních technologií ztr</w:t>
      </w:r>
      <w:r w:rsidR="00C333B5">
        <w:t>ácejí svou významovou pozici ve </w:t>
      </w:r>
      <w:r w:rsidRPr="0035066C">
        <w:t xml:space="preserve">prospěch hierarchicky výše postavených center. </w:t>
      </w:r>
      <w:r>
        <w:t xml:space="preserve">V tomto kontextu je užitečné </w:t>
      </w:r>
      <w:r w:rsidRPr="000731C9">
        <w:t xml:space="preserve">upozornit i na skutečnost, že u průmyslových firem </w:t>
      </w:r>
      <w:r>
        <w:t xml:space="preserve">obecně </w:t>
      </w:r>
      <w:r w:rsidRPr="000731C9">
        <w:t>hraj</w:t>
      </w:r>
      <w:r>
        <w:t xml:space="preserve">í </w:t>
      </w:r>
      <w:r w:rsidRPr="000731C9">
        <w:t xml:space="preserve">významnější roli lokalizační než urbanistické úspory, jejichž pozitivní vlivy jsou navíc v případě velkých měst negovány vznikajícími urbanistickými ztrátami (generovanými např. dopravním přetížením či výrazně vyšší cenou nemovitostí) </w:t>
      </w:r>
      <w:r w:rsidRPr="000731C9">
        <w:rPr>
          <w:rStyle w:val="Znakapoznpodarou"/>
        </w:rPr>
        <w:footnoteReference w:id="5"/>
      </w:r>
      <w:r>
        <w:t>.</w:t>
      </w:r>
      <w:r w:rsidRPr="000731C9">
        <w:t xml:space="preserve"> Z regionálního pohledu pak teorie tržních zón předpokládá konstituování vyvážené prostorové struktury s dominantním postavením centra nejvyššího řádu, ze kterého vychází prostorové výseče</w:t>
      </w:r>
      <w:r w:rsidR="00BA6264">
        <w:t xml:space="preserve"> s</w:t>
      </w:r>
      <w:r>
        <w:t xml:space="preserve"> </w:t>
      </w:r>
      <w:r w:rsidRPr="000731C9">
        <w:t xml:space="preserve">různou </w:t>
      </w:r>
      <w:r>
        <w:t xml:space="preserve">mírou </w:t>
      </w:r>
      <w:r w:rsidRPr="000731C9">
        <w:t>koncentrac</w:t>
      </w:r>
      <w:r>
        <w:t>e/dekoncentrace</w:t>
      </w:r>
      <w:r w:rsidRPr="000731C9">
        <w:t xml:space="preserve"> odvětvově specializovaných</w:t>
      </w:r>
      <w:r>
        <w:t xml:space="preserve"> a systémově podřízených </w:t>
      </w:r>
      <w:r w:rsidRPr="000731C9">
        <w:t xml:space="preserve">center nižšího řádu. </w:t>
      </w:r>
      <w:r>
        <w:t>Uvedený závěr je možné chápat i jako teoretické východisko formování systémů pólů a os rozvoje různého hierarchického významu (viz dále). Praktický význam výše komentované skupiny teorií centrálních míst je spojován především s jejich implikacemi pro ekonomický růst a rozvoj národních i nadnárodních urbanistických systémů</w:t>
      </w:r>
      <w:r w:rsidR="00BA6F21">
        <w:t>,</w:t>
      </w:r>
      <w:r>
        <w:t xml:space="preserve"> resp. regionů – v rámci probíhajícího diskurzu považujeme za zvláště zajímavý závěr M. Partridge a kol. </w:t>
      </w:r>
      <w:r w:rsidRPr="002F3F5E">
        <w:t>(Mulligan, Partridge, Carruthers, 2012)</w:t>
      </w:r>
      <w:r>
        <w:t>, podle kterého má geografická blízkost a jí podmíněné procesy, především dojížďka za zaměstnáním, srovnatelně větší význam pro ekonomický růst než má tržní potenciál dané lokality.</w:t>
      </w:r>
    </w:p>
    <w:p w:rsidR="00D84BEB" w:rsidRDefault="00D84BEB" w:rsidP="00423120">
      <w:pPr>
        <w:pStyle w:val="05-Text"/>
      </w:pPr>
      <w:r w:rsidRPr="00EC1F82">
        <w:t>Závěrem této části je užitečné poznamenat, že aglomerační</w:t>
      </w:r>
      <w:r>
        <w:t xml:space="preserve"> </w:t>
      </w:r>
      <w:r w:rsidRPr="00EC1F82">
        <w:t xml:space="preserve">výhody se pochopitelně uplatňují </w:t>
      </w:r>
      <w:r>
        <w:t>diferenciovaným způsobem, jak pokud jde o úroveň jednotlivých měst, tak pokud jde o</w:t>
      </w:r>
      <w:r w:rsidRPr="00EC1F82">
        <w:t xml:space="preserve"> vnitroměstsk</w:t>
      </w:r>
      <w:r>
        <w:t>ou</w:t>
      </w:r>
      <w:r w:rsidRPr="00EC1F82">
        <w:t xml:space="preserve"> úrov</w:t>
      </w:r>
      <w:r>
        <w:t>eň</w:t>
      </w:r>
      <w:r w:rsidRPr="00EC1F82">
        <w:t>. V</w:t>
      </w:r>
      <w:r>
        <w:t>e druhém případě hraje zásadní roli</w:t>
      </w:r>
      <w:r w:rsidRPr="00EC1F82">
        <w:t xml:space="preserve"> zónování měst, tj. územním plánem kodifikované způsoby funkčního využití území </w:t>
      </w:r>
      <w:r>
        <w:t xml:space="preserve">daného </w:t>
      </w:r>
      <w:r w:rsidRPr="00EC1F82">
        <w:t>měst</w:t>
      </w:r>
      <w:r>
        <w:t xml:space="preserve">a a intenzity </w:t>
      </w:r>
      <w:r>
        <w:lastRenderedPageBreak/>
        <w:t>tohoto využití</w:t>
      </w:r>
      <w:r w:rsidRPr="00EC1F82">
        <w:t xml:space="preserve">. </w:t>
      </w:r>
      <w:r>
        <w:t>Konkrétní</w:t>
      </w:r>
      <w:r w:rsidRPr="00EC1F82">
        <w:t xml:space="preserve"> výhody se </w:t>
      </w:r>
      <w:r>
        <w:t xml:space="preserve">pak </w:t>
      </w:r>
      <w:r w:rsidRPr="00EC1F82">
        <w:t xml:space="preserve">odvíjejí od prostorové koncentrace </w:t>
      </w:r>
      <w:r>
        <w:t>jednotlivých</w:t>
      </w:r>
      <w:r w:rsidRPr="00EC1F82">
        <w:t xml:space="preserve"> typů </w:t>
      </w:r>
      <w:r>
        <w:t xml:space="preserve">funkčního využití </w:t>
      </w:r>
      <w:r w:rsidRPr="00EC1F82">
        <w:t xml:space="preserve">a mohou být dále posilovány </w:t>
      </w:r>
      <w:r>
        <w:t xml:space="preserve">či naopak zeslabovány působením </w:t>
      </w:r>
      <w:r w:rsidRPr="00EC1F82">
        <w:t>specifický</w:t>
      </w:r>
      <w:r>
        <w:t>ch</w:t>
      </w:r>
      <w:r w:rsidRPr="00EC1F82">
        <w:t xml:space="preserve"> faktor</w:t>
      </w:r>
      <w:r>
        <w:t>ů. Z</w:t>
      </w:r>
      <w:r w:rsidRPr="00EC1F82">
        <w:t xml:space="preserve"> pohledu rozvoje obytných funkcí </w:t>
      </w:r>
      <w:r>
        <w:t>je tímto specifickým faktorem</w:t>
      </w:r>
      <w:r w:rsidRPr="00EC1F82">
        <w:t xml:space="preserve"> </w:t>
      </w:r>
      <w:r>
        <w:t xml:space="preserve">zejména </w:t>
      </w:r>
      <w:r w:rsidRPr="00EC1F82">
        <w:t>diferenciac</w:t>
      </w:r>
      <w:r>
        <w:t>e</w:t>
      </w:r>
      <w:r w:rsidRPr="00EC1F82">
        <w:t xml:space="preserve"> území </w:t>
      </w:r>
      <w:r>
        <w:t xml:space="preserve">města </w:t>
      </w:r>
      <w:r w:rsidRPr="00EC1F82">
        <w:t>podle ekonomického</w:t>
      </w:r>
      <w:r>
        <w:t>,</w:t>
      </w:r>
      <w:r w:rsidRPr="00EC1F82">
        <w:t xml:space="preserve"> </w:t>
      </w:r>
      <w:r>
        <w:t xml:space="preserve">rodinného příp. </w:t>
      </w:r>
      <w:r w:rsidRPr="00EC1F82">
        <w:t>etnického statu</w:t>
      </w:r>
      <w:r>
        <w:t>t</w:t>
      </w:r>
      <w:r w:rsidRPr="00EC1F82">
        <w:t>u</w:t>
      </w:r>
      <w:r w:rsidRPr="004A4782">
        <w:t xml:space="preserve"> obyvatelstva</w:t>
      </w:r>
      <w:r>
        <w:t>, která má</w:t>
      </w:r>
      <w:r w:rsidRPr="004A4782">
        <w:t> </w:t>
      </w:r>
      <w:r>
        <w:t xml:space="preserve">významné </w:t>
      </w:r>
      <w:r w:rsidRPr="004A4782">
        <w:t xml:space="preserve">dopady na rozmístění jednotlivých </w:t>
      </w:r>
      <w:r>
        <w:t xml:space="preserve">druhů a </w:t>
      </w:r>
      <w:r w:rsidRPr="004A4782">
        <w:t>typů služeb (</w:t>
      </w:r>
      <w:r>
        <w:t xml:space="preserve">jednostranný </w:t>
      </w:r>
      <w:r w:rsidRPr="004A4782">
        <w:t>ekonomick</w:t>
      </w:r>
      <w:r w:rsidR="00115ED3">
        <w:t>ý pohled</w:t>
      </w:r>
      <w:r>
        <w:t xml:space="preserve"> akcentující především </w:t>
      </w:r>
      <w:r w:rsidRPr="004A4782">
        <w:t>výhodn</w:t>
      </w:r>
      <w:r>
        <w:t>ost</w:t>
      </w:r>
      <w:r w:rsidRPr="004A4782">
        <w:t xml:space="preserve"> prostorové segregace obyvatelstva</w:t>
      </w:r>
      <w:r w:rsidR="00115ED3">
        <w:t>;</w:t>
      </w:r>
      <w:r w:rsidRPr="004A4782">
        <w:t xml:space="preserve"> </w:t>
      </w:r>
      <w:r>
        <w:t xml:space="preserve">z hlediska efektivnosti jednotlivých ekonomických aktivit </w:t>
      </w:r>
      <w:r w:rsidRPr="004A4782">
        <w:t xml:space="preserve">však </w:t>
      </w:r>
      <w:r>
        <w:t xml:space="preserve">může být v rozporu s relevantním </w:t>
      </w:r>
      <w:r w:rsidRPr="004A4782">
        <w:t xml:space="preserve">sociálním </w:t>
      </w:r>
      <w:r>
        <w:t xml:space="preserve">či ekologickým pohledem </w:t>
      </w:r>
      <w:r w:rsidRPr="004A4782">
        <w:t xml:space="preserve">– viz např. potenciální nárůst sociálních </w:t>
      </w:r>
      <w:r>
        <w:t xml:space="preserve">a ekologických </w:t>
      </w:r>
      <w:r w:rsidRPr="004A4782">
        <w:t>problémů v chud</w:t>
      </w:r>
      <w:r>
        <w:t>noucích</w:t>
      </w:r>
      <w:r w:rsidRPr="004A4782">
        <w:t xml:space="preserve"> obytných čtvrtích</w:t>
      </w:r>
      <w:r>
        <w:t xml:space="preserve"> spojený s nebezpečím jejich následné devastace</w:t>
      </w:r>
      <w:r w:rsidRPr="004A4782">
        <w:t>).</w:t>
      </w:r>
      <w:r>
        <w:t xml:space="preserve"> V tomto směru je potřebné poukázat i na </w:t>
      </w:r>
      <w:r w:rsidRPr="005B6CD3">
        <w:t>významný vliv hustoty městského obyvatelstva na efektivnost veřejných služeb</w:t>
      </w:r>
      <w:r>
        <w:t xml:space="preserve">, </w:t>
      </w:r>
      <w:r w:rsidRPr="005B6CD3">
        <w:t xml:space="preserve">např. negativní efekty nízké hustoty obyvatelstva vilových čtvrtí generované srovnatelně vyššími náklady na zajištění jejich dopravní obslužnosti či provozování zařízení školských, zdravotních a dalších služeb v podmínkách rozšiřujícího se </w:t>
      </w:r>
      <w:r>
        <w:t xml:space="preserve">zastavěného </w:t>
      </w:r>
      <w:r w:rsidRPr="005B6CD3">
        <w:t>území</w:t>
      </w:r>
      <w:r w:rsidR="00BA6F21">
        <w:t>,</w:t>
      </w:r>
      <w:r w:rsidRPr="005B6CD3">
        <w:t xml:space="preserve"> </w:t>
      </w:r>
      <w:r>
        <w:t xml:space="preserve">resp. </w:t>
      </w:r>
      <w:r w:rsidRPr="005B6CD3">
        <w:t>intravilánu</w:t>
      </w:r>
      <w:r>
        <w:t xml:space="preserve"> </w:t>
      </w:r>
      <w:r w:rsidRPr="005B6CD3">
        <w:t>měst</w:t>
      </w:r>
      <w:r>
        <w:t>.</w:t>
      </w:r>
    </w:p>
    <w:p w:rsidR="00D84BEB" w:rsidRPr="00A91347" w:rsidRDefault="00D84BEB" w:rsidP="00890421">
      <w:pPr>
        <w:pStyle w:val="02-Nadpis2"/>
      </w:pPr>
      <w:bookmarkStart w:id="19" w:name="_Toc382327183"/>
      <w:r w:rsidRPr="00A91347">
        <w:t>1.5. Ostatní rozvojově významné souvislosti</w:t>
      </w:r>
      <w:bookmarkEnd w:id="19"/>
      <w:r w:rsidRPr="00A91347">
        <w:t xml:space="preserve"> </w:t>
      </w:r>
    </w:p>
    <w:p w:rsidR="00D84BEB" w:rsidRPr="00572AA1" w:rsidRDefault="00D84BEB" w:rsidP="00D62EB1">
      <w:pPr>
        <w:pStyle w:val="05-Text"/>
        <w:keepLines/>
        <w:suppressLineNumbers/>
        <w:spacing w:after="120"/>
      </w:pPr>
      <w:r w:rsidRPr="00572AA1">
        <w:t xml:space="preserve">V tomto kontextu je potřeba zmínit především environmentální souvislosti rozvoje měst a obcí, které lze obecně interpretovat pomocí systémového modelu metabolismu sídel vycházejícího z konceptu udržitelného rozvoje. </w:t>
      </w:r>
      <w:r w:rsidRPr="009820F6">
        <w:t xml:space="preserve">Základní komponenty tohoto </w:t>
      </w:r>
      <w:r w:rsidR="009820F6" w:rsidRPr="009820F6">
        <w:t xml:space="preserve">modelu představují vstupy (např. voda, energie a </w:t>
      </w:r>
      <w:r w:rsidRPr="009820F6">
        <w:t>potravi</w:t>
      </w:r>
      <w:r w:rsidR="009820F6" w:rsidRPr="009820F6">
        <w:t>ny</w:t>
      </w:r>
      <w:r w:rsidRPr="009820F6">
        <w:t>), hlavní procesy ovlivňující dynamiku rozvoje sídel (</w:t>
      </w:r>
      <w:r w:rsidR="009820F6" w:rsidRPr="009820F6">
        <w:t xml:space="preserve">např. </w:t>
      </w:r>
      <w:r w:rsidRPr="009820F6">
        <w:t>demogra</w:t>
      </w:r>
      <w:r w:rsidR="009820F6" w:rsidRPr="009820F6">
        <w:t>fické, ekonomické a sociokulturní</w:t>
      </w:r>
      <w:r w:rsidRPr="009820F6">
        <w:t xml:space="preserve">) a </w:t>
      </w:r>
      <w:r w:rsidR="009820F6" w:rsidRPr="009820F6">
        <w:t xml:space="preserve">jejich dopady na </w:t>
      </w:r>
      <w:r w:rsidRPr="009820F6">
        <w:t>kvalitu života (</w:t>
      </w:r>
      <w:r w:rsidR="009820F6" w:rsidRPr="009820F6">
        <w:t xml:space="preserve">např. </w:t>
      </w:r>
      <w:r w:rsidRPr="009820F6">
        <w:t>zdrav</w:t>
      </w:r>
      <w:r w:rsidR="009820F6" w:rsidRPr="009820F6">
        <w:t xml:space="preserve">í, zaměstnanost </w:t>
      </w:r>
      <w:r w:rsidRPr="009820F6">
        <w:t>a sociální faktory kvality života) a produkci odpadů (</w:t>
      </w:r>
      <w:r w:rsidR="009820F6" w:rsidRPr="009820F6">
        <w:t xml:space="preserve">např. </w:t>
      </w:r>
      <w:r w:rsidRPr="009820F6">
        <w:t xml:space="preserve">odpady, </w:t>
      </w:r>
      <w:r w:rsidR="009820F6" w:rsidRPr="009820F6">
        <w:t xml:space="preserve">emise znečišťujících látek a </w:t>
      </w:r>
      <w:r w:rsidRPr="009820F6">
        <w:t xml:space="preserve">hluk). </w:t>
      </w:r>
      <w:r w:rsidRPr="00572AA1">
        <w:t xml:space="preserve">Udržitelnost rozvoje sídel je pak úměrná společenské efektivnosti determinované dynamikou a vzájemnými interakcemi vývojových trendů kvality života a produkce odpadů (strategickým cílem </w:t>
      </w:r>
      <w:r w:rsidR="00C333B5">
        <w:t>je dosažení takového stavu, při </w:t>
      </w:r>
      <w:r w:rsidRPr="00572AA1">
        <w:t>kterém dochází ke zvyšování kvality života a snižování produkce odpadů).</w:t>
      </w:r>
    </w:p>
    <w:p w:rsidR="00D84BEB" w:rsidRPr="00572AA1" w:rsidRDefault="005C3F8A" w:rsidP="00B66EE4">
      <w:pPr>
        <w:keepNext/>
        <w:keepLines/>
        <w:suppressLineNumbers/>
        <w:spacing w:after="0"/>
      </w:pPr>
      <w:r>
        <w:rPr>
          <w:noProof/>
          <w:lang w:val="en-GB" w:eastAsia="en-GB"/>
        </w:rPr>
        <w:drawing>
          <wp:inline distT="0" distB="0" distL="0" distR="0" wp14:anchorId="09A8ABF6" wp14:editId="26D9AFB2">
            <wp:extent cx="5467350" cy="1758316"/>
            <wp:effectExtent l="0" t="0" r="0" b="0"/>
            <wp:docPr id="47" name="Obrázek 47" descr="C:\Users\76412\Downloads\ob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6412\Downloads\obr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4095" cy="1760485"/>
                    </a:xfrm>
                    <a:prstGeom prst="rect">
                      <a:avLst/>
                    </a:prstGeom>
                    <a:noFill/>
                    <a:ln>
                      <a:noFill/>
                    </a:ln>
                  </pic:spPr>
                </pic:pic>
              </a:graphicData>
            </a:graphic>
          </wp:inline>
        </w:drawing>
      </w:r>
    </w:p>
    <w:p w:rsidR="00D84BEB" w:rsidRPr="00DB6E18" w:rsidRDefault="00D84BEB" w:rsidP="00D62EB1">
      <w:pPr>
        <w:pStyle w:val="0G-Titulek"/>
        <w:keepLines/>
        <w:suppressLineNumbers/>
      </w:pPr>
      <w:bookmarkStart w:id="20" w:name="_Toc349768221"/>
      <w:bookmarkStart w:id="21" w:name="_Toc382326810"/>
      <w:r w:rsidRPr="00DB6E18">
        <w:t>Obrázek 6: Metabolismus sídel</w:t>
      </w:r>
      <w:bookmarkEnd w:id="20"/>
      <w:bookmarkEnd w:id="21"/>
    </w:p>
    <w:p w:rsidR="00D84BEB" w:rsidRPr="001C16F9" w:rsidRDefault="00B66EE4" w:rsidP="00D62EB1">
      <w:pPr>
        <w:pStyle w:val="0G-Pramen"/>
        <w:keepLines/>
        <w:suppressLineNumbers/>
        <w:spacing w:after="120"/>
      </w:pPr>
      <w:r>
        <w:t xml:space="preserve">Pramen: Newman et. </w:t>
      </w:r>
      <w:proofErr w:type="gramStart"/>
      <w:r>
        <w:t>al</w:t>
      </w:r>
      <w:proofErr w:type="gramEnd"/>
      <w:r>
        <w:t>., 1996.</w:t>
      </w:r>
    </w:p>
    <w:p w:rsidR="00D84BEB" w:rsidRDefault="00D84BEB" w:rsidP="00423120">
      <w:pPr>
        <w:pStyle w:val="05-Text"/>
        <w:widowControl w:val="0"/>
        <w:suppressLineNumbers/>
      </w:pPr>
      <w:r w:rsidRPr="00756BBD">
        <w:t xml:space="preserve">Z dalších teoretických přístupů, které se zabývají environmentálními souvislostmi </w:t>
      </w:r>
      <w:r>
        <w:t>socio-ekonomického</w:t>
      </w:r>
      <w:r w:rsidRPr="00756BBD">
        <w:t xml:space="preserve"> rozvoje, je možné vyčlenit tři základní myšlenkové proudy, ze kterých </w:t>
      </w:r>
      <w:r>
        <w:t xml:space="preserve">pak </w:t>
      </w:r>
      <w:r w:rsidRPr="00756BBD">
        <w:t>vycház</w:t>
      </w:r>
      <w:r>
        <w:t>ejí</w:t>
      </w:r>
      <w:r w:rsidRPr="00756BBD">
        <w:t xml:space="preserve"> </w:t>
      </w:r>
      <w:r w:rsidR="00CB5287">
        <w:t>rele</w:t>
      </w:r>
      <w:r>
        <w:t>v</w:t>
      </w:r>
      <w:r w:rsidR="00CB5287">
        <w:t>a</w:t>
      </w:r>
      <w:r>
        <w:t xml:space="preserve">ntní </w:t>
      </w:r>
      <w:r w:rsidRPr="00756BBD">
        <w:t>teorie. Těmito třemi hlavními proudy jsou neoklasická environmentální ekonomie, institucionální ekologická ekonomie a tržní přístupy k ochraně životního prostředí, respektive škola vlastnických práv v životním prostředí (Jílková, Slavíková</w:t>
      </w:r>
      <w:r>
        <w:t>,</w:t>
      </w:r>
      <w:r w:rsidRPr="00756BBD">
        <w:t xml:space="preserve"> 2009).</w:t>
      </w:r>
      <w:r>
        <w:t xml:space="preserve"> </w:t>
      </w:r>
    </w:p>
    <w:p w:rsidR="00D84BEB" w:rsidRPr="007A65E8" w:rsidRDefault="00D84BEB" w:rsidP="00423120">
      <w:pPr>
        <w:pStyle w:val="05-Text"/>
        <w:widowControl w:val="0"/>
        <w:suppressLineNumbers/>
      </w:pPr>
      <w:r w:rsidRPr="008B1DAD">
        <w:lastRenderedPageBreak/>
        <w:t xml:space="preserve">Nejstarším a zřejmě nejsilnějším proudem </w:t>
      </w:r>
      <w:r>
        <w:t>ve výše uvedeném rámci</w:t>
      </w:r>
      <w:r w:rsidRPr="008B1DAD">
        <w:t xml:space="preserve"> </w:t>
      </w:r>
      <w:r>
        <w:t xml:space="preserve">je </w:t>
      </w:r>
      <w:r w:rsidRPr="008B1DAD">
        <w:t xml:space="preserve">neoklasická environmentální ekonomie, která </w:t>
      </w:r>
      <w:r>
        <w:t xml:space="preserve">do určité míry </w:t>
      </w:r>
      <w:r w:rsidRPr="008B1DAD">
        <w:t xml:space="preserve">navázala na koncept Pigouovských daní </w:t>
      </w:r>
      <w:r>
        <w:t xml:space="preserve">– </w:t>
      </w:r>
      <w:r w:rsidRPr="008B1DAD">
        <w:t>zdanění negativních externalit, případně nárok na náhradu pozitivních externalit s cílem jejich internalizace (Pigou, 1920) a</w:t>
      </w:r>
      <w:r w:rsidRPr="00DB1314">
        <w:t xml:space="preserve"> </w:t>
      </w:r>
      <w:r w:rsidR="00DB1314" w:rsidRPr="00DB1314">
        <w:t>Coaseho</w:t>
      </w:r>
      <w:r w:rsidR="00DB1314">
        <w:t xml:space="preserve"> teorému</w:t>
      </w:r>
      <w:r w:rsidRPr="008B1DAD">
        <w:t xml:space="preserve"> </w:t>
      </w:r>
      <w:r>
        <w:t xml:space="preserve">– </w:t>
      </w:r>
      <w:r w:rsidRPr="0050721E">
        <w:t>řešení externalit je možné bez vnějšího zásahu při nulových transakčních nákladech a zřetelném vymezení vlastnických práv (Coase, 1960). Hlavním přínosem neoklasické environmentální ekonomie jsou metody komplexního ekonomického hodnocení přínosů a nákladů vybraných projektů především prostřednictvím analýzy nákladů a výnosů</w:t>
      </w:r>
      <w:r w:rsidR="00275DD2">
        <w:t>,</w:t>
      </w:r>
      <w:r w:rsidRPr="0050721E">
        <w:t xml:space="preserve"> </w:t>
      </w:r>
      <w:r>
        <w:t>tj.</w:t>
      </w:r>
      <w:r w:rsidRPr="0050721E">
        <w:t xml:space="preserve"> CBA (Jílková, Slavíková</w:t>
      </w:r>
      <w:r>
        <w:t>,</w:t>
      </w:r>
      <w:r w:rsidRPr="0050721E">
        <w:t xml:space="preserve"> 2009), potažmo celou škálou metod oceňování netržních statků s důrazem na preferenční metody</w:t>
      </w:r>
      <w:r>
        <w:t xml:space="preserve">. V tomto ohledu jde především </w:t>
      </w:r>
      <w:r w:rsidR="00C333B5">
        <w:t>o </w:t>
      </w:r>
      <w:r w:rsidRPr="0050721E">
        <w:t>metod</w:t>
      </w:r>
      <w:r>
        <w:t>y</w:t>
      </w:r>
      <w:r w:rsidRPr="0050721E">
        <w:t xml:space="preserve"> vyjádřených preferencí, které představují především metody kontingentního hodnocení (metoda ochoty platit a metoda </w:t>
      </w:r>
      <w:r w:rsidR="00886B49">
        <w:t>ochoty prodat</w:t>
      </w:r>
      <w:r w:rsidR="00BA6F21">
        <w:t>,</w:t>
      </w:r>
      <w:r w:rsidR="00886B49">
        <w:t xml:space="preserve"> resp. při</w:t>
      </w:r>
      <w:r>
        <w:t>jímat kompenzace</w:t>
      </w:r>
      <w:r w:rsidRPr="0050721E">
        <w:t>)</w:t>
      </w:r>
      <w:r w:rsidRPr="00886B49">
        <w:rPr>
          <w:color w:val="FF0000"/>
        </w:rPr>
        <w:t xml:space="preserve"> </w:t>
      </w:r>
      <w:r>
        <w:t xml:space="preserve">a dále </w:t>
      </w:r>
      <w:r w:rsidR="00C333B5">
        <w:t>o </w:t>
      </w:r>
      <w:r w:rsidRPr="0050721E">
        <w:t>metody odhalených preferencí</w:t>
      </w:r>
      <w:r>
        <w:t>,</w:t>
      </w:r>
      <w:r w:rsidRPr="0050721E">
        <w:t xml:space="preserve"> založené na kvazitržních cenách a souvisejících trzích (Halámek, 2007). Prostřednictvím výpočtu cen jednotlivých environmentálních statků se pak snažili neoklasičtí ekonomové vyjádřit </w:t>
      </w:r>
      <w:r>
        <w:t xml:space="preserve">tzv. </w:t>
      </w:r>
      <w:r w:rsidRPr="0050721E">
        <w:t>ekonomické</w:t>
      </w:r>
      <w:r w:rsidR="00C333B5">
        <w:t xml:space="preserve"> optimum životního prostředí. U </w:t>
      </w:r>
      <w:r w:rsidRPr="0050721E">
        <w:t xml:space="preserve">neoklasických přístupů je však </w:t>
      </w:r>
      <w:r>
        <w:t xml:space="preserve">nezbytné </w:t>
      </w:r>
      <w:r w:rsidRPr="0050721E">
        <w:t xml:space="preserve">vytknout </w:t>
      </w:r>
      <w:r>
        <w:t>výrazný</w:t>
      </w:r>
      <w:r w:rsidRPr="0050721E">
        <w:t xml:space="preserve"> redukcionismus při určování stínových cen netržních statků a </w:t>
      </w:r>
      <w:r>
        <w:t xml:space="preserve">dále </w:t>
      </w:r>
      <w:r w:rsidRPr="0050721E">
        <w:t>značnou míru zjednodušení, neboť převádění všech společenských přínosů na peněžní jednotky je poměrně problematickou záležitostí s celou řadou metodických úskalí. Přesto však právě přístupy ho</w:t>
      </w:r>
      <w:r w:rsidR="00C333B5">
        <w:t>dnocení společenských nákladů a </w:t>
      </w:r>
      <w:r w:rsidRPr="0050721E">
        <w:t xml:space="preserve">výnosů jsou </w:t>
      </w:r>
      <w:r>
        <w:t xml:space="preserve">dobře </w:t>
      </w:r>
      <w:r w:rsidRPr="0050721E">
        <w:t>využitelné právě na lokální úrovni.</w:t>
      </w:r>
      <w:r>
        <w:t xml:space="preserve"> </w:t>
      </w:r>
      <w:r w:rsidRPr="00FD344D">
        <w:t>Druhým významným proudem ekonomických teorií životního prostředí je institucionální ekologická ekonomie, kterou z</w:t>
      </w:r>
      <w:r w:rsidR="00886B49">
        <w:t>astupují např. R. Constanza či V</w:t>
      </w:r>
      <w:r w:rsidRPr="00FD344D">
        <w:t>an den Bergh (Jílková, Slavíková, 2009), kteří zdůrazňovali roli ekosystémových služeb a jejich synergických efektů. Jako první také ekosystémy chápali jako dynamické (Van den Bergh, 2000). Snažili se prosadit důležitost ochrany životního prostředí nad rámec ekonomického optima, což zdůvodňovali snahou nepřekročit určitou maximální míru znečištění (Pearce, Turner, Bateman, 1993), od které již budou ekosystémové služby oslabeny či narušeny natolik, že nebudou schopny vlastní regenerace a může tak potenciálně dojít k ireversibilním změnám jak v</w:t>
      </w:r>
      <w:r>
        <w:t> </w:t>
      </w:r>
      <w:r w:rsidRPr="00FD344D">
        <w:t>lokálním</w:t>
      </w:r>
      <w:r>
        <w:t xml:space="preserve"> či</w:t>
      </w:r>
      <w:r w:rsidRPr="00FD344D">
        <w:t xml:space="preserve"> regionálním, tak globálním měřítku (Viturka, Pařil, 2012). Dalším autorem institucionálního proudu je O. Young, který chápal poškozování životního prostředí jako důsledek selhání správy životního prostředí, která nedostatečně motivuje jednotlivé subjekty k dostatečně ohleduplnému chování (Young, 2002). Hlavní odpovědnost za škody na životním prostředí tedy přisuz</w:t>
      </w:r>
      <w:r>
        <w:t xml:space="preserve">uje </w:t>
      </w:r>
      <w:r w:rsidRPr="00FD344D">
        <w:t>klíčovým aktérům s významným ekonomicko-politickým vlivem. Tento teoretický proud je z pohledu lokální úrovně významný především ve větších městských sídlech (centrech), kde vzniká celá škála aktérů zasahujících do ochrany životního prostředí</w:t>
      </w:r>
      <w:r>
        <w:t>,</w:t>
      </w:r>
      <w:r w:rsidRPr="00FD344D">
        <w:t xml:space="preserve"> od zastupitelstev schvalujících územní plány</w:t>
      </w:r>
      <w:r>
        <w:t xml:space="preserve"> a</w:t>
      </w:r>
      <w:r w:rsidRPr="00FD344D">
        <w:t xml:space="preserve"> profesionálních odborů na městských úřadech, přes aktivní neziskové organizace a</w:t>
      </w:r>
      <w:r>
        <w:t>ž</w:t>
      </w:r>
      <w:r w:rsidRPr="00FD344D">
        <w:t xml:space="preserve"> </w:t>
      </w:r>
      <w:r>
        <w:t xml:space="preserve">po </w:t>
      </w:r>
      <w:r w:rsidRPr="00FD344D">
        <w:t>developer</w:t>
      </w:r>
      <w:r>
        <w:t>y</w:t>
      </w:r>
      <w:r w:rsidRPr="00FD344D">
        <w:t>. Nicméně institucionální aktéři hrají významnou roli i ve venkovských obcích, a to nejen z pohledu obecních úřadů, ale i z pohledu menších pozemkových či okrašlovacích spolků, které mohou ovlivnit celkové společenské klima v obci. Dalším důležitým aspektem tohoto teoretického proudu je stanovení či vědomí určité míry limitního poškození životního prostředí. Z tohoto pohledu může být na lokální úrovni ovlivňován jak rozvoj pozitivních</w:t>
      </w:r>
      <w:r w:rsidRPr="006D1EF2">
        <w:t xml:space="preserve"> funkcí ekosystémů (např. formou realizace územního systé</w:t>
      </w:r>
      <w:r w:rsidR="00C333B5">
        <w:t>mu ekologické stability), tak i </w:t>
      </w:r>
      <w:r w:rsidRPr="007A65E8">
        <w:t>omezení a správa negativních vlivů (např. svoz a likvidace komunálních odpadů).</w:t>
      </w:r>
    </w:p>
    <w:p w:rsidR="00DD17E2" w:rsidRDefault="00DD17E2">
      <w:pPr>
        <w:spacing w:after="0" w:line="240" w:lineRule="auto"/>
        <w:rPr>
          <w:sz w:val="24"/>
          <w:szCs w:val="24"/>
        </w:rPr>
      </w:pPr>
      <w:r>
        <w:br w:type="page"/>
      </w:r>
    </w:p>
    <w:p w:rsidR="00D84BEB" w:rsidRDefault="00D84BEB" w:rsidP="00423120">
      <w:pPr>
        <w:pStyle w:val="05-Text"/>
        <w:widowControl w:val="0"/>
        <w:suppressLineNumbers/>
      </w:pPr>
      <w:r w:rsidRPr="007A65E8">
        <w:lastRenderedPageBreak/>
        <w:t>Nejmladším výše zmíněným paradigmatem ekonomie ochrany životního prostředí jsou tzv. tržní přístupy, respektive škola vlastnických práv. Tato škola vychází z rakouské ekonomické školy a je založena na jasném individuálním vymezení vlastnických práv k přírodním zdrojům, jejich vymahatelnost</w:t>
      </w:r>
      <w:r>
        <w:t>i</w:t>
      </w:r>
      <w:r w:rsidRPr="007A65E8">
        <w:t xml:space="preserve"> a převoditelnost</w:t>
      </w:r>
      <w:r>
        <w:t>i</w:t>
      </w:r>
      <w:r w:rsidRPr="007A65E8">
        <w:t>, kde jednotlivci jsou schopni prostřednictvím ochrany svých práv skrze mechanismus volného trhu chránit životní prostředí. Nejznámějším představitelem a průkopníkem této myšlenky je M. Rothbard (2007). Tento nejmladší přístup k ochraně životního prostředí hraje na</w:t>
      </w:r>
      <w:r w:rsidR="00C333B5">
        <w:t xml:space="preserve"> lokální úrovni nejmenší roli a </w:t>
      </w:r>
      <w:r w:rsidRPr="007A65E8">
        <w:t>je spíše teoretickým doplněním předchozích dvou paradigmat, neboť k uskutečňování tohoto konceptu jsou nutné institucionální změny na národní úrovni. Je ale nutné podotknout, že ve vztahu ke škodám na životním prostředí je vymezení jasných vlastnických práv a jejich vymahatelnost zcela relevantním</w:t>
      </w:r>
      <w:r>
        <w:t xml:space="preserve"> (i když v praxi z pohledu uplatnitelnosti často velmi komplikovaným)</w:t>
      </w:r>
      <w:r w:rsidRPr="007A65E8">
        <w:t xml:space="preserve"> požadavkem.</w:t>
      </w:r>
    </w:p>
    <w:p w:rsidR="00D84BEB" w:rsidRPr="007A65E8" w:rsidRDefault="00D84BEB" w:rsidP="00423120">
      <w:pPr>
        <w:pStyle w:val="05-Text"/>
        <w:widowControl w:val="0"/>
        <w:suppressLineNumbers/>
      </w:pPr>
    </w:p>
    <w:p w:rsidR="00D84BEB" w:rsidRPr="00864C3F" w:rsidRDefault="00262CE4" w:rsidP="00B66EE4">
      <w:pPr>
        <w:pStyle w:val="05-Text"/>
        <w:widowControl w:val="0"/>
        <w:suppressLineNumbers/>
        <w:spacing w:after="0"/>
        <w:rPr>
          <w:sz w:val="6"/>
          <w:szCs w:val="6"/>
        </w:rPr>
      </w:pPr>
      <w:bookmarkStart w:id="22" w:name="_Toc349768222"/>
      <w:r>
        <w:rPr>
          <w:noProof/>
          <w:lang w:val="en-GB" w:eastAsia="en-GB"/>
        </w:rPr>
        <w:drawing>
          <wp:anchor distT="0" distB="0" distL="114300" distR="114300" simplePos="0" relativeHeight="251658240" behindDoc="1" locked="0" layoutInCell="1" allowOverlap="1" wp14:anchorId="08360367" wp14:editId="1B2D41B0">
            <wp:simplePos x="0" y="0"/>
            <wp:positionH relativeFrom="column">
              <wp:posOffset>-4445</wp:posOffset>
            </wp:positionH>
            <wp:positionV relativeFrom="paragraph">
              <wp:posOffset>-137795</wp:posOffset>
            </wp:positionV>
            <wp:extent cx="5791200" cy="3817620"/>
            <wp:effectExtent l="0" t="0" r="0" b="0"/>
            <wp:wrapTight wrapText="bothSides">
              <wp:wrapPolygon edited="0">
                <wp:start x="0" y="0"/>
                <wp:lineTo x="0" y="21449"/>
                <wp:lineTo x="21529" y="21449"/>
                <wp:lineTo x="21529"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11703" t="25475" r="14546" b="11324"/>
                    <a:stretch>
                      <a:fillRect/>
                    </a:stretch>
                  </pic:blipFill>
                  <pic:spPr bwMode="auto">
                    <a:xfrm>
                      <a:off x="0" y="0"/>
                      <a:ext cx="5791200" cy="3817620"/>
                    </a:xfrm>
                    <a:prstGeom prst="rect">
                      <a:avLst/>
                    </a:prstGeom>
                    <a:noFill/>
                  </pic:spPr>
                </pic:pic>
              </a:graphicData>
            </a:graphic>
          </wp:anchor>
        </w:drawing>
      </w:r>
    </w:p>
    <w:p w:rsidR="00D84BEB" w:rsidRPr="00572AA1" w:rsidRDefault="00D84BEB" w:rsidP="00B66EE4">
      <w:pPr>
        <w:pStyle w:val="0G-Titulek"/>
        <w:widowControl w:val="0"/>
        <w:suppressLineNumbers/>
      </w:pPr>
      <w:bookmarkStart w:id="23" w:name="_Toc382326811"/>
      <w:r w:rsidRPr="001C16F9">
        <w:t xml:space="preserve">Obrázek </w:t>
      </w:r>
      <w:r w:rsidRPr="0071558F">
        <w:t>7</w:t>
      </w:r>
      <w:r w:rsidRPr="001C16F9">
        <w:t>: Ekonomické přístupy k životnímu prostředí</w:t>
      </w:r>
      <w:bookmarkEnd w:id="22"/>
      <w:bookmarkEnd w:id="23"/>
    </w:p>
    <w:p w:rsidR="00D84BEB" w:rsidRDefault="00D84BEB" w:rsidP="00423120">
      <w:pPr>
        <w:pStyle w:val="0G-Pramen"/>
        <w:widowControl w:val="0"/>
        <w:suppressLineNumbers/>
        <w:spacing w:after="200"/>
      </w:pPr>
      <w:r w:rsidRPr="00582411">
        <w:t>Pramen: Jílková, Slavíková, 2009.</w:t>
      </w:r>
    </w:p>
    <w:p w:rsidR="00D84BEB" w:rsidRPr="00A91347" w:rsidRDefault="00D84BEB" w:rsidP="00890421">
      <w:pPr>
        <w:pStyle w:val="02-Nadpis2"/>
      </w:pPr>
      <w:bookmarkStart w:id="24" w:name="_Toc382327184"/>
      <w:r w:rsidRPr="00A91347">
        <w:t>1.6. Praktické příklady</w:t>
      </w:r>
      <w:bookmarkEnd w:id="24"/>
      <w:r w:rsidRPr="00A91347">
        <w:t xml:space="preserve"> </w:t>
      </w:r>
    </w:p>
    <w:p w:rsidR="00D84BEB" w:rsidRPr="00890421" w:rsidRDefault="00D84BEB" w:rsidP="00890421">
      <w:pPr>
        <w:pStyle w:val="03-Nadpis3"/>
      </w:pPr>
      <w:bookmarkStart w:id="25" w:name="_Toc382327185"/>
      <w:r w:rsidRPr="00890421">
        <w:t>1.6.1. Oceňování vybraných skupin nemovitostí</w:t>
      </w:r>
      <w:bookmarkEnd w:id="25"/>
      <w:r w:rsidRPr="00890421">
        <w:t xml:space="preserve"> </w:t>
      </w:r>
    </w:p>
    <w:p w:rsidR="00D84BEB" w:rsidRPr="00365B49" w:rsidRDefault="00D84BEB" w:rsidP="00423120">
      <w:pPr>
        <w:pStyle w:val="05-Text"/>
        <w:widowControl w:val="0"/>
        <w:suppressLineNumbers/>
        <w:rPr>
          <w:lang w:eastAsia="en-US"/>
        </w:rPr>
      </w:pPr>
      <w:r w:rsidRPr="00365B49">
        <w:rPr>
          <w:lang w:eastAsia="en-US"/>
        </w:rPr>
        <w:t>Majetek se v souladu s našimi právními předpisy (zákon č. 151/1997 Sb., o oceňování majetku v platném znění) oceňuje zejména obvyklou cenou. Obvyklou cenou se rozumí cena, která by byla dosažena při prodejích stejného, popřípadě obdobného majetku v obvyklém obchodní</w:t>
      </w:r>
      <w:r w:rsidR="000C764D">
        <w:rPr>
          <w:lang w:eastAsia="en-US"/>
        </w:rPr>
        <w:t xml:space="preserve">m </w:t>
      </w:r>
      <w:r w:rsidR="000C764D" w:rsidRPr="00626680">
        <w:rPr>
          <w:lang w:eastAsia="en-US"/>
        </w:rPr>
        <w:t xml:space="preserve">styku </w:t>
      </w:r>
      <w:r w:rsidRPr="00626680">
        <w:rPr>
          <w:lang w:eastAsia="en-US"/>
        </w:rPr>
        <w:t xml:space="preserve">ke dni ocenění. Přitom se zvažují všechny okolnosti, které mají na cenu vliv, </w:t>
      </w:r>
      <w:r w:rsidR="00626680" w:rsidRPr="00626680">
        <w:rPr>
          <w:lang w:eastAsia="en-US"/>
        </w:rPr>
        <w:t xml:space="preserve">přičemž se </w:t>
      </w:r>
      <w:r w:rsidRPr="00626680">
        <w:rPr>
          <w:lang w:eastAsia="en-US"/>
        </w:rPr>
        <w:t xml:space="preserve">do její výše nepromítají vlivy mimořádných okolností trhu, osobních poměrů </w:t>
      </w:r>
      <w:r w:rsidRPr="00626680">
        <w:rPr>
          <w:lang w:eastAsia="en-US"/>
        </w:rPr>
        <w:lastRenderedPageBreak/>
        <w:t>prodávajícího nebo kupujícího ani vliv zvláštní obliby.</w:t>
      </w:r>
      <w:r w:rsidRPr="00365B49">
        <w:rPr>
          <w:lang w:eastAsia="en-US"/>
        </w:rPr>
        <w:t xml:space="preserve"> </w:t>
      </w:r>
      <w:r w:rsidR="000F4F8A">
        <w:rPr>
          <w:lang w:eastAsia="en-US"/>
        </w:rPr>
        <w:t xml:space="preserve">Naopak zohledněny jsou </w:t>
      </w:r>
      <w:r w:rsidRPr="00365B49">
        <w:rPr>
          <w:lang w:eastAsia="en-US"/>
        </w:rPr>
        <w:t>faktor</w:t>
      </w:r>
      <w:r w:rsidR="000F4F8A">
        <w:rPr>
          <w:lang w:eastAsia="en-US"/>
        </w:rPr>
        <w:t>y</w:t>
      </w:r>
      <w:r w:rsidR="000C764D" w:rsidRPr="000C764D">
        <w:rPr>
          <w:color w:val="FF0000"/>
          <w:lang w:eastAsia="en-US"/>
        </w:rPr>
        <w:t xml:space="preserve"> </w:t>
      </w:r>
      <w:r w:rsidRPr="00365B49">
        <w:rPr>
          <w:lang w:eastAsia="en-US"/>
        </w:rPr>
        <w:t>j</w:t>
      </w:r>
      <w:r w:rsidR="000F4F8A">
        <w:rPr>
          <w:lang w:eastAsia="en-US"/>
        </w:rPr>
        <w:t>ako je</w:t>
      </w:r>
      <w:r w:rsidRPr="00365B49">
        <w:rPr>
          <w:lang w:eastAsia="en-US"/>
        </w:rPr>
        <w:t xml:space="preserve"> čas (přímo zmíněn</w:t>
      </w:r>
      <w:r w:rsidR="000F4F8A">
        <w:rPr>
          <w:lang w:eastAsia="en-US"/>
        </w:rPr>
        <w:t>ý</w:t>
      </w:r>
      <w:r w:rsidRPr="00365B49">
        <w:rPr>
          <w:lang w:eastAsia="en-US"/>
        </w:rPr>
        <w:t xml:space="preserve"> formulací „ke dni ocenění“) a také prostor</w:t>
      </w:r>
      <w:r>
        <w:rPr>
          <w:lang w:eastAsia="en-US"/>
        </w:rPr>
        <w:t xml:space="preserve"> – t</w:t>
      </w:r>
      <w:r w:rsidRPr="00365B49">
        <w:rPr>
          <w:lang w:eastAsia="en-US"/>
        </w:rPr>
        <w:t>rh nemovitostí</w:t>
      </w:r>
      <w:r w:rsidR="00DC6B7F">
        <w:rPr>
          <w:lang w:eastAsia="en-US"/>
        </w:rPr>
        <w:t xml:space="preserve"> (</w:t>
      </w:r>
      <w:r w:rsidRPr="00365B49">
        <w:rPr>
          <w:lang w:eastAsia="en-US"/>
        </w:rPr>
        <w:t>resp. parciální trhy s byty, kancelářskými prostorami, výrobními halami atd.)</w:t>
      </w:r>
      <w:r w:rsidR="000A45EA">
        <w:rPr>
          <w:lang w:eastAsia="en-US"/>
        </w:rPr>
        <w:t>,</w:t>
      </w:r>
      <w:r w:rsidRPr="00365B49">
        <w:rPr>
          <w:lang w:eastAsia="en-US"/>
        </w:rPr>
        <w:t xml:space="preserve"> </w:t>
      </w:r>
      <w:r w:rsidR="00DC6B7F">
        <w:rPr>
          <w:lang w:eastAsia="en-US"/>
        </w:rPr>
        <w:t>které</w:t>
      </w:r>
      <w:r w:rsidR="00DC6B7F" w:rsidRPr="00365B49">
        <w:rPr>
          <w:lang w:eastAsia="en-US"/>
        </w:rPr>
        <w:t xml:space="preserve"> </w:t>
      </w:r>
      <w:r w:rsidRPr="00365B49">
        <w:rPr>
          <w:lang w:eastAsia="en-US"/>
        </w:rPr>
        <w:t>mají nejen makroekonomický,</w:t>
      </w:r>
      <w:r w:rsidR="00DC6B7F">
        <w:rPr>
          <w:lang w:eastAsia="en-US"/>
        </w:rPr>
        <w:t xml:space="preserve"> ale</w:t>
      </w:r>
      <w:r w:rsidRPr="00365B49">
        <w:rPr>
          <w:lang w:eastAsia="en-US"/>
        </w:rPr>
        <w:t xml:space="preserve"> především regionální charakter</w:t>
      </w:r>
      <w:r w:rsidR="00DC6B7F">
        <w:rPr>
          <w:lang w:eastAsia="en-US"/>
        </w:rPr>
        <w:t xml:space="preserve"> (</w:t>
      </w:r>
      <w:r w:rsidRPr="00365B49">
        <w:rPr>
          <w:lang w:eastAsia="en-US"/>
        </w:rPr>
        <w:t>dále výrazně korigov</w:t>
      </w:r>
      <w:r w:rsidR="00DC6B7F">
        <w:rPr>
          <w:lang w:eastAsia="en-US"/>
        </w:rPr>
        <w:t>a</w:t>
      </w:r>
      <w:r w:rsidRPr="00365B49">
        <w:rPr>
          <w:lang w:eastAsia="en-US"/>
        </w:rPr>
        <w:t>n</w:t>
      </w:r>
      <w:r w:rsidR="00DC6B7F">
        <w:rPr>
          <w:lang w:eastAsia="en-US"/>
        </w:rPr>
        <w:t>ý</w:t>
      </w:r>
      <w:r w:rsidRPr="00365B49">
        <w:rPr>
          <w:lang w:eastAsia="en-US"/>
        </w:rPr>
        <w:t xml:space="preserve"> lokálními specifiky</w:t>
      </w:r>
      <w:r w:rsidR="00DC6B7F">
        <w:rPr>
          <w:lang w:eastAsia="en-US"/>
        </w:rPr>
        <w:t>)</w:t>
      </w:r>
      <w:r w:rsidRPr="00365B49">
        <w:rPr>
          <w:lang w:eastAsia="en-US"/>
        </w:rPr>
        <w:t>.</w:t>
      </w:r>
    </w:p>
    <w:p w:rsidR="00D84BEB" w:rsidRDefault="00D84BEB" w:rsidP="00423120">
      <w:pPr>
        <w:pStyle w:val="05-Text"/>
        <w:keepLines/>
        <w:rPr>
          <w:lang w:eastAsia="en-US"/>
        </w:rPr>
      </w:pPr>
      <w:r w:rsidRPr="00365B49">
        <w:rPr>
          <w:lang w:eastAsia="en-US"/>
        </w:rPr>
        <w:t>Zákon o oceňování majetku vymezuje kromě obvyklé ceny též sedm jiných způsobů ocenění majetku. Jelikož předmětem našeho zájmu jsou nemovitosti, tedy pozemky a stavby spojené se zemí pevným základem, budeme se dále zabývat jen těm</w:t>
      </w:r>
      <w:r w:rsidR="00D62EB1">
        <w:rPr>
          <w:lang w:eastAsia="en-US"/>
        </w:rPr>
        <w:t>i způsoby, které jsou pro </w:t>
      </w:r>
      <w:r w:rsidRPr="00365B49">
        <w:rPr>
          <w:lang w:eastAsia="en-US"/>
        </w:rPr>
        <w:t xml:space="preserve">jejich oceňování relevantní. Jedná se o nákladový, porovnávací a </w:t>
      </w:r>
      <w:r>
        <w:rPr>
          <w:lang w:eastAsia="en-US"/>
        </w:rPr>
        <w:t>výnosový</w:t>
      </w:r>
      <w:r w:rsidRPr="00365B49">
        <w:rPr>
          <w:lang w:eastAsia="en-US"/>
        </w:rPr>
        <w:t xml:space="preserve"> způsob. Tyto způsoby, jak ukážeme dále, mají různě silnou vazbu na tržní parametry. Ve společnosti často převládá názor, že se jedná o více méně volné nastavení postupu, </w:t>
      </w:r>
      <w:r w:rsidR="00F10AA3">
        <w:rPr>
          <w:lang w:eastAsia="en-US"/>
        </w:rPr>
        <w:t>jak</w:t>
      </w:r>
      <w:r w:rsidRPr="00365B49">
        <w:rPr>
          <w:lang w:eastAsia="en-US"/>
        </w:rPr>
        <w:t xml:space="preserve"> zjistit cenu nemovitosti s možností dosáhnout různé hodnoty této nemovitosti. Celá řada různých aplikací však potvrdila, že při zákonném postupu aplikace není možné </w:t>
      </w:r>
      <w:r w:rsidR="00C333B5">
        <w:rPr>
          <w:lang w:eastAsia="en-US"/>
        </w:rPr>
        <w:t>dosáhnout výrazných odchylek od </w:t>
      </w:r>
      <w:r w:rsidRPr="00365B49">
        <w:rPr>
          <w:lang w:eastAsia="en-US"/>
        </w:rPr>
        <w:t>ceny</w:t>
      </w:r>
      <w:r w:rsidR="00F10AA3">
        <w:rPr>
          <w:lang w:eastAsia="en-US"/>
        </w:rPr>
        <w:t>.</w:t>
      </w:r>
      <w:r w:rsidRPr="00365B49">
        <w:rPr>
          <w:lang w:eastAsia="en-US"/>
        </w:rPr>
        <w:t xml:space="preserve"> Jediným způsobem, jak dosáhnout výraznější odchylky</w:t>
      </w:r>
      <w:r w:rsidR="000A45EA">
        <w:rPr>
          <w:lang w:eastAsia="en-US"/>
        </w:rPr>
        <w:t>,</w:t>
      </w:r>
      <w:r w:rsidRPr="00365B49">
        <w:rPr>
          <w:lang w:eastAsia="en-US"/>
        </w:rPr>
        <w:t xml:space="preserve"> je nepravdivé uvedení vlastností nemovitosti či hodnocených širších vztahů. V takovém případě však nejde o chybu metodiky, ale o podvod. Znalci často k potvrzení svých odhadů používají ještě průzkum trhu, kdy srovnávají zjištěnou cenu s nabídkovou cenou obd</w:t>
      </w:r>
      <w:r w:rsidR="00D62EB1">
        <w:rPr>
          <w:lang w:eastAsia="en-US"/>
        </w:rPr>
        <w:t>obných nemovitostí dostupnou na </w:t>
      </w:r>
      <w:r w:rsidRPr="005512ED">
        <w:rPr>
          <w:lang w:eastAsia="en-US"/>
        </w:rPr>
        <w:t>web</w:t>
      </w:r>
      <w:r w:rsidR="005512ED" w:rsidRPr="005512ED">
        <w:rPr>
          <w:lang w:eastAsia="en-US"/>
        </w:rPr>
        <w:t>ových stránkách</w:t>
      </w:r>
      <w:r w:rsidR="005512ED">
        <w:rPr>
          <w:color w:val="FF0000"/>
          <w:lang w:eastAsia="en-US"/>
        </w:rPr>
        <w:t xml:space="preserve"> </w:t>
      </w:r>
      <w:r w:rsidRPr="00365B49">
        <w:rPr>
          <w:lang w:eastAsia="en-US"/>
        </w:rPr>
        <w:t>realitních kanceláří a v případě výraznějších rozdílů ji korigují. Přestože se tento postup jeví jako relativně vhodný, je třeba k takto zjištěným údajům přistupovat kriticky. Nabídkové ceny jsou často nadsazené, případně mohou zahrnovat některé neobvyklé okolnosti, což nemusí být z inzerce patrné.</w:t>
      </w:r>
    </w:p>
    <w:p w:rsidR="00D84BEB" w:rsidRPr="00365B49" w:rsidRDefault="00D84BEB" w:rsidP="00423120">
      <w:pPr>
        <w:pStyle w:val="05-Text"/>
        <w:rPr>
          <w:lang w:eastAsia="en-US"/>
        </w:rPr>
      </w:pPr>
      <w:r w:rsidRPr="00365B49">
        <w:rPr>
          <w:lang w:eastAsia="en-US"/>
        </w:rPr>
        <w:t xml:space="preserve">Základním způsobem používaným k oceňování </w:t>
      </w:r>
      <w:r w:rsidR="000A45EA">
        <w:rPr>
          <w:lang w:eastAsia="en-US"/>
        </w:rPr>
        <w:t xml:space="preserve">staveb </w:t>
      </w:r>
      <w:r w:rsidRPr="00F10AA3">
        <w:rPr>
          <w:lang w:eastAsia="en-US"/>
        </w:rPr>
        <w:t>je způsob nákladový, který vychází z nákladů, které by bylo nutno vynaložit na pořízení předmětu</w:t>
      </w:r>
      <w:r w:rsidRPr="00365B49">
        <w:rPr>
          <w:lang w:eastAsia="en-US"/>
        </w:rPr>
        <w:t xml:space="preserve"> ocenění v místě ocenění a podle jeho stavu ke dni ocenění. Je založen na součinu koeficientů, jejichž počet se liší v závislosti na typu stavby. Nastavení koeficientů je v gesci Ministerstva financí, které každým rokem hodnoty koeficientů upravuje. Do výpočtu jsou výrazně promítnuty jak prostorové, tak věcné a časové charakteristiky. Prostorové charakteristiky jsou reprezentovány jednak obecným vymezením místa (sídla umístění stavby), ale také prostřednictvím koeficientu prodejnosti, který zachycuje tržní parametry dané lokality (dle velikostní kategorie obce v konkrétním okrese, u statutárních měst dle jednotlivých částí města). Věcné charakteristiky reprezentuje koeficient vybavení</w:t>
      </w:r>
      <w:r w:rsidR="00F10AA3">
        <w:rPr>
          <w:lang w:eastAsia="en-US"/>
        </w:rPr>
        <w:t xml:space="preserve"> </w:t>
      </w:r>
      <w:r w:rsidRPr="00365B49">
        <w:rPr>
          <w:lang w:eastAsia="en-US"/>
        </w:rPr>
        <w:t xml:space="preserve">zachycující odchylky od stanoveného standardu vybavení stavby (ten se v čase mění </w:t>
      </w:r>
      <w:r w:rsidR="00F10AA3">
        <w:rPr>
          <w:lang w:eastAsia="en-US"/>
        </w:rPr>
        <w:t>v závislosti na</w:t>
      </w:r>
      <w:r w:rsidRPr="00365B49">
        <w:rPr>
          <w:lang w:eastAsia="en-US"/>
        </w:rPr>
        <w:t xml:space="preserve"> skutečných změn</w:t>
      </w:r>
      <w:r w:rsidR="00F10AA3">
        <w:rPr>
          <w:lang w:eastAsia="en-US"/>
        </w:rPr>
        <w:t>ách</w:t>
      </w:r>
      <w:r w:rsidRPr="00365B49">
        <w:rPr>
          <w:lang w:eastAsia="en-US"/>
        </w:rPr>
        <w:t xml:space="preserve"> v používaných technologií</w:t>
      </w:r>
      <w:r w:rsidR="00F10AA3">
        <w:rPr>
          <w:lang w:eastAsia="en-US"/>
        </w:rPr>
        <w:t>ch</w:t>
      </w:r>
      <w:r w:rsidRPr="00365B49">
        <w:rPr>
          <w:lang w:eastAsia="en-US"/>
        </w:rPr>
        <w:t xml:space="preserve"> – např. plastová okna u rodinných domů, z</w:t>
      </w:r>
      <w:r w:rsidR="000A45EA">
        <w:rPr>
          <w:lang w:eastAsia="en-US"/>
        </w:rPr>
        <w:t>ateplení u bytových domů apod.). P</w:t>
      </w:r>
      <w:r w:rsidRPr="00365B49">
        <w:rPr>
          <w:lang w:eastAsia="en-US"/>
        </w:rPr>
        <w:t xml:space="preserve">ro stavby typu haly a budovy jsou pak pro stanovení jednotkové ceny </w:t>
      </w:r>
      <w:r w:rsidR="00F10AA3" w:rsidRPr="00365B49">
        <w:rPr>
          <w:lang w:eastAsia="en-US"/>
        </w:rPr>
        <w:t xml:space="preserve">použity </w:t>
      </w:r>
      <w:r w:rsidRPr="00365B49">
        <w:rPr>
          <w:lang w:eastAsia="en-US"/>
        </w:rPr>
        <w:t>koeficienty hodnotící zastavěnou plochu a výšku. Časové charakteristiky jsou reprezentovány koeficientem změny ceny staveb, který vychází ze statisti</w:t>
      </w:r>
      <w:r w:rsidR="00C333B5">
        <w:rPr>
          <w:lang w:eastAsia="en-US"/>
        </w:rPr>
        <w:t>k Českého statistického úřadu a </w:t>
      </w:r>
      <w:r w:rsidRPr="00365B49">
        <w:rPr>
          <w:lang w:eastAsia="en-US"/>
        </w:rPr>
        <w:t>fakticky zachycuje změn</w:t>
      </w:r>
      <w:r w:rsidR="00F10AA3">
        <w:rPr>
          <w:lang w:eastAsia="en-US"/>
        </w:rPr>
        <w:t>y</w:t>
      </w:r>
      <w:r w:rsidRPr="00365B49">
        <w:rPr>
          <w:lang w:eastAsia="en-US"/>
        </w:rPr>
        <w:t xml:space="preserve"> cen stavebních prací pro konkrétní typ stavby. Zjištěná cena je na závěr upravena o tzv. opotřebení. </w:t>
      </w:r>
      <w:r w:rsidR="002D499A">
        <w:rPr>
          <w:lang w:eastAsia="en-US"/>
        </w:rPr>
        <w:t xml:space="preserve">Opotřebení </w:t>
      </w:r>
      <w:r w:rsidRPr="00365B49">
        <w:rPr>
          <w:lang w:eastAsia="en-US"/>
        </w:rPr>
        <w:t xml:space="preserve">zahrnuje do výpočtu stáří nemovitosti, a to buď </w:t>
      </w:r>
      <w:r w:rsidR="002D499A">
        <w:rPr>
          <w:lang w:eastAsia="en-US"/>
        </w:rPr>
        <w:t xml:space="preserve">v </w:t>
      </w:r>
      <w:r w:rsidRPr="00365B49">
        <w:rPr>
          <w:lang w:eastAsia="en-US"/>
        </w:rPr>
        <w:t>přím</w:t>
      </w:r>
      <w:r w:rsidR="002D499A">
        <w:rPr>
          <w:lang w:eastAsia="en-US"/>
        </w:rPr>
        <w:t>é</w:t>
      </w:r>
      <w:r w:rsidRPr="00365B49">
        <w:rPr>
          <w:lang w:eastAsia="en-US"/>
        </w:rPr>
        <w:t xml:space="preserve"> úmě</w:t>
      </w:r>
      <w:r w:rsidR="002D499A">
        <w:rPr>
          <w:lang w:eastAsia="en-US"/>
        </w:rPr>
        <w:t>ře ke</w:t>
      </w:r>
      <w:r w:rsidRPr="00365B49">
        <w:rPr>
          <w:lang w:eastAsia="en-US"/>
        </w:rPr>
        <w:t xml:space="preserve"> stáří celé stavby (lineární metoda), nebo se zohledněním změny vybavení či modernizace v průběhu životnosti stavby (analytická metoda).</w:t>
      </w:r>
    </w:p>
    <w:p w:rsidR="00D84BEB" w:rsidRPr="00054214" w:rsidRDefault="00D84BEB" w:rsidP="00DD17E2">
      <w:pPr>
        <w:pStyle w:val="05-Text"/>
        <w:spacing w:after="120"/>
        <w:rPr>
          <w:lang w:eastAsia="en-US"/>
        </w:rPr>
      </w:pPr>
      <w:r w:rsidRPr="00365B49">
        <w:rPr>
          <w:lang w:eastAsia="en-US"/>
        </w:rPr>
        <w:t xml:space="preserve">Druhým používaným způsobem oceňování </w:t>
      </w:r>
      <w:r w:rsidRPr="002D499A">
        <w:rPr>
          <w:lang w:eastAsia="en-US"/>
        </w:rPr>
        <w:t>je způs</w:t>
      </w:r>
      <w:r w:rsidR="00C333B5">
        <w:rPr>
          <w:lang w:eastAsia="en-US"/>
        </w:rPr>
        <w:t>ob porovnávací, který vychází z </w:t>
      </w:r>
      <w:r w:rsidRPr="002D499A">
        <w:rPr>
          <w:lang w:eastAsia="en-US"/>
        </w:rPr>
        <w:t>porovnání předmětu ocenění se stejným nebo obdobným předmětem</w:t>
      </w:r>
      <w:r w:rsidRPr="00365B49">
        <w:rPr>
          <w:lang w:eastAsia="en-US"/>
        </w:rPr>
        <w:t xml:space="preserve"> a cenou sjednanou </w:t>
      </w:r>
      <w:r w:rsidRPr="00365B49">
        <w:rPr>
          <w:lang w:eastAsia="en-US"/>
        </w:rPr>
        <w:lastRenderedPageBreak/>
        <w:t>při</w:t>
      </w:r>
      <w:r w:rsidR="00D62EB1">
        <w:rPr>
          <w:lang w:eastAsia="en-US"/>
        </w:rPr>
        <w:t> </w:t>
      </w:r>
      <w:r w:rsidRPr="00365B49">
        <w:rPr>
          <w:lang w:eastAsia="en-US"/>
        </w:rPr>
        <w:t>jeho prodeji. Tato zákonná definice má však z hlediska výpočtu spíše teoretický charakter (možná částečně připomíná výše popsaný postup znalce, který hledá pro obhajobu svého zjištění obdobné nemovitosti</w:t>
      </w:r>
      <w:r w:rsidR="00765220">
        <w:rPr>
          <w:lang w:eastAsia="en-US"/>
        </w:rPr>
        <w:t xml:space="preserve"> –</w:t>
      </w:r>
      <w:r w:rsidRPr="00365B49">
        <w:rPr>
          <w:lang w:eastAsia="en-US"/>
        </w:rPr>
        <w:t xml:space="preserve"> je zde však podstatný rozdíl, neboť zákonodárce mluví o ceně sjednané při prodeji, zatímco znalec výsledek </w:t>
      </w:r>
      <w:r w:rsidR="00765220">
        <w:rPr>
          <w:lang w:eastAsia="en-US"/>
        </w:rPr>
        <w:t xml:space="preserve">srovnává </w:t>
      </w:r>
      <w:r w:rsidRPr="00365B49">
        <w:rPr>
          <w:lang w:eastAsia="en-US"/>
        </w:rPr>
        <w:t>s </w:t>
      </w:r>
      <w:r w:rsidR="00765220" w:rsidRPr="00365B49">
        <w:rPr>
          <w:lang w:eastAsia="en-US"/>
        </w:rPr>
        <w:t xml:space="preserve">nabídkovou </w:t>
      </w:r>
      <w:r w:rsidRPr="00365B49">
        <w:rPr>
          <w:lang w:eastAsia="en-US"/>
        </w:rPr>
        <w:t>cenou). V oceňovací praxi se porovnávací způsob používá pro nemovitosti, u kterých se má za to, že mají obecně podobný charakter a je tedy možné je ocenit zjednodušujícím způsobem</w:t>
      </w:r>
      <w:r w:rsidR="00765220">
        <w:rPr>
          <w:lang w:eastAsia="en-US"/>
        </w:rPr>
        <w:t xml:space="preserve">. Tento způsob </w:t>
      </w:r>
      <w:r w:rsidRPr="00365B49">
        <w:rPr>
          <w:lang w:eastAsia="en-US"/>
        </w:rPr>
        <w:t>klade větší důraz na parametry trhu, místa lokalizace a širšího okolí a vybavení stavby, které slo</w:t>
      </w:r>
      <w:r w:rsidR="00A14E38">
        <w:rPr>
          <w:lang w:eastAsia="en-US"/>
        </w:rPr>
        <w:t>u</w:t>
      </w:r>
      <w:r w:rsidRPr="00365B49">
        <w:rPr>
          <w:lang w:eastAsia="en-US"/>
        </w:rPr>
        <w:t>ží jako faktory korigující statisticky stanovenou průměrnou jednotkovou cenu. Ceny jsou stanoveny pro jednotlivé velikostní kategorie obcí, specificky pak pro části Prahy a Brna. Z uvedeného je patrné, že tento způsob je vhodný jen pro některé stavby. Na počátku jeho implementace do české praxe byly porovnávacím způsobem oceňovány jen byty v bytových domech a garáže. V dalších letech bylo použití rozšířeno na chaty (rekreační a zahrádkářské) a nakonec i na rodinné domy do 1100 m</w:t>
      </w:r>
      <w:r w:rsidRPr="00365B49">
        <w:rPr>
          <w:vertAlign w:val="superscript"/>
          <w:lang w:eastAsia="en-US"/>
        </w:rPr>
        <w:t>3</w:t>
      </w:r>
      <w:r w:rsidRPr="00365B49">
        <w:rPr>
          <w:lang w:eastAsia="en-US"/>
        </w:rPr>
        <w:t xml:space="preserve"> obestavěného prostoru. Přesto</w:t>
      </w:r>
      <w:r w:rsidR="00C333B5">
        <w:rPr>
          <w:lang w:eastAsia="en-US"/>
        </w:rPr>
        <w:t>že zejména u </w:t>
      </w:r>
      <w:r w:rsidRPr="00365B49">
        <w:rPr>
          <w:lang w:eastAsia="en-US"/>
        </w:rPr>
        <w:t>rodinných domů lze jistě mít určité pochybnosti o vhodnosti použití tohoto způsobu, praxe prokázala její relevanci.</w:t>
      </w:r>
      <w:r>
        <w:rPr>
          <w:lang w:eastAsia="en-US"/>
        </w:rPr>
        <w:t xml:space="preserve"> </w:t>
      </w:r>
      <w:r w:rsidRPr="00054214">
        <w:rPr>
          <w:lang w:eastAsia="en-US"/>
        </w:rPr>
        <w:t>Cena (CU) se tedy vypočte jako součin jednotkové ceny (indexovaná průměrná cena IPC) a indexu cenového porovnání (I).</w:t>
      </w:r>
    </w:p>
    <w:p w:rsidR="00D84BEB" w:rsidRPr="00054214" w:rsidRDefault="00986413" w:rsidP="00DD17E2">
      <w:pPr>
        <w:pStyle w:val="05-Text"/>
        <w:spacing w:after="120"/>
        <w:jc w:val="center"/>
        <w:rPr>
          <w:lang w:eastAsia="en-US"/>
        </w:rPr>
      </w:pPr>
      <w:r w:rsidRPr="00054214">
        <w:rPr>
          <w:position w:val="-6"/>
          <w:lang w:eastAsia="en-US"/>
        </w:rPr>
        <w:object w:dxaOrig="1400" w:dyaOrig="279">
          <v:shape id="_x0000_i1026" type="#_x0000_t75" style="width:70.5pt;height:14.25pt" o:ole="">
            <v:imagedata r:id="rId19" o:title=""/>
          </v:shape>
          <o:OLEObject Type="Embed" ProgID="Equation.3" ShapeID="_x0000_i1026" DrawAspect="Content" ObjectID="_1456295314" r:id="rId20"/>
        </w:object>
      </w:r>
    </w:p>
    <w:p w:rsidR="00D84BEB" w:rsidRPr="00054214" w:rsidRDefault="00D84BEB" w:rsidP="00DD17E2">
      <w:pPr>
        <w:pStyle w:val="05-Text"/>
        <w:spacing w:after="120"/>
        <w:rPr>
          <w:lang w:eastAsia="en-US"/>
        </w:rPr>
      </w:pPr>
      <w:r w:rsidRPr="00054214">
        <w:rPr>
          <w:lang w:eastAsia="en-US"/>
        </w:rPr>
        <w:t>Index cenového porovnání je definován jako součin tří dílčích indexů, a to indexu trhu (I</w:t>
      </w:r>
      <w:r w:rsidRPr="00054214">
        <w:rPr>
          <w:vertAlign w:val="subscript"/>
          <w:lang w:eastAsia="en-US"/>
        </w:rPr>
        <w:t>T</w:t>
      </w:r>
      <w:r w:rsidRPr="00054214">
        <w:rPr>
          <w:lang w:eastAsia="en-US"/>
        </w:rPr>
        <w:t>), indexu polohy (I</w:t>
      </w:r>
      <w:r w:rsidRPr="00054214">
        <w:rPr>
          <w:vertAlign w:val="subscript"/>
          <w:lang w:eastAsia="en-US"/>
        </w:rPr>
        <w:t>P</w:t>
      </w:r>
      <w:r w:rsidRPr="00054214">
        <w:rPr>
          <w:lang w:eastAsia="en-US"/>
        </w:rPr>
        <w:t>) a indexu konstrukce a vybavení (I</w:t>
      </w:r>
      <w:r w:rsidRPr="00054214">
        <w:rPr>
          <w:vertAlign w:val="subscript"/>
          <w:lang w:eastAsia="en-US"/>
        </w:rPr>
        <w:t>V</w:t>
      </w:r>
      <w:r w:rsidRPr="00054214">
        <w:rPr>
          <w:lang w:eastAsia="en-US"/>
        </w:rPr>
        <w:t>).</w:t>
      </w:r>
    </w:p>
    <w:p w:rsidR="00D84BEB" w:rsidRDefault="00D84BEB" w:rsidP="00423120">
      <w:pPr>
        <w:pStyle w:val="05-Text"/>
        <w:jc w:val="center"/>
        <w:rPr>
          <w:lang w:eastAsia="en-US"/>
        </w:rPr>
      </w:pPr>
      <w:r w:rsidRPr="00054214">
        <w:rPr>
          <w:position w:val="-12"/>
          <w:lang w:eastAsia="en-US"/>
        </w:rPr>
        <w:object w:dxaOrig="1540" w:dyaOrig="360">
          <v:shape id="_x0000_i1027" type="#_x0000_t75" style="width:76.5pt;height:18.75pt" o:ole="">
            <v:imagedata r:id="rId21" o:title=""/>
          </v:shape>
          <o:OLEObject Type="Embed" ProgID="Equation.3" ShapeID="_x0000_i1027" DrawAspect="Content" ObjectID="_1456295315" r:id="rId22"/>
        </w:object>
      </w:r>
    </w:p>
    <w:p w:rsidR="00765220" w:rsidRDefault="00D84BEB" w:rsidP="00423120">
      <w:pPr>
        <w:pStyle w:val="05-Text"/>
        <w:ind w:firstLine="0"/>
        <w:rPr>
          <w:b/>
          <w:lang w:eastAsia="en-US"/>
        </w:rPr>
      </w:pPr>
      <w:r w:rsidRPr="00365B49">
        <w:rPr>
          <w:b/>
          <w:lang w:eastAsia="en-US"/>
        </w:rPr>
        <w:t xml:space="preserve">Příklad ocenění bytu 2+1 </w:t>
      </w:r>
    </w:p>
    <w:p w:rsidR="00D84BEB" w:rsidRDefault="00765220" w:rsidP="00423120">
      <w:pPr>
        <w:pStyle w:val="05-Text"/>
        <w:rPr>
          <w:lang w:eastAsia="en-US"/>
        </w:rPr>
      </w:pPr>
      <w:r>
        <w:rPr>
          <w:lang w:eastAsia="en-US"/>
        </w:rPr>
        <w:t xml:space="preserve">Jedná se o byt v </w:t>
      </w:r>
      <w:r w:rsidRPr="00365B49">
        <w:rPr>
          <w:lang w:eastAsia="en-US"/>
        </w:rPr>
        <w:t xml:space="preserve">panelovém domě </w:t>
      </w:r>
      <w:r>
        <w:rPr>
          <w:lang w:eastAsia="en-US"/>
        </w:rPr>
        <w:t xml:space="preserve">v </w:t>
      </w:r>
      <w:r w:rsidR="00D84BEB" w:rsidRPr="00365B49">
        <w:rPr>
          <w:lang w:eastAsia="en-US"/>
        </w:rPr>
        <w:t xml:space="preserve">Brně (katastrální území Lesná) o celkové </w:t>
      </w:r>
      <w:r>
        <w:rPr>
          <w:lang w:eastAsia="en-US"/>
        </w:rPr>
        <w:t xml:space="preserve">obytné </w:t>
      </w:r>
      <w:r w:rsidR="00D84BEB" w:rsidRPr="00365B49">
        <w:rPr>
          <w:lang w:eastAsia="en-US"/>
        </w:rPr>
        <w:t>ploše 58 m</w:t>
      </w:r>
      <w:r w:rsidR="00D84BEB" w:rsidRPr="00365B49">
        <w:rPr>
          <w:vertAlign w:val="superscript"/>
          <w:lang w:eastAsia="en-US"/>
        </w:rPr>
        <w:t>2</w:t>
      </w:r>
      <w:r w:rsidR="00D84BEB" w:rsidRPr="00365B49">
        <w:rPr>
          <w:lang w:eastAsia="en-US"/>
        </w:rPr>
        <w:t xml:space="preserve">. </w:t>
      </w:r>
      <w:r>
        <w:rPr>
          <w:lang w:eastAsia="en-US"/>
        </w:rPr>
        <w:t>B</w:t>
      </w:r>
      <w:r w:rsidR="00D84BEB" w:rsidRPr="00365B49">
        <w:rPr>
          <w:lang w:eastAsia="en-US"/>
        </w:rPr>
        <w:t>yt</w:t>
      </w:r>
      <w:r>
        <w:rPr>
          <w:lang w:eastAsia="en-US"/>
        </w:rPr>
        <w:t xml:space="preserve"> je </w:t>
      </w:r>
      <w:r w:rsidR="00D84BEB" w:rsidRPr="00365B49">
        <w:rPr>
          <w:lang w:eastAsia="en-US"/>
        </w:rPr>
        <w:t>starý 25 let</w:t>
      </w:r>
      <w:r>
        <w:rPr>
          <w:lang w:eastAsia="en-US"/>
        </w:rPr>
        <w:t xml:space="preserve"> a</w:t>
      </w:r>
      <w:r w:rsidR="00D84BEB" w:rsidRPr="00365B49">
        <w:rPr>
          <w:lang w:eastAsia="en-US"/>
        </w:rPr>
        <w:t xml:space="preserve"> prošel významnou rekonstrukcí (zděné jádro, zateplení, plastová okna) v posledních letech. Byt má lodžii a vlastní sklepní kóji, nachází se ve 3. NP. Ostatní charakteristiky důležité pro výpočet ceny jsou následující: trh je v dané lokalitě určené převážně k bydlení v rovnováze, okolí je bezproblémové, byt má standardní vybavení, všechny inženýrské sítě, dálkové vytápění, dostupnost centra města je výborná, parkovací možnosti jsou špatné.</w:t>
      </w:r>
    </w:p>
    <w:p w:rsidR="00202BDD" w:rsidRPr="004941FF" w:rsidRDefault="00202BDD" w:rsidP="004941FF">
      <w:pPr>
        <w:pStyle w:val="0T-Titulek"/>
      </w:pPr>
      <w:bookmarkStart w:id="26" w:name="_Toc382326429"/>
      <w:r w:rsidRPr="004941FF">
        <w:t>Tabulka 2: Příklad ocenění bytu</w:t>
      </w:r>
      <w:r w:rsidR="005512ED" w:rsidRPr="004941FF">
        <w:t xml:space="preserve"> (v Kč)</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5"/>
        <w:gridCol w:w="1535"/>
        <w:gridCol w:w="1535"/>
        <w:gridCol w:w="1535"/>
        <w:gridCol w:w="1536"/>
        <w:gridCol w:w="1536"/>
      </w:tblGrid>
      <w:tr w:rsidR="00D84BEB" w:rsidRPr="00365B49" w:rsidTr="00F53100">
        <w:trPr>
          <w:trHeight w:hRule="exact" w:val="340"/>
        </w:trPr>
        <w:tc>
          <w:tcPr>
            <w:tcW w:w="1535" w:type="dxa"/>
            <w:tcBorders>
              <w:bottom w:val="single" w:sz="4" w:space="0" w:color="auto"/>
            </w:tcBorders>
            <w:shd w:val="clear" w:color="auto" w:fill="auto"/>
          </w:tcPr>
          <w:p w:rsidR="00D84BEB" w:rsidRPr="001F52DD" w:rsidRDefault="00D84BEB" w:rsidP="00423120">
            <w:pPr>
              <w:keepNext/>
              <w:widowControl w:val="0"/>
              <w:suppressLineNumbers/>
              <w:ind w:firstLine="720"/>
              <w:jc w:val="both"/>
              <w:rPr>
                <w:rFonts w:ascii="Calibri" w:hAnsi="Calibri"/>
                <w:lang w:eastAsia="en-US"/>
              </w:rPr>
            </w:pPr>
          </w:p>
        </w:tc>
        <w:tc>
          <w:tcPr>
            <w:tcW w:w="1535" w:type="dxa"/>
            <w:shd w:val="clear" w:color="auto" w:fill="auto"/>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2008</w:t>
            </w:r>
          </w:p>
        </w:tc>
        <w:tc>
          <w:tcPr>
            <w:tcW w:w="1535" w:type="dxa"/>
            <w:shd w:val="clear" w:color="auto" w:fill="auto"/>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2009</w:t>
            </w:r>
          </w:p>
        </w:tc>
        <w:tc>
          <w:tcPr>
            <w:tcW w:w="1535" w:type="dxa"/>
            <w:shd w:val="clear" w:color="auto" w:fill="auto"/>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2010</w:t>
            </w:r>
          </w:p>
        </w:tc>
        <w:tc>
          <w:tcPr>
            <w:tcW w:w="1536" w:type="dxa"/>
            <w:shd w:val="clear" w:color="auto" w:fill="auto"/>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2011</w:t>
            </w:r>
          </w:p>
        </w:tc>
        <w:tc>
          <w:tcPr>
            <w:tcW w:w="1536" w:type="dxa"/>
            <w:shd w:val="clear" w:color="auto" w:fill="auto"/>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2012</w:t>
            </w:r>
          </w:p>
        </w:tc>
      </w:tr>
      <w:tr w:rsidR="00D84BEB" w:rsidRPr="00365B49" w:rsidTr="00F53100">
        <w:trPr>
          <w:trHeight w:hRule="exact" w:val="340"/>
        </w:trPr>
        <w:tc>
          <w:tcPr>
            <w:tcW w:w="1535" w:type="dxa"/>
            <w:shd w:val="clear" w:color="auto" w:fill="auto"/>
          </w:tcPr>
          <w:p w:rsidR="00D84BEB" w:rsidRPr="000F4F8A" w:rsidRDefault="00D84BEB" w:rsidP="00423120">
            <w:pPr>
              <w:keepNext/>
              <w:widowControl w:val="0"/>
              <w:suppressLineNumbers/>
              <w:rPr>
                <w:rFonts w:ascii="Calibri" w:hAnsi="Calibri"/>
                <w:lang w:eastAsia="en-US"/>
              </w:rPr>
            </w:pPr>
            <w:r w:rsidRPr="000F4F8A">
              <w:rPr>
                <w:rFonts w:ascii="Calibri" w:hAnsi="Calibri"/>
                <w:lang w:eastAsia="en-US"/>
              </w:rPr>
              <w:t>Brno-Lesná</w:t>
            </w:r>
          </w:p>
        </w:tc>
        <w:tc>
          <w:tcPr>
            <w:tcW w:w="1535" w:type="dxa"/>
          </w:tcPr>
          <w:p w:rsidR="00D84BEB" w:rsidRPr="000F4F8A" w:rsidRDefault="00D84BEB" w:rsidP="00423120">
            <w:pPr>
              <w:keepNext/>
              <w:widowControl w:val="0"/>
              <w:suppressLineNumbers/>
              <w:jc w:val="center"/>
              <w:rPr>
                <w:rFonts w:ascii="Calibri" w:hAnsi="Calibri"/>
                <w:lang w:eastAsia="en-US"/>
              </w:rPr>
            </w:pPr>
            <w:r w:rsidRPr="000F4F8A">
              <w:rPr>
                <w:rFonts w:ascii="Calibri" w:hAnsi="Calibri"/>
                <w:lang w:eastAsia="en-US"/>
              </w:rPr>
              <w:t>1 561 506</w:t>
            </w:r>
          </w:p>
        </w:tc>
        <w:tc>
          <w:tcPr>
            <w:tcW w:w="1535"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1 768 322</w:t>
            </w:r>
          </w:p>
        </w:tc>
        <w:tc>
          <w:tcPr>
            <w:tcW w:w="1535"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2 179 456</w:t>
            </w:r>
          </w:p>
        </w:tc>
        <w:tc>
          <w:tcPr>
            <w:tcW w:w="1536"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1 972 621</w:t>
            </w:r>
          </w:p>
        </w:tc>
        <w:tc>
          <w:tcPr>
            <w:tcW w:w="1536"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2 090 360</w:t>
            </w:r>
          </w:p>
        </w:tc>
      </w:tr>
    </w:tbl>
    <w:p w:rsidR="00B66EE4" w:rsidRDefault="00D84BEB" w:rsidP="00B66EE4">
      <w:pPr>
        <w:pStyle w:val="0T-Pramen"/>
        <w:spacing w:after="200"/>
      </w:pPr>
      <w:r w:rsidRPr="000F4F8A">
        <w:t>Pramen: Vyhláška; vlastní výpočty s využitím Delta-NEM.</w:t>
      </w:r>
    </w:p>
    <w:p w:rsidR="00D84BEB" w:rsidRPr="00B66EE4" w:rsidRDefault="00D84BEB" w:rsidP="00B66EE4">
      <w:pPr>
        <w:pStyle w:val="0T-Pramen"/>
        <w:spacing w:after="200"/>
        <w:ind w:firstLine="720"/>
        <w:jc w:val="both"/>
        <w:rPr>
          <w:rFonts w:ascii="Times New Roman" w:hAnsi="Times New Roman" w:cs="Times New Roman"/>
          <w:i w:val="0"/>
          <w:sz w:val="24"/>
          <w:szCs w:val="24"/>
        </w:rPr>
      </w:pPr>
      <w:r w:rsidRPr="00B66EE4">
        <w:rPr>
          <w:rFonts w:ascii="Times New Roman" w:hAnsi="Times New Roman" w:cs="Times New Roman"/>
          <w:i w:val="0"/>
          <w:sz w:val="24"/>
          <w:szCs w:val="24"/>
        </w:rPr>
        <w:t xml:space="preserve">Při pohledu na tabulku je zřejmé, že ocenění bytu do značné míry </w:t>
      </w:r>
      <w:r w:rsidR="006D0839" w:rsidRPr="00B66EE4">
        <w:rPr>
          <w:rFonts w:ascii="Times New Roman" w:hAnsi="Times New Roman" w:cs="Times New Roman"/>
          <w:i w:val="0"/>
          <w:sz w:val="24"/>
          <w:szCs w:val="24"/>
        </w:rPr>
        <w:t xml:space="preserve">koresponduje </w:t>
      </w:r>
      <w:r w:rsidRPr="00B66EE4">
        <w:rPr>
          <w:rFonts w:ascii="Times New Roman" w:hAnsi="Times New Roman" w:cs="Times New Roman"/>
          <w:i w:val="0"/>
          <w:sz w:val="24"/>
          <w:szCs w:val="24"/>
        </w:rPr>
        <w:t>s</w:t>
      </w:r>
      <w:r w:rsidR="00B66EE4">
        <w:rPr>
          <w:rFonts w:ascii="Times New Roman" w:hAnsi="Times New Roman" w:cs="Times New Roman"/>
          <w:i w:val="0"/>
          <w:sz w:val="24"/>
          <w:szCs w:val="24"/>
        </w:rPr>
        <w:t xml:space="preserve"> vývojem </w:t>
      </w:r>
      <w:r w:rsidRPr="00B66EE4">
        <w:rPr>
          <w:rFonts w:ascii="Times New Roman" w:hAnsi="Times New Roman" w:cs="Times New Roman"/>
          <w:i w:val="0"/>
          <w:sz w:val="24"/>
          <w:szCs w:val="24"/>
        </w:rPr>
        <w:t xml:space="preserve">ekonomiky. Zatímco do roku 2010 cena roste (tady je </w:t>
      </w:r>
      <w:r w:rsidR="00601154" w:rsidRPr="00B66EE4">
        <w:rPr>
          <w:rFonts w:ascii="Times New Roman" w:hAnsi="Times New Roman" w:cs="Times New Roman"/>
          <w:i w:val="0"/>
          <w:sz w:val="24"/>
          <w:szCs w:val="24"/>
        </w:rPr>
        <w:t xml:space="preserve">patrný efekt setrvačnosti), </w:t>
      </w:r>
      <w:r w:rsidR="00B66EE4">
        <w:rPr>
          <w:rFonts w:ascii="Times New Roman" w:hAnsi="Times New Roman" w:cs="Times New Roman"/>
          <w:i w:val="0"/>
          <w:sz w:val="24"/>
          <w:szCs w:val="24"/>
        </w:rPr>
        <w:t xml:space="preserve">v roce 2011 </w:t>
      </w:r>
      <w:r w:rsidRPr="00B66EE4">
        <w:rPr>
          <w:rFonts w:ascii="Times New Roman" w:hAnsi="Times New Roman" w:cs="Times New Roman"/>
          <w:i w:val="0"/>
          <w:sz w:val="24"/>
          <w:szCs w:val="24"/>
        </w:rPr>
        <w:t>dochází k poklesu ceny. Ná</w:t>
      </w:r>
      <w:r w:rsidR="00760C73">
        <w:rPr>
          <w:rFonts w:ascii="Times New Roman" w:hAnsi="Times New Roman" w:cs="Times New Roman"/>
          <w:i w:val="0"/>
          <w:sz w:val="24"/>
          <w:szCs w:val="24"/>
        </w:rPr>
        <w:t>sledně se jako nelogické jeví 6</w:t>
      </w:r>
      <w:r w:rsidRPr="00B66EE4">
        <w:rPr>
          <w:rFonts w:ascii="Times New Roman" w:hAnsi="Times New Roman" w:cs="Times New Roman"/>
          <w:i w:val="0"/>
          <w:sz w:val="24"/>
          <w:szCs w:val="24"/>
        </w:rPr>
        <w:t>% zvýšení ceny v roce 2012, kdy na trhu ceny dále klesají</w:t>
      </w:r>
      <w:r w:rsidR="006D0839" w:rsidRPr="00B66EE4">
        <w:rPr>
          <w:rFonts w:ascii="Times New Roman" w:hAnsi="Times New Roman" w:cs="Times New Roman"/>
          <w:i w:val="0"/>
          <w:sz w:val="24"/>
          <w:szCs w:val="24"/>
        </w:rPr>
        <w:t xml:space="preserve"> (p</w:t>
      </w:r>
      <w:r w:rsidRPr="00B66EE4">
        <w:rPr>
          <w:rFonts w:ascii="Times New Roman" w:hAnsi="Times New Roman" w:cs="Times New Roman"/>
          <w:i w:val="0"/>
          <w:sz w:val="24"/>
          <w:szCs w:val="24"/>
        </w:rPr>
        <w:t>okud by byl trend zachován, dostala by se zjištěná cena prakticky na úroveň nabídkových cen roku 2012, tedy na částku okolo 1 850 000 Kč</w:t>
      </w:r>
      <w:r w:rsidR="006D0839" w:rsidRPr="00B66EE4">
        <w:rPr>
          <w:rFonts w:ascii="Times New Roman" w:hAnsi="Times New Roman" w:cs="Times New Roman"/>
          <w:i w:val="0"/>
          <w:sz w:val="24"/>
          <w:szCs w:val="24"/>
        </w:rPr>
        <w:t>)</w:t>
      </w:r>
      <w:r w:rsidRPr="00B66EE4">
        <w:rPr>
          <w:rFonts w:ascii="Times New Roman" w:hAnsi="Times New Roman" w:cs="Times New Roman"/>
          <w:i w:val="0"/>
          <w:sz w:val="24"/>
          <w:szCs w:val="24"/>
        </w:rPr>
        <w:t xml:space="preserve"> </w:t>
      </w:r>
      <w:r w:rsidRPr="00B66EE4">
        <w:rPr>
          <w:rFonts w:ascii="Times New Roman" w:hAnsi="Times New Roman" w:cs="Times New Roman"/>
          <w:i w:val="0"/>
          <w:sz w:val="24"/>
          <w:szCs w:val="24"/>
          <w:vertAlign w:val="superscript"/>
        </w:rPr>
        <w:footnoteReference w:id="6"/>
      </w:r>
      <w:r w:rsidRPr="00B66EE4">
        <w:rPr>
          <w:rFonts w:ascii="Times New Roman" w:hAnsi="Times New Roman" w:cs="Times New Roman"/>
          <w:i w:val="0"/>
          <w:sz w:val="24"/>
          <w:szCs w:val="24"/>
        </w:rPr>
        <w:t xml:space="preserve">. Je jasné, že výchozí průměrnou jednotkovou cenu (IPC) ovlivnila realizace nové výstavby </w:t>
      </w:r>
      <w:r w:rsidRPr="00B66EE4">
        <w:rPr>
          <w:rFonts w:ascii="Times New Roman" w:hAnsi="Times New Roman" w:cs="Times New Roman"/>
          <w:i w:val="0"/>
          <w:sz w:val="24"/>
          <w:szCs w:val="24"/>
        </w:rPr>
        <w:lastRenderedPageBreak/>
        <w:t>v dané lokalitě. Tím narážíme na hranici možností mechanismů oceňování nemovitostí věrně zachytit podmínky dané lokality</w:t>
      </w:r>
      <w:r w:rsidR="00C35E3D" w:rsidRPr="00C35E3D">
        <w:rPr>
          <w:rFonts w:ascii="Times New Roman" w:hAnsi="Times New Roman" w:cs="Times New Roman"/>
          <w:i w:val="0"/>
          <w:sz w:val="24"/>
          <w:szCs w:val="24"/>
        </w:rPr>
        <w:t xml:space="preserve">, </w:t>
      </w:r>
      <w:r w:rsidRPr="00B66EE4">
        <w:rPr>
          <w:rFonts w:ascii="Times New Roman" w:hAnsi="Times New Roman" w:cs="Times New Roman"/>
          <w:i w:val="0"/>
          <w:sz w:val="24"/>
          <w:szCs w:val="24"/>
        </w:rPr>
        <w:t>a to i přesto, že je hodnocena řada dílčích parametrů.</w:t>
      </w:r>
    </w:p>
    <w:p w:rsidR="00D84BEB" w:rsidRDefault="00D84BEB" w:rsidP="00423120">
      <w:pPr>
        <w:pStyle w:val="05-Text"/>
        <w:widowControl w:val="0"/>
        <w:suppressLineNumbers/>
        <w:rPr>
          <w:lang w:eastAsia="en-US"/>
        </w:rPr>
      </w:pPr>
      <w:r w:rsidRPr="00365B49">
        <w:rPr>
          <w:lang w:eastAsia="en-US"/>
        </w:rPr>
        <w:t>Tento příklad nám posloužil pro pochopení časové dimenze vývoje cen, nyní se tedy nabízí podívat se na dimenzi prostorovou. Definovaný byt 2+1 oceníme ve vybraných lokalitách pěti českých měst, a to pro roky 2010, 2011 a 2012.</w:t>
      </w:r>
    </w:p>
    <w:p w:rsidR="00202BDD" w:rsidRPr="00601154" w:rsidRDefault="00202BDD" w:rsidP="004941FF">
      <w:pPr>
        <w:pStyle w:val="0T-Titulek"/>
      </w:pPr>
      <w:bookmarkStart w:id="27" w:name="_Toc382326430"/>
      <w:r w:rsidRPr="00601154">
        <w:t>Tabulka 3: Ocenění bytu ve vybraných městech</w:t>
      </w:r>
      <w:r w:rsidR="005512ED">
        <w:t xml:space="preserve"> (v Kč)</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6"/>
        <w:gridCol w:w="2217"/>
        <w:gridCol w:w="2016"/>
        <w:gridCol w:w="2015"/>
      </w:tblGrid>
      <w:tr w:rsidR="00D84BEB" w:rsidRPr="00365B49" w:rsidTr="00F53100">
        <w:trPr>
          <w:trHeight w:hRule="exact" w:val="340"/>
        </w:trPr>
        <w:tc>
          <w:tcPr>
            <w:tcW w:w="2976" w:type="dxa"/>
            <w:shd w:val="clear" w:color="auto" w:fill="auto"/>
          </w:tcPr>
          <w:p w:rsidR="00D84BEB" w:rsidRPr="001F52DD" w:rsidRDefault="00D84BEB" w:rsidP="00423120">
            <w:pPr>
              <w:keepNext/>
              <w:widowControl w:val="0"/>
              <w:suppressLineNumbers/>
              <w:jc w:val="both"/>
              <w:rPr>
                <w:rFonts w:ascii="Calibri" w:hAnsi="Calibri"/>
                <w:lang w:eastAsia="en-US"/>
              </w:rPr>
            </w:pPr>
          </w:p>
        </w:tc>
        <w:tc>
          <w:tcPr>
            <w:tcW w:w="2217" w:type="dxa"/>
            <w:shd w:val="clear" w:color="auto" w:fill="auto"/>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2010</w:t>
            </w:r>
          </w:p>
        </w:tc>
        <w:tc>
          <w:tcPr>
            <w:tcW w:w="2016" w:type="dxa"/>
            <w:shd w:val="clear" w:color="auto" w:fill="auto"/>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2011</w:t>
            </w:r>
          </w:p>
        </w:tc>
        <w:tc>
          <w:tcPr>
            <w:tcW w:w="2015" w:type="dxa"/>
            <w:shd w:val="clear" w:color="auto" w:fill="auto"/>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2012</w:t>
            </w:r>
          </w:p>
        </w:tc>
      </w:tr>
      <w:tr w:rsidR="00D84BEB" w:rsidRPr="00365B49" w:rsidTr="00F53100">
        <w:trPr>
          <w:trHeight w:hRule="exact" w:val="340"/>
        </w:trPr>
        <w:tc>
          <w:tcPr>
            <w:tcW w:w="2976" w:type="dxa"/>
            <w:shd w:val="clear" w:color="auto" w:fill="auto"/>
          </w:tcPr>
          <w:p w:rsidR="00D84BEB" w:rsidRPr="001F52DD" w:rsidRDefault="00D84BEB" w:rsidP="00423120">
            <w:pPr>
              <w:keepNext/>
              <w:widowControl w:val="0"/>
              <w:suppressLineNumbers/>
              <w:rPr>
                <w:rFonts w:ascii="Calibri" w:hAnsi="Calibri"/>
                <w:lang w:eastAsia="en-US"/>
              </w:rPr>
            </w:pPr>
            <w:r w:rsidRPr="001F52DD">
              <w:rPr>
                <w:rFonts w:ascii="Calibri" w:hAnsi="Calibri"/>
                <w:lang w:eastAsia="en-US"/>
              </w:rPr>
              <w:t>Brno-Lesná</w:t>
            </w:r>
          </w:p>
        </w:tc>
        <w:tc>
          <w:tcPr>
            <w:tcW w:w="2217"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2 179 456</w:t>
            </w:r>
          </w:p>
        </w:tc>
        <w:tc>
          <w:tcPr>
            <w:tcW w:w="2016"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1 972 621</w:t>
            </w:r>
          </w:p>
        </w:tc>
        <w:tc>
          <w:tcPr>
            <w:tcW w:w="2015"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2 090 360</w:t>
            </w:r>
          </w:p>
        </w:tc>
      </w:tr>
      <w:tr w:rsidR="00D84BEB" w:rsidRPr="00365B49" w:rsidTr="00F53100">
        <w:trPr>
          <w:trHeight w:hRule="exact" w:val="340"/>
        </w:trPr>
        <w:tc>
          <w:tcPr>
            <w:tcW w:w="2976" w:type="dxa"/>
            <w:shd w:val="clear" w:color="auto" w:fill="auto"/>
          </w:tcPr>
          <w:p w:rsidR="00D84BEB" w:rsidRPr="001F52DD" w:rsidRDefault="00D84BEB" w:rsidP="00423120">
            <w:pPr>
              <w:keepNext/>
              <w:widowControl w:val="0"/>
              <w:suppressLineNumbers/>
              <w:rPr>
                <w:rFonts w:ascii="Calibri" w:hAnsi="Calibri"/>
                <w:lang w:eastAsia="en-US"/>
              </w:rPr>
            </w:pPr>
            <w:r w:rsidRPr="001F52DD">
              <w:rPr>
                <w:rFonts w:ascii="Calibri" w:hAnsi="Calibri"/>
                <w:lang w:eastAsia="en-US"/>
              </w:rPr>
              <w:t>Praha-Zličín</w:t>
            </w:r>
          </w:p>
        </w:tc>
        <w:tc>
          <w:tcPr>
            <w:tcW w:w="2217"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2 486 669</w:t>
            </w:r>
          </w:p>
        </w:tc>
        <w:tc>
          <w:tcPr>
            <w:tcW w:w="2016"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2 303 527</w:t>
            </w:r>
          </w:p>
        </w:tc>
        <w:tc>
          <w:tcPr>
            <w:tcW w:w="2015"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2 293 344</w:t>
            </w:r>
          </w:p>
        </w:tc>
      </w:tr>
      <w:tr w:rsidR="00D84BEB" w:rsidRPr="00365B49" w:rsidTr="00F53100">
        <w:trPr>
          <w:trHeight w:hRule="exact" w:val="340"/>
        </w:trPr>
        <w:tc>
          <w:tcPr>
            <w:tcW w:w="2976" w:type="dxa"/>
            <w:shd w:val="clear" w:color="auto" w:fill="auto"/>
          </w:tcPr>
          <w:p w:rsidR="00D84BEB" w:rsidRPr="001F52DD" w:rsidRDefault="00D84BEB" w:rsidP="00423120">
            <w:pPr>
              <w:keepNext/>
              <w:widowControl w:val="0"/>
              <w:suppressLineNumbers/>
              <w:rPr>
                <w:rFonts w:ascii="Calibri" w:hAnsi="Calibri"/>
                <w:lang w:eastAsia="en-US"/>
              </w:rPr>
            </w:pPr>
            <w:r w:rsidRPr="001F52DD">
              <w:rPr>
                <w:rFonts w:ascii="Calibri" w:hAnsi="Calibri"/>
                <w:lang w:eastAsia="en-US"/>
              </w:rPr>
              <w:t>Ostrava-Hrabůvka</w:t>
            </w:r>
          </w:p>
        </w:tc>
        <w:tc>
          <w:tcPr>
            <w:tcW w:w="2217"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1 250 727</w:t>
            </w:r>
          </w:p>
        </w:tc>
        <w:tc>
          <w:tcPr>
            <w:tcW w:w="2016"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1 187 749</w:t>
            </w:r>
          </w:p>
        </w:tc>
        <w:tc>
          <w:tcPr>
            <w:tcW w:w="2015"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1 210 576</w:t>
            </w:r>
          </w:p>
        </w:tc>
      </w:tr>
      <w:tr w:rsidR="00D84BEB" w:rsidRPr="00365B49" w:rsidTr="00F53100">
        <w:trPr>
          <w:trHeight w:hRule="exact" w:val="340"/>
        </w:trPr>
        <w:tc>
          <w:tcPr>
            <w:tcW w:w="2976" w:type="dxa"/>
            <w:shd w:val="clear" w:color="auto" w:fill="auto"/>
          </w:tcPr>
          <w:p w:rsidR="00D84BEB" w:rsidRPr="001F52DD" w:rsidRDefault="00D84BEB" w:rsidP="00423120">
            <w:pPr>
              <w:keepNext/>
              <w:widowControl w:val="0"/>
              <w:suppressLineNumbers/>
              <w:rPr>
                <w:rFonts w:ascii="Calibri" w:hAnsi="Calibri"/>
                <w:lang w:eastAsia="en-US"/>
              </w:rPr>
            </w:pPr>
            <w:r w:rsidRPr="001F52DD">
              <w:rPr>
                <w:rFonts w:ascii="Calibri" w:hAnsi="Calibri"/>
                <w:lang w:eastAsia="en-US"/>
              </w:rPr>
              <w:t>Zlín</w:t>
            </w:r>
          </w:p>
        </w:tc>
        <w:tc>
          <w:tcPr>
            <w:tcW w:w="2217"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1 633 520</w:t>
            </w:r>
          </w:p>
        </w:tc>
        <w:tc>
          <w:tcPr>
            <w:tcW w:w="2016"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1 558 073</w:t>
            </w:r>
          </w:p>
        </w:tc>
        <w:tc>
          <w:tcPr>
            <w:tcW w:w="2015"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1 655 274</w:t>
            </w:r>
          </w:p>
        </w:tc>
      </w:tr>
      <w:tr w:rsidR="00D84BEB" w:rsidRPr="00365B49" w:rsidTr="00F53100">
        <w:trPr>
          <w:trHeight w:hRule="exact" w:val="340"/>
        </w:trPr>
        <w:tc>
          <w:tcPr>
            <w:tcW w:w="2976" w:type="dxa"/>
            <w:shd w:val="clear" w:color="auto" w:fill="auto"/>
          </w:tcPr>
          <w:p w:rsidR="00D84BEB" w:rsidRPr="001F52DD" w:rsidRDefault="00D84BEB" w:rsidP="00423120">
            <w:pPr>
              <w:keepNext/>
              <w:widowControl w:val="0"/>
              <w:suppressLineNumbers/>
              <w:rPr>
                <w:rFonts w:ascii="Calibri" w:hAnsi="Calibri"/>
                <w:lang w:eastAsia="en-US"/>
              </w:rPr>
            </w:pPr>
            <w:r w:rsidRPr="001F52DD">
              <w:rPr>
                <w:rFonts w:ascii="Calibri" w:hAnsi="Calibri"/>
                <w:lang w:eastAsia="en-US"/>
              </w:rPr>
              <w:t>Most</w:t>
            </w:r>
          </w:p>
        </w:tc>
        <w:tc>
          <w:tcPr>
            <w:tcW w:w="2217"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915 868</w:t>
            </w:r>
          </w:p>
        </w:tc>
        <w:tc>
          <w:tcPr>
            <w:tcW w:w="2016"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713 874</w:t>
            </w:r>
          </w:p>
        </w:tc>
        <w:tc>
          <w:tcPr>
            <w:tcW w:w="2015" w:type="dxa"/>
          </w:tcPr>
          <w:p w:rsidR="00D84BEB" w:rsidRPr="001F52DD" w:rsidRDefault="00D84BEB" w:rsidP="00423120">
            <w:pPr>
              <w:keepNext/>
              <w:widowControl w:val="0"/>
              <w:suppressLineNumbers/>
              <w:jc w:val="center"/>
              <w:rPr>
                <w:rFonts w:ascii="Calibri" w:hAnsi="Calibri"/>
                <w:lang w:eastAsia="en-US"/>
              </w:rPr>
            </w:pPr>
            <w:r w:rsidRPr="001F52DD">
              <w:rPr>
                <w:rFonts w:ascii="Calibri" w:hAnsi="Calibri"/>
                <w:lang w:eastAsia="en-US"/>
              </w:rPr>
              <w:t>678 346</w:t>
            </w:r>
          </w:p>
        </w:tc>
      </w:tr>
    </w:tbl>
    <w:p w:rsidR="00D84BEB" w:rsidRDefault="00D84BEB" w:rsidP="00423120">
      <w:pPr>
        <w:pStyle w:val="0T-Pramen"/>
        <w:spacing w:after="200"/>
      </w:pPr>
      <w:r w:rsidRPr="00582411">
        <w:t>Pramen: Vyhláška; vlastní výpočty s využitím Delta-NEM.</w:t>
      </w:r>
    </w:p>
    <w:p w:rsidR="00506606" w:rsidRDefault="00D84BEB" w:rsidP="00423120">
      <w:pPr>
        <w:pStyle w:val="05-Text"/>
        <w:widowControl w:val="0"/>
        <w:suppressLineNumbers/>
        <w:rPr>
          <w:lang w:eastAsia="en-US"/>
        </w:rPr>
      </w:pPr>
      <w:r w:rsidRPr="00365B49">
        <w:rPr>
          <w:lang w:eastAsia="en-US"/>
        </w:rPr>
        <w:t>Komentář k vývoji cen v uvedených reziden</w:t>
      </w:r>
      <w:r w:rsidR="00D20AD3">
        <w:rPr>
          <w:lang w:eastAsia="en-US"/>
        </w:rPr>
        <w:t xml:space="preserve">tních lokalitách by byl shodný </w:t>
      </w:r>
      <w:r w:rsidRPr="00365B49">
        <w:rPr>
          <w:lang w:eastAsia="en-US"/>
        </w:rPr>
        <w:t>jako v případě Brna. Pokud jde o prostorové rozdíly v cenách, odpovídají zřejmě očekáváním. Klíčovými faktory, které výsledky ovlivňují, jsou nejen velikost sídla, ale také jeho atraktivita. Právě atraktivita lokality podstatným způsobe</w:t>
      </w:r>
      <w:r w:rsidR="00C333B5">
        <w:rPr>
          <w:lang w:eastAsia="en-US"/>
        </w:rPr>
        <w:t>m ovlivňuje ceny bydlení jak ve </w:t>
      </w:r>
      <w:r w:rsidRPr="00365B49">
        <w:rPr>
          <w:lang w:eastAsia="en-US"/>
        </w:rPr>
        <w:t>statutárním městě Most, tak také ve třetím největším městě ČR Ostravě.</w:t>
      </w:r>
    </w:p>
    <w:p w:rsidR="00D84BEB" w:rsidRDefault="00501287" w:rsidP="00DD17E2">
      <w:pPr>
        <w:pStyle w:val="05-Text"/>
        <w:widowControl w:val="0"/>
        <w:suppressLineNumbers/>
        <w:spacing w:after="120"/>
        <w:rPr>
          <w:lang w:eastAsia="en-US"/>
        </w:rPr>
      </w:pPr>
      <w:r>
        <w:rPr>
          <w:lang w:eastAsia="en-US"/>
        </w:rPr>
        <w:t>T</w:t>
      </w:r>
      <w:r w:rsidR="00D84BEB" w:rsidRPr="00365B49">
        <w:rPr>
          <w:lang w:eastAsia="en-US"/>
        </w:rPr>
        <w:t xml:space="preserve">rhu nejbližší je pak </w:t>
      </w:r>
      <w:r w:rsidR="00D84BEB" w:rsidRPr="00506606">
        <w:rPr>
          <w:lang w:eastAsia="en-US"/>
        </w:rPr>
        <w:t>způsob výnosový, který vychází z</w:t>
      </w:r>
      <w:r w:rsidR="00506606" w:rsidRPr="00506606">
        <w:rPr>
          <w:lang w:eastAsia="en-US"/>
        </w:rPr>
        <w:t>e</w:t>
      </w:r>
      <w:r w:rsidR="00D84BEB" w:rsidRPr="00506606">
        <w:rPr>
          <w:lang w:eastAsia="en-US"/>
        </w:rPr>
        <w:t xml:space="preserve"> </w:t>
      </w:r>
      <w:r w:rsidR="00506606" w:rsidRPr="00506606">
        <w:rPr>
          <w:lang w:eastAsia="en-US"/>
        </w:rPr>
        <w:t xml:space="preserve">skutečně dosahovaného </w:t>
      </w:r>
      <w:r w:rsidR="00D84BEB" w:rsidRPr="00506606">
        <w:rPr>
          <w:lang w:eastAsia="en-US"/>
        </w:rPr>
        <w:t>výnosu z nemovitosti a z kapitalizace tohoto výnosu</w:t>
      </w:r>
      <w:r w:rsidR="00D84BEB" w:rsidRPr="00365B49">
        <w:rPr>
          <w:lang w:eastAsia="en-US"/>
        </w:rPr>
        <w:t>. Přestože v souladu s legislativou je tento způsob možné použít pouze pro oceňování budov (admin</w:t>
      </w:r>
      <w:r w:rsidR="00C333B5">
        <w:rPr>
          <w:lang w:eastAsia="en-US"/>
        </w:rPr>
        <w:t>istrativa, školství, budovy pro </w:t>
      </w:r>
      <w:r w:rsidR="00D84BEB" w:rsidRPr="00365B49">
        <w:rPr>
          <w:lang w:eastAsia="en-US"/>
        </w:rPr>
        <w:t>obchod, budovy pro průmysl, bytové domy atd.), potenciálně je vhodný i pro další stavby. Stanovený postup má za cíl (stejně jako je tomu u dalších způsobů oceňování) zjistit celkovou cenu stavby</w:t>
      </w:r>
      <w:r w:rsidR="00BA6F21">
        <w:rPr>
          <w:lang w:eastAsia="en-US"/>
        </w:rPr>
        <w:t>,</w:t>
      </w:r>
      <w:r w:rsidR="00D84BEB">
        <w:rPr>
          <w:lang w:eastAsia="en-US"/>
        </w:rPr>
        <w:t xml:space="preserve"> resp. celkový výnos (CV)</w:t>
      </w:r>
      <w:r w:rsidR="00D84BEB" w:rsidRPr="00365B49">
        <w:rPr>
          <w:lang w:eastAsia="en-US"/>
        </w:rPr>
        <w:t xml:space="preserve">. Výpočet však pracuje se dvěma ekonomicky zajímavými proměnnými, které mohou být při alternativním postupu ověřeny či korigovány (máme na mysli praktické použití tohoto způsobu pro jiný než zákonem stanovený účel, typicky pro rozhodování o investicích developerů či běžných občanů). Těmito proměnnými, jak již bylo naznačeno v oficiální definici, jsou roční výše nájemného </w:t>
      </w:r>
      <w:r w:rsidR="00D84BEB">
        <w:rPr>
          <w:lang w:eastAsia="en-US"/>
        </w:rPr>
        <w:t xml:space="preserve">(N) </w:t>
      </w:r>
      <w:r w:rsidR="00D84BEB" w:rsidRPr="00365B49">
        <w:rPr>
          <w:lang w:eastAsia="en-US"/>
        </w:rPr>
        <w:t>a míra kapitalizace</w:t>
      </w:r>
      <w:r w:rsidR="00D84BEB">
        <w:rPr>
          <w:lang w:eastAsia="en-US"/>
        </w:rPr>
        <w:t xml:space="preserve"> (p)</w:t>
      </w:r>
      <w:r w:rsidR="00D84BEB" w:rsidRPr="00365B49">
        <w:rPr>
          <w:lang w:eastAsia="en-US"/>
        </w:rPr>
        <w:t>.</w:t>
      </w:r>
      <w:r w:rsidR="00D84BEB">
        <w:rPr>
          <w:lang w:eastAsia="en-US"/>
        </w:rPr>
        <w:t xml:space="preserve"> </w:t>
      </w:r>
      <w:r w:rsidR="00D84BEB" w:rsidRPr="00365B49">
        <w:rPr>
          <w:lang w:eastAsia="en-US"/>
        </w:rPr>
        <w:t>Roční nájemné představuje sumu prostředků, které získá vlastník za pronájem prostor či jednotek v dané stavbě, přičemž do výpočtu zahrne oprávněné náklady spojené s jejich dosažení</w:t>
      </w:r>
      <w:r w:rsidR="00D84BEB">
        <w:rPr>
          <w:lang w:eastAsia="en-US"/>
        </w:rPr>
        <w:t>m</w:t>
      </w:r>
      <w:r w:rsidR="00D84BEB" w:rsidRPr="00365B49">
        <w:rPr>
          <w:lang w:eastAsia="en-US"/>
        </w:rPr>
        <w:t xml:space="preserve">. Tyto náklady se dle vyhlášky stanoví jako 40 % hrubého nájemného, v běžném životě zahrnují především náklady na správu a údržbu, odpisy a pojistné. Je otázkou, do jaké míry </w:t>
      </w:r>
      <w:r w:rsidR="003C4B60" w:rsidRPr="00365B49">
        <w:rPr>
          <w:lang w:eastAsia="en-US"/>
        </w:rPr>
        <w:t xml:space="preserve">mohou </w:t>
      </w:r>
      <w:r w:rsidR="00D84BEB" w:rsidRPr="00365B49">
        <w:rPr>
          <w:lang w:eastAsia="en-US"/>
        </w:rPr>
        <w:t>výpočet při rozhodování o vhodnosti investice ovlivnit očekávané problémy s vymáháním nájmů od potenciálních neplatičů. Míra kapitalizace je fakticky sazba, kterou investor porovnává s běžnou úrokovou sazbou z</w:t>
      </w:r>
      <w:r w:rsidR="003C4B60">
        <w:rPr>
          <w:lang w:eastAsia="en-US"/>
        </w:rPr>
        <w:t> </w:t>
      </w:r>
      <w:r w:rsidR="00D84BEB" w:rsidRPr="00365B49">
        <w:rPr>
          <w:lang w:eastAsia="en-US"/>
        </w:rPr>
        <w:t>vkladů</w:t>
      </w:r>
      <w:r w:rsidR="003C4B60">
        <w:rPr>
          <w:lang w:eastAsia="en-US"/>
        </w:rPr>
        <w:t xml:space="preserve">, přičemž do ní </w:t>
      </w:r>
      <w:r w:rsidR="00D84BEB" w:rsidRPr="00365B49">
        <w:rPr>
          <w:lang w:eastAsia="en-US"/>
        </w:rPr>
        <w:t xml:space="preserve">promítá </w:t>
      </w:r>
      <w:r w:rsidR="003C4B60">
        <w:rPr>
          <w:lang w:eastAsia="en-US"/>
        </w:rPr>
        <w:t xml:space="preserve">předpokládanou </w:t>
      </w:r>
      <w:r w:rsidR="00D84BEB" w:rsidRPr="00365B49">
        <w:rPr>
          <w:lang w:eastAsia="en-US"/>
        </w:rPr>
        <w:t>výš</w:t>
      </w:r>
      <w:r w:rsidR="003C4B60">
        <w:rPr>
          <w:lang w:eastAsia="en-US"/>
        </w:rPr>
        <w:t>i</w:t>
      </w:r>
      <w:r w:rsidR="00D84BEB" w:rsidRPr="00365B49">
        <w:rPr>
          <w:lang w:eastAsia="en-US"/>
        </w:rPr>
        <w:t xml:space="preserve"> rizik</w:t>
      </w:r>
      <w:r w:rsidR="003C4B60">
        <w:rPr>
          <w:lang w:eastAsia="en-US"/>
        </w:rPr>
        <w:t xml:space="preserve">a a </w:t>
      </w:r>
      <w:r w:rsidR="00D84BEB" w:rsidRPr="00365B49">
        <w:rPr>
          <w:lang w:eastAsia="en-US"/>
        </w:rPr>
        <w:t>také typ stavby</w:t>
      </w:r>
      <w:r w:rsidR="003C4B60">
        <w:rPr>
          <w:lang w:eastAsia="en-US"/>
        </w:rPr>
        <w:t xml:space="preserve"> (</w:t>
      </w:r>
      <w:r w:rsidR="00D84BEB" w:rsidRPr="00365B49">
        <w:rPr>
          <w:lang w:eastAsia="en-US"/>
        </w:rPr>
        <w:t>bytový dům má zpravidla nižší potenciál ziskovosti než budovy výrobního charakteru</w:t>
      </w:r>
      <w:r w:rsidR="003C4B60">
        <w:rPr>
          <w:lang w:eastAsia="en-US"/>
        </w:rPr>
        <w:t>)</w:t>
      </w:r>
      <w:r w:rsidR="00D84BEB" w:rsidRPr="00365B49">
        <w:rPr>
          <w:lang w:eastAsia="en-US"/>
        </w:rPr>
        <w:t>. Pro oceňování ze zákonných důvodů je výše míry kapitalizace nastavena přímo vyhláškou.</w:t>
      </w:r>
    </w:p>
    <w:p w:rsidR="00D84BEB" w:rsidRPr="00C867F6" w:rsidRDefault="00D84BEB" w:rsidP="00423120">
      <w:pPr>
        <w:pStyle w:val="05-Text"/>
        <w:widowControl w:val="0"/>
        <w:suppressLineNumbers/>
        <w:jc w:val="center"/>
        <w:rPr>
          <w:lang w:eastAsia="en-US"/>
        </w:rPr>
      </w:pPr>
      <w:r w:rsidRPr="00C867F6">
        <w:rPr>
          <w:position w:val="-28"/>
          <w:lang w:eastAsia="en-US"/>
        </w:rPr>
        <w:object w:dxaOrig="1440" w:dyaOrig="660">
          <v:shape id="_x0000_i1028" type="#_x0000_t75" style="width:1in;height:33pt" o:ole="">
            <v:imagedata r:id="rId23" o:title=""/>
          </v:shape>
          <o:OLEObject Type="Embed" ProgID="Equation.3" ShapeID="_x0000_i1028" DrawAspect="Content" ObjectID="_1456295316" r:id="rId24"/>
        </w:object>
      </w:r>
    </w:p>
    <w:p w:rsidR="00D84BEB" w:rsidRDefault="00D84BEB" w:rsidP="00423120">
      <w:pPr>
        <w:pStyle w:val="05-Text"/>
        <w:widowControl w:val="0"/>
        <w:suppressLineNumbers/>
        <w:rPr>
          <w:lang w:eastAsia="en-US"/>
        </w:rPr>
      </w:pPr>
      <w:r w:rsidRPr="00365B49">
        <w:rPr>
          <w:lang w:eastAsia="en-US"/>
        </w:rPr>
        <w:lastRenderedPageBreak/>
        <w:t>Tento na první pohled jednoduchý vzorec je v oceňo</w:t>
      </w:r>
      <w:r w:rsidR="00C333B5">
        <w:rPr>
          <w:lang w:eastAsia="en-US"/>
        </w:rPr>
        <w:t>vací praxi používán výhradně ke </w:t>
      </w:r>
      <w:r w:rsidRPr="00365B49">
        <w:rPr>
          <w:lang w:eastAsia="en-US"/>
        </w:rPr>
        <w:t>stanovení ceny nemovitosti. To může být samo o sobě také velmi zajímavé, neboť výsledkem může být například závěr o absolutní nerentabilitě investice do nemovitosti v případě, kdy cena stanovená výnosovým způsobem je nižší</w:t>
      </w:r>
      <w:r w:rsidR="00D20AD3">
        <w:rPr>
          <w:color w:val="FF0000"/>
          <w:lang w:eastAsia="en-US"/>
        </w:rPr>
        <w:t xml:space="preserve"> </w:t>
      </w:r>
      <w:r w:rsidRPr="00365B49">
        <w:rPr>
          <w:lang w:eastAsia="en-US"/>
        </w:rPr>
        <w:t xml:space="preserve">než cena odpovídající nákladům na její pořízení (fakticky v daném čase tedy cena nákladová). </w:t>
      </w:r>
      <w:r w:rsidR="003C4B60">
        <w:rPr>
          <w:lang w:eastAsia="en-US"/>
        </w:rPr>
        <w:t xml:space="preserve">V praxi </w:t>
      </w:r>
      <w:r w:rsidRPr="00365B49">
        <w:rPr>
          <w:lang w:eastAsia="en-US"/>
        </w:rPr>
        <w:t>je však možné využít uvedený postup také k vyčíslení čistého nájemného či míry kapitalizace, což lze demonstrovat na následujícím příkladu.</w:t>
      </w:r>
    </w:p>
    <w:p w:rsidR="003C4B60" w:rsidRDefault="00D84BEB" w:rsidP="00423120">
      <w:pPr>
        <w:pStyle w:val="05-Text"/>
        <w:keepLines/>
        <w:ind w:firstLine="0"/>
        <w:rPr>
          <w:b/>
          <w:lang w:eastAsia="en-US"/>
        </w:rPr>
      </w:pPr>
      <w:r w:rsidRPr="00365B49">
        <w:rPr>
          <w:b/>
          <w:lang w:eastAsia="en-US"/>
        </w:rPr>
        <w:t xml:space="preserve">Příklad využití oceňování výnosovým způsobem </w:t>
      </w:r>
    </w:p>
    <w:p w:rsidR="00D84BEB" w:rsidRDefault="003C4B60" w:rsidP="00423120">
      <w:pPr>
        <w:pStyle w:val="05-Text"/>
        <w:keepLines/>
        <w:rPr>
          <w:lang w:eastAsia="en-US"/>
        </w:rPr>
      </w:pPr>
      <w:r>
        <w:rPr>
          <w:lang w:eastAsia="en-US"/>
        </w:rPr>
        <w:t xml:space="preserve">Jedná se o </w:t>
      </w:r>
      <w:r w:rsidR="00D84BEB" w:rsidRPr="00365B49">
        <w:rPr>
          <w:lang w:eastAsia="en-US"/>
        </w:rPr>
        <w:t>stanovení rentabilního nájemného a potenciálně dosažitelné míry kapitalizace nájemního bytového domu o 7 NP v Brně-Bystrci z roku 1991. Celková pronajímaná plocha činí 1400 m</w:t>
      </w:r>
      <w:r w:rsidR="00D84BEB" w:rsidRPr="00365B49">
        <w:rPr>
          <w:vertAlign w:val="superscript"/>
          <w:lang w:eastAsia="en-US"/>
        </w:rPr>
        <w:t>2</w:t>
      </w:r>
      <w:r w:rsidR="00D84BEB" w:rsidRPr="00365B49">
        <w:rPr>
          <w:lang w:eastAsia="en-US"/>
        </w:rPr>
        <w:t xml:space="preserve">. Předpokládaná cena tohoto domu je 38 milionů Kč. Bude-li míra kapitalizace 7 %, což odpovídá Vyhlášce </w:t>
      </w:r>
      <w:r>
        <w:rPr>
          <w:lang w:eastAsia="en-US"/>
        </w:rPr>
        <w:t>č 3/2008 Sb.</w:t>
      </w:r>
      <w:r w:rsidR="00D20AD3" w:rsidRPr="00D20AD3">
        <w:rPr>
          <w:color w:val="FF0000"/>
          <w:lang w:eastAsia="en-US"/>
        </w:rPr>
        <w:t>,</w:t>
      </w:r>
      <w:r w:rsidRPr="00D20AD3">
        <w:rPr>
          <w:color w:val="FF0000"/>
          <w:lang w:eastAsia="en-US"/>
        </w:rPr>
        <w:t xml:space="preserve"> </w:t>
      </w:r>
      <w:r w:rsidR="00D84BEB" w:rsidRPr="00365B49">
        <w:rPr>
          <w:lang w:eastAsia="en-US"/>
        </w:rPr>
        <w:t>v platném znění, potom celkové čisté roční nájemné činí 2,66 mil. Kč, celkové hrubé roční nájemné by potom mělo být cca 4,45 mil. Kč. Při přepočtu na měsíční nájemné činí jeho výsledná výše 265 Kč/m</w:t>
      </w:r>
      <w:r w:rsidR="00D84BEB" w:rsidRPr="00365B49">
        <w:rPr>
          <w:vertAlign w:val="superscript"/>
          <w:lang w:eastAsia="en-US"/>
        </w:rPr>
        <w:t>2</w:t>
      </w:r>
      <w:r w:rsidR="00D84BEB" w:rsidRPr="00365B49">
        <w:rPr>
          <w:lang w:eastAsia="en-US"/>
        </w:rPr>
        <w:t>. Podle Mapy nájemného, která je dostupná na webu Státního fondu rozvoje bydlení</w:t>
      </w:r>
      <w:r w:rsidR="00D84BEB">
        <w:rPr>
          <w:lang w:eastAsia="en-US"/>
        </w:rPr>
        <w:t xml:space="preserve">, </w:t>
      </w:r>
      <w:r w:rsidR="00D84BEB" w:rsidRPr="00365B49">
        <w:rPr>
          <w:lang w:eastAsia="en-US"/>
        </w:rPr>
        <w:t>činí hodnota obvyklého ná</w:t>
      </w:r>
      <w:r w:rsidR="00923F83">
        <w:rPr>
          <w:lang w:eastAsia="en-US"/>
        </w:rPr>
        <w:t>jemného v dané lokalitě 91,60–</w:t>
      </w:r>
      <w:r w:rsidR="00D84BEB" w:rsidRPr="00365B49">
        <w:rPr>
          <w:lang w:eastAsia="en-US"/>
        </w:rPr>
        <w:t>105,30 Kč/m</w:t>
      </w:r>
      <w:r w:rsidR="00D84BEB" w:rsidRPr="00365B49">
        <w:rPr>
          <w:vertAlign w:val="superscript"/>
          <w:lang w:eastAsia="en-US"/>
        </w:rPr>
        <w:t>2</w:t>
      </w:r>
      <w:r w:rsidR="00D84BEB" w:rsidRPr="00365B49">
        <w:rPr>
          <w:lang w:eastAsia="en-US"/>
        </w:rPr>
        <w:t>/měsíc</w:t>
      </w:r>
      <w:r w:rsidR="00D84BEB">
        <w:rPr>
          <w:lang w:eastAsia="en-US"/>
        </w:rPr>
        <w:t xml:space="preserve"> </w:t>
      </w:r>
      <w:r w:rsidR="00D84BEB" w:rsidRPr="00365B49">
        <w:rPr>
          <w:vertAlign w:val="superscript"/>
          <w:lang w:eastAsia="en-US"/>
        </w:rPr>
        <w:footnoteReference w:id="7"/>
      </w:r>
      <w:r w:rsidR="00D84BEB" w:rsidRPr="00365B49">
        <w:rPr>
          <w:lang w:eastAsia="en-US"/>
        </w:rPr>
        <w:t>. Při této ceně nájemného (uvažujme jej v maximální výši) a stanovené míře kapitalizace by se vyplatilo daný bytový dům koupi</w:t>
      </w:r>
      <w:r w:rsidR="00D20AD3">
        <w:rPr>
          <w:lang w:eastAsia="en-US"/>
        </w:rPr>
        <w:t>t</w:t>
      </w:r>
      <w:r w:rsidR="00D84BEB" w:rsidRPr="00365B49">
        <w:rPr>
          <w:lang w:eastAsia="en-US"/>
        </w:rPr>
        <w:t xml:space="preserve"> maximálně za cenu 15,5 milionu Kč, která je zcela mimo rámec tržní reality.</w:t>
      </w:r>
    </w:p>
    <w:p w:rsidR="00D84BEB" w:rsidRPr="00365B49" w:rsidRDefault="00D84BEB" w:rsidP="00423120">
      <w:pPr>
        <w:pStyle w:val="05-Text"/>
        <w:keepLines/>
        <w:rPr>
          <w:lang w:eastAsia="en-US"/>
        </w:rPr>
      </w:pPr>
      <w:r w:rsidRPr="00365B49">
        <w:rPr>
          <w:lang w:eastAsia="en-US"/>
        </w:rPr>
        <w:t>Zajímavější tedy bude využít postup výpočtu při klasickém rozhodování o investici, kdy při známé výši nájemného (105,30 Kč/m</w:t>
      </w:r>
      <w:r w:rsidRPr="00206AFE">
        <w:rPr>
          <w:vertAlign w:val="superscript"/>
          <w:lang w:eastAsia="en-US"/>
        </w:rPr>
        <w:t>2</w:t>
      </w:r>
      <w:r w:rsidRPr="00365B49">
        <w:rPr>
          <w:lang w:eastAsia="en-US"/>
        </w:rPr>
        <w:t>/měsíc) a tržní hodnotě daného bytového domu (38 milionů Kč) lze zjistit odpovídající míru kapitalizace. Její hodnota činí 2,79 %. Porovnáme-li tuto sazbu s běžnou úrokovou mírou z vkladů, potvrdí se několik obecných tvrzení, zejména předpoklad dlouhodobé návratnosti investic do bydlení, a také fakt, že investovat do starších bytových domů se zkrátka nevyplatí. Na trhu totiž existuje řada vkladových produktů, které nabízí vyšší úrokovou sazbu, než je vypočtená míra kapitalizace. A jen pro úplnost: rozdíl v riziku investice je v případě bankovního vkladu podstatně menší.</w:t>
      </w:r>
    </w:p>
    <w:p w:rsidR="00D84BEB" w:rsidRPr="00365B49" w:rsidRDefault="00D84BEB" w:rsidP="00423120">
      <w:pPr>
        <w:pStyle w:val="04-Podnadipsek"/>
        <w:widowControl w:val="0"/>
        <w:suppressLineNumbers/>
        <w:spacing w:after="200"/>
        <w:rPr>
          <w:lang w:eastAsia="en-US"/>
        </w:rPr>
      </w:pPr>
      <w:r w:rsidRPr="00365B49">
        <w:rPr>
          <w:lang w:eastAsia="en-US"/>
        </w:rPr>
        <w:t>Cenová mapa jako příklad prostorové diferenciace cen nemovitostí</w:t>
      </w:r>
    </w:p>
    <w:p w:rsidR="00E4189F" w:rsidRDefault="00D84BEB" w:rsidP="00423120">
      <w:pPr>
        <w:pStyle w:val="05-Text"/>
        <w:widowControl w:val="0"/>
        <w:suppressLineNumbers/>
        <w:rPr>
          <w:lang w:eastAsia="en-US"/>
        </w:rPr>
      </w:pPr>
      <w:r w:rsidRPr="00365B49">
        <w:rPr>
          <w:lang w:eastAsia="en-US"/>
        </w:rPr>
        <w:t>Cenová mapa je metodická pomůcka pro určování cen nemovitostí prostřednictvím grafického znázornění geografického rozložení cen nemovitostí jakéhokoliv druhu, včetně nájemného z nemovitostí v určitém územním celku. Cenová mapa je nástroj vyjadřující prostorovou diferenciaci cen nemovitostí</w:t>
      </w:r>
      <w:r>
        <w:rPr>
          <w:lang w:eastAsia="en-US"/>
        </w:rPr>
        <w:t xml:space="preserve"> </w:t>
      </w:r>
      <w:r w:rsidRPr="00365B49">
        <w:rPr>
          <w:vertAlign w:val="superscript"/>
          <w:lang w:eastAsia="en-US"/>
        </w:rPr>
        <w:footnoteReference w:id="8"/>
      </w:r>
      <w:r w:rsidRPr="00365B49">
        <w:rPr>
          <w:lang w:eastAsia="en-US"/>
        </w:rPr>
        <w:t>.</w:t>
      </w:r>
      <w:r>
        <w:rPr>
          <w:lang w:eastAsia="en-US"/>
        </w:rPr>
        <w:t xml:space="preserve"> </w:t>
      </w:r>
      <w:r w:rsidRPr="00365B49">
        <w:rPr>
          <w:lang w:eastAsia="en-US"/>
        </w:rPr>
        <w:t>Vznik cenových map upravuje zákon č. 151/1997 Sb.</w:t>
      </w:r>
      <w:r w:rsidR="002F6BB7">
        <w:rPr>
          <w:lang w:eastAsia="en-US"/>
        </w:rPr>
        <w:t xml:space="preserve"> </w:t>
      </w:r>
      <w:r w:rsidRPr="00365B49">
        <w:rPr>
          <w:lang w:eastAsia="en-US"/>
        </w:rPr>
        <w:t>následujícím způsobem: Obec předkládá návrh cenové mapy stavebních pozemků před jejím vydáním Ministerstvu financí ČR k</w:t>
      </w:r>
      <w:r>
        <w:rPr>
          <w:lang w:eastAsia="en-US"/>
        </w:rPr>
        <w:t> </w:t>
      </w:r>
      <w:r w:rsidRPr="00365B49">
        <w:rPr>
          <w:lang w:eastAsia="en-US"/>
        </w:rPr>
        <w:t>vyjádření</w:t>
      </w:r>
      <w:r>
        <w:rPr>
          <w:lang w:eastAsia="en-US"/>
        </w:rPr>
        <w:t xml:space="preserve"> a</w:t>
      </w:r>
      <w:r w:rsidRPr="00365B49">
        <w:rPr>
          <w:lang w:eastAsia="en-US"/>
        </w:rPr>
        <w:t xml:space="preserve"> k uveřejnění v Cenovém věstníku.</w:t>
      </w:r>
      <w:r>
        <w:rPr>
          <w:lang w:eastAsia="en-US"/>
        </w:rPr>
        <w:t xml:space="preserve">  </w:t>
      </w:r>
      <w:r w:rsidR="00C333B5">
        <w:rPr>
          <w:lang w:eastAsia="en-US"/>
        </w:rPr>
        <w:t>Od </w:t>
      </w:r>
      <w:r w:rsidRPr="00365B49">
        <w:rPr>
          <w:lang w:eastAsia="en-US"/>
        </w:rPr>
        <w:t>roku 1992, kdy legislativa zakotvila možnost vydávat cenové mapy jako součást normotvorby obcí, využilo této možnosti postupně 54 obcí a měst. Jedná se o obce různé velikosti, velmi rozdílný je také počet novel cenových map a doba jejich platnosti. K 31.</w:t>
      </w:r>
      <w:r>
        <w:rPr>
          <w:lang w:eastAsia="en-US"/>
        </w:rPr>
        <w:t xml:space="preserve"> </w:t>
      </w:r>
      <w:r w:rsidRPr="00365B49">
        <w:rPr>
          <w:lang w:eastAsia="en-US"/>
        </w:rPr>
        <w:t>12.</w:t>
      </w:r>
      <w:r>
        <w:rPr>
          <w:lang w:eastAsia="en-US"/>
        </w:rPr>
        <w:t xml:space="preserve"> </w:t>
      </w:r>
      <w:r w:rsidRPr="00365B49">
        <w:rPr>
          <w:lang w:eastAsia="en-US"/>
        </w:rPr>
        <w:t xml:space="preserve">2012 existovala platná cenová mapa pouze ve 14 obcích (Cenový věstník 11/2012): Bílina </w:t>
      </w:r>
      <w:r w:rsidRPr="00365B49">
        <w:rPr>
          <w:lang w:eastAsia="en-US"/>
        </w:rPr>
        <w:lastRenderedPageBreak/>
        <w:t>(okr. Teplice), Brno, Hodonín, Horoměřice (okr. Praha-západ), Klatovy, Kyšice (okr. Plzeň-město), Mladá Boleslav, Most, Olomouc, Osek (okr. Teplice), Ostrava, Praha, Terezín (okr. Hodonín) a Zlín.</w:t>
      </w:r>
      <w:r>
        <w:rPr>
          <w:lang w:eastAsia="en-US"/>
        </w:rPr>
        <w:t xml:space="preserve"> </w:t>
      </w:r>
    </w:p>
    <w:p w:rsidR="00E4189F" w:rsidRPr="00365B49" w:rsidRDefault="00262CE4" w:rsidP="00B66EE4">
      <w:pPr>
        <w:keepNext/>
        <w:keepLines/>
        <w:spacing w:after="0"/>
        <w:jc w:val="both"/>
        <w:rPr>
          <w:sz w:val="24"/>
          <w:szCs w:val="24"/>
          <w:lang w:eastAsia="en-US"/>
        </w:rPr>
      </w:pPr>
      <w:r>
        <w:rPr>
          <w:rFonts w:ascii="Calibri" w:hAnsi="Calibri"/>
          <w:noProof/>
          <w:lang w:val="en-GB" w:eastAsia="en-GB"/>
        </w:rPr>
        <w:drawing>
          <wp:inline distT="0" distB="0" distL="0" distR="0" wp14:anchorId="323DCA6A" wp14:editId="078B174F">
            <wp:extent cx="5730875" cy="3466465"/>
            <wp:effectExtent l="0" t="0" r="3175" b="635"/>
            <wp:docPr id="16" name="obrázek 16" descr="MAP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A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466465"/>
                    </a:xfrm>
                    <a:prstGeom prst="rect">
                      <a:avLst/>
                    </a:prstGeom>
                    <a:noFill/>
                    <a:ln>
                      <a:noFill/>
                    </a:ln>
                  </pic:spPr>
                </pic:pic>
              </a:graphicData>
            </a:graphic>
          </wp:inline>
        </w:drawing>
      </w:r>
    </w:p>
    <w:p w:rsidR="00E4189F" w:rsidRPr="0071558F" w:rsidRDefault="00E4189F" w:rsidP="00465472">
      <w:pPr>
        <w:pStyle w:val="0G-Titulek"/>
      </w:pPr>
      <w:bookmarkStart w:id="28" w:name="_Toc382326812"/>
      <w:r w:rsidRPr="00DE25AE">
        <w:t xml:space="preserve">Obrázek </w:t>
      </w:r>
      <w:r w:rsidRPr="0071558F">
        <w:t>8</w:t>
      </w:r>
      <w:r w:rsidRPr="00DE25AE">
        <w:t xml:space="preserve">: </w:t>
      </w:r>
      <w:r w:rsidRPr="001C218A">
        <w:t>Výřez cenové mapy města Brna</w:t>
      </w:r>
      <w:bookmarkEnd w:id="28"/>
      <w:r w:rsidRPr="00DE25AE">
        <w:t xml:space="preserve"> </w:t>
      </w:r>
    </w:p>
    <w:p w:rsidR="00E4189F" w:rsidRPr="0071558F" w:rsidRDefault="003F6316" w:rsidP="00465472">
      <w:pPr>
        <w:pStyle w:val="0G-Pramen"/>
        <w:spacing w:after="200"/>
      </w:pPr>
      <w:r>
        <w:t>Pramen</w:t>
      </w:r>
      <w:r w:rsidR="00E4189F" w:rsidRPr="0071558F">
        <w:t>: CMSP města Brna č. 6.</w:t>
      </w:r>
    </w:p>
    <w:p w:rsidR="00D84BEB" w:rsidRPr="00365B49" w:rsidRDefault="00D84BEB" w:rsidP="00423120">
      <w:pPr>
        <w:pStyle w:val="05-Text"/>
        <w:widowControl w:val="0"/>
        <w:suppressLineNumbers/>
        <w:rPr>
          <w:lang w:eastAsia="en-US"/>
        </w:rPr>
      </w:pPr>
      <w:r w:rsidRPr="00365B49">
        <w:rPr>
          <w:lang w:eastAsia="en-US"/>
        </w:rPr>
        <w:t>Cenová mapa stavebních pozemků má dvě části, a to te</w:t>
      </w:r>
      <w:r w:rsidR="00C333B5">
        <w:rPr>
          <w:lang w:eastAsia="en-US"/>
        </w:rPr>
        <w:t>xtovou a grafickou (vyhláška č. </w:t>
      </w:r>
      <w:r w:rsidRPr="00365B49">
        <w:rPr>
          <w:lang w:eastAsia="en-US"/>
        </w:rPr>
        <w:t>3/2008 Sb.:</w:t>
      </w:r>
    </w:p>
    <w:p w:rsidR="00D84BEB" w:rsidRPr="00DD17E2" w:rsidRDefault="00D84BEB" w:rsidP="00423120">
      <w:pPr>
        <w:keepNext/>
        <w:widowControl w:val="0"/>
        <w:numPr>
          <w:ilvl w:val="0"/>
          <w:numId w:val="5"/>
        </w:numPr>
        <w:suppressLineNumbers/>
        <w:ind w:left="284" w:hanging="284"/>
        <w:contextualSpacing/>
        <w:jc w:val="both"/>
        <w:rPr>
          <w:b/>
          <w:sz w:val="24"/>
          <w:szCs w:val="24"/>
          <w:lang w:eastAsia="en-US"/>
        </w:rPr>
      </w:pPr>
      <w:r w:rsidRPr="00DD17E2">
        <w:rPr>
          <w:b/>
          <w:sz w:val="24"/>
          <w:szCs w:val="24"/>
          <w:lang w:eastAsia="en-US"/>
        </w:rPr>
        <w:t>textová část obsahuje</w:t>
      </w:r>
    </w:p>
    <w:p w:rsidR="00D84BEB" w:rsidRPr="00365B49" w:rsidRDefault="00D84BEB" w:rsidP="00423120">
      <w:pPr>
        <w:keepNext/>
        <w:widowControl w:val="0"/>
        <w:numPr>
          <w:ilvl w:val="1"/>
          <w:numId w:val="11"/>
        </w:numPr>
        <w:suppressLineNumbers/>
        <w:ind w:left="284" w:hanging="284"/>
        <w:contextualSpacing/>
        <w:jc w:val="both"/>
        <w:rPr>
          <w:sz w:val="24"/>
          <w:szCs w:val="24"/>
          <w:lang w:eastAsia="en-US"/>
        </w:rPr>
      </w:pPr>
      <w:r w:rsidRPr="00365B49">
        <w:rPr>
          <w:sz w:val="24"/>
          <w:szCs w:val="24"/>
          <w:lang w:eastAsia="en-US"/>
        </w:rPr>
        <w:t>věcnou analýzu základny místního trhu s nemovitostmi a komentář k možnostem jeho dalšího rozvoje zejména ve vztahu k velikosti a charakteru obce, vnitřním i vnějším faktorům a místním zvláštnostem, které ovlivňují jeho kvalitu,</w:t>
      </w:r>
    </w:p>
    <w:p w:rsidR="00D84BEB" w:rsidRPr="00365B49" w:rsidRDefault="00D84BEB" w:rsidP="00423120">
      <w:pPr>
        <w:keepNext/>
        <w:widowControl w:val="0"/>
        <w:numPr>
          <w:ilvl w:val="1"/>
          <w:numId w:val="11"/>
        </w:numPr>
        <w:suppressLineNumbers/>
        <w:ind w:left="284" w:hanging="284"/>
        <w:contextualSpacing/>
        <w:jc w:val="both"/>
        <w:rPr>
          <w:sz w:val="24"/>
          <w:szCs w:val="24"/>
          <w:lang w:eastAsia="en-US"/>
        </w:rPr>
      </w:pPr>
      <w:r w:rsidRPr="00365B49">
        <w:rPr>
          <w:sz w:val="24"/>
          <w:szCs w:val="24"/>
          <w:lang w:eastAsia="en-US"/>
        </w:rPr>
        <w:t>popis předlohy použitého mapového podkladu a jeho kvality z hlediska souladu stavu evidovaného v katastru nemovitostí se skutečným stavem v terénu,</w:t>
      </w:r>
    </w:p>
    <w:p w:rsidR="00D84BEB" w:rsidRDefault="00D84BEB" w:rsidP="00423120">
      <w:pPr>
        <w:keepNext/>
        <w:widowControl w:val="0"/>
        <w:numPr>
          <w:ilvl w:val="1"/>
          <w:numId w:val="11"/>
        </w:numPr>
        <w:suppressLineNumbers/>
        <w:ind w:left="284" w:hanging="284"/>
        <w:contextualSpacing/>
        <w:jc w:val="both"/>
        <w:rPr>
          <w:sz w:val="24"/>
          <w:szCs w:val="24"/>
          <w:lang w:eastAsia="en-US"/>
        </w:rPr>
      </w:pPr>
      <w:r w:rsidRPr="00365B49">
        <w:rPr>
          <w:sz w:val="24"/>
          <w:szCs w:val="24"/>
          <w:lang w:eastAsia="en-US"/>
        </w:rPr>
        <w:t>komentář ke zdrojům cen použitým pro vypracování grafické části a výsledky jejich rozboru,</w:t>
      </w:r>
    </w:p>
    <w:p w:rsidR="00D84BEB" w:rsidRPr="00365B49" w:rsidRDefault="00D84BEB" w:rsidP="00423120">
      <w:pPr>
        <w:keepNext/>
        <w:widowControl w:val="0"/>
        <w:numPr>
          <w:ilvl w:val="1"/>
          <w:numId w:val="11"/>
        </w:numPr>
        <w:suppressLineNumbers/>
        <w:ind w:left="284" w:hanging="284"/>
        <w:contextualSpacing/>
        <w:jc w:val="both"/>
        <w:rPr>
          <w:sz w:val="24"/>
          <w:szCs w:val="24"/>
          <w:lang w:eastAsia="en-US"/>
        </w:rPr>
      </w:pPr>
      <w:r w:rsidRPr="00365B49">
        <w:rPr>
          <w:sz w:val="24"/>
          <w:szCs w:val="24"/>
          <w:lang w:eastAsia="en-US"/>
        </w:rPr>
        <w:t>popis postupu zpracování a předpoklad další doby účinnosti</w:t>
      </w:r>
      <w:r>
        <w:rPr>
          <w:sz w:val="24"/>
          <w:szCs w:val="24"/>
          <w:lang w:eastAsia="en-US"/>
        </w:rPr>
        <w:t>.</w:t>
      </w:r>
    </w:p>
    <w:p w:rsidR="00D84BEB" w:rsidRPr="00DD17E2" w:rsidRDefault="00D84BEB" w:rsidP="00423120">
      <w:pPr>
        <w:keepNext/>
        <w:widowControl w:val="0"/>
        <w:numPr>
          <w:ilvl w:val="0"/>
          <w:numId w:val="5"/>
        </w:numPr>
        <w:suppressLineNumbers/>
        <w:ind w:left="284" w:hanging="284"/>
        <w:contextualSpacing/>
        <w:jc w:val="both"/>
        <w:rPr>
          <w:b/>
          <w:sz w:val="24"/>
          <w:szCs w:val="24"/>
          <w:lang w:eastAsia="en-US"/>
        </w:rPr>
      </w:pPr>
      <w:r w:rsidRPr="00DD17E2">
        <w:rPr>
          <w:b/>
          <w:sz w:val="24"/>
          <w:szCs w:val="24"/>
          <w:lang w:eastAsia="en-US"/>
        </w:rPr>
        <w:t>grafická část obsahuje</w:t>
      </w:r>
    </w:p>
    <w:p w:rsidR="00D84BEB" w:rsidRPr="00365B49" w:rsidRDefault="00D84BEB" w:rsidP="00423120">
      <w:pPr>
        <w:keepNext/>
        <w:widowControl w:val="0"/>
        <w:numPr>
          <w:ilvl w:val="1"/>
          <w:numId w:val="12"/>
        </w:numPr>
        <w:suppressLineNumbers/>
        <w:ind w:left="284" w:hanging="284"/>
        <w:contextualSpacing/>
        <w:jc w:val="both"/>
        <w:rPr>
          <w:sz w:val="24"/>
          <w:szCs w:val="24"/>
          <w:lang w:eastAsia="en-US"/>
        </w:rPr>
      </w:pPr>
      <w:r w:rsidRPr="00365B49">
        <w:rPr>
          <w:sz w:val="24"/>
          <w:szCs w:val="24"/>
          <w:lang w:eastAsia="en-US"/>
        </w:rPr>
        <w:t>mapu se zobrazením stavebních pozemku na území obce v měřítku rovném nebo větším 1:5000 (např. 1:2500, 1:1250 apod.),</w:t>
      </w:r>
    </w:p>
    <w:p w:rsidR="00D84BEB" w:rsidRPr="00365B49" w:rsidRDefault="00D84BEB" w:rsidP="00423120">
      <w:pPr>
        <w:keepNext/>
        <w:widowControl w:val="0"/>
        <w:numPr>
          <w:ilvl w:val="1"/>
          <w:numId w:val="12"/>
        </w:numPr>
        <w:suppressLineNumbers/>
        <w:ind w:left="284" w:hanging="284"/>
        <w:contextualSpacing/>
        <w:jc w:val="both"/>
        <w:rPr>
          <w:sz w:val="24"/>
          <w:szCs w:val="24"/>
          <w:lang w:eastAsia="en-US"/>
        </w:rPr>
      </w:pPr>
      <w:r w:rsidRPr="00365B49">
        <w:rPr>
          <w:sz w:val="24"/>
          <w:szCs w:val="24"/>
          <w:lang w:eastAsia="en-US"/>
        </w:rPr>
        <w:t>identifikační a informační údaje (názvy obcí, názvy katastrálních území, místních částí obce, náměstí a ulic, popřípadě parcelní čísla pozemků),</w:t>
      </w:r>
    </w:p>
    <w:p w:rsidR="00D84BEB" w:rsidRDefault="00D84BEB" w:rsidP="00423120">
      <w:pPr>
        <w:keepNext/>
        <w:widowControl w:val="0"/>
        <w:numPr>
          <w:ilvl w:val="1"/>
          <w:numId w:val="12"/>
        </w:numPr>
        <w:suppressLineNumbers/>
        <w:ind w:left="284" w:hanging="284"/>
        <w:contextualSpacing/>
        <w:jc w:val="both"/>
        <w:rPr>
          <w:sz w:val="24"/>
          <w:szCs w:val="24"/>
          <w:lang w:eastAsia="en-US"/>
        </w:rPr>
      </w:pPr>
      <w:r w:rsidRPr="00365B49">
        <w:rPr>
          <w:sz w:val="24"/>
          <w:szCs w:val="24"/>
          <w:lang w:eastAsia="en-US"/>
        </w:rPr>
        <w:t>ceny jednotlivých stavebních pozemků, popřípadě ceny vymezených skupin parcel</w:t>
      </w:r>
      <w:r w:rsidR="00C35E3D">
        <w:rPr>
          <w:sz w:val="24"/>
          <w:szCs w:val="24"/>
          <w:lang w:eastAsia="en-US"/>
        </w:rPr>
        <w:t xml:space="preserve"> se </w:t>
      </w:r>
      <w:r w:rsidRPr="00365B49">
        <w:rPr>
          <w:sz w:val="24"/>
          <w:szCs w:val="24"/>
          <w:lang w:eastAsia="en-US"/>
        </w:rPr>
        <w:t>shodným účelem užití a stejnou stavební vybaveností (tzv. funkční polygony) v Kč/m</w:t>
      </w:r>
      <w:r w:rsidRPr="00365B49">
        <w:rPr>
          <w:sz w:val="24"/>
          <w:szCs w:val="24"/>
          <w:vertAlign w:val="superscript"/>
          <w:lang w:eastAsia="en-US"/>
        </w:rPr>
        <w:t>2</w:t>
      </w:r>
      <w:r w:rsidRPr="00365B49">
        <w:rPr>
          <w:sz w:val="24"/>
          <w:szCs w:val="24"/>
          <w:lang w:eastAsia="en-US"/>
        </w:rPr>
        <w:t>.</w:t>
      </w:r>
    </w:p>
    <w:p w:rsidR="00D84BEB" w:rsidRDefault="00D84BEB" w:rsidP="00423120">
      <w:pPr>
        <w:pStyle w:val="05-Text"/>
        <w:rPr>
          <w:lang w:eastAsia="en-US"/>
        </w:rPr>
      </w:pPr>
      <w:r w:rsidRPr="00C53A92">
        <w:rPr>
          <w:lang w:eastAsia="en-US"/>
        </w:rPr>
        <w:lastRenderedPageBreak/>
        <w:t>Cenová mapa je konstruována na základě použití metody prodejních dat (tedy tržních cen) používanou i pro stanovení cen nemovitosti. Jde o statistickou metodu založenou</w:t>
      </w:r>
      <w:r w:rsidR="00C35E3D">
        <w:rPr>
          <w:lang w:eastAsia="en-US"/>
        </w:rPr>
        <w:t xml:space="preserve"> na </w:t>
      </w:r>
      <w:r w:rsidRPr="00C53A92">
        <w:rPr>
          <w:lang w:eastAsia="en-US"/>
        </w:rPr>
        <w:t>zjišťování cen realizovaných prodejů. Jednotlivé graficky vymezené funkční polygony jsou označeny pomocí písmenných kódů (elektronické verze je zpravidla neobsahují, viz obrázek</w:t>
      </w:r>
      <w:r w:rsidRPr="00365B49">
        <w:rPr>
          <w:lang w:eastAsia="en-US"/>
        </w:rPr>
        <w:t xml:space="preserve"> </w:t>
      </w:r>
      <w:r w:rsidR="002F71E1">
        <w:rPr>
          <w:lang w:eastAsia="en-US"/>
        </w:rPr>
        <w:t>výše</w:t>
      </w:r>
      <w:r w:rsidRPr="00365B49">
        <w:rPr>
          <w:lang w:eastAsia="en-US"/>
        </w:rPr>
        <w:t>), jejichž charakteristiky jsou textově specifikovány</w:t>
      </w:r>
      <w:r w:rsidR="00671EA4">
        <w:rPr>
          <w:lang w:eastAsia="en-US"/>
        </w:rPr>
        <w:t xml:space="preserve"> </w:t>
      </w:r>
      <w:r w:rsidRPr="00365B49">
        <w:rPr>
          <w:vertAlign w:val="superscript"/>
          <w:lang w:eastAsia="en-US"/>
        </w:rPr>
        <w:footnoteReference w:id="9"/>
      </w:r>
      <w:r w:rsidRPr="00365B49">
        <w:rPr>
          <w:lang w:eastAsia="en-US"/>
        </w:rPr>
        <w:t>. Tyto pozemky jsou obdobné a tedy i porovnatelné především z hlediska polohy, dostupnosti</w:t>
      </w:r>
      <w:r w:rsidR="00C333B5">
        <w:rPr>
          <w:lang w:eastAsia="en-US"/>
        </w:rPr>
        <w:t>, vybavenosti infrastrukturou a </w:t>
      </w:r>
      <w:r w:rsidRPr="00365B49">
        <w:rPr>
          <w:lang w:eastAsia="en-US"/>
        </w:rPr>
        <w:t>funkce, která je jedním z rozhodujících faktorů při vy</w:t>
      </w:r>
      <w:r w:rsidR="00C333B5">
        <w:rPr>
          <w:lang w:eastAsia="en-US"/>
        </w:rPr>
        <w:t>tváření tržního mikroklimatu ve </w:t>
      </w:r>
      <w:r w:rsidRPr="00365B49">
        <w:rPr>
          <w:lang w:eastAsia="en-US"/>
        </w:rPr>
        <w:t>vymezeném území.</w:t>
      </w:r>
    </w:p>
    <w:p w:rsidR="00D84BEB" w:rsidRPr="00365B49" w:rsidRDefault="00D84BEB" w:rsidP="00DD17E2">
      <w:pPr>
        <w:pStyle w:val="05-Text"/>
        <w:spacing w:after="120"/>
        <w:rPr>
          <w:lang w:eastAsia="en-US"/>
        </w:rPr>
      </w:pPr>
      <w:r w:rsidRPr="00365B49">
        <w:rPr>
          <w:lang w:eastAsia="en-US"/>
        </w:rPr>
        <w:t>Vypovídací schopnost cenové mapy je závislá na (Císař 1998):</w:t>
      </w:r>
    </w:p>
    <w:p w:rsidR="00D84BEB" w:rsidRPr="00365B49" w:rsidRDefault="00D84BEB" w:rsidP="00423120">
      <w:pPr>
        <w:pStyle w:val="06-vet-bez-sel"/>
        <w:spacing w:after="200"/>
      </w:pPr>
      <w:r w:rsidRPr="00365B49">
        <w:t xml:space="preserve">použité metodice zjišťování dosažených cen, </w:t>
      </w:r>
    </w:p>
    <w:p w:rsidR="00D84BEB" w:rsidRPr="00365B49" w:rsidRDefault="00D84BEB" w:rsidP="00423120">
      <w:pPr>
        <w:pStyle w:val="06-vet-bez-sel"/>
        <w:spacing w:after="200"/>
      </w:pPr>
      <w:r w:rsidRPr="00365B49">
        <w:t>počtu realizovaných prodejů tzn. na počtu zjištěných cen</w:t>
      </w:r>
      <w:r>
        <w:t xml:space="preserve"> – v</w:t>
      </w:r>
      <w:r w:rsidRPr="00365B49">
        <w:t>ě</w:t>
      </w:r>
      <w:r w:rsidR="00C333B5">
        <w:t>tší počet zjištěných cen je, za </w:t>
      </w:r>
      <w:r w:rsidRPr="00365B49">
        <w:t>jinak stejných okolností, zárukou vyšší vypovídací schopnosti cenové mapy,</w:t>
      </w:r>
    </w:p>
    <w:p w:rsidR="00D84BEB" w:rsidRPr="00365B49" w:rsidRDefault="00D84BEB" w:rsidP="00423120">
      <w:pPr>
        <w:pStyle w:val="06-vet-bez-sel"/>
        <w:spacing w:after="200"/>
      </w:pPr>
      <w:r w:rsidRPr="00365B49">
        <w:t>velikosti územního celku, pro který je konstruována</w:t>
      </w:r>
      <w:r>
        <w:t xml:space="preserve"> </w:t>
      </w:r>
      <w:r w:rsidRPr="00365B49">
        <w:rPr>
          <w:vertAlign w:val="superscript"/>
        </w:rPr>
        <w:footnoteReference w:id="10"/>
      </w:r>
      <w:r w:rsidRPr="00365B49">
        <w:t>,</w:t>
      </w:r>
    </w:p>
    <w:p w:rsidR="00D84BEB" w:rsidRPr="00365B49" w:rsidRDefault="00D84BEB" w:rsidP="00423120">
      <w:pPr>
        <w:pStyle w:val="06-vet-bez-sel"/>
        <w:spacing w:after="200"/>
      </w:pPr>
      <w:r w:rsidRPr="00365B49">
        <w:t>dodržení principu, že do funkčních polygonů lze zahrnout jen pozemky sloužící stejnému účelu</w:t>
      </w:r>
      <w:r>
        <w:t xml:space="preserve"> (k</w:t>
      </w:r>
      <w:r w:rsidRPr="00365B49">
        <w:t>valitativní rozdílnost</w:t>
      </w:r>
      <w:r w:rsidR="001A618E">
        <w:t>, jejich využití by měla</w:t>
      </w:r>
      <w:r w:rsidRPr="00365B49">
        <w:t xml:space="preserve"> být minimální</w:t>
      </w:r>
      <w:r>
        <w:t>)</w:t>
      </w:r>
      <w:r w:rsidRPr="00365B49">
        <w:t>,</w:t>
      </w:r>
    </w:p>
    <w:p w:rsidR="00D84BEB" w:rsidRPr="00525199" w:rsidRDefault="00D84BEB" w:rsidP="00423120">
      <w:pPr>
        <w:pStyle w:val="06-vet-bez-sel"/>
        <w:spacing w:after="200"/>
      </w:pPr>
      <w:proofErr w:type="gramStart"/>
      <w:r>
        <w:t>č</w:t>
      </w:r>
      <w:r w:rsidRPr="00365B49">
        <w:t>asovém</w:t>
      </w:r>
      <w:proofErr w:type="gramEnd"/>
      <w:r w:rsidR="00DD17E2">
        <w:t xml:space="preserve"> </w:t>
      </w:r>
      <w:r w:rsidRPr="00365B49">
        <w:t>intervalu zjišťování cen</w:t>
      </w:r>
      <w:r>
        <w:t xml:space="preserve"> – o</w:t>
      </w:r>
      <w:r w:rsidRPr="00365B49">
        <w:t>becně nelze stanovit časový interval aktualizace, neboť je ve značné míře závislý na dynamice cen ve zkoumaném územním celku</w:t>
      </w:r>
      <w:r>
        <w:t xml:space="preserve"> (t</w:t>
      </w:r>
      <w:r w:rsidRPr="00365B49">
        <w:t>omuto faktoru je nezbytné podřídit aktualizaci zjišťovaných cen</w:t>
      </w:r>
      <w:r>
        <w:t>).</w:t>
      </w:r>
    </w:p>
    <w:p w:rsidR="00D84BEB" w:rsidRPr="00DD03DA" w:rsidRDefault="00D84BEB" w:rsidP="00890421">
      <w:pPr>
        <w:pStyle w:val="03-Nadpis3"/>
      </w:pPr>
      <w:bookmarkStart w:id="29" w:name="_Toc382327186"/>
      <w:r w:rsidRPr="00DD03DA">
        <w:t>1.6.2. Studie proveditelnosti projektů – projekt regenerace brownfield</w:t>
      </w:r>
      <w:bookmarkEnd w:id="29"/>
    </w:p>
    <w:p w:rsidR="00D84BEB" w:rsidRDefault="00D84BEB" w:rsidP="00423120">
      <w:pPr>
        <w:pStyle w:val="05-Text"/>
      </w:pPr>
      <w:r>
        <w:t>„Brownfields</w:t>
      </w:r>
      <w:r w:rsidRPr="007F6EC6">
        <w:t xml:space="preserve"> jsou všechny pozemky</w:t>
      </w:r>
      <w:r>
        <w:t xml:space="preserve"> </w:t>
      </w:r>
      <w:r w:rsidRPr="007F6EC6">
        <w:t xml:space="preserve">a nemovitosti </w:t>
      </w:r>
      <w:r w:rsidR="00A251D8">
        <w:t>v</w:t>
      </w:r>
      <w:r w:rsidRPr="007F6EC6">
        <w:t xml:space="preserve"> urbanizované</w:t>
      </w:r>
      <w:r w:rsidR="00A251D8">
        <w:t>m</w:t>
      </w:r>
      <w:r w:rsidRPr="007F6EC6">
        <w:t xml:space="preserve"> území, které</w:t>
      </w:r>
      <w:r>
        <w:t xml:space="preserve"> </w:t>
      </w:r>
      <w:r w:rsidRPr="007F6EC6">
        <w:t>ztratily svoji původní funkci nebo jsou podvyužité,</w:t>
      </w:r>
      <w:r>
        <w:t xml:space="preserve"> </w:t>
      </w:r>
      <w:r w:rsidRPr="007F6EC6">
        <w:t>mají pravděpodobně ekologickou zátěž a</w:t>
      </w:r>
      <w:r w:rsidR="00C333B5">
        <w:t> </w:t>
      </w:r>
      <w:r w:rsidRPr="007F6EC6">
        <w:t>devastované výrobní či jiné budovy. Tyto</w:t>
      </w:r>
      <w:r>
        <w:t xml:space="preserve"> </w:t>
      </w:r>
      <w:r w:rsidRPr="007F6EC6">
        <w:t>nemovitosti pak ekonomicky a fyzicky deprimují své</w:t>
      </w:r>
      <w:r>
        <w:t xml:space="preserve"> </w:t>
      </w:r>
      <w:r w:rsidRPr="007F6EC6">
        <w:t xml:space="preserve">prostředí a okolí. Komplexitou a nákladností řešení </w:t>
      </w:r>
      <w:r w:rsidR="00C333B5">
        <w:t>problémů spojených s renovací a </w:t>
      </w:r>
      <w:r w:rsidRPr="007F6EC6">
        <w:t>ozdravěním</w:t>
      </w:r>
      <w:r>
        <w:t xml:space="preserve"> </w:t>
      </w:r>
      <w:r w:rsidRPr="007F6EC6">
        <w:t>pak tyto nemovitosti odrazují soukromý kapitál od</w:t>
      </w:r>
      <w:r>
        <w:t xml:space="preserve"> </w:t>
      </w:r>
      <w:r w:rsidRPr="007F6EC6">
        <w:t>účinné intervence</w:t>
      </w:r>
      <w:r>
        <w:t>“</w:t>
      </w:r>
      <w:r w:rsidR="00DB1314">
        <w:t xml:space="preserve"> (Jackson,</w:t>
      </w:r>
      <w:r w:rsidR="00DB1314" w:rsidRPr="00DB1314">
        <w:t xml:space="preserve"> 2004</w:t>
      </w:r>
      <w:r w:rsidR="00DB1314">
        <w:t xml:space="preserve">). </w:t>
      </w:r>
      <w:r>
        <w:t>Pro regeneraci brownfields neexistuje jednotný návod. Při revitalizaci území a hledání nového využití je třeba vždy zohlednit místní podmínky a charakter daného území. Výhodu mají obvykle areály v těsné blízkosti center měst, s minimálními limity další</w:t>
      </w:r>
      <w:r w:rsidR="002B3CAB">
        <w:t>ho</w:t>
      </w:r>
      <w:r>
        <w:t xml:space="preserve"> rozvoj</w:t>
      </w:r>
      <w:r w:rsidR="002B3CAB">
        <w:t>e</w:t>
      </w:r>
      <w:r w:rsidR="00C333B5">
        <w:t xml:space="preserve"> a </w:t>
      </w:r>
      <w:r>
        <w:t xml:space="preserve">nízkými náklady na odstranění nebo přestavbu stávajících staveb nebo likvidaci ekologických škod.   </w:t>
      </w:r>
    </w:p>
    <w:p w:rsidR="00D84BEB" w:rsidRDefault="00D84BEB" w:rsidP="00423120">
      <w:pPr>
        <w:pStyle w:val="05-Text"/>
      </w:pPr>
      <w:r w:rsidRPr="00FF6DF5">
        <w:t>Předmětem případové studie je regenerace brownfield</w:t>
      </w:r>
      <w:r w:rsidR="00DB1314">
        <w:t>s</w:t>
      </w:r>
      <w:r w:rsidR="005512ED">
        <w:t xml:space="preserve"> </w:t>
      </w:r>
      <w:r w:rsidRPr="00FF6DF5">
        <w:t>v menším městě</w:t>
      </w:r>
      <w:r w:rsidR="002B3CAB">
        <w:t>.</w:t>
      </w:r>
      <w:r w:rsidR="00C333B5">
        <w:t xml:space="preserve"> Jedná se o </w:t>
      </w:r>
      <w:r w:rsidRPr="00FF6DF5">
        <w:t>areál bývalého cukrovaru, který je v majetku města. Ke zrušení výroby zde došlo na počátku 90. let. V dalších letech proběhla demolice části staticky nevyhovujících objektů.</w:t>
      </w:r>
      <w:r>
        <w:t xml:space="preserve"> Kromě stávajících staveb ve </w:t>
      </w:r>
      <w:r w:rsidR="00671EA4">
        <w:t xml:space="preserve">velmi špatném technickém stavu není v areálu </w:t>
      </w:r>
      <w:r>
        <w:t xml:space="preserve">zjištěna významná ekologická zátěž. Vybrané části areálu jsou památkově chráněny. </w:t>
      </w:r>
      <w:r w:rsidR="00671EA4">
        <w:t>Lokalita se nachází cca 300 </w:t>
      </w:r>
      <w:r w:rsidRPr="00FF6DF5">
        <w:t>m od centra města</w:t>
      </w:r>
      <w:r>
        <w:t>, v dopravně velmi výhodné poloze. Na severní straně areál přiléhá k autobusovému nádraží, na jižní a západní straně poto</w:t>
      </w:r>
      <w:r w:rsidR="00C333B5">
        <w:t>m sousedí s bytovou zástavbou a </w:t>
      </w:r>
      <w:r>
        <w:t xml:space="preserve">provozovnami lehkého průmyslu. V první fázi projdou revitalizací hlavní výrobní prostory </w:t>
      </w:r>
      <w:r>
        <w:lastRenderedPageBreak/>
        <w:t>areálu (dvě navzájem propojené budovy), jejichž přestavbou</w:t>
      </w:r>
      <w:r w:rsidR="00C333B5">
        <w:t xml:space="preserve"> vzniknou prostory pro obchod a </w:t>
      </w:r>
      <w:r>
        <w:t>služby s celkovou užitnou plochou 4000 m</w:t>
      </w:r>
      <w:r w:rsidRPr="002B3CAB">
        <w:rPr>
          <w:vertAlign w:val="superscript"/>
        </w:rPr>
        <w:t>2</w:t>
      </w:r>
      <w:r>
        <w:t xml:space="preserve"> (částečně 2 NP). </w:t>
      </w:r>
    </w:p>
    <w:p w:rsidR="00D84BEB" w:rsidRDefault="00D84BEB" w:rsidP="00423120">
      <w:pPr>
        <w:pStyle w:val="05-Text"/>
      </w:pPr>
      <w:r>
        <w:t>Klíčovým bodem studie proveditelnosti je analýza trhu a na ni navazující finanční analýza. Rozhodujícím kritériem pro realizac</w:t>
      </w:r>
      <w:r w:rsidR="00114400">
        <w:t>i</w:t>
      </w:r>
      <w:r>
        <w:t xml:space="preserve">/nerealizaci projektu </w:t>
      </w:r>
      <w:r w:rsidR="00114400">
        <w:t>je</w:t>
      </w:r>
      <w:r>
        <w:t xml:space="preserve"> schopnost zajistit návratnost vložených investičních prostředků a přiměřený zisk. Ve veřejném sektoru lze akceptovat i mírnou provozní ztrátu</w:t>
      </w:r>
      <w:r w:rsidR="00BA6F21">
        <w:t>,</w:t>
      </w:r>
      <w:r>
        <w:t xml:space="preserve"> resp. nenávratnost vložených prostředků (za předpokladu silného veřejného rozpočtu), rozhodujícím faktorem pro realizaci projektu je </w:t>
      </w:r>
      <w:r w:rsidR="00114400">
        <w:t xml:space="preserve">jeho </w:t>
      </w:r>
      <w:r>
        <w:t>socio-ekonomický dopad (užitek pro obyvatele)</w:t>
      </w:r>
      <w:r w:rsidR="00114400">
        <w:t xml:space="preserve">, zejména jeho </w:t>
      </w:r>
      <w:r>
        <w:t xml:space="preserve">podíl na jednotku investice.  </w:t>
      </w:r>
    </w:p>
    <w:p w:rsidR="00D84BEB" w:rsidRPr="00C7574F" w:rsidRDefault="00D84BEB" w:rsidP="00423120">
      <w:pPr>
        <w:pStyle w:val="04-Podnadipsek"/>
        <w:spacing w:after="200"/>
      </w:pPr>
      <w:r w:rsidRPr="00C7574F">
        <w:t xml:space="preserve">Analýza trhu a technické řešení  </w:t>
      </w:r>
    </w:p>
    <w:p w:rsidR="00D84BEB" w:rsidRDefault="00D84BEB" w:rsidP="00423120">
      <w:pPr>
        <w:pStyle w:val="05-Text"/>
        <w:tabs>
          <w:tab w:val="left" w:pos="4395"/>
        </w:tabs>
      </w:pPr>
      <w:r w:rsidRPr="00E92BD1">
        <w:t xml:space="preserve">Hlavním cílem analýzy tržní situace a marketingové strategie je zhodnotit podmínky pro úspěšné umístění produktu na trh. </w:t>
      </w:r>
      <w:r>
        <w:t>Mezi obvykle formulované dílčí cíle patří definice obsahu</w:t>
      </w:r>
      <w:r w:rsidRPr="00E92BD1">
        <w:t xml:space="preserve"> a</w:t>
      </w:r>
      <w:r w:rsidRPr="006F066A">
        <w:t xml:space="preserve"> konečn</w:t>
      </w:r>
      <w:r>
        <w:t>é</w:t>
      </w:r>
      <w:r w:rsidRPr="006F066A">
        <w:t xml:space="preserve"> podob</w:t>
      </w:r>
      <w:r>
        <w:t>y</w:t>
      </w:r>
      <w:r w:rsidRPr="006F066A">
        <w:t xml:space="preserve"> produktu, </w:t>
      </w:r>
      <w:r w:rsidRPr="00E92BD1">
        <w:t>vymez</w:t>
      </w:r>
      <w:r>
        <w:t>ení</w:t>
      </w:r>
      <w:r w:rsidRPr="00E92BD1">
        <w:t xml:space="preserve"> zájmové</w:t>
      </w:r>
      <w:r>
        <w:t>ho</w:t>
      </w:r>
      <w:r w:rsidRPr="00E92BD1">
        <w:t>/spádové</w:t>
      </w:r>
      <w:r>
        <w:t>ho</w:t>
      </w:r>
      <w:r w:rsidRPr="00E92BD1">
        <w:t xml:space="preserve"> území</w:t>
      </w:r>
      <w:r w:rsidRPr="006F066A">
        <w:t xml:space="preserve">, </w:t>
      </w:r>
      <w:r w:rsidRPr="00E92BD1">
        <w:t>defin</w:t>
      </w:r>
      <w:r>
        <w:t>ice</w:t>
      </w:r>
      <w:r w:rsidRPr="00E92BD1">
        <w:t xml:space="preserve"> cílové skupiny zákazníků</w:t>
      </w:r>
      <w:r w:rsidRPr="006F066A">
        <w:t xml:space="preserve">, </w:t>
      </w:r>
      <w:r w:rsidRPr="00E92BD1">
        <w:t>anal</w:t>
      </w:r>
      <w:r>
        <w:t>ýza</w:t>
      </w:r>
      <w:r w:rsidRPr="00E92BD1">
        <w:t xml:space="preserve"> nabídk</w:t>
      </w:r>
      <w:r>
        <w:t>y</w:t>
      </w:r>
      <w:r w:rsidRPr="00E92BD1">
        <w:t xml:space="preserve"> srovnatelných produktů</w:t>
      </w:r>
      <w:r>
        <w:t xml:space="preserve"> a poptávky po nich </w:t>
      </w:r>
      <w:r w:rsidRPr="00E92BD1">
        <w:t>s důrazem</w:t>
      </w:r>
      <w:r w:rsidR="00C35E3D">
        <w:t xml:space="preserve"> na </w:t>
      </w:r>
      <w:r w:rsidRPr="006F066A">
        <w:t>tzv. koupěschopnou poptávku a n</w:t>
      </w:r>
      <w:r w:rsidR="0068129E">
        <w:t>á</w:t>
      </w:r>
      <w:r w:rsidRPr="006F066A">
        <w:t xml:space="preserve">vrh </w:t>
      </w:r>
      <w:r w:rsidRPr="00E92BD1">
        <w:t>základní</w:t>
      </w:r>
      <w:r w:rsidR="0068129E">
        <w:t>ho</w:t>
      </w:r>
      <w:r w:rsidRPr="00E92BD1">
        <w:t xml:space="preserve"> </w:t>
      </w:r>
      <w:r w:rsidRPr="006F066A">
        <w:t>marketingov</w:t>
      </w:r>
      <w:r w:rsidR="0068129E">
        <w:t>ého</w:t>
      </w:r>
      <w:r w:rsidRPr="006F066A">
        <w:t xml:space="preserve"> mix</w:t>
      </w:r>
      <w:r w:rsidR="0068129E">
        <w:t>u</w:t>
      </w:r>
      <w:r w:rsidRPr="006F066A">
        <w:t xml:space="preserve">. </w:t>
      </w:r>
      <w:r w:rsidR="00C35E3D">
        <w:t>Produktem pro </w:t>
      </w:r>
      <w:r>
        <w:t xml:space="preserve">účely marketingové mixu </w:t>
      </w:r>
      <w:r w:rsidR="0068129E">
        <w:t xml:space="preserve">je </w:t>
      </w:r>
      <w:r>
        <w:t xml:space="preserve">výstavba obchodně-společenského centra služeb v rámci občanské vybavenosti. V areálu jsou plánovány obchody a drobné provozovny služeb jako prodejna potravin, restaurace, kavárna, ordinace lékařů nebo pošta. </w:t>
      </w:r>
    </w:p>
    <w:p w:rsidR="00D84BEB" w:rsidRDefault="00D84BEB" w:rsidP="00423120">
      <w:pPr>
        <w:pStyle w:val="05-Text"/>
        <w:tabs>
          <w:tab w:val="left" w:pos="4395"/>
        </w:tabs>
      </w:pPr>
      <w:r>
        <w:t>Primární cílovou skupinu tvoří obyvatelé města, kteří budou každodenně využívat vybudovanou infrastrukturu a služby. Sekundární cílovou skupinou jsou obyvatelé přirozené spádové oblasti. Shodně s vymezením cílových skupin jsou definována i zájmová území: z</w:t>
      </w:r>
      <w:r w:rsidRPr="00742442">
        <w:t xml:space="preserve">ájmové území </w:t>
      </w:r>
      <w:r>
        <w:t>kategorie A</w:t>
      </w:r>
      <w:r w:rsidRPr="00742442">
        <w:t xml:space="preserve"> (dotčené město)</w:t>
      </w:r>
      <w:r w:rsidR="00123FC7">
        <w:t xml:space="preserve"> a </w:t>
      </w:r>
      <w:r>
        <w:t xml:space="preserve">zájmové území kategorie B (přirozená širší spádová oblast). </w:t>
      </w:r>
    </w:p>
    <w:p w:rsidR="00D84BEB" w:rsidRDefault="00D84BEB" w:rsidP="00423120">
      <w:pPr>
        <w:pStyle w:val="05-Text"/>
        <w:tabs>
          <w:tab w:val="left" w:pos="4395"/>
        </w:tabs>
      </w:pPr>
      <w:r>
        <w:t>Zájmové území kategorie A zahrnuje město, ve kterém bude regenerace brownfield probíhat. Areál leží v těsné blízkosti středu města a svou rozlohou a významem jednoznačně ovlivní poskytování služeb v celém městě. Poče</w:t>
      </w:r>
      <w:r w:rsidR="00AA5091">
        <w:t xml:space="preserve">t obyvatel města je přibližně 5 </w:t>
      </w:r>
      <w:r>
        <w:t>000 osob. Zájmové území kategorie B zahrnuje přirozenou spádovou oblast tvořenou především menšími obcemi v těsném sousedství (ve vzdálenosti do cca 15 min. jízdy autem) a osoby využívající blízké autobusové nádraží jako přestupní uzel (cca 40 spojů denně). Počet obyvatel v tomto zájmovém území je cca 12</w:t>
      </w:r>
      <w:r w:rsidR="00AA5091">
        <w:t xml:space="preserve"> </w:t>
      </w:r>
      <w:r>
        <w:t>000.</w:t>
      </w:r>
      <w:r w:rsidR="00AB54E1">
        <w:t xml:space="preserve"> V úvahu je dále</w:t>
      </w:r>
      <w:r>
        <w:t xml:space="preserve"> nutné vzít </w:t>
      </w:r>
      <w:r w:rsidR="00AB54E1">
        <w:t xml:space="preserve">i </w:t>
      </w:r>
      <w:r>
        <w:t>konkurenční subjekty. Nejbližší srovnatelný areál obchodů a služeb (min. v rozsahu „supermarket“) se nachází ve vzdálenosti 15 km. Obchodní zóny na okraji krajského města jsou potom vzdáleny cca 20 km. Přímou konkurenci tvoří především zavedené drobné prodejny a provozovny, v zájmovém území kategorie A se jich nachází přibližně 25 (prodejny potravin, drogerie, vybrané provozovny služeb). Realizace obdobného projektu je plánována také v sousedním městě (3</w:t>
      </w:r>
      <w:r w:rsidR="00AA5091">
        <w:t xml:space="preserve"> </w:t>
      </w:r>
      <w:r>
        <w:t xml:space="preserve">000 obyvatel, vzdálenost cca 3 km). </w:t>
      </w:r>
    </w:p>
    <w:p w:rsidR="00D84BEB" w:rsidRDefault="00D84BEB" w:rsidP="00423120">
      <w:pPr>
        <w:pStyle w:val="05-Text"/>
      </w:pPr>
      <w:r>
        <w:t>Předpokládaná návštěvnost areálu je 400</w:t>
      </w:r>
      <w:r w:rsidR="00AB54E1">
        <w:t xml:space="preserve"> tis. </w:t>
      </w:r>
      <w:r>
        <w:t>osob/rok (1</w:t>
      </w:r>
      <w:r w:rsidR="00AA5091">
        <w:t xml:space="preserve"> </w:t>
      </w:r>
      <w:r>
        <w:t>100 osob denně). Naprostá většina náv</w:t>
      </w:r>
      <w:r w:rsidR="00CA5086">
        <w:t xml:space="preserve">štěvníků bude tvořena zákazníky </w:t>
      </w:r>
      <w:r>
        <w:t xml:space="preserve">supermarketu (provozovaný vybraným diskontním řetězcem). Zbývající část </w:t>
      </w:r>
      <w:r w:rsidR="00AB54E1">
        <w:t xml:space="preserve">návštěvníků </w:t>
      </w:r>
      <w:r>
        <w:t>bu</w:t>
      </w:r>
      <w:r w:rsidR="00C333B5">
        <w:t>de především cílená dojížďka za </w:t>
      </w:r>
      <w:r>
        <w:t xml:space="preserve">vybranými provozovnami služeb (zejména obyvatelé využívající služeb lékařů). </w:t>
      </w:r>
    </w:p>
    <w:p w:rsidR="00D84BEB" w:rsidRDefault="00D84BEB" w:rsidP="00423120">
      <w:pPr>
        <w:pStyle w:val="05-Text"/>
      </w:pPr>
      <w:r>
        <w:lastRenderedPageBreak/>
        <w:t>Z technického hlediska projekt bude realizován jako celková rekonstrukce památkově chráněných částí (zachování stávajících nosných zdí, kompletní obnova střechy, vedení sítí, výplně otvorů, zpevnění podlah a stropů, úpravy interiéru) a nová výstavba na místě zcela demolovaných objektů. Celkově vzniknou dva stavebně propoje</w:t>
      </w:r>
      <w:r w:rsidR="00FC4270">
        <w:t xml:space="preserve">né objekty s  užitnou plochou 4 </w:t>
      </w:r>
      <w:r>
        <w:t>000</w:t>
      </w:r>
      <w:r w:rsidR="002B3CAB">
        <w:t xml:space="preserve"> m</w:t>
      </w:r>
      <w:r w:rsidR="002B3CAB" w:rsidRPr="002B3CAB">
        <w:rPr>
          <w:vertAlign w:val="superscript"/>
        </w:rPr>
        <w:t>2</w:t>
      </w:r>
      <w:r>
        <w:t>, z toho v přízemí prostory pro supermarket s potravina</w:t>
      </w:r>
      <w:r w:rsidR="00FC4270">
        <w:t xml:space="preserve">mi (nová přístavba) s plochou 1 </w:t>
      </w:r>
      <w:r>
        <w:t xml:space="preserve">000 </w:t>
      </w:r>
      <w:r w:rsidR="002B3CAB">
        <w:t>m</w:t>
      </w:r>
      <w:r w:rsidR="002B3CAB" w:rsidRPr="002B3CAB">
        <w:rPr>
          <w:vertAlign w:val="superscript"/>
        </w:rPr>
        <w:t>2</w:t>
      </w:r>
      <w:r>
        <w:t>, prostory pro drobné provozovny a služby v 1. NP (ř</w:t>
      </w:r>
      <w:r w:rsidR="00C333B5">
        <w:t>ezník, pekař, lékárna, apod.) o </w:t>
      </w:r>
      <w:r>
        <w:t xml:space="preserve">ploše 800 </w:t>
      </w:r>
      <w:r w:rsidR="002B3CAB">
        <w:t>m</w:t>
      </w:r>
      <w:r w:rsidR="002B3CAB" w:rsidRPr="002B3CAB">
        <w:rPr>
          <w:vertAlign w:val="superscript"/>
        </w:rPr>
        <w:t>2</w:t>
      </w:r>
      <w:r>
        <w:t>, prostory pro ordinace, kanceláře nebo specializova</w:t>
      </w:r>
      <w:r w:rsidR="00C333B5">
        <w:t>né provozovny v 2. NP o </w:t>
      </w:r>
      <w:r w:rsidR="00FC4270">
        <w:t xml:space="preserve">ploše 1 </w:t>
      </w:r>
      <w:r>
        <w:t xml:space="preserve">400 </w:t>
      </w:r>
      <w:r w:rsidR="002B3CAB">
        <w:t>m</w:t>
      </w:r>
      <w:r w:rsidR="002B3CAB" w:rsidRPr="002B3CAB">
        <w:rPr>
          <w:vertAlign w:val="superscript"/>
        </w:rPr>
        <w:t>2</w:t>
      </w:r>
      <w:r>
        <w:t>. Poměrně velký prostor tvoří nep</w:t>
      </w:r>
      <w:r w:rsidR="00C333B5">
        <w:t>ronajímatelná plocha (vstupní a </w:t>
      </w:r>
      <w:r>
        <w:t xml:space="preserve">komunikační prostory, chodby, schodiště, výtah, sociální zázemí, apod.) o celkové ploše 800 </w:t>
      </w:r>
      <w:r w:rsidR="00E272C0">
        <w:t>m</w:t>
      </w:r>
      <w:r w:rsidR="00E272C0" w:rsidRPr="002B3CAB">
        <w:rPr>
          <w:vertAlign w:val="superscript"/>
        </w:rPr>
        <w:t>2</w:t>
      </w:r>
      <w:r>
        <w:t xml:space="preserve"> (20</w:t>
      </w:r>
      <w:r w:rsidR="00E272C0">
        <w:t xml:space="preserve"> </w:t>
      </w:r>
      <w:r>
        <w:t xml:space="preserve">%).      </w:t>
      </w:r>
    </w:p>
    <w:p w:rsidR="00D84BEB" w:rsidRPr="00C7574F" w:rsidRDefault="00D84BEB" w:rsidP="00423120">
      <w:pPr>
        <w:pStyle w:val="04-Podnadipsek"/>
        <w:spacing w:after="200"/>
      </w:pPr>
      <w:r w:rsidRPr="00C7574F">
        <w:t xml:space="preserve">Finanční analýza projektu </w:t>
      </w:r>
    </w:p>
    <w:p w:rsidR="00D84BEB" w:rsidRDefault="00D84BEB" w:rsidP="00423120">
      <w:pPr>
        <w:pStyle w:val="05-Text"/>
      </w:pPr>
      <w:r>
        <w:t xml:space="preserve">Finanční analýza projektu je obvykle tvořena odhadem investičních a provozních výdajů projektu (ve fázi studie proveditelnosti obvykle </w:t>
      </w:r>
      <w:r w:rsidR="00C333B5">
        <w:t>na základě objemové studie). Na </w:t>
      </w:r>
      <w:r>
        <w:t>základě odhadu čistého cash-flow projektu je provede</w:t>
      </w:r>
      <w:r w:rsidR="00C333B5">
        <w:t>na analýza zdrojů financování a </w:t>
      </w:r>
      <w:r>
        <w:t>ověřena finanční udržitelnost projektu (schopnost průběžně hradit splatné závazky). Vlastní finanční hodnocení bývá připraveno ve dvou variantách: hodnocení efektivnosti projektu jako investice (tj. bez zohlednění položek financování) a hodnocení míry návratnosti vloženého kapitálu na základě hodnocení celkového cash-flow projektu (t</w:t>
      </w:r>
      <w:r w:rsidR="00C333B5">
        <w:t>j. včetně položek financování a </w:t>
      </w:r>
      <w:r>
        <w:t>daní). Z výsled</w:t>
      </w:r>
      <w:r w:rsidR="005512ED">
        <w:t xml:space="preserve">ných </w:t>
      </w:r>
      <w:r>
        <w:t>ukazatelů se obvykle používá čistá současná hodnota (budoucí hodnota projektu a všech jeho finančních toků přev</w:t>
      </w:r>
      <w:r w:rsidR="008143E1">
        <w:t xml:space="preserve">edená na současnou, tj. dnešní </w:t>
      </w:r>
      <w:r>
        <w:t>hodnotu), index rentability (podíl čisté současné hodnoty na jednotku investice</w:t>
      </w:r>
      <w:r w:rsidR="00275DD2">
        <w:t>,</w:t>
      </w:r>
      <w:r w:rsidR="00C35E3D">
        <w:t xml:space="preserve"> tj. zhodnocení projektu za </w:t>
      </w:r>
      <w:r>
        <w:t>celou dobu hodnocení), vnitřní výnosové procento (taková diskontní sazba, při které je čistá současná hodnota projektu rovna nule) a doba návratnosti (počet let, za kter</w:t>
      </w:r>
      <w:r w:rsidR="00E272C0">
        <w:t>é</w:t>
      </w:r>
      <w:r>
        <w:t xml:space="preserve"> se investice „vrátí“). </w:t>
      </w:r>
    </w:p>
    <w:p w:rsidR="00D84BEB" w:rsidRDefault="00D84BEB" w:rsidP="00423120">
      <w:pPr>
        <w:pStyle w:val="05-Text"/>
      </w:pPr>
      <w:r>
        <w:t>Finanční objem investice je definován na základě urbanistické studie a ceníkových cen (cenová hladina URS Praha 2012). Celková výše investice je předpokládána ve výši 80 mil. Kč, navýšení ceny oproti výstavbě na zelené louce (greenfield) činí přibližně 20 mil. Kč.  Investorem projektu bude město, stavba bude realizována dodavatel</w:t>
      </w:r>
      <w:r w:rsidR="005512ED">
        <w:t>em</w:t>
      </w:r>
      <w:r>
        <w:t xml:space="preserve"> na základě výběrového řízení. Náklady na výstavbu budou hrazeny z rozpočtu města. Realizace záměru počítá s přijetím úvěru v prvním roce výstavby ve výši 40 mil. Kč (předpokládaný úrok 4,0</w:t>
      </w:r>
      <w:r w:rsidR="00E272C0">
        <w:t xml:space="preserve"> </w:t>
      </w:r>
      <w:r>
        <w:t xml:space="preserve">% </w:t>
      </w:r>
      <w:r w:rsidR="008143E1">
        <w:t xml:space="preserve">p. </w:t>
      </w:r>
      <w:r w:rsidR="00286712">
        <w:t>a.</w:t>
      </w:r>
      <w:r>
        <w:t xml:space="preserve">, splatnost 10 let, konstantní anuita). Vzhledem ke komerčnímu charakteru záměru není možné nárokovat další dotační financování. </w:t>
      </w:r>
    </w:p>
    <w:p w:rsidR="00C35E3D" w:rsidRDefault="00D84BEB" w:rsidP="00C35E3D">
      <w:pPr>
        <w:pStyle w:val="05-Text"/>
      </w:pPr>
      <w:r>
        <w:t>Město bude současně zajišťovat i provoz areálu formou přímého pronájmu komerčních prostor konečným nájemcům (provozovatelům obchodů a služeb). Na základě předběžných jednání je předpokládána cílová obsazenost 80</w:t>
      </w:r>
      <w:r w:rsidR="00E272C0">
        <w:t xml:space="preserve"> </w:t>
      </w:r>
      <w:r w:rsidR="008143E1">
        <w:t xml:space="preserve">%. Celková </w:t>
      </w:r>
      <w:r>
        <w:t>pronajímatelná plocha pro komerční účely činí 3</w:t>
      </w:r>
      <w:r w:rsidR="008143E1">
        <w:t xml:space="preserve"> </w:t>
      </w:r>
      <w:r>
        <w:t xml:space="preserve">200 </w:t>
      </w:r>
      <w:r w:rsidR="002B3CAB">
        <w:t>m</w:t>
      </w:r>
      <w:r w:rsidR="002B3CAB" w:rsidRPr="002B3CAB">
        <w:rPr>
          <w:vertAlign w:val="superscript"/>
        </w:rPr>
        <w:t>2</w:t>
      </w:r>
      <w:r>
        <w:t>. Jednotková cena za pronájem za rok se bude pohybovat od 2</w:t>
      </w:r>
      <w:r w:rsidR="008143E1">
        <w:t xml:space="preserve"> </w:t>
      </w:r>
      <w:r>
        <w:t>000 Kč/</w:t>
      </w:r>
      <w:r w:rsidR="002B3CAB">
        <w:t>m</w:t>
      </w:r>
      <w:r w:rsidR="002B3CAB" w:rsidRPr="002B3CAB">
        <w:rPr>
          <w:vertAlign w:val="superscript"/>
        </w:rPr>
        <w:t>2</w:t>
      </w:r>
      <w:r>
        <w:t xml:space="preserve"> do 3</w:t>
      </w:r>
      <w:r w:rsidR="008143E1">
        <w:t xml:space="preserve"> </w:t>
      </w:r>
      <w:r>
        <w:t>500 Kč/</w:t>
      </w:r>
      <w:r w:rsidR="00E272C0">
        <w:t>m</w:t>
      </w:r>
      <w:r w:rsidR="00E272C0" w:rsidRPr="002B3CAB">
        <w:rPr>
          <w:vertAlign w:val="superscript"/>
        </w:rPr>
        <w:t>2</w:t>
      </w:r>
      <w:r>
        <w:t xml:space="preserve"> (v závislosti na umístění jednotky). Celkové provozní příjmy jsou odhadovány na 7,7 mil. Kč ročně. Provozní výdaje jsou tvořeny </w:t>
      </w:r>
      <w:r w:rsidRPr="00F757C2">
        <w:t xml:space="preserve">náklady na mimořádnou údržbu a administrativu. Náklady na administrativu jsou odhadovány ve výši 200 tis. Kč ročně (2,6 % z celkových ročních tržeb), náklady na mimořádnou údržbu jsou odhadovány ve výši 500 tis. Kč ročně (6,5 % celkových ročních tržeb). Běžná údržba areálu </w:t>
      </w:r>
      <w:r w:rsidRPr="00F757C2">
        <w:lastRenderedPageBreak/>
        <w:t>(včetně úklidu společných a venkovních prostor) bude hrazena (na základě poměrové kalkulace) nájemníky komerčních prostor. Dodávky služeb a energií (teplo, voda, elektrická energie, odvoz a likv</w:t>
      </w:r>
      <w:r w:rsidR="008143E1">
        <w:t>idace odpadů, úklid, apod.) budou</w:t>
      </w:r>
      <w:r w:rsidRPr="00F757C2">
        <w:t xml:space="preserve"> hraze</w:t>
      </w:r>
      <w:r w:rsidR="008143E1">
        <w:t>ny</w:t>
      </w:r>
      <w:r w:rsidR="00202BDD">
        <w:t xml:space="preserve"> přímo jednotlivými nájemci.</w:t>
      </w:r>
    </w:p>
    <w:p w:rsidR="00202BDD" w:rsidRPr="004941FF" w:rsidRDefault="00202BDD" w:rsidP="00C35E3D">
      <w:pPr>
        <w:pStyle w:val="0T-Titulek"/>
        <w:tabs>
          <w:tab w:val="center" w:pos="4536"/>
          <w:tab w:val="left" w:pos="7418"/>
        </w:tabs>
      </w:pPr>
      <w:bookmarkStart w:id="30" w:name="_Toc382326431"/>
      <w:r w:rsidRPr="004941FF">
        <w:t>Tabulka 4: Nejvýznamnější položky provozních výdajů</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41"/>
        <w:gridCol w:w="3071"/>
      </w:tblGrid>
      <w:tr w:rsidR="00D84BEB" w:rsidRPr="00F757C2" w:rsidTr="00F53100">
        <w:trPr>
          <w:trHeight w:hRule="exact" w:val="340"/>
          <w:tblHeader/>
        </w:trPr>
        <w:tc>
          <w:tcPr>
            <w:tcW w:w="6141" w:type="dxa"/>
            <w:shd w:val="clear" w:color="auto" w:fill="auto"/>
          </w:tcPr>
          <w:p w:rsidR="00D84BEB" w:rsidRPr="00E6724F" w:rsidRDefault="00D84BEB" w:rsidP="00423120">
            <w:pPr>
              <w:keepNext/>
              <w:jc w:val="center"/>
              <w:rPr>
                <w:rFonts w:asciiTheme="minorHAnsi" w:hAnsiTheme="minorHAnsi" w:cstheme="minorHAnsi"/>
                <w:b/>
                <w:bCs/>
              </w:rPr>
            </w:pPr>
            <w:r w:rsidRPr="00E6724F">
              <w:rPr>
                <w:rFonts w:asciiTheme="minorHAnsi" w:hAnsiTheme="minorHAnsi" w:cstheme="minorHAnsi"/>
                <w:b/>
                <w:bCs/>
              </w:rPr>
              <w:t>položka</w:t>
            </w:r>
          </w:p>
        </w:tc>
        <w:tc>
          <w:tcPr>
            <w:tcW w:w="3071" w:type="dxa"/>
            <w:shd w:val="clear" w:color="auto" w:fill="auto"/>
          </w:tcPr>
          <w:p w:rsidR="00D84BEB" w:rsidRPr="00E6724F" w:rsidRDefault="00D84BEB" w:rsidP="00423120">
            <w:pPr>
              <w:keepNext/>
              <w:jc w:val="center"/>
              <w:rPr>
                <w:rFonts w:asciiTheme="minorHAnsi" w:hAnsiTheme="minorHAnsi" w:cstheme="minorHAnsi"/>
                <w:b/>
                <w:bCs/>
              </w:rPr>
            </w:pPr>
            <w:r w:rsidRPr="00E6724F">
              <w:rPr>
                <w:rFonts w:asciiTheme="minorHAnsi" w:hAnsiTheme="minorHAnsi" w:cstheme="minorHAnsi"/>
                <w:b/>
                <w:bCs/>
              </w:rPr>
              <w:t>hodnota p.</w:t>
            </w:r>
            <w:r w:rsidR="00275DD2" w:rsidRPr="00E6724F">
              <w:rPr>
                <w:rFonts w:asciiTheme="minorHAnsi" w:hAnsiTheme="minorHAnsi" w:cstheme="minorHAnsi"/>
                <w:b/>
                <w:bCs/>
              </w:rPr>
              <w:t xml:space="preserve"> </w:t>
            </w:r>
            <w:r w:rsidRPr="00E6724F">
              <w:rPr>
                <w:rFonts w:asciiTheme="minorHAnsi" w:hAnsiTheme="minorHAnsi" w:cstheme="minorHAnsi"/>
                <w:b/>
                <w:bCs/>
              </w:rPr>
              <w:t>a. (v tis. Kč)</w:t>
            </w:r>
          </w:p>
        </w:tc>
      </w:tr>
      <w:tr w:rsidR="00D84BEB" w:rsidRPr="00F757C2" w:rsidTr="00F53100">
        <w:trPr>
          <w:trHeight w:hRule="exact" w:val="340"/>
        </w:trPr>
        <w:tc>
          <w:tcPr>
            <w:tcW w:w="6141" w:type="dxa"/>
          </w:tcPr>
          <w:p w:rsidR="00D84BEB" w:rsidRPr="00E6724F" w:rsidRDefault="00D84BEB" w:rsidP="00423120">
            <w:pPr>
              <w:keepNext/>
              <w:rPr>
                <w:rFonts w:asciiTheme="minorHAnsi" w:hAnsiTheme="minorHAnsi" w:cstheme="minorHAnsi"/>
                <w:bCs/>
              </w:rPr>
            </w:pPr>
            <w:r w:rsidRPr="00E6724F">
              <w:rPr>
                <w:rFonts w:asciiTheme="minorHAnsi" w:hAnsiTheme="minorHAnsi" w:cstheme="minorHAnsi"/>
                <w:bCs/>
              </w:rPr>
              <w:t>administrativa (2,6</w:t>
            </w:r>
            <w:r w:rsidR="00760C73" w:rsidRPr="00E6724F">
              <w:rPr>
                <w:rFonts w:asciiTheme="minorHAnsi" w:hAnsiTheme="minorHAnsi" w:cstheme="minorHAnsi"/>
                <w:bCs/>
              </w:rPr>
              <w:t xml:space="preserve"> </w:t>
            </w:r>
            <w:r w:rsidRPr="00E6724F">
              <w:rPr>
                <w:rFonts w:asciiTheme="minorHAnsi" w:hAnsiTheme="minorHAnsi" w:cstheme="minorHAnsi"/>
                <w:bCs/>
              </w:rPr>
              <w:t xml:space="preserve">% z celkových ročních tržeb)   </w:t>
            </w:r>
          </w:p>
        </w:tc>
        <w:tc>
          <w:tcPr>
            <w:tcW w:w="3071" w:type="dxa"/>
          </w:tcPr>
          <w:p w:rsidR="00D84BEB" w:rsidRPr="00E6724F" w:rsidRDefault="00D84BEB" w:rsidP="00423120">
            <w:pPr>
              <w:keepNext/>
              <w:jc w:val="center"/>
              <w:rPr>
                <w:rFonts w:asciiTheme="minorHAnsi" w:hAnsiTheme="minorHAnsi" w:cstheme="minorHAnsi"/>
                <w:bCs/>
              </w:rPr>
            </w:pPr>
            <w:r w:rsidRPr="00E6724F">
              <w:rPr>
                <w:rFonts w:asciiTheme="minorHAnsi" w:hAnsiTheme="minorHAnsi" w:cstheme="minorHAnsi"/>
                <w:bCs/>
              </w:rPr>
              <w:t>200 tis. Kč</w:t>
            </w:r>
          </w:p>
        </w:tc>
      </w:tr>
      <w:tr w:rsidR="00D84BEB" w:rsidRPr="00F757C2" w:rsidTr="00F53100">
        <w:trPr>
          <w:trHeight w:hRule="exact" w:val="340"/>
        </w:trPr>
        <w:tc>
          <w:tcPr>
            <w:tcW w:w="6141" w:type="dxa"/>
          </w:tcPr>
          <w:p w:rsidR="00D84BEB" w:rsidRPr="00E6724F" w:rsidRDefault="00D84BEB" w:rsidP="00423120">
            <w:pPr>
              <w:keepNext/>
              <w:rPr>
                <w:rFonts w:asciiTheme="minorHAnsi" w:hAnsiTheme="minorHAnsi" w:cstheme="minorHAnsi"/>
                <w:bCs/>
              </w:rPr>
            </w:pPr>
            <w:r w:rsidRPr="00E6724F">
              <w:rPr>
                <w:rFonts w:asciiTheme="minorHAnsi" w:hAnsiTheme="minorHAnsi" w:cstheme="minorHAnsi"/>
                <w:bCs/>
              </w:rPr>
              <w:t>mimořádná údržba, (6,5</w:t>
            </w:r>
            <w:r w:rsidR="00760C73" w:rsidRPr="00E6724F">
              <w:rPr>
                <w:rFonts w:asciiTheme="minorHAnsi" w:hAnsiTheme="minorHAnsi" w:cstheme="minorHAnsi"/>
                <w:bCs/>
              </w:rPr>
              <w:t xml:space="preserve"> </w:t>
            </w:r>
            <w:r w:rsidRPr="00E6724F">
              <w:rPr>
                <w:rFonts w:asciiTheme="minorHAnsi" w:hAnsiTheme="minorHAnsi" w:cstheme="minorHAnsi"/>
                <w:bCs/>
              </w:rPr>
              <w:t xml:space="preserve">% z celkových ročních tržeb)   </w:t>
            </w:r>
          </w:p>
        </w:tc>
        <w:tc>
          <w:tcPr>
            <w:tcW w:w="3071" w:type="dxa"/>
          </w:tcPr>
          <w:p w:rsidR="00D84BEB" w:rsidRPr="00E6724F" w:rsidRDefault="00D84BEB" w:rsidP="00423120">
            <w:pPr>
              <w:keepNext/>
              <w:jc w:val="center"/>
              <w:rPr>
                <w:rFonts w:asciiTheme="minorHAnsi" w:hAnsiTheme="minorHAnsi" w:cstheme="minorHAnsi"/>
                <w:bCs/>
              </w:rPr>
            </w:pPr>
            <w:r w:rsidRPr="00E6724F">
              <w:rPr>
                <w:rFonts w:asciiTheme="minorHAnsi" w:hAnsiTheme="minorHAnsi" w:cstheme="minorHAnsi"/>
                <w:bCs/>
              </w:rPr>
              <w:t>500 tis. Kč</w:t>
            </w:r>
          </w:p>
        </w:tc>
      </w:tr>
    </w:tbl>
    <w:p w:rsidR="00D84BEB" w:rsidRPr="00DB1314" w:rsidRDefault="00F53100" w:rsidP="00DB1314">
      <w:pPr>
        <w:keepNext/>
        <w:spacing w:line="312" w:lineRule="auto"/>
        <w:jc w:val="center"/>
        <w:rPr>
          <w:rFonts w:asciiTheme="minorHAnsi" w:hAnsiTheme="minorHAnsi" w:cstheme="minorHAnsi"/>
          <w:i/>
        </w:rPr>
      </w:pPr>
      <w:r>
        <w:rPr>
          <w:rFonts w:asciiTheme="minorHAnsi" w:hAnsiTheme="minorHAnsi" w:cstheme="minorHAnsi"/>
          <w:i/>
        </w:rPr>
        <w:t>Pramen</w:t>
      </w:r>
      <w:r w:rsidR="00DB1314" w:rsidRPr="00DB1314">
        <w:rPr>
          <w:rFonts w:asciiTheme="minorHAnsi" w:hAnsiTheme="minorHAnsi" w:cstheme="minorHAnsi"/>
          <w:i/>
        </w:rPr>
        <w:t>: vlastní výzkum.</w:t>
      </w:r>
    </w:p>
    <w:p w:rsidR="00D84BEB" w:rsidRPr="00F757C2" w:rsidRDefault="00D84BEB" w:rsidP="00423120">
      <w:pPr>
        <w:pStyle w:val="05-Text"/>
      </w:pPr>
      <w:r w:rsidRPr="00F757C2">
        <w:t xml:space="preserve">Čisté provozní cash-flow je závislé na obsazenosti areálu a dohodnuté nájemní ceně. Provozní zisk (před zdaněním a splátkou úvěrů) je předpokládán v objemu 7,0 mil. Kč ročně. Provozní výdaje jsou tvořeny takřka výhradně náklady na administrativu a mimořádnou údržbu areálu. Roční splátka komerčního úvěru činí přibližně 4,9 mil. Kč. </w:t>
      </w:r>
    </w:p>
    <w:p w:rsidR="00D84BEB" w:rsidRPr="00F757C2" w:rsidRDefault="00D84BEB" w:rsidP="00423120">
      <w:pPr>
        <w:pStyle w:val="05-Text"/>
        <w:rPr>
          <w:rFonts w:cs="Tahoma"/>
          <w:bCs/>
        </w:rPr>
      </w:pPr>
      <w:r w:rsidRPr="00F757C2">
        <w:rPr>
          <w:rFonts w:cs="Tahoma"/>
          <w:bCs/>
        </w:rPr>
        <w:t>Model pro finanční analýzu variant byl sestaven jako částečně dynamické modelové prostředí, které hledá cesty k finanční proveditelnosti celého projektu. Použité vstupy (odbytové kapacity, nákladové a výnosové položky) byly argumentovány v předcházejících částech textu. Diskontní sazba pro finanční analýzu byla použita ve výši 5,0</w:t>
      </w:r>
      <w:r w:rsidR="00B619BB">
        <w:rPr>
          <w:rFonts w:cs="Tahoma"/>
          <w:bCs/>
        </w:rPr>
        <w:t xml:space="preserve"> </w:t>
      </w:r>
      <w:r w:rsidRPr="00F757C2">
        <w:rPr>
          <w:rFonts w:cs="Tahoma"/>
          <w:bCs/>
        </w:rPr>
        <w:t>% (hodnota doporučená EK), doba hodnocení 15 let, všechny ceny v cenové hl</w:t>
      </w:r>
      <w:r w:rsidR="00C35E3D">
        <w:rPr>
          <w:rFonts w:cs="Tahoma"/>
          <w:bCs/>
        </w:rPr>
        <w:t>adině roku 2013. Pro </w:t>
      </w:r>
      <w:r w:rsidRPr="00F757C2">
        <w:rPr>
          <w:rFonts w:cs="Tahoma"/>
          <w:bCs/>
        </w:rPr>
        <w:t xml:space="preserve">výpočet byla použita specializovaná aplikace eCBA 1.0. </w:t>
      </w:r>
    </w:p>
    <w:p w:rsidR="00D84BEB" w:rsidRPr="00F757C2" w:rsidRDefault="00D84BEB" w:rsidP="00B66EE4">
      <w:pPr>
        <w:pStyle w:val="0T-Titulek"/>
        <w:tabs>
          <w:tab w:val="center" w:pos="4536"/>
          <w:tab w:val="left" w:pos="7418"/>
        </w:tabs>
        <w:jc w:val="left"/>
      </w:pPr>
      <w:r w:rsidRPr="00F757C2">
        <w:rPr>
          <w:b w:val="0"/>
        </w:rPr>
        <w:tab/>
      </w:r>
      <w:bookmarkStart w:id="31" w:name="_Toc382326432"/>
      <w:r w:rsidRPr="00F757C2">
        <w:t>Tabulka 5: Přehled výsledků finanční analýzy</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1803"/>
        <w:gridCol w:w="1535"/>
        <w:gridCol w:w="1536"/>
        <w:gridCol w:w="1536"/>
      </w:tblGrid>
      <w:tr w:rsidR="00D84BEB" w:rsidRPr="00F757C2" w:rsidTr="00F53100">
        <w:trPr>
          <w:trHeight w:hRule="exact" w:val="340"/>
        </w:trPr>
        <w:tc>
          <w:tcPr>
            <w:tcW w:w="2802" w:type="dxa"/>
            <w:shd w:val="clear" w:color="auto" w:fill="auto"/>
          </w:tcPr>
          <w:p w:rsidR="00D84BEB" w:rsidRPr="00E6724F" w:rsidRDefault="00D84BEB" w:rsidP="00423120">
            <w:pPr>
              <w:keepNext/>
              <w:jc w:val="center"/>
              <w:rPr>
                <w:rFonts w:asciiTheme="minorHAnsi" w:hAnsiTheme="minorHAnsi" w:cstheme="minorHAnsi"/>
                <w:b/>
                <w:bCs/>
              </w:rPr>
            </w:pPr>
          </w:p>
        </w:tc>
        <w:tc>
          <w:tcPr>
            <w:tcW w:w="1803" w:type="dxa"/>
            <w:shd w:val="clear" w:color="auto" w:fill="auto"/>
          </w:tcPr>
          <w:p w:rsidR="00D84BEB" w:rsidRPr="00E6724F" w:rsidRDefault="00D84BEB" w:rsidP="00423120">
            <w:pPr>
              <w:keepNext/>
              <w:jc w:val="center"/>
              <w:rPr>
                <w:rFonts w:asciiTheme="minorHAnsi" w:hAnsiTheme="minorHAnsi" w:cstheme="minorHAnsi"/>
                <w:b/>
                <w:bCs/>
              </w:rPr>
            </w:pPr>
            <w:r w:rsidRPr="00E6724F">
              <w:rPr>
                <w:rFonts w:asciiTheme="minorHAnsi" w:hAnsiTheme="minorHAnsi" w:cstheme="minorHAnsi"/>
                <w:b/>
                <w:bCs/>
              </w:rPr>
              <w:t>FNPV</w:t>
            </w:r>
          </w:p>
        </w:tc>
        <w:tc>
          <w:tcPr>
            <w:tcW w:w="1535" w:type="dxa"/>
            <w:shd w:val="clear" w:color="auto" w:fill="auto"/>
          </w:tcPr>
          <w:p w:rsidR="00D84BEB" w:rsidRPr="00E6724F" w:rsidRDefault="00D84BEB" w:rsidP="00423120">
            <w:pPr>
              <w:keepNext/>
              <w:jc w:val="center"/>
              <w:rPr>
                <w:rFonts w:asciiTheme="minorHAnsi" w:hAnsiTheme="minorHAnsi" w:cstheme="minorHAnsi"/>
                <w:b/>
                <w:bCs/>
              </w:rPr>
            </w:pPr>
            <w:r w:rsidRPr="00E6724F">
              <w:rPr>
                <w:rFonts w:asciiTheme="minorHAnsi" w:hAnsiTheme="minorHAnsi" w:cstheme="minorHAnsi"/>
                <w:b/>
                <w:bCs/>
              </w:rPr>
              <w:t>FNPV/I</w:t>
            </w:r>
          </w:p>
        </w:tc>
        <w:tc>
          <w:tcPr>
            <w:tcW w:w="1536" w:type="dxa"/>
            <w:shd w:val="clear" w:color="auto" w:fill="auto"/>
          </w:tcPr>
          <w:p w:rsidR="00D84BEB" w:rsidRPr="00E6724F" w:rsidRDefault="00D84BEB" w:rsidP="00423120">
            <w:pPr>
              <w:keepNext/>
              <w:jc w:val="center"/>
              <w:rPr>
                <w:rFonts w:asciiTheme="minorHAnsi" w:hAnsiTheme="minorHAnsi" w:cstheme="minorHAnsi"/>
                <w:b/>
                <w:bCs/>
              </w:rPr>
            </w:pPr>
            <w:r w:rsidRPr="00E6724F">
              <w:rPr>
                <w:rFonts w:asciiTheme="minorHAnsi" w:hAnsiTheme="minorHAnsi" w:cstheme="minorHAnsi"/>
                <w:b/>
                <w:bCs/>
              </w:rPr>
              <w:t>FIRR</w:t>
            </w:r>
          </w:p>
        </w:tc>
        <w:tc>
          <w:tcPr>
            <w:tcW w:w="1536" w:type="dxa"/>
            <w:shd w:val="clear" w:color="auto" w:fill="auto"/>
          </w:tcPr>
          <w:p w:rsidR="00D84BEB" w:rsidRPr="00E6724F" w:rsidRDefault="00545ADA" w:rsidP="00423120">
            <w:pPr>
              <w:keepNext/>
              <w:jc w:val="center"/>
              <w:rPr>
                <w:rFonts w:asciiTheme="minorHAnsi" w:hAnsiTheme="minorHAnsi" w:cstheme="minorHAnsi"/>
                <w:b/>
                <w:bCs/>
              </w:rPr>
            </w:pPr>
            <w:r w:rsidRPr="00E6724F">
              <w:rPr>
                <w:rFonts w:asciiTheme="minorHAnsi" w:hAnsiTheme="minorHAnsi" w:cstheme="minorHAnsi"/>
                <w:b/>
                <w:bCs/>
              </w:rPr>
              <w:t>DN</w:t>
            </w:r>
          </w:p>
        </w:tc>
      </w:tr>
      <w:tr w:rsidR="00D84BEB" w:rsidRPr="00F757C2" w:rsidTr="00F53100">
        <w:trPr>
          <w:trHeight w:hRule="exact" w:val="340"/>
        </w:trPr>
        <w:tc>
          <w:tcPr>
            <w:tcW w:w="2802" w:type="dxa"/>
          </w:tcPr>
          <w:p w:rsidR="00D84BEB" w:rsidRPr="00E6724F" w:rsidRDefault="00D84BEB" w:rsidP="00423120">
            <w:pPr>
              <w:keepNext/>
              <w:rPr>
                <w:rFonts w:asciiTheme="minorHAnsi" w:hAnsiTheme="minorHAnsi" w:cstheme="minorHAnsi"/>
                <w:bCs/>
              </w:rPr>
            </w:pPr>
            <w:r w:rsidRPr="00E6724F">
              <w:rPr>
                <w:rFonts w:asciiTheme="minorHAnsi" w:hAnsiTheme="minorHAnsi" w:cstheme="minorHAnsi"/>
                <w:bCs/>
              </w:rPr>
              <w:t xml:space="preserve">efektivnost jako investice </w:t>
            </w:r>
          </w:p>
        </w:tc>
        <w:tc>
          <w:tcPr>
            <w:tcW w:w="1803" w:type="dxa"/>
          </w:tcPr>
          <w:p w:rsidR="00D84BEB" w:rsidRPr="00E6724F" w:rsidRDefault="00D10637" w:rsidP="00423120">
            <w:pPr>
              <w:keepNext/>
              <w:jc w:val="center"/>
              <w:rPr>
                <w:rFonts w:asciiTheme="minorHAnsi" w:hAnsiTheme="minorHAnsi" w:cstheme="minorHAnsi"/>
                <w:bCs/>
              </w:rPr>
            </w:pPr>
            <w:r w:rsidRPr="00E6724F">
              <w:rPr>
                <w:rFonts w:asciiTheme="minorHAnsi" w:hAnsiTheme="minorHAnsi" w:cstheme="minorHAnsi"/>
                <w:bCs/>
              </w:rPr>
              <w:t>-</w:t>
            </w:r>
            <w:r w:rsidR="00D84BEB" w:rsidRPr="00E6724F">
              <w:rPr>
                <w:rFonts w:asciiTheme="minorHAnsi" w:hAnsiTheme="minorHAnsi" w:cstheme="minorHAnsi"/>
                <w:bCs/>
              </w:rPr>
              <w:t>2,5 mil. Kč</w:t>
            </w:r>
          </w:p>
        </w:tc>
        <w:tc>
          <w:tcPr>
            <w:tcW w:w="1535" w:type="dxa"/>
          </w:tcPr>
          <w:p w:rsidR="00D84BEB" w:rsidRPr="00E6724F" w:rsidRDefault="00D84BEB" w:rsidP="00423120">
            <w:pPr>
              <w:keepNext/>
              <w:jc w:val="center"/>
              <w:rPr>
                <w:rFonts w:asciiTheme="minorHAnsi" w:hAnsiTheme="minorHAnsi" w:cstheme="minorHAnsi"/>
                <w:bCs/>
              </w:rPr>
            </w:pPr>
            <w:r w:rsidRPr="00E6724F">
              <w:rPr>
                <w:rFonts w:asciiTheme="minorHAnsi" w:hAnsiTheme="minorHAnsi" w:cstheme="minorHAnsi"/>
                <w:bCs/>
              </w:rPr>
              <w:t>-3,2 %</w:t>
            </w:r>
          </w:p>
        </w:tc>
        <w:tc>
          <w:tcPr>
            <w:tcW w:w="1536" w:type="dxa"/>
          </w:tcPr>
          <w:p w:rsidR="00D84BEB" w:rsidRPr="00E6724F" w:rsidRDefault="00D84BEB" w:rsidP="00423120">
            <w:pPr>
              <w:keepNext/>
              <w:jc w:val="center"/>
              <w:rPr>
                <w:rFonts w:asciiTheme="minorHAnsi" w:hAnsiTheme="minorHAnsi" w:cstheme="minorHAnsi"/>
                <w:bCs/>
              </w:rPr>
            </w:pPr>
            <w:r w:rsidRPr="00E6724F">
              <w:rPr>
                <w:rFonts w:asciiTheme="minorHAnsi" w:hAnsiTheme="minorHAnsi" w:cstheme="minorHAnsi"/>
                <w:bCs/>
              </w:rPr>
              <w:t>4,6 %</w:t>
            </w:r>
          </w:p>
        </w:tc>
        <w:tc>
          <w:tcPr>
            <w:tcW w:w="1536" w:type="dxa"/>
          </w:tcPr>
          <w:p w:rsidR="00D84BEB" w:rsidRPr="00E6724F" w:rsidRDefault="00D84BEB" w:rsidP="00423120">
            <w:pPr>
              <w:keepNext/>
              <w:jc w:val="center"/>
              <w:rPr>
                <w:rFonts w:asciiTheme="minorHAnsi" w:hAnsiTheme="minorHAnsi" w:cstheme="minorHAnsi"/>
                <w:bCs/>
              </w:rPr>
            </w:pPr>
            <w:r w:rsidRPr="00E6724F">
              <w:rPr>
                <w:rFonts w:asciiTheme="minorHAnsi" w:hAnsiTheme="minorHAnsi" w:cstheme="minorHAnsi"/>
                <w:bCs/>
              </w:rPr>
              <w:t>-</w:t>
            </w:r>
          </w:p>
        </w:tc>
      </w:tr>
      <w:tr w:rsidR="00D84BEB" w:rsidRPr="00F757C2" w:rsidTr="00F53100">
        <w:trPr>
          <w:trHeight w:hRule="exact" w:val="340"/>
        </w:trPr>
        <w:tc>
          <w:tcPr>
            <w:tcW w:w="2802" w:type="dxa"/>
          </w:tcPr>
          <w:p w:rsidR="00D84BEB" w:rsidRPr="00E6724F" w:rsidRDefault="00D84BEB" w:rsidP="00423120">
            <w:pPr>
              <w:keepNext/>
              <w:rPr>
                <w:rFonts w:asciiTheme="minorHAnsi" w:hAnsiTheme="minorHAnsi" w:cstheme="minorHAnsi"/>
                <w:bCs/>
              </w:rPr>
            </w:pPr>
            <w:r w:rsidRPr="00E6724F">
              <w:rPr>
                <w:rFonts w:asciiTheme="minorHAnsi" w:hAnsiTheme="minorHAnsi" w:cstheme="minorHAnsi"/>
                <w:bCs/>
              </w:rPr>
              <w:t xml:space="preserve">návratnost kapitálu </w:t>
            </w:r>
          </w:p>
        </w:tc>
        <w:tc>
          <w:tcPr>
            <w:tcW w:w="1803" w:type="dxa"/>
          </w:tcPr>
          <w:p w:rsidR="00D84BEB" w:rsidRPr="00E6724F" w:rsidRDefault="00D84BEB" w:rsidP="00423120">
            <w:pPr>
              <w:keepNext/>
              <w:jc w:val="center"/>
              <w:rPr>
                <w:rFonts w:asciiTheme="minorHAnsi" w:hAnsiTheme="minorHAnsi" w:cstheme="minorHAnsi"/>
                <w:bCs/>
              </w:rPr>
            </w:pPr>
            <w:r w:rsidRPr="00E6724F">
              <w:rPr>
                <w:rFonts w:asciiTheme="minorHAnsi" w:hAnsiTheme="minorHAnsi" w:cstheme="minorHAnsi"/>
                <w:bCs/>
              </w:rPr>
              <w:t>0,4 mil. Kč</w:t>
            </w:r>
          </w:p>
        </w:tc>
        <w:tc>
          <w:tcPr>
            <w:tcW w:w="1535" w:type="dxa"/>
          </w:tcPr>
          <w:p w:rsidR="00D84BEB" w:rsidRPr="00E6724F" w:rsidRDefault="00D84BEB" w:rsidP="00423120">
            <w:pPr>
              <w:keepNext/>
              <w:jc w:val="center"/>
              <w:rPr>
                <w:rFonts w:asciiTheme="minorHAnsi" w:hAnsiTheme="minorHAnsi" w:cstheme="minorHAnsi"/>
                <w:bCs/>
              </w:rPr>
            </w:pPr>
            <w:r w:rsidRPr="00E6724F">
              <w:rPr>
                <w:rFonts w:asciiTheme="minorHAnsi" w:hAnsiTheme="minorHAnsi" w:cstheme="minorHAnsi"/>
                <w:bCs/>
              </w:rPr>
              <w:t>0,5 %</w:t>
            </w:r>
          </w:p>
        </w:tc>
        <w:tc>
          <w:tcPr>
            <w:tcW w:w="1536" w:type="dxa"/>
          </w:tcPr>
          <w:p w:rsidR="00D84BEB" w:rsidRPr="00E6724F" w:rsidRDefault="00D84BEB" w:rsidP="00423120">
            <w:pPr>
              <w:keepNext/>
              <w:jc w:val="center"/>
              <w:rPr>
                <w:rFonts w:asciiTheme="minorHAnsi" w:hAnsiTheme="minorHAnsi" w:cstheme="minorHAnsi"/>
                <w:bCs/>
              </w:rPr>
            </w:pPr>
            <w:r w:rsidRPr="00E6724F">
              <w:rPr>
                <w:rFonts w:asciiTheme="minorHAnsi" w:hAnsiTheme="minorHAnsi" w:cstheme="minorHAnsi"/>
                <w:bCs/>
              </w:rPr>
              <w:t>5,1 %</w:t>
            </w:r>
          </w:p>
        </w:tc>
        <w:tc>
          <w:tcPr>
            <w:tcW w:w="1536" w:type="dxa"/>
          </w:tcPr>
          <w:p w:rsidR="00D84BEB" w:rsidRPr="00E6724F" w:rsidRDefault="00D84BEB" w:rsidP="00423120">
            <w:pPr>
              <w:keepNext/>
              <w:jc w:val="center"/>
              <w:rPr>
                <w:rFonts w:asciiTheme="minorHAnsi" w:hAnsiTheme="minorHAnsi" w:cstheme="minorHAnsi"/>
                <w:bCs/>
              </w:rPr>
            </w:pPr>
            <w:r w:rsidRPr="00E6724F">
              <w:rPr>
                <w:rFonts w:asciiTheme="minorHAnsi" w:hAnsiTheme="minorHAnsi" w:cstheme="minorHAnsi"/>
                <w:bCs/>
              </w:rPr>
              <w:t>15 let</w:t>
            </w:r>
          </w:p>
        </w:tc>
      </w:tr>
    </w:tbl>
    <w:p w:rsidR="005F11A2" w:rsidRDefault="005F11A2" w:rsidP="00465472">
      <w:pPr>
        <w:keepNext/>
        <w:spacing w:after="0" w:line="240" w:lineRule="auto"/>
        <w:ind w:left="-57"/>
        <w:jc w:val="both"/>
        <w:rPr>
          <w:rFonts w:ascii="Calibri" w:hAnsi="Calibri" w:cs="Calibri"/>
          <w:bCs/>
          <w:i/>
          <w:sz w:val="20"/>
          <w:szCs w:val="20"/>
        </w:rPr>
      </w:pPr>
      <w:r w:rsidRPr="00202BDD">
        <w:rPr>
          <w:rFonts w:ascii="Calibri" w:hAnsi="Calibri" w:cs="Calibri"/>
          <w:bCs/>
          <w:i/>
          <w:sz w:val="20"/>
          <w:szCs w:val="20"/>
        </w:rPr>
        <w:t>Poznámka: FNPV = finanční čistá současná hodnota, FNPV/I =index rentability, FIRR =</w:t>
      </w:r>
      <w:r w:rsidR="00261E50">
        <w:rPr>
          <w:rFonts w:ascii="Calibri" w:hAnsi="Calibri" w:cs="Calibri"/>
          <w:bCs/>
          <w:i/>
          <w:sz w:val="20"/>
          <w:szCs w:val="20"/>
        </w:rPr>
        <w:t xml:space="preserve"> finanční </w:t>
      </w:r>
      <w:r w:rsidRPr="00202BDD">
        <w:rPr>
          <w:rFonts w:ascii="Calibri" w:hAnsi="Calibri" w:cs="Calibri"/>
          <w:bCs/>
          <w:i/>
          <w:sz w:val="20"/>
          <w:szCs w:val="20"/>
        </w:rPr>
        <w:t>vnitřní výnosové procento, DN = doba návratnosti.</w:t>
      </w:r>
    </w:p>
    <w:p w:rsidR="00DB1314" w:rsidRDefault="00C35E3D" w:rsidP="00C35E3D">
      <w:pPr>
        <w:keepNext/>
        <w:spacing w:after="0" w:line="240" w:lineRule="auto"/>
        <w:ind w:left="-57"/>
        <w:jc w:val="center"/>
        <w:rPr>
          <w:rFonts w:ascii="Calibri" w:hAnsi="Calibri" w:cs="Calibri"/>
          <w:bCs/>
          <w:i/>
        </w:rPr>
      </w:pPr>
      <w:r>
        <w:rPr>
          <w:rFonts w:ascii="Calibri" w:hAnsi="Calibri" w:cs="Calibri"/>
          <w:bCs/>
          <w:i/>
        </w:rPr>
        <w:t>Pramen</w:t>
      </w:r>
      <w:r w:rsidR="00DB1314" w:rsidRPr="00DB1314">
        <w:rPr>
          <w:rFonts w:ascii="Calibri" w:hAnsi="Calibri" w:cs="Calibri"/>
          <w:bCs/>
          <w:i/>
        </w:rPr>
        <w:t>: vlastní výzkum.</w:t>
      </w:r>
    </w:p>
    <w:p w:rsidR="00DB1314" w:rsidRPr="00DB1314" w:rsidRDefault="00DB1314" w:rsidP="00DB1314">
      <w:pPr>
        <w:keepNext/>
        <w:spacing w:after="0" w:line="240" w:lineRule="auto"/>
        <w:ind w:left="-57"/>
        <w:jc w:val="center"/>
        <w:rPr>
          <w:rFonts w:ascii="Calibri" w:hAnsi="Calibri" w:cs="Calibri"/>
          <w:bCs/>
          <w:i/>
        </w:rPr>
      </w:pPr>
    </w:p>
    <w:p w:rsidR="00D84BEB" w:rsidRPr="00F757C2" w:rsidRDefault="00D84BEB" w:rsidP="00423120">
      <w:pPr>
        <w:pStyle w:val="05-Text"/>
      </w:pPr>
      <w:r w:rsidRPr="00F757C2">
        <w:t xml:space="preserve">Výsledky finanční analýzy umožňují realizaci projektu. Po zohlednění položek financování (zejména přijatý úvěr) je projekt mírně ziskový (čistá současná hodnota mírně kladná, index rentability (mírně) větší než nula). Na základě výsledků finanční analýzy lze doporučit projekt k realizaci. Zajímavé jsou také negativní výsledky hodnocení efektivnosti projektu jako investice, které dokazují, že čistě z finančního hlediska je „výhodnější“ realizovat projekt s využitím úvěrového financování, které umožňuje rozložit finanční nároky investice v čase. Pravděpodobně nejhospodárnější variantou by bylo využít úvěrové financování v celé výši investice (tj. 80 mil. Kč) se současným rozšířením doby splatnosti, kdy se roční splátka takřka kryje s provozním ziskem. Realizace projektu by tak žádným způsobem nezatížila rozpočet města, rizikem by ovšem byla případná změna úrokové sazby nebo nutnost průběžného hrazení splátek z rozpočtu města při případném výpadku příjmů (např. nižší obsazenost areálu). </w:t>
      </w:r>
    </w:p>
    <w:p w:rsidR="00C35E3D" w:rsidRDefault="00C35E3D" w:rsidP="00423120">
      <w:pPr>
        <w:pStyle w:val="04-Podnadipsek"/>
        <w:spacing w:after="200"/>
      </w:pPr>
    </w:p>
    <w:p w:rsidR="00C35E3D" w:rsidRDefault="00C35E3D" w:rsidP="00423120">
      <w:pPr>
        <w:pStyle w:val="04-Podnadipsek"/>
        <w:spacing w:after="200"/>
      </w:pPr>
    </w:p>
    <w:p w:rsidR="00D84BEB" w:rsidRPr="00F757C2" w:rsidRDefault="00D84BEB" w:rsidP="00423120">
      <w:pPr>
        <w:pStyle w:val="04-Podnadipsek"/>
        <w:spacing w:after="200"/>
      </w:pPr>
      <w:r w:rsidRPr="00F757C2">
        <w:lastRenderedPageBreak/>
        <w:t xml:space="preserve">Socio-ekonomická analýza projektu </w:t>
      </w:r>
    </w:p>
    <w:p w:rsidR="00D84BEB" w:rsidRPr="00F757C2" w:rsidRDefault="00D84BEB" w:rsidP="00423120">
      <w:pPr>
        <w:pStyle w:val="05-Text"/>
      </w:pPr>
      <w:r w:rsidRPr="00F757C2">
        <w:t>V rámci zpracování ekonomické analýzy je provedeno vyhodnocení a ocenění jednotlivých socioekonomických dopadů projektu, tzv. celospolečenských nákladů projektu. Pod celospolečenskými náklady a výnosy se rozumí celkový dopad projektu na ekonomický, kulturní a společenský život v regionu a dále způsob, jakým projekt ovlivní podmínky životního prostředí v oblasti, umožní další ekonomický rozvoj apod.</w:t>
      </w:r>
    </w:p>
    <w:p w:rsidR="00D84BEB" w:rsidRPr="00F757C2" w:rsidRDefault="00D84BEB" w:rsidP="00423120">
      <w:pPr>
        <w:pStyle w:val="05-Text"/>
      </w:pPr>
      <w:r w:rsidRPr="00F757C2">
        <w:t>Výnosy a náklady jsou určeny na základě srovnávací úvahy o dvou stavech projektu – stav bez projektu a stav s projektem. Byly hledány takové př</w:t>
      </w:r>
      <w:r w:rsidR="00C35E3D">
        <w:t>ímé i nepřímé výnosy/náklady na </w:t>
      </w:r>
      <w:r w:rsidRPr="00F757C2">
        <w:t xml:space="preserve">straně nositele projektu, které souvisí s realizací projektu (tedy nevznikly by bez realizace projektu), a které lze reálně kvantifikovat a modelovat s jistou pravděpodobností. </w:t>
      </w:r>
    </w:p>
    <w:p w:rsidR="00545ADA" w:rsidRPr="00F757C2" w:rsidRDefault="00545ADA" w:rsidP="00423120">
      <w:pPr>
        <w:pStyle w:val="05-Text"/>
      </w:pPr>
      <w:r w:rsidRPr="00F757C2">
        <w:t xml:space="preserve">Primární cílovou skupinu tvoří obyvatelé města a návštěvníci obchodního centra. Plánovaný projekt je obyvateli města a širšího okolí obecně velmi dobře přijímán, je očekáváno zlepšení podmínek pro poskytování služeb a zajištění běžných denních potřeb (zejména nákup potravin). Z dalších dopadů je nutno zmínit také zatraktivnění části města (regenerace brownfield) nebo možnost vzniku nových pracovních míst. Negativní efekt je spojen s možným zánikem drobných provozoven ve spádových obcích z důvodu přesunu větší části tržeb. Tento dopad pocítí zejména starší a méně mobilní (např. maminky na RD) občané. </w:t>
      </w:r>
    </w:p>
    <w:p w:rsidR="00D84BEB" w:rsidRPr="00F757C2" w:rsidRDefault="00D84BEB" w:rsidP="00B66EE4">
      <w:pPr>
        <w:pStyle w:val="0T-Titulek"/>
      </w:pPr>
      <w:bookmarkStart w:id="32" w:name="_Toc382326433"/>
      <w:r w:rsidRPr="00F757C2">
        <w:t>Tabulka 6: Předpokládané socio-ekonomické dopady projektu</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2303"/>
        <w:gridCol w:w="4606"/>
      </w:tblGrid>
      <w:tr w:rsidR="00D84BEB" w:rsidRPr="00F757C2" w:rsidTr="00545ADA">
        <w:trPr>
          <w:cantSplit/>
          <w:tblHeader/>
        </w:trPr>
        <w:tc>
          <w:tcPr>
            <w:tcW w:w="2303" w:type="dxa"/>
            <w:shd w:val="clear" w:color="auto" w:fill="auto"/>
          </w:tcPr>
          <w:p w:rsidR="00D84BEB" w:rsidRPr="00E6724F" w:rsidRDefault="00D84BEB" w:rsidP="00423120">
            <w:pPr>
              <w:keepNext/>
              <w:jc w:val="center"/>
              <w:rPr>
                <w:rFonts w:asciiTheme="minorHAnsi" w:hAnsiTheme="minorHAnsi" w:cstheme="minorHAnsi"/>
                <w:b/>
                <w:bCs/>
              </w:rPr>
            </w:pPr>
            <w:r w:rsidRPr="00E6724F">
              <w:rPr>
                <w:rFonts w:asciiTheme="minorHAnsi" w:hAnsiTheme="minorHAnsi" w:cstheme="minorHAnsi"/>
                <w:b/>
                <w:bCs/>
              </w:rPr>
              <w:t>cílová skupina</w:t>
            </w:r>
          </w:p>
        </w:tc>
        <w:tc>
          <w:tcPr>
            <w:tcW w:w="2303" w:type="dxa"/>
            <w:shd w:val="clear" w:color="auto" w:fill="auto"/>
          </w:tcPr>
          <w:p w:rsidR="00D84BEB" w:rsidRPr="00E6724F" w:rsidRDefault="00D84BEB" w:rsidP="00423120">
            <w:pPr>
              <w:keepNext/>
              <w:jc w:val="center"/>
              <w:rPr>
                <w:rFonts w:asciiTheme="minorHAnsi" w:hAnsiTheme="minorHAnsi" w:cstheme="minorHAnsi"/>
                <w:b/>
                <w:bCs/>
              </w:rPr>
            </w:pPr>
            <w:r w:rsidRPr="00E6724F">
              <w:rPr>
                <w:rFonts w:asciiTheme="minorHAnsi" w:hAnsiTheme="minorHAnsi" w:cstheme="minorHAnsi"/>
                <w:b/>
                <w:bCs/>
              </w:rPr>
              <w:t xml:space="preserve">počet </w:t>
            </w:r>
          </w:p>
        </w:tc>
        <w:tc>
          <w:tcPr>
            <w:tcW w:w="4606" w:type="dxa"/>
            <w:shd w:val="clear" w:color="auto" w:fill="auto"/>
          </w:tcPr>
          <w:p w:rsidR="00D84BEB" w:rsidRPr="00E6724F" w:rsidRDefault="00D84BEB" w:rsidP="00423120">
            <w:pPr>
              <w:keepNext/>
              <w:jc w:val="center"/>
              <w:rPr>
                <w:rFonts w:asciiTheme="minorHAnsi" w:hAnsiTheme="minorHAnsi" w:cstheme="minorHAnsi"/>
                <w:b/>
                <w:bCs/>
              </w:rPr>
            </w:pPr>
            <w:r w:rsidRPr="00E6724F">
              <w:rPr>
                <w:rFonts w:asciiTheme="minorHAnsi" w:hAnsiTheme="minorHAnsi" w:cstheme="minorHAnsi"/>
                <w:b/>
                <w:bCs/>
              </w:rPr>
              <w:t xml:space="preserve">předpokládaný dopad </w:t>
            </w:r>
          </w:p>
        </w:tc>
      </w:tr>
      <w:tr w:rsidR="00D84BEB" w:rsidRPr="00F757C2" w:rsidTr="00D852D9">
        <w:tc>
          <w:tcPr>
            <w:tcW w:w="2303" w:type="dxa"/>
            <w:vAlign w:val="center"/>
          </w:tcPr>
          <w:p w:rsidR="00D84BEB" w:rsidRPr="00E6724F" w:rsidRDefault="00D84BEB" w:rsidP="00423120">
            <w:pPr>
              <w:jc w:val="center"/>
              <w:rPr>
                <w:rFonts w:asciiTheme="minorHAnsi" w:hAnsiTheme="minorHAnsi" w:cstheme="minorHAnsi"/>
                <w:bCs/>
              </w:rPr>
            </w:pPr>
            <w:r w:rsidRPr="00E6724F">
              <w:rPr>
                <w:rFonts w:asciiTheme="minorHAnsi" w:hAnsiTheme="minorHAnsi" w:cstheme="minorHAnsi"/>
                <w:bCs/>
              </w:rPr>
              <w:t>obyvatelé města a spádového území</w:t>
            </w:r>
          </w:p>
        </w:tc>
        <w:tc>
          <w:tcPr>
            <w:tcW w:w="2303" w:type="dxa"/>
            <w:vAlign w:val="center"/>
          </w:tcPr>
          <w:p w:rsidR="00D84BEB" w:rsidRPr="00E6724F" w:rsidRDefault="003B685E" w:rsidP="00423120">
            <w:pPr>
              <w:jc w:val="center"/>
              <w:rPr>
                <w:rFonts w:asciiTheme="minorHAnsi" w:hAnsiTheme="minorHAnsi" w:cstheme="minorHAnsi"/>
                <w:bCs/>
              </w:rPr>
            </w:pPr>
            <w:r w:rsidRPr="00E6724F">
              <w:rPr>
                <w:rFonts w:asciiTheme="minorHAnsi" w:hAnsiTheme="minorHAnsi" w:cstheme="minorHAnsi"/>
                <w:bCs/>
              </w:rPr>
              <w:t xml:space="preserve">až 17 </w:t>
            </w:r>
            <w:r w:rsidR="00D84BEB" w:rsidRPr="00E6724F">
              <w:rPr>
                <w:rFonts w:asciiTheme="minorHAnsi" w:hAnsiTheme="minorHAnsi" w:cstheme="minorHAnsi"/>
                <w:bCs/>
              </w:rPr>
              <w:t>000 osob</w:t>
            </w:r>
          </w:p>
        </w:tc>
        <w:tc>
          <w:tcPr>
            <w:tcW w:w="4606" w:type="dxa"/>
            <w:vAlign w:val="center"/>
          </w:tcPr>
          <w:p w:rsidR="00D84BEB" w:rsidRPr="00E6724F" w:rsidRDefault="00D84BEB" w:rsidP="00423120">
            <w:pPr>
              <w:pStyle w:val="Odstavecseseznamem"/>
              <w:numPr>
                <w:ilvl w:val="0"/>
                <w:numId w:val="6"/>
              </w:numPr>
              <w:spacing w:line="240" w:lineRule="auto"/>
              <w:ind w:left="170" w:hanging="170"/>
              <w:rPr>
                <w:rFonts w:asciiTheme="minorHAnsi" w:hAnsiTheme="minorHAnsi" w:cstheme="minorHAnsi"/>
                <w:bCs/>
              </w:rPr>
            </w:pPr>
            <w:r w:rsidRPr="00E6724F">
              <w:rPr>
                <w:rFonts w:asciiTheme="minorHAnsi" w:hAnsiTheme="minorHAnsi" w:cstheme="minorHAnsi"/>
                <w:bCs/>
              </w:rPr>
              <w:t xml:space="preserve">vybudování nové občanské vybavenosti </w:t>
            </w:r>
          </w:p>
          <w:p w:rsidR="00D84BEB" w:rsidRPr="00E6724F" w:rsidRDefault="00D84BEB" w:rsidP="00423120">
            <w:pPr>
              <w:pStyle w:val="Odstavecseseznamem"/>
              <w:numPr>
                <w:ilvl w:val="0"/>
                <w:numId w:val="6"/>
              </w:numPr>
              <w:spacing w:line="240" w:lineRule="auto"/>
              <w:ind w:left="170" w:hanging="170"/>
              <w:rPr>
                <w:rFonts w:asciiTheme="minorHAnsi" w:hAnsiTheme="minorHAnsi" w:cstheme="minorHAnsi"/>
                <w:bCs/>
              </w:rPr>
            </w:pPr>
            <w:r w:rsidRPr="00E6724F">
              <w:rPr>
                <w:rFonts w:asciiTheme="minorHAnsi" w:hAnsiTheme="minorHAnsi" w:cstheme="minorHAnsi"/>
                <w:bCs/>
              </w:rPr>
              <w:t xml:space="preserve">vznik nových pracovních míst </w:t>
            </w:r>
          </w:p>
          <w:p w:rsidR="00D84BEB" w:rsidRPr="00E6724F" w:rsidRDefault="00D84BEB" w:rsidP="00423120">
            <w:pPr>
              <w:pStyle w:val="Odstavecseseznamem"/>
              <w:numPr>
                <w:ilvl w:val="0"/>
                <w:numId w:val="6"/>
              </w:numPr>
              <w:spacing w:line="240" w:lineRule="auto"/>
              <w:ind w:left="170" w:hanging="170"/>
              <w:rPr>
                <w:rFonts w:asciiTheme="minorHAnsi" w:hAnsiTheme="minorHAnsi" w:cstheme="minorHAnsi"/>
                <w:bCs/>
              </w:rPr>
            </w:pPr>
            <w:r w:rsidRPr="00E6724F">
              <w:rPr>
                <w:rFonts w:asciiTheme="minorHAnsi" w:hAnsiTheme="minorHAnsi" w:cstheme="minorHAnsi"/>
                <w:bCs/>
              </w:rPr>
              <w:t>zatraktivnění dané části města</w:t>
            </w:r>
          </w:p>
          <w:p w:rsidR="00D84BEB" w:rsidRPr="00E6724F" w:rsidRDefault="00D84BEB" w:rsidP="00423120">
            <w:pPr>
              <w:pStyle w:val="Odstavecseseznamem"/>
              <w:numPr>
                <w:ilvl w:val="0"/>
                <w:numId w:val="6"/>
              </w:numPr>
              <w:spacing w:line="240" w:lineRule="auto"/>
              <w:ind w:left="170" w:hanging="170"/>
              <w:rPr>
                <w:rFonts w:asciiTheme="minorHAnsi" w:hAnsiTheme="minorHAnsi" w:cstheme="minorHAnsi"/>
                <w:bCs/>
              </w:rPr>
            </w:pPr>
            <w:r w:rsidRPr="00E6724F">
              <w:rPr>
                <w:rFonts w:asciiTheme="minorHAnsi" w:hAnsiTheme="minorHAnsi" w:cstheme="minorHAnsi"/>
                <w:bCs/>
              </w:rPr>
              <w:t xml:space="preserve">možný zánik drobných provozoven v okolních </w:t>
            </w:r>
            <w:r w:rsidR="003B685E" w:rsidRPr="00E6724F">
              <w:rPr>
                <w:rFonts w:asciiTheme="minorHAnsi" w:hAnsiTheme="minorHAnsi" w:cstheme="minorHAnsi"/>
                <w:bCs/>
              </w:rPr>
              <w:t>obcích</w:t>
            </w:r>
          </w:p>
        </w:tc>
      </w:tr>
      <w:tr w:rsidR="00D84BEB" w:rsidRPr="00F757C2" w:rsidTr="00D852D9">
        <w:tc>
          <w:tcPr>
            <w:tcW w:w="2303" w:type="dxa"/>
            <w:vAlign w:val="center"/>
          </w:tcPr>
          <w:p w:rsidR="00D84BEB" w:rsidRPr="00E6724F" w:rsidRDefault="00D84BEB" w:rsidP="00423120">
            <w:pPr>
              <w:jc w:val="center"/>
              <w:rPr>
                <w:rFonts w:asciiTheme="minorHAnsi" w:hAnsiTheme="minorHAnsi" w:cstheme="minorHAnsi"/>
                <w:bCs/>
              </w:rPr>
            </w:pPr>
            <w:r w:rsidRPr="00E6724F">
              <w:rPr>
                <w:rFonts w:asciiTheme="minorHAnsi" w:hAnsiTheme="minorHAnsi" w:cstheme="minorHAnsi"/>
                <w:bCs/>
              </w:rPr>
              <w:t xml:space="preserve">návštěvníci obchodního centra </w:t>
            </w:r>
          </w:p>
        </w:tc>
        <w:tc>
          <w:tcPr>
            <w:tcW w:w="2303" w:type="dxa"/>
            <w:vAlign w:val="center"/>
          </w:tcPr>
          <w:p w:rsidR="00D84BEB" w:rsidRPr="00E6724F" w:rsidRDefault="003B685E" w:rsidP="00423120">
            <w:pPr>
              <w:jc w:val="center"/>
              <w:rPr>
                <w:rFonts w:asciiTheme="minorHAnsi" w:hAnsiTheme="minorHAnsi" w:cstheme="minorHAnsi"/>
                <w:bCs/>
              </w:rPr>
            </w:pPr>
            <w:r w:rsidRPr="00E6724F">
              <w:rPr>
                <w:rFonts w:asciiTheme="minorHAnsi" w:hAnsiTheme="minorHAnsi" w:cstheme="minorHAnsi"/>
                <w:bCs/>
              </w:rPr>
              <w:t xml:space="preserve">400 </w:t>
            </w:r>
            <w:r w:rsidR="00D84BEB" w:rsidRPr="00E6724F">
              <w:rPr>
                <w:rFonts w:asciiTheme="minorHAnsi" w:hAnsiTheme="minorHAnsi" w:cstheme="minorHAnsi"/>
                <w:bCs/>
              </w:rPr>
              <w:t>000 osob</w:t>
            </w:r>
          </w:p>
        </w:tc>
        <w:tc>
          <w:tcPr>
            <w:tcW w:w="4606" w:type="dxa"/>
            <w:vAlign w:val="center"/>
          </w:tcPr>
          <w:p w:rsidR="00D84BEB" w:rsidRPr="00E6724F" w:rsidRDefault="00D84BEB" w:rsidP="00423120">
            <w:pPr>
              <w:pStyle w:val="Odstavecseseznamem"/>
              <w:numPr>
                <w:ilvl w:val="0"/>
                <w:numId w:val="6"/>
              </w:numPr>
              <w:spacing w:line="240" w:lineRule="auto"/>
              <w:ind w:left="170" w:hanging="170"/>
              <w:rPr>
                <w:rFonts w:asciiTheme="minorHAnsi" w:hAnsiTheme="minorHAnsi" w:cstheme="minorHAnsi"/>
                <w:bCs/>
              </w:rPr>
            </w:pPr>
            <w:r w:rsidRPr="00E6724F">
              <w:rPr>
                <w:rFonts w:asciiTheme="minorHAnsi" w:hAnsiTheme="minorHAnsi" w:cstheme="minorHAnsi"/>
                <w:bCs/>
              </w:rPr>
              <w:t>nabídka nových služeb</w:t>
            </w:r>
          </w:p>
          <w:p w:rsidR="00D84BEB" w:rsidRPr="00E6724F" w:rsidRDefault="00D84BEB" w:rsidP="00423120">
            <w:pPr>
              <w:pStyle w:val="Odstavecseseznamem"/>
              <w:numPr>
                <w:ilvl w:val="0"/>
                <w:numId w:val="6"/>
              </w:numPr>
              <w:spacing w:line="240" w:lineRule="auto"/>
              <w:ind w:left="170" w:hanging="170"/>
              <w:rPr>
                <w:rFonts w:asciiTheme="minorHAnsi" w:hAnsiTheme="minorHAnsi" w:cstheme="minorHAnsi"/>
                <w:bCs/>
              </w:rPr>
            </w:pPr>
            <w:r w:rsidRPr="00E6724F">
              <w:rPr>
                <w:rFonts w:asciiTheme="minorHAnsi" w:hAnsiTheme="minorHAnsi" w:cstheme="minorHAnsi"/>
                <w:bCs/>
              </w:rPr>
              <w:t>centralizovaná nabídka služeb</w:t>
            </w:r>
          </w:p>
        </w:tc>
      </w:tr>
      <w:tr w:rsidR="00D84BEB" w:rsidRPr="00F757C2" w:rsidTr="00D852D9">
        <w:tc>
          <w:tcPr>
            <w:tcW w:w="2303" w:type="dxa"/>
            <w:vAlign w:val="center"/>
          </w:tcPr>
          <w:p w:rsidR="00D84BEB" w:rsidRPr="00E6724F" w:rsidRDefault="00D84BEB" w:rsidP="00423120">
            <w:pPr>
              <w:jc w:val="center"/>
              <w:rPr>
                <w:rFonts w:asciiTheme="minorHAnsi" w:hAnsiTheme="minorHAnsi" w:cstheme="minorHAnsi"/>
                <w:bCs/>
              </w:rPr>
            </w:pPr>
            <w:r w:rsidRPr="00E6724F">
              <w:rPr>
                <w:rFonts w:asciiTheme="minorHAnsi" w:hAnsiTheme="minorHAnsi" w:cstheme="minorHAnsi"/>
                <w:bCs/>
              </w:rPr>
              <w:t>podnikatelé v regionu</w:t>
            </w:r>
          </w:p>
        </w:tc>
        <w:tc>
          <w:tcPr>
            <w:tcW w:w="2303" w:type="dxa"/>
            <w:vAlign w:val="center"/>
          </w:tcPr>
          <w:p w:rsidR="00D84BEB" w:rsidRPr="00E6724F" w:rsidRDefault="00D84BEB" w:rsidP="00423120">
            <w:pPr>
              <w:jc w:val="center"/>
              <w:rPr>
                <w:rFonts w:asciiTheme="minorHAnsi" w:hAnsiTheme="minorHAnsi" w:cstheme="minorHAnsi"/>
                <w:bCs/>
              </w:rPr>
            </w:pPr>
            <w:r w:rsidRPr="00E6724F">
              <w:rPr>
                <w:rFonts w:asciiTheme="minorHAnsi" w:hAnsiTheme="minorHAnsi" w:cstheme="minorHAnsi"/>
                <w:bCs/>
              </w:rPr>
              <w:t>25</w:t>
            </w:r>
            <w:r w:rsidR="00D10637" w:rsidRPr="00E6724F">
              <w:rPr>
                <w:rFonts w:asciiTheme="minorHAnsi" w:hAnsiTheme="minorHAnsi" w:cstheme="minorHAnsi"/>
                <w:bCs/>
              </w:rPr>
              <w:t>–</w:t>
            </w:r>
            <w:r w:rsidRPr="00E6724F">
              <w:rPr>
                <w:rFonts w:asciiTheme="minorHAnsi" w:hAnsiTheme="minorHAnsi" w:cstheme="minorHAnsi"/>
                <w:bCs/>
              </w:rPr>
              <w:t>50 subjektů</w:t>
            </w:r>
          </w:p>
        </w:tc>
        <w:tc>
          <w:tcPr>
            <w:tcW w:w="4606" w:type="dxa"/>
            <w:vAlign w:val="center"/>
          </w:tcPr>
          <w:p w:rsidR="00D84BEB" w:rsidRPr="00E6724F" w:rsidRDefault="00D84BEB" w:rsidP="00423120">
            <w:pPr>
              <w:pStyle w:val="Odstavecseseznamem"/>
              <w:numPr>
                <w:ilvl w:val="0"/>
                <w:numId w:val="6"/>
              </w:numPr>
              <w:spacing w:line="240" w:lineRule="auto"/>
              <w:ind w:left="170" w:hanging="170"/>
              <w:rPr>
                <w:rFonts w:asciiTheme="minorHAnsi" w:hAnsiTheme="minorHAnsi" w:cstheme="minorHAnsi"/>
                <w:bCs/>
              </w:rPr>
            </w:pPr>
            <w:r w:rsidRPr="00E6724F">
              <w:rPr>
                <w:rFonts w:asciiTheme="minorHAnsi" w:hAnsiTheme="minorHAnsi" w:cstheme="minorHAnsi"/>
                <w:bCs/>
              </w:rPr>
              <w:t>zvýšení konkurence</w:t>
            </w:r>
          </w:p>
          <w:p w:rsidR="00D84BEB" w:rsidRPr="00E6724F" w:rsidRDefault="00D84BEB" w:rsidP="00423120">
            <w:pPr>
              <w:pStyle w:val="Odstavecseseznamem"/>
              <w:numPr>
                <w:ilvl w:val="0"/>
                <w:numId w:val="6"/>
              </w:numPr>
              <w:spacing w:line="240" w:lineRule="auto"/>
              <w:ind w:left="170" w:hanging="170"/>
              <w:rPr>
                <w:rFonts w:asciiTheme="minorHAnsi" w:hAnsiTheme="minorHAnsi" w:cstheme="minorHAnsi"/>
                <w:bCs/>
              </w:rPr>
            </w:pPr>
            <w:r w:rsidRPr="00E6724F">
              <w:rPr>
                <w:rFonts w:asciiTheme="minorHAnsi" w:hAnsiTheme="minorHAnsi" w:cstheme="minorHAnsi"/>
                <w:bCs/>
              </w:rPr>
              <w:t xml:space="preserve">vytvoření nových prostor pro podnikání  </w:t>
            </w:r>
          </w:p>
        </w:tc>
      </w:tr>
      <w:tr w:rsidR="00D84BEB" w:rsidRPr="00F757C2" w:rsidTr="00D852D9">
        <w:tc>
          <w:tcPr>
            <w:tcW w:w="2303" w:type="dxa"/>
            <w:vAlign w:val="center"/>
          </w:tcPr>
          <w:p w:rsidR="00D84BEB" w:rsidRPr="00E6724F" w:rsidRDefault="00D84BEB" w:rsidP="00423120">
            <w:pPr>
              <w:jc w:val="center"/>
              <w:rPr>
                <w:rFonts w:asciiTheme="minorHAnsi" w:hAnsiTheme="minorHAnsi" w:cstheme="minorHAnsi"/>
                <w:bCs/>
              </w:rPr>
            </w:pPr>
            <w:r w:rsidRPr="00E6724F">
              <w:rPr>
                <w:rFonts w:asciiTheme="minorHAnsi" w:hAnsiTheme="minorHAnsi" w:cstheme="minorHAnsi"/>
                <w:bCs/>
              </w:rPr>
              <w:t xml:space="preserve">obyvatelé v těsném sousedství stavby </w:t>
            </w:r>
          </w:p>
        </w:tc>
        <w:tc>
          <w:tcPr>
            <w:tcW w:w="2303" w:type="dxa"/>
            <w:vAlign w:val="center"/>
          </w:tcPr>
          <w:p w:rsidR="00D84BEB" w:rsidRPr="00E6724F" w:rsidRDefault="00D84BEB" w:rsidP="00423120">
            <w:pPr>
              <w:jc w:val="center"/>
              <w:rPr>
                <w:rFonts w:asciiTheme="minorHAnsi" w:hAnsiTheme="minorHAnsi" w:cstheme="minorHAnsi"/>
                <w:bCs/>
              </w:rPr>
            </w:pPr>
            <w:r w:rsidRPr="00E6724F">
              <w:rPr>
                <w:rFonts w:asciiTheme="minorHAnsi" w:hAnsiTheme="minorHAnsi" w:cstheme="minorHAnsi"/>
                <w:bCs/>
              </w:rPr>
              <w:t>4 bytové domy</w:t>
            </w:r>
          </w:p>
        </w:tc>
        <w:tc>
          <w:tcPr>
            <w:tcW w:w="4606" w:type="dxa"/>
            <w:vAlign w:val="center"/>
          </w:tcPr>
          <w:p w:rsidR="00D84BEB" w:rsidRPr="00E6724F" w:rsidRDefault="00D84BEB" w:rsidP="00423120">
            <w:pPr>
              <w:pStyle w:val="Odstavecseseznamem"/>
              <w:numPr>
                <w:ilvl w:val="0"/>
                <w:numId w:val="6"/>
              </w:numPr>
              <w:spacing w:line="240" w:lineRule="auto"/>
              <w:ind w:left="170" w:hanging="170"/>
              <w:rPr>
                <w:rFonts w:asciiTheme="minorHAnsi" w:hAnsiTheme="minorHAnsi" w:cstheme="minorHAnsi"/>
                <w:bCs/>
              </w:rPr>
            </w:pPr>
            <w:r w:rsidRPr="00E6724F">
              <w:rPr>
                <w:rFonts w:asciiTheme="minorHAnsi" w:hAnsiTheme="minorHAnsi" w:cstheme="minorHAnsi"/>
                <w:bCs/>
              </w:rPr>
              <w:t xml:space="preserve">zvýšení ceny nemovitostí </w:t>
            </w:r>
          </w:p>
          <w:p w:rsidR="00D84BEB" w:rsidRPr="00E6724F" w:rsidRDefault="00D84BEB" w:rsidP="00423120">
            <w:pPr>
              <w:pStyle w:val="Odstavecseseznamem"/>
              <w:numPr>
                <w:ilvl w:val="0"/>
                <w:numId w:val="6"/>
              </w:numPr>
              <w:spacing w:line="240" w:lineRule="auto"/>
              <w:ind w:left="170" w:hanging="170"/>
              <w:rPr>
                <w:rFonts w:asciiTheme="minorHAnsi" w:hAnsiTheme="minorHAnsi" w:cstheme="minorHAnsi"/>
                <w:bCs/>
              </w:rPr>
            </w:pPr>
            <w:r w:rsidRPr="00E6724F">
              <w:rPr>
                <w:rFonts w:asciiTheme="minorHAnsi" w:hAnsiTheme="minorHAnsi" w:cstheme="minorHAnsi"/>
                <w:bCs/>
              </w:rPr>
              <w:t xml:space="preserve">zvýšení dopravy </w:t>
            </w:r>
          </w:p>
        </w:tc>
      </w:tr>
      <w:tr w:rsidR="00D84BEB" w:rsidRPr="00F757C2" w:rsidTr="00D852D9">
        <w:tc>
          <w:tcPr>
            <w:tcW w:w="2303" w:type="dxa"/>
            <w:vAlign w:val="center"/>
          </w:tcPr>
          <w:p w:rsidR="00D84BEB" w:rsidRPr="00E6724F" w:rsidRDefault="00D84BEB" w:rsidP="00423120">
            <w:pPr>
              <w:jc w:val="center"/>
              <w:rPr>
                <w:rFonts w:asciiTheme="minorHAnsi" w:hAnsiTheme="minorHAnsi" w:cstheme="minorHAnsi"/>
                <w:bCs/>
              </w:rPr>
            </w:pPr>
            <w:r w:rsidRPr="00E6724F">
              <w:rPr>
                <w:rFonts w:asciiTheme="minorHAnsi" w:hAnsiTheme="minorHAnsi" w:cstheme="minorHAnsi"/>
                <w:bCs/>
              </w:rPr>
              <w:t>veřejná správa</w:t>
            </w:r>
          </w:p>
        </w:tc>
        <w:tc>
          <w:tcPr>
            <w:tcW w:w="2303" w:type="dxa"/>
            <w:vAlign w:val="center"/>
          </w:tcPr>
          <w:p w:rsidR="00D84BEB" w:rsidRPr="00E6724F" w:rsidRDefault="00D84BEB" w:rsidP="00423120">
            <w:pPr>
              <w:jc w:val="center"/>
              <w:rPr>
                <w:rFonts w:asciiTheme="minorHAnsi" w:hAnsiTheme="minorHAnsi" w:cstheme="minorHAnsi"/>
                <w:bCs/>
              </w:rPr>
            </w:pPr>
            <w:r w:rsidRPr="00E6724F">
              <w:rPr>
                <w:rFonts w:asciiTheme="minorHAnsi" w:hAnsiTheme="minorHAnsi" w:cstheme="minorHAnsi"/>
                <w:bCs/>
              </w:rPr>
              <w:t>1 subjekt</w:t>
            </w:r>
          </w:p>
        </w:tc>
        <w:tc>
          <w:tcPr>
            <w:tcW w:w="4606" w:type="dxa"/>
            <w:vAlign w:val="center"/>
          </w:tcPr>
          <w:p w:rsidR="00D84BEB" w:rsidRPr="00E6724F" w:rsidRDefault="00D84BEB" w:rsidP="00423120">
            <w:pPr>
              <w:pStyle w:val="Odstavecseseznamem"/>
              <w:numPr>
                <w:ilvl w:val="0"/>
                <w:numId w:val="6"/>
              </w:numPr>
              <w:spacing w:line="240" w:lineRule="auto"/>
              <w:ind w:left="170" w:hanging="170"/>
              <w:rPr>
                <w:rFonts w:asciiTheme="minorHAnsi" w:hAnsiTheme="minorHAnsi" w:cstheme="minorHAnsi"/>
                <w:bCs/>
              </w:rPr>
            </w:pPr>
            <w:r w:rsidRPr="00E6724F">
              <w:rPr>
                <w:rFonts w:asciiTheme="minorHAnsi" w:hAnsiTheme="minorHAnsi" w:cstheme="minorHAnsi"/>
                <w:bCs/>
              </w:rPr>
              <w:t xml:space="preserve">zvýšení atraktivity města </w:t>
            </w:r>
          </w:p>
          <w:p w:rsidR="00D84BEB" w:rsidRPr="00E6724F" w:rsidRDefault="00D84BEB" w:rsidP="00423120">
            <w:pPr>
              <w:pStyle w:val="Odstavecseseznamem"/>
              <w:numPr>
                <w:ilvl w:val="0"/>
                <w:numId w:val="6"/>
              </w:numPr>
              <w:spacing w:line="240" w:lineRule="auto"/>
              <w:ind w:left="170" w:hanging="170"/>
              <w:rPr>
                <w:rFonts w:asciiTheme="minorHAnsi" w:hAnsiTheme="minorHAnsi" w:cstheme="minorHAnsi"/>
                <w:bCs/>
              </w:rPr>
            </w:pPr>
            <w:r w:rsidRPr="00E6724F">
              <w:rPr>
                <w:rFonts w:asciiTheme="minorHAnsi" w:hAnsiTheme="minorHAnsi" w:cstheme="minorHAnsi"/>
                <w:bCs/>
              </w:rPr>
              <w:t>příjmy z pronájmu komerčních prostor</w:t>
            </w:r>
          </w:p>
        </w:tc>
      </w:tr>
    </w:tbl>
    <w:p w:rsidR="00F325EF" w:rsidRDefault="00F53100" w:rsidP="00F325EF">
      <w:pPr>
        <w:spacing w:line="312" w:lineRule="auto"/>
        <w:jc w:val="center"/>
        <w:rPr>
          <w:rFonts w:asciiTheme="minorHAnsi" w:hAnsiTheme="minorHAnsi" w:cstheme="minorHAnsi"/>
          <w:bCs/>
          <w:i/>
        </w:rPr>
      </w:pPr>
      <w:r>
        <w:rPr>
          <w:rFonts w:asciiTheme="minorHAnsi" w:hAnsiTheme="minorHAnsi" w:cstheme="minorHAnsi"/>
          <w:bCs/>
          <w:i/>
        </w:rPr>
        <w:t>Pramen</w:t>
      </w:r>
      <w:r w:rsidR="00DB1314" w:rsidRPr="00DB1314">
        <w:rPr>
          <w:rFonts w:asciiTheme="minorHAnsi" w:hAnsiTheme="minorHAnsi" w:cstheme="minorHAnsi"/>
          <w:bCs/>
          <w:i/>
        </w:rPr>
        <w:t>: Vlastní výzkum.</w:t>
      </w:r>
    </w:p>
    <w:p w:rsidR="00F325EF" w:rsidRDefault="00D84BEB" w:rsidP="00F325EF">
      <w:pPr>
        <w:spacing w:line="312" w:lineRule="auto"/>
        <w:ind w:firstLine="720"/>
        <w:jc w:val="both"/>
      </w:pPr>
      <w:r w:rsidRPr="00F757C2">
        <w:t xml:space="preserve">Další významně dotčenou skupinou budou provozovatelé obdobných provozoven služeb v regionu. Část z nich využije nabídku nového areálu k přesunu </w:t>
      </w:r>
      <w:r w:rsidR="00C35E3D">
        <w:t>svých stávajících provozoven do </w:t>
      </w:r>
      <w:r w:rsidRPr="00F757C2">
        <w:t xml:space="preserve">nového prostředí se soustředěnou poptávkou a odpovídajícím zázemím (např. dostupné parkování). Současně lze očekávat výrazné zvětšení konkurence v maloobchodu v regionu a možný zánik drobných provozoven nebo obchodů jak přímo ve městě, tak i ve spádových obcích v regionu. </w:t>
      </w:r>
    </w:p>
    <w:p w:rsidR="00D84BEB" w:rsidRPr="00F325EF" w:rsidRDefault="00D84BEB" w:rsidP="00F325EF">
      <w:pPr>
        <w:spacing w:line="312" w:lineRule="auto"/>
        <w:ind w:firstLine="720"/>
        <w:jc w:val="both"/>
        <w:rPr>
          <w:rFonts w:asciiTheme="minorHAnsi" w:hAnsiTheme="minorHAnsi" w:cstheme="minorHAnsi"/>
          <w:bCs/>
          <w:i/>
        </w:rPr>
      </w:pPr>
      <w:r w:rsidRPr="00DB1314">
        <w:lastRenderedPageBreak/>
        <w:t>Obyvatel</w:t>
      </w:r>
      <w:r w:rsidR="00D10637" w:rsidRPr="00DB1314">
        <w:t xml:space="preserve">é </w:t>
      </w:r>
      <w:r w:rsidR="00261E50" w:rsidRPr="00DB1314">
        <w:t xml:space="preserve">bydlící </w:t>
      </w:r>
      <w:r w:rsidR="00D10637" w:rsidRPr="00DB1314">
        <w:t xml:space="preserve">v těsném sousedství stavby – </w:t>
      </w:r>
      <w:r w:rsidRPr="00DB1314">
        <w:t>díky</w:t>
      </w:r>
      <w:r w:rsidRPr="00F757C2">
        <w:t xml:space="preserve"> realizaci </w:t>
      </w:r>
      <w:r w:rsidR="00C35E3D">
        <w:t>projektu dojde k revitalizaci a </w:t>
      </w:r>
      <w:r w:rsidRPr="00F757C2">
        <w:t>celkovému zatraktivnění přilehlého okolí</w:t>
      </w:r>
      <w:r w:rsidR="00AD144B">
        <w:t xml:space="preserve"> a</w:t>
      </w:r>
      <w:r w:rsidRPr="00F757C2">
        <w:t xml:space="preserve"> zároveň k vybudování nové občanské vybavenosti v těsném sousedství zástavby. Negativním dopadem může být citelné zvýšení místní dopravy</w:t>
      </w:r>
      <w:r w:rsidR="00AD144B">
        <w:t xml:space="preserve"> (</w:t>
      </w:r>
      <w:r w:rsidRPr="00F757C2">
        <w:t>zvýšení denního průjezdu v těsném okolí stavby je odhadováno v rozmezí 300</w:t>
      </w:r>
      <w:r w:rsidRPr="003B685E">
        <w:rPr>
          <w:color w:val="FF0000"/>
        </w:rPr>
        <w:t>-</w:t>
      </w:r>
      <w:r w:rsidRPr="00F757C2">
        <w:t>400 automobilů denně</w:t>
      </w:r>
      <w:r w:rsidR="00AD144B">
        <w:t>)</w:t>
      </w:r>
      <w:r w:rsidRPr="00F757C2">
        <w:t xml:space="preserve">. </w:t>
      </w:r>
    </w:p>
    <w:p w:rsidR="00D84BEB" w:rsidRPr="00F757C2" w:rsidRDefault="00D84BEB" w:rsidP="00423120">
      <w:pPr>
        <w:pStyle w:val="05-Text"/>
      </w:pPr>
      <w:r w:rsidRPr="00F757C2">
        <w:t>Veřejná správa – regenerace brownfield bude mít pozitivní vliv na město prostřednictvím odstranění nevyužitých území a celkovému zvýšení atraktivity města. Město je také zároveň realizátorem investiční akce a bude realizovat případné příjmy z pronájmu (současně také nese finanční riziko).</w:t>
      </w:r>
    </w:p>
    <w:p w:rsidR="00D84BEB" w:rsidRPr="00F757C2" w:rsidRDefault="00D84BEB" w:rsidP="00423120">
      <w:pPr>
        <w:pStyle w:val="04-Podnadipsek"/>
        <w:spacing w:after="200"/>
      </w:pPr>
      <w:r w:rsidRPr="00F757C2">
        <w:t>Shrnutí</w:t>
      </w:r>
    </w:p>
    <w:p w:rsidR="00D84BEB" w:rsidRPr="00F757C2" w:rsidRDefault="00D84BEB" w:rsidP="00423120">
      <w:pPr>
        <w:pStyle w:val="05-Text"/>
      </w:pPr>
      <w:r w:rsidRPr="00F757C2">
        <w:t>Revitalizací brownfield areálu vznikne nové centrum obchodu a služeb</w:t>
      </w:r>
      <w:r w:rsidR="003B685E">
        <w:t xml:space="preserve"> s pronajímatelnou plochou až 3 </w:t>
      </w:r>
      <w:r w:rsidRPr="00F757C2">
        <w:t xml:space="preserve">200 </w:t>
      </w:r>
      <w:r w:rsidR="002B3CAB">
        <w:t>m</w:t>
      </w:r>
      <w:r w:rsidR="002B3CAB" w:rsidRPr="002B3CAB">
        <w:rPr>
          <w:vertAlign w:val="superscript"/>
        </w:rPr>
        <w:t>2</w:t>
      </w:r>
      <w:r w:rsidRPr="00F757C2">
        <w:t>. Nově plánované využití brownfield je definováno především jeho dobrou polohou v blízkosti centra a autobusového nádraží. Analýza poptávky prokázala dostatečný potenciál území, ve spádovém území bydlí až 17</w:t>
      </w:r>
      <w:r w:rsidR="003B685E">
        <w:t xml:space="preserve"> </w:t>
      </w:r>
      <w:r w:rsidRPr="00F757C2">
        <w:t>000 obyvatel. Přímá konkurence areálu je až v zázemí 20 km vzdáleného krajského města. Investiční výdaje projektu ve výši 85 mil. Kč budou hrazeny s využitím komerčního úvěru. Splátka úvěru bude hrazena s využitím provozních příjmů z pronájmu komerčních prostor. Předpokládaná obsazenost prostor činí 80</w:t>
      </w:r>
      <w:r w:rsidR="00760C73">
        <w:t xml:space="preserve"> </w:t>
      </w:r>
      <w:r w:rsidRPr="00F757C2">
        <w:t xml:space="preserve">%. </w:t>
      </w:r>
    </w:p>
    <w:p w:rsidR="00D84BEB" w:rsidRPr="00F757C2" w:rsidRDefault="00D84BEB" w:rsidP="00423120">
      <w:pPr>
        <w:pStyle w:val="05-Text"/>
      </w:pPr>
      <w:r w:rsidRPr="00F757C2">
        <w:t xml:space="preserve">Cílem projektu je odstranění nevyužitého areálu a zvýšení atraktivity města prostřednictvím lepší nabídky pro obchod a služby. Negativním dopadem může být zvýšení tlaku na místní malé a střední podnikatele, včetně hrozby jejich případného zániku a tím spojeného snížení nabídky poskytovaných služeb. Tyto negativní dopady jsou očekávány především v menších, přirozeně spádových obcích. </w:t>
      </w:r>
    </w:p>
    <w:p w:rsidR="00F325EF" w:rsidRDefault="00F325EF">
      <w:pPr>
        <w:spacing w:after="0" w:line="240" w:lineRule="auto"/>
        <w:rPr>
          <w:rFonts w:ascii="Cambria" w:hAnsi="Cambria"/>
          <w:b/>
          <w:bCs/>
          <w:color w:val="0070C0"/>
          <w:sz w:val="28"/>
          <w:szCs w:val="28"/>
        </w:rPr>
      </w:pPr>
      <w:r>
        <w:br w:type="page"/>
      </w:r>
    </w:p>
    <w:p w:rsidR="00D84BEB" w:rsidRPr="00A91347" w:rsidRDefault="00D84BEB" w:rsidP="00890421">
      <w:pPr>
        <w:pStyle w:val="02-Nadpis2"/>
      </w:pPr>
      <w:bookmarkStart w:id="33" w:name="_Toc382327187"/>
      <w:r w:rsidRPr="00A91347">
        <w:lastRenderedPageBreak/>
        <w:t>Použitá literatura</w:t>
      </w:r>
      <w:bookmarkEnd w:id="33"/>
    </w:p>
    <w:p w:rsidR="00D84BEB" w:rsidRPr="00F757C2" w:rsidRDefault="00D84BEB" w:rsidP="00F325EF">
      <w:pPr>
        <w:keepNext/>
        <w:spacing w:after="120" w:line="240" w:lineRule="auto"/>
        <w:jc w:val="both"/>
        <w:rPr>
          <w:sz w:val="24"/>
          <w:szCs w:val="24"/>
        </w:rPr>
      </w:pPr>
      <w:r w:rsidRPr="00F757C2">
        <w:rPr>
          <w:sz w:val="24"/>
          <w:szCs w:val="24"/>
        </w:rPr>
        <w:t>BASSET, K., SHORT, J. (1980): Housing and Redidential Structure: Alternative Approaches, London, Routledge &amp; Kegan Paul.</w:t>
      </w:r>
    </w:p>
    <w:p w:rsidR="00D84BEB" w:rsidRPr="00F757C2" w:rsidRDefault="00D84BEB" w:rsidP="00F325EF">
      <w:pPr>
        <w:keepNext/>
        <w:spacing w:after="120" w:line="240" w:lineRule="auto"/>
        <w:jc w:val="both"/>
        <w:rPr>
          <w:color w:val="0000FF"/>
          <w:sz w:val="24"/>
          <w:szCs w:val="24"/>
          <w:lang w:eastAsia="en-US"/>
        </w:rPr>
      </w:pPr>
      <w:r w:rsidRPr="00F757C2">
        <w:rPr>
          <w:caps/>
          <w:sz w:val="24"/>
          <w:szCs w:val="24"/>
          <w:lang w:eastAsia="en-US"/>
        </w:rPr>
        <w:t>Belajová, A., Fáziková, M.</w:t>
      </w:r>
      <w:r w:rsidRPr="00F757C2">
        <w:rPr>
          <w:sz w:val="24"/>
          <w:szCs w:val="24"/>
          <w:lang w:eastAsia="en-US"/>
        </w:rPr>
        <w:t xml:space="preserve"> (2005): Regionálna ekonomika. Nitra: Slovenská poľnohospodárska univerzita.</w:t>
      </w:r>
    </w:p>
    <w:p w:rsidR="00D84BEB" w:rsidRPr="00F757C2" w:rsidRDefault="00D84BEB" w:rsidP="00F325EF">
      <w:pPr>
        <w:keepNext/>
        <w:spacing w:after="120" w:line="240" w:lineRule="auto"/>
        <w:jc w:val="both"/>
        <w:rPr>
          <w:sz w:val="24"/>
          <w:szCs w:val="24"/>
        </w:rPr>
      </w:pPr>
      <w:r w:rsidRPr="00F757C2">
        <w:rPr>
          <w:caps/>
          <w:sz w:val="24"/>
          <w:szCs w:val="24"/>
        </w:rPr>
        <w:t>Blažek, J., Uhlíř, D</w:t>
      </w:r>
      <w:r w:rsidRPr="00F757C2">
        <w:rPr>
          <w:sz w:val="24"/>
          <w:szCs w:val="24"/>
        </w:rPr>
        <w:t>. (2011): Teorie regionálního rozvoje, Nakladatelství Karolinum, 2. vydání.</w:t>
      </w:r>
    </w:p>
    <w:p w:rsidR="00D84BEB" w:rsidRPr="00F757C2" w:rsidRDefault="00D84BEB" w:rsidP="00F325EF">
      <w:pPr>
        <w:keepNext/>
        <w:spacing w:after="120" w:line="240" w:lineRule="auto"/>
        <w:jc w:val="both"/>
        <w:rPr>
          <w:sz w:val="24"/>
          <w:szCs w:val="24"/>
        </w:rPr>
      </w:pPr>
      <w:r w:rsidRPr="00F757C2">
        <w:rPr>
          <w:sz w:val="24"/>
          <w:szCs w:val="24"/>
        </w:rPr>
        <w:t>BURGESS, E. (1925): The Growth of the City: An Introduction to a Research Project, Chicago: Chicago University Press.</w:t>
      </w:r>
    </w:p>
    <w:p w:rsidR="00D84BEB" w:rsidRPr="00F757C2" w:rsidRDefault="00D84BEB" w:rsidP="00F325EF">
      <w:pPr>
        <w:keepNext/>
        <w:keepLines/>
        <w:spacing w:after="120" w:line="240" w:lineRule="auto"/>
        <w:jc w:val="both"/>
        <w:rPr>
          <w:color w:val="0000FF"/>
          <w:sz w:val="24"/>
          <w:szCs w:val="24"/>
          <w:lang w:eastAsia="en-US"/>
        </w:rPr>
      </w:pPr>
      <w:r w:rsidRPr="00F757C2">
        <w:rPr>
          <w:caps/>
          <w:sz w:val="24"/>
          <w:szCs w:val="24"/>
          <w:lang w:eastAsia="en-US"/>
        </w:rPr>
        <w:t>Čadil, J.</w:t>
      </w:r>
      <w:r w:rsidRPr="00F757C2">
        <w:rPr>
          <w:sz w:val="24"/>
          <w:szCs w:val="24"/>
          <w:lang w:eastAsia="en-US"/>
        </w:rPr>
        <w:t xml:space="preserve"> Regionální ekonomie (2010): Teorie a aplikace. Praha: C. H. Beck</w:t>
      </w:r>
      <w:r w:rsidRPr="00F757C2">
        <w:rPr>
          <w:color w:val="0000FF"/>
          <w:sz w:val="24"/>
          <w:szCs w:val="24"/>
          <w:lang w:eastAsia="en-US"/>
        </w:rPr>
        <w:t>.</w:t>
      </w:r>
    </w:p>
    <w:p w:rsidR="00D84BEB" w:rsidRPr="00F757C2" w:rsidRDefault="00D84BEB" w:rsidP="00F325EF">
      <w:pPr>
        <w:keepNext/>
        <w:spacing w:after="120" w:line="240" w:lineRule="auto"/>
        <w:jc w:val="both"/>
        <w:rPr>
          <w:color w:val="FF0000"/>
          <w:sz w:val="24"/>
          <w:szCs w:val="24"/>
          <w:lang w:eastAsia="en-US"/>
        </w:rPr>
      </w:pPr>
      <w:r w:rsidRPr="00F757C2">
        <w:rPr>
          <w:caps/>
          <w:sz w:val="24"/>
          <w:szCs w:val="24"/>
          <w:lang w:eastAsia="en-US"/>
        </w:rPr>
        <w:t>Císař</w:t>
      </w:r>
      <w:r w:rsidRPr="00F757C2">
        <w:rPr>
          <w:rFonts w:ascii="Calibri" w:hAnsi="Calibri"/>
          <w:caps/>
          <w:sz w:val="24"/>
          <w:szCs w:val="24"/>
          <w:lang w:eastAsia="en-US"/>
        </w:rPr>
        <w:t xml:space="preserve">, </w:t>
      </w:r>
      <w:r w:rsidRPr="00F757C2">
        <w:rPr>
          <w:caps/>
          <w:sz w:val="24"/>
          <w:szCs w:val="24"/>
          <w:lang w:eastAsia="en-US"/>
        </w:rPr>
        <w:t>J.</w:t>
      </w:r>
      <w:r w:rsidRPr="00F757C2">
        <w:rPr>
          <w:sz w:val="24"/>
          <w:szCs w:val="24"/>
          <w:lang w:eastAsia="en-US"/>
        </w:rPr>
        <w:t xml:space="preserve"> (1998): Vybrané otázky z trhu nemovitostí. Praha: Vysoká škola ekonomická.</w:t>
      </w:r>
    </w:p>
    <w:p w:rsidR="00D84BEB" w:rsidRPr="00F757C2" w:rsidRDefault="00D84BEB" w:rsidP="00FE5C66">
      <w:pPr>
        <w:keepNext/>
        <w:spacing w:after="120" w:line="240" w:lineRule="auto"/>
        <w:jc w:val="both"/>
        <w:rPr>
          <w:sz w:val="24"/>
          <w:szCs w:val="24"/>
        </w:rPr>
      </w:pPr>
      <w:r w:rsidRPr="00F757C2">
        <w:rPr>
          <w:sz w:val="24"/>
          <w:szCs w:val="24"/>
        </w:rPr>
        <w:t xml:space="preserve">COASE, R. (1960): "The Problem of Social Cost". Journal of </w:t>
      </w:r>
      <w:proofErr w:type="gramStart"/>
      <w:r w:rsidRPr="00F757C2">
        <w:rPr>
          <w:sz w:val="24"/>
          <w:szCs w:val="24"/>
        </w:rPr>
        <w:t>Law</w:t>
      </w:r>
      <w:proofErr w:type="gramEnd"/>
      <w:r w:rsidRPr="00F757C2">
        <w:rPr>
          <w:sz w:val="24"/>
          <w:szCs w:val="24"/>
        </w:rPr>
        <w:t xml:space="preserve"> and Economics, 3, pp. 1–44.</w:t>
      </w:r>
    </w:p>
    <w:p w:rsidR="00D84BEB" w:rsidRPr="00F757C2" w:rsidRDefault="00D84BEB" w:rsidP="00FE5C66">
      <w:pPr>
        <w:keepNext/>
        <w:spacing w:after="120" w:line="240" w:lineRule="auto"/>
        <w:jc w:val="both"/>
        <w:rPr>
          <w:sz w:val="24"/>
          <w:szCs w:val="24"/>
        </w:rPr>
      </w:pPr>
      <w:r w:rsidRPr="00F757C2">
        <w:rPr>
          <w:sz w:val="24"/>
          <w:szCs w:val="24"/>
        </w:rPr>
        <w:t>FIREY, W. (1947): Land Use in Central Boston, Boston.</w:t>
      </w:r>
    </w:p>
    <w:p w:rsidR="00D84BEB" w:rsidRPr="00F757C2" w:rsidRDefault="00D84BEB" w:rsidP="00FE5C66">
      <w:pPr>
        <w:keepNext/>
        <w:spacing w:after="120" w:line="240" w:lineRule="auto"/>
        <w:jc w:val="both"/>
        <w:rPr>
          <w:sz w:val="24"/>
          <w:szCs w:val="24"/>
        </w:rPr>
      </w:pPr>
      <w:r w:rsidRPr="00F757C2">
        <w:rPr>
          <w:caps/>
          <w:sz w:val="24"/>
          <w:szCs w:val="24"/>
        </w:rPr>
        <w:t>Glaeser, E., Resseger, M</w:t>
      </w:r>
      <w:r w:rsidRPr="00F757C2">
        <w:rPr>
          <w:sz w:val="24"/>
          <w:szCs w:val="24"/>
        </w:rPr>
        <w:t xml:space="preserve">. (2010): The complementarity between cities and skills, Journal </w:t>
      </w:r>
      <w:r w:rsidR="00D10637">
        <w:rPr>
          <w:sz w:val="24"/>
          <w:szCs w:val="24"/>
        </w:rPr>
        <w:t>of Regional Science, 1, pp. 221–</w:t>
      </w:r>
      <w:r w:rsidRPr="00F757C2">
        <w:rPr>
          <w:sz w:val="24"/>
          <w:szCs w:val="24"/>
        </w:rPr>
        <w:t>244.</w:t>
      </w:r>
    </w:p>
    <w:p w:rsidR="00D84BEB" w:rsidRPr="00F757C2" w:rsidRDefault="00D84BEB" w:rsidP="00FE5C66">
      <w:pPr>
        <w:keepNext/>
        <w:spacing w:after="120" w:line="240" w:lineRule="auto"/>
        <w:jc w:val="both"/>
        <w:rPr>
          <w:color w:val="0000FF"/>
          <w:sz w:val="24"/>
          <w:szCs w:val="24"/>
        </w:rPr>
      </w:pPr>
      <w:r w:rsidRPr="00F757C2">
        <w:rPr>
          <w:sz w:val="24"/>
          <w:szCs w:val="24"/>
        </w:rPr>
        <w:t xml:space="preserve">HALÁMEK, P (2007): Finanční a ekonomické analýzy regionálních rozvojových projektů, Masarykova univerzita, Ekonomicko-správní fakulta, Brno. </w:t>
      </w:r>
    </w:p>
    <w:p w:rsidR="00D84BEB" w:rsidRPr="00F757C2" w:rsidRDefault="00D84BEB" w:rsidP="00FE5C66">
      <w:pPr>
        <w:keepNext/>
        <w:keepLines/>
        <w:spacing w:after="120" w:line="240" w:lineRule="auto"/>
        <w:jc w:val="both"/>
        <w:rPr>
          <w:color w:val="0000FF"/>
          <w:sz w:val="24"/>
          <w:szCs w:val="24"/>
          <w:lang w:eastAsia="en-US"/>
        </w:rPr>
      </w:pPr>
      <w:r w:rsidRPr="00F757C2">
        <w:rPr>
          <w:caps/>
          <w:sz w:val="24"/>
          <w:szCs w:val="24"/>
          <w:lang w:eastAsia="en-US"/>
        </w:rPr>
        <w:t>Hamalová, M. a kol</w:t>
      </w:r>
      <w:r w:rsidRPr="00F757C2">
        <w:rPr>
          <w:sz w:val="24"/>
          <w:szCs w:val="24"/>
          <w:lang w:eastAsia="en-US"/>
        </w:rPr>
        <w:t>. (1996): Priestorová ekonomika. Bratislava: Ekonóm.</w:t>
      </w:r>
    </w:p>
    <w:p w:rsidR="00D84BEB" w:rsidRPr="00F757C2" w:rsidRDefault="00D84BEB" w:rsidP="00FE5C66">
      <w:pPr>
        <w:keepNext/>
        <w:spacing w:after="120" w:line="240" w:lineRule="auto"/>
        <w:jc w:val="both"/>
        <w:rPr>
          <w:sz w:val="24"/>
          <w:szCs w:val="24"/>
        </w:rPr>
      </w:pPr>
      <w:r w:rsidRPr="00F757C2">
        <w:rPr>
          <w:caps/>
          <w:sz w:val="24"/>
          <w:szCs w:val="24"/>
        </w:rPr>
        <w:t>Hampl, M.</w:t>
      </w:r>
      <w:r w:rsidRPr="00F757C2">
        <w:rPr>
          <w:sz w:val="24"/>
          <w:szCs w:val="24"/>
        </w:rPr>
        <w:t xml:space="preserve"> (</w:t>
      </w:r>
      <w:r w:rsidRPr="00F757C2">
        <w:rPr>
          <w:caps/>
          <w:sz w:val="24"/>
          <w:szCs w:val="24"/>
        </w:rPr>
        <w:t xml:space="preserve">2005): </w:t>
      </w:r>
      <w:r w:rsidRPr="00F757C2">
        <w:rPr>
          <w:sz w:val="24"/>
          <w:szCs w:val="24"/>
        </w:rPr>
        <w:t>Geografická organizace společnosti v České republice: transformační procesy a jejich obecný kontext. Karlova univerzita, Praha.</w:t>
      </w:r>
    </w:p>
    <w:p w:rsidR="00D84BEB" w:rsidRPr="00F757C2" w:rsidRDefault="00D84BEB" w:rsidP="00027AD4">
      <w:pPr>
        <w:keepNext/>
        <w:spacing w:after="120" w:line="240" w:lineRule="auto"/>
        <w:jc w:val="both"/>
        <w:rPr>
          <w:sz w:val="24"/>
          <w:szCs w:val="24"/>
        </w:rPr>
      </w:pPr>
      <w:r w:rsidRPr="00F757C2">
        <w:rPr>
          <w:sz w:val="24"/>
          <w:szCs w:val="24"/>
        </w:rPr>
        <w:t>HARRIS, C., ULLMAN, E. (1945): The Nature of Cities. In Fyfe, N., Kenny, J.: Urban Geography Reader, New York.</w:t>
      </w:r>
    </w:p>
    <w:p w:rsidR="00D84BEB" w:rsidRPr="00F757C2" w:rsidRDefault="00D84BEB" w:rsidP="00027AD4">
      <w:pPr>
        <w:keepNext/>
        <w:spacing w:after="120" w:line="240" w:lineRule="auto"/>
        <w:jc w:val="both"/>
        <w:rPr>
          <w:sz w:val="24"/>
          <w:szCs w:val="24"/>
        </w:rPr>
      </w:pPr>
      <w:r w:rsidRPr="00F757C2">
        <w:rPr>
          <w:caps/>
          <w:sz w:val="24"/>
          <w:szCs w:val="24"/>
        </w:rPr>
        <w:t>Henning, M., Moodysson, J., Nilsson, M</w:t>
      </w:r>
      <w:r w:rsidRPr="00F757C2">
        <w:rPr>
          <w:sz w:val="24"/>
          <w:szCs w:val="24"/>
        </w:rPr>
        <w:t>. (2010): Innovation and regional transformation, Region Skåne.</w:t>
      </w:r>
    </w:p>
    <w:p w:rsidR="00D84BEB" w:rsidRPr="00F757C2" w:rsidRDefault="00D84BEB" w:rsidP="00027AD4">
      <w:pPr>
        <w:keepNext/>
        <w:keepLines/>
        <w:spacing w:after="120" w:line="240" w:lineRule="auto"/>
        <w:jc w:val="both"/>
        <w:rPr>
          <w:sz w:val="24"/>
          <w:szCs w:val="24"/>
          <w:lang w:eastAsia="en-US"/>
        </w:rPr>
      </w:pPr>
      <w:r w:rsidRPr="00F757C2">
        <w:rPr>
          <w:caps/>
          <w:sz w:val="24"/>
          <w:szCs w:val="24"/>
          <w:lang w:eastAsia="en-US"/>
        </w:rPr>
        <w:t>Holman, R. a kol.</w:t>
      </w:r>
      <w:r w:rsidRPr="00F757C2">
        <w:rPr>
          <w:sz w:val="24"/>
          <w:szCs w:val="24"/>
          <w:lang w:eastAsia="en-US"/>
        </w:rPr>
        <w:t xml:space="preserve"> (2005): Dějiny ekonomického myšlení, Praha: C. H. Beck</w:t>
      </w:r>
      <w:r w:rsidRPr="00F757C2">
        <w:rPr>
          <w:color w:val="0000FF"/>
          <w:sz w:val="24"/>
          <w:szCs w:val="24"/>
          <w:lang w:eastAsia="en-US"/>
        </w:rPr>
        <w:t xml:space="preserve">. </w:t>
      </w:r>
      <w:r w:rsidRPr="00F757C2">
        <w:rPr>
          <w:caps/>
          <w:sz w:val="24"/>
          <w:szCs w:val="24"/>
          <w:lang w:eastAsia="en-US"/>
        </w:rPr>
        <w:t>Honová, I.</w:t>
      </w:r>
      <w:r w:rsidRPr="00F757C2">
        <w:rPr>
          <w:sz w:val="24"/>
          <w:szCs w:val="24"/>
          <w:lang w:eastAsia="en-US"/>
        </w:rPr>
        <w:t xml:space="preserve"> (2009): Půda z pohledu dějin ekonomických teorií.</w:t>
      </w:r>
      <w:r w:rsidR="00D10637">
        <w:rPr>
          <w:sz w:val="24"/>
          <w:szCs w:val="24"/>
          <w:lang w:eastAsia="en-US"/>
        </w:rPr>
        <w:t xml:space="preserve"> Politická ekonomie, 6, pp. 827–</w:t>
      </w:r>
      <w:r w:rsidRPr="00F757C2">
        <w:rPr>
          <w:sz w:val="24"/>
          <w:szCs w:val="24"/>
          <w:lang w:eastAsia="en-US"/>
        </w:rPr>
        <w:t>841.</w:t>
      </w:r>
    </w:p>
    <w:p w:rsidR="00D84BEB" w:rsidRPr="00F757C2" w:rsidRDefault="00D84BEB" w:rsidP="00027AD4">
      <w:pPr>
        <w:keepNext/>
        <w:spacing w:after="120" w:line="240" w:lineRule="auto"/>
        <w:jc w:val="both"/>
        <w:rPr>
          <w:sz w:val="24"/>
          <w:szCs w:val="24"/>
        </w:rPr>
      </w:pPr>
      <w:r w:rsidRPr="00F757C2">
        <w:rPr>
          <w:sz w:val="24"/>
          <w:szCs w:val="24"/>
        </w:rPr>
        <w:t>HOYT, H. (1937): The Structure and Growth of Residentional Neighbourhoods, Washington.</w:t>
      </w:r>
    </w:p>
    <w:p w:rsidR="00D84BEB" w:rsidRPr="00F757C2" w:rsidRDefault="00D84BEB" w:rsidP="00027AD4">
      <w:pPr>
        <w:keepNext/>
        <w:spacing w:after="120" w:line="240" w:lineRule="auto"/>
        <w:jc w:val="both"/>
        <w:rPr>
          <w:sz w:val="24"/>
          <w:szCs w:val="24"/>
        </w:rPr>
      </w:pPr>
      <w:r w:rsidRPr="00F757C2">
        <w:rPr>
          <w:sz w:val="24"/>
          <w:szCs w:val="24"/>
        </w:rPr>
        <w:t xml:space="preserve">JACKSON, J (2004): Zelenou pro brownfields, </w:t>
      </w:r>
      <w:r w:rsidR="00D10637">
        <w:rPr>
          <w:sz w:val="24"/>
          <w:szCs w:val="24"/>
        </w:rPr>
        <w:t xml:space="preserve">červenou pro greenfields. IURS – </w:t>
      </w:r>
      <w:r w:rsidRPr="00F757C2">
        <w:rPr>
          <w:sz w:val="24"/>
          <w:szCs w:val="24"/>
        </w:rPr>
        <w:t xml:space="preserve">Institut pro udržitelný rozvoj sídel, </w:t>
      </w:r>
      <w:proofErr w:type="gramStart"/>
      <w:r w:rsidRPr="00F757C2">
        <w:rPr>
          <w:sz w:val="24"/>
          <w:szCs w:val="24"/>
        </w:rPr>
        <w:t>o.s.</w:t>
      </w:r>
      <w:proofErr w:type="gramEnd"/>
      <w:r w:rsidRPr="00F757C2">
        <w:rPr>
          <w:sz w:val="24"/>
          <w:szCs w:val="24"/>
        </w:rPr>
        <w:t>, 2004 [on-line], dostupné z: http://www.brownfields.cz/wp-content/uploads/2008/04/zelena-pro-brownfields-2004.pdf</w:t>
      </w:r>
    </w:p>
    <w:p w:rsidR="00D84BEB" w:rsidRPr="00F757C2" w:rsidRDefault="00D84BEB" w:rsidP="00FE5C66">
      <w:pPr>
        <w:keepNext/>
        <w:spacing w:after="120" w:line="240" w:lineRule="auto"/>
        <w:jc w:val="both"/>
        <w:rPr>
          <w:sz w:val="24"/>
          <w:szCs w:val="24"/>
        </w:rPr>
      </w:pPr>
      <w:r w:rsidRPr="00F757C2">
        <w:rPr>
          <w:caps/>
          <w:sz w:val="24"/>
          <w:szCs w:val="24"/>
          <w:lang w:eastAsia="en-US"/>
        </w:rPr>
        <w:t>Ježek, J</w:t>
      </w:r>
      <w:r w:rsidRPr="00F757C2">
        <w:rPr>
          <w:sz w:val="24"/>
          <w:szCs w:val="24"/>
          <w:lang w:eastAsia="en-US"/>
        </w:rPr>
        <w:t xml:space="preserve">. (2002): Prostorová a regionální ekonomika. Plzeň: Západočeská univerzita. </w:t>
      </w:r>
      <w:r w:rsidRPr="00F757C2">
        <w:rPr>
          <w:sz w:val="24"/>
          <w:szCs w:val="24"/>
        </w:rPr>
        <w:t xml:space="preserve">JÍLKOVÁ, </w:t>
      </w:r>
      <w:r>
        <w:rPr>
          <w:sz w:val="24"/>
          <w:szCs w:val="24"/>
        </w:rPr>
        <w:t>J</w:t>
      </w:r>
      <w:r w:rsidRPr="00F757C2">
        <w:rPr>
          <w:sz w:val="24"/>
          <w:szCs w:val="24"/>
        </w:rPr>
        <w:t>., SLAVÍKOVÁ, L. (2009): Ekonomie životního prostředí na rozcestí.</w:t>
      </w:r>
      <w:r w:rsidR="00D10637">
        <w:rPr>
          <w:sz w:val="24"/>
          <w:szCs w:val="24"/>
        </w:rPr>
        <w:t xml:space="preserve"> Politická ekonomie, 5, pp. 660–</w:t>
      </w:r>
      <w:r w:rsidRPr="00F757C2">
        <w:rPr>
          <w:sz w:val="24"/>
          <w:szCs w:val="24"/>
        </w:rPr>
        <w:t>676.</w:t>
      </w:r>
    </w:p>
    <w:p w:rsidR="00D84BEB" w:rsidRPr="00F757C2" w:rsidRDefault="00D84BEB" w:rsidP="00FE5C66">
      <w:pPr>
        <w:keepNext/>
        <w:spacing w:after="120" w:line="240" w:lineRule="auto"/>
        <w:jc w:val="both"/>
        <w:rPr>
          <w:sz w:val="24"/>
          <w:szCs w:val="24"/>
        </w:rPr>
      </w:pPr>
      <w:r w:rsidRPr="00F757C2">
        <w:rPr>
          <w:sz w:val="24"/>
          <w:szCs w:val="24"/>
        </w:rPr>
        <w:t>KAVAN, P. (2012): Vnitřní suburbanizace města Brna. Brno: Masarykova univerzita.</w:t>
      </w:r>
    </w:p>
    <w:p w:rsidR="00D84BEB" w:rsidRPr="00F757C2" w:rsidRDefault="00D84BEB" w:rsidP="00FE5C66">
      <w:pPr>
        <w:keepNext/>
        <w:keepLines/>
        <w:spacing w:after="120" w:line="240" w:lineRule="auto"/>
        <w:jc w:val="both"/>
        <w:rPr>
          <w:color w:val="0000FF"/>
          <w:sz w:val="24"/>
          <w:szCs w:val="24"/>
          <w:lang w:eastAsia="en-US"/>
        </w:rPr>
      </w:pPr>
      <w:r w:rsidRPr="00F757C2">
        <w:rPr>
          <w:caps/>
          <w:sz w:val="24"/>
          <w:szCs w:val="24"/>
          <w:lang w:eastAsia="en-US"/>
        </w:rPr>
        <w:t>Kucharčíková, A. a kol</w:t>
      </w:r>
      <w:r w:rsidRPr="00F757C2">
        <w:rPr>
          <w:sz w:val="24"/>
          <w:szCs w:val="24"/>
          <w:lang w:eastAsia="en-US"/>
        </w:rPr>
        <w:t>. (2011): Efektivní výroba. Praha: CPress.</w:t>
      </w:r>
    </w:p>
    <w:p w:rsidR="00D84BEB" w:rsidRPr="00F757C2" w:rsidRDefault="000724A0" w:rsidP="00FE5C66">
      <w:pPr>
        <w:keepNext/>
        <w:keepLines/>
        <w:spacing w:after="120" w:line="240" w:lineRule="auto"/>
        <w:jc w:val="both"/>
        <w:rPr>
          <w:color w:val="0000FF"/>
          <w:sz w:val="24"/>
          <w:szCs w:val="24"/>
          <w:lang w:eastAsia="en-US"/>
        </w:rPr>
      </w:pPr>
      <w:r>
        <w:rPr>
          <w:caps/>
          <w:sz w:val="24"/>
          <w:szCs w:val="24"/>
          <w:lang w:eastAsia="en-US"/>
        </w:rPr>
        <w:t>Maier, K., ČtyR</w:t>
      </w:r>
      <w:r w:rsidR="00D84BEB" w:rsidRPr="00F757C2">
        <w:rPr>
          <w:caps/>
          <w:sz w:val="24"/>
          <w:szCs w:val="24"/>
          <w:lang w:eastAsia="en-US"/>
        </w:rPr>
        <w:t>oký,</w:t>
      </w:r>
      <w:r w:rsidR="00D84BEB" w:rsidRPr="00F757C2">
        <w:rPr>
          <w:sz w:val="24"/>
          <w:szCs w:val="24"/>
          <w:lang w:eastAsia="en-US"/>
        </w:rPr>
        <w:t xml:space="preserve"> J. (2000): Ekonomika územního rozvoje. Praha: Grada Publishing.</w:t>
      </w:r>
    </w:p>
    <w:p w:rsidR="00D84BEB" w:rsidRPr="00F757C2" w:rsidRDefault="00D84BEB" w:rsidP="00FE5C66">
      <w:pPr>
        <w:keepNext/>
        <w:keepLines/>
        <w:spacing w:after="120" w:line="240" w:lineRule="auto"/>
        <w:jc w:val="both"/>
        <w:rPr>
          <w:color w:val="0000FF"/>
          <w:sz w:val="24"/>
          <w:szCs w:val="24"/>
          <w:lang w:eastAsia="en-US"/>
        </w:rPr>
      </w:pPr>
      <w:r w:rsidRPr="00F757C2">
        <w:rPr>
          <w:caps/>
          <w:sz w:val="24"/>
          <w:szCs w:val="24"/>
          <w:lang w:eastAsia="en-US"/>
        </w:rPr>
        <w:t>Maier, G., Tödtling, F</w:t>
      </w:r>
      <w:r w:rsidRPr="00F757C2">
        <w:rPr>
          <w:sz w:val="24"/>
          <w:szCs w:val="24"/>
          <w:lang w:eastAsia="en-US"/>
        </w:rPr>
        <w:t>. (1997): Regionálna a urbanistická ekonomika. Teória lokalizácie a priestorová struktura. Bratislava: Elita.</w:t>
      </w:r>
    </w:p>
    <w:p w:rsidR="00D84BEB" w:rsidRPr="00F757C2" w:rsidRDefault="00D84BEB" w:rsidP="00FE5C66">
      <w:pPr>
        <w:keepNext/>
        <w:spacing w:after="120" w:line="240" w:lineRule="auto"/>
        <w:jc w:val="both"/>
        <w:rPr>
          <w:sz w:val="24"/>
          <w:szCs w:val="24"/>
        </w:rPr>
      </w:pPr>
      <w:r w:rsidRPr="00F757C2">
        <w:rPr>
          <w:caps/>
          <w:sz w:val="24"/>
          <w:szCs w:val="24"/>
        </w:rPr>
        <w:lastRenderedPageBreak/>
        <w:t>McCann, P. (2009):</w:t>
      </w:r>
      <w:r w:rsidRPr="00F757C2">
        <w:rPr>
          <w:sz w:val="24"/>
          <w:szCs w:val="24"/>
        </w:rPr>
        <w:t xml:space="preserve"> Urban and regional economics, Oxford University Press.</w:t>
      </w:r>
    </w:p>
    <w:p w:rsidR="00D84BEB" w:rsidRPr="00F757C2" w:rsidRDefault="00D84BEB" w:rsidP="00FE5C66">
      <w:pPr>
        <w:keepNext/>
        <w:spacing w:after="120" w:line="240" w:lineRule="auto"/>
        <w:jc w:val="both"/>
        <w:rPr>
          <w:sz w:val="24"/>
          <w:szCs w:val="24"/>
        </w:rPr>
      </w:pPr>
      <w:r w:rsidRPr="00F757C2">
        <w:rPr>
          <w:caps/>
          <w:sz w:val="24"/>
          <w:szCs w:val="24"/>
        </w:rPr>
        <w:t>Mulligan, G., Partridge, M., Carruthers. J.</w:t>
      </w:r>
      <w:r w:rsidRPr="00F757C2">
        <w:rPr>
          <w:sz w:val="24"/>
          <w:szCs w:val="24"/>
        </w:rPr>
        <w:t xml:space="preserve"> (2012): Central place theory and its reemergence in regional science. Annals o</w:t>
      </w:r>
      <w:r w:rsidR="00D10637">
        <w:rPr>
          <w:sz w:val="24"/>
          <w:szCs w:val="24"/>
        </w:rPr>
        <w:t>f Regional Science, 48, pp. 405–</w:t>
      </w:r>
      <w:r w:rsidRPr="00F757C2">
        <w:rPr>
          <w:sz w:val="24"/>
          <w:szCs w:val="24"/>
        </w:rPr>
        <w:t>431.</w:t>
      </w:r>
    </w:p>
    <w:p w:rsidR="00D84BEB" w:rsidRPr="00F757C2" w:rsidRDefault="00D84BEB" w:rsidP="00FE5C66">
      <w:pPr>
        <w:keepNext/>
        <w:spacing w:after="120" w:line="240" w:lineRule="auto"/>
        <w:jc w:val="both"/>
        <w:rPr>
          <w:sz w:val="24"/>
          <w:szCs w:val="24"/>
        </w:rPr>
      </w:pPr>
      <w:r w:rsidRPr="00F757C2">
        <w:rPr>
          <w:sz w:val="24"/>
          <w:szCs w:val="24"/>
        </w:rPr>
        <w:t>MURDIE, R. M. (1969): Factorial Ecolo</w:t>
      </w:r>
      <w:r w:rsidR="00D10637">
        <w:rPr>
          <w:sz w:val="24"/>
          <w:szCs w:val="24"/>
        </w:rPr>
        <w:t>gy of Metropolitan Toronto 1951–</w:t>
      </w:r>
      <w:r w:rsidRPr="00F757C2">
        <w:rPr>
          <w:sz w:val="24"/>
          <w:szCs w:val="24"/>
        </w:rPr>
        <w:t>61: An essay on the social geogr</w:t>
      </w:r>
      <w:r w:rsidR="001A618E">
        <w:rPr>
          <w:sz w:val="24"/>
          <w:szCs w:val="24"/>
        </w:rPr>
        <w:t>a</w:t>
      </w:r>
      <w:r w:rsidRPr="00F757C2">
        <w:rPr>
          <w:sz w:val="24"/>
          <w:szCs w:val="24"/>
        </w:rPr>
        <w:t>phy of the city. Research Paper, 116, University of Chicago.</w:t>
      </w:r>
    </w:p>
    <w:p w:rsidR="00D84BEB" w:rsidRPr="00F757C2" w:rsidRDefault="00D84BEB" w:rsidP="00FE5C66">
      <w:pPr>
        <w:keepNext/>
        <w:spacing w:after="120" w:line="240" w:lineRule="auto"/>
        <w:jc w:val="both"/>
        <w:rPr>
          <w:sz w:val="24"/>
          <w:szCs w:val="24"/>
        </w:rPr>
      </w:pPr>
      <w:r w:rsidRPr="00F757C2">
        <w:rPr>
          <w:sz w:val="24"/>
          <w:szCs w:val="24"/>
        </w:rPr>
        <w:t>MUSIL, J. (1967): Sociologie soudobého města, Praha – Svoboda.</w:t>
      </w:r>
    </w:p>
    <w:p w:rsidR="00D84BEB" w:rsidRPr="00F757C2" w:rsidRDefault="00D84BEB" w:rsidP="00FE5C66">
      <w:pPr>
        <w:keepNext/>
        <w:spacing w:after="120" w:line="240" w:lineRule="auto"/>
        <w:jc w:val="both"/>
        <w:rPr>
          <w:sz w:val="24"/>
          <w:szCs w:val="24"/>
        </w:rPr>
      </w:pPr>
      <w:r w:rsidRPr="00F757C2">
        <w:rPr>
          <w:sz w:val="24"/>
          <w:szCs w:val="24"/>
        </w:rPr>
        <w:t>N</w:t>
      </w:r>
      <w:r w:rsidRPr="00F757C2">
        <w:rPr>
          <w:caps/>
          <w:sz w:val="24"/>
          <w:szCs w:val="24"/>
        </w:rPr>
        <w:t xml:space="preserve">ewman, P. et al. (1996): </w:t>
      </w:r>
      <w:r w:rsidRPr="00F757C2">
        <w:rPr>
          <w:sz w:val="24"/>
          <w:szCs w:val="24"/>
        </w:rPr>
        <w:t xml:space="preserve">Human settlements, In Taylor, R. (Ed.), </w:t>
      </w:r>
      <w:r w:rsidRPr="00F757C2">
        <w:rPr>
          <w:iCs/>
          <w:sz w:val="24"/>
          <w:szCs w:val="24"/>
        </w:rPr>
        <w:t>Australia</w:t>
      </w:r>
      <w:r w:rsidRPr="00F757C2">
        <w:rPr>
          <w:sz w:val="24"/>
          <w:szCs w:val="24"/>
        </w:rPr>
        <w:t xml:space="preserve">: </w:t>
      </w:r>
      <w:r w:rsidRPr="00F757C2">
        <w:rPr>
          <w:iCs/>
          <w:sz w:val="24"/>
          <w:szCs w:val="24"/>
        </w:rPr>
        <w:t>State of Environment</w:t>
      </w:r>
      <w:r w:rsidRPr="00F757C2">
        <w:rPr>
          <w:sz w:val="24"/>
          <w:szCs w:val="24"/>
        </w:rPr>
        <w:t xml:space="preserve">, </w:t>
      </w:r>
      <w:r w:rsidRPr="00F757C2">
        <w:rPr>
          <w:caps/>
          <w:sz w:val="24"/>
          <w:szCs w:val="24"/>
        </w:rPr>
        <w:t xml:space="preserve">csiro </w:t>
      </w:r>
      <w:r w:rsidR="00D10637">
        <w:rPr>
          <w:sz w:val="24"/>
          <w:szCs w:val="24"/>
        </w:rPr>
        <w:t>Publishing, Collingwood, pp. 3–</w:t>
      </w:r>
      <w:r w:rsidRPr="00F757C2">
        <w:rPr>
          <w:sz w:val="24"/>
          <w:szCs w:val="24"/>
        </w:rPr>
        <w:t>57.</w:t>
      </w:r>
    </w:p>
    <w:p w:rsidR="00D84BEB" w:rsidRPr="00F757C2" w:rsidRDefault="00D84BEB" w:rsidP="00FE5C66">
      <w:pPr>
        <w:keepNext/>
        <w:spacing w:after="120" w:line="240" w:lineRule="auto"/>
        <w:jc w:val="both"/>
        <w:rPr>
          <w:sz w:val="24"/>
          <w:szCs w:val="24"/>
        </w:rPr>
      </w:pPr>
      <w:r w:rsidRPr="00F757C2">
        <w:rPr>
          <w:caps/>
          <w:sz w:val="24"/>
          <w:szCs w:val="24"/>
        </w:rPr>
        <w:t>O´Sullivan</w:t>
      </w:r>
      <w:r w:rsidR="00BE7408">
        <w:rPr>
          <w:caps/>
          <w:sz w:val="24"/>
          <w:szCs w:val="24"/>
        </w:rPr>
        <w:t>, A.</w:t>
      </w:r>
      <w:r w:rsidRPr="00F757C2">
        <w:rPr>
          <w:caps/>
          <w:sz w:val="24"/>
          <w:szCs w:val="24"/>
        </w:rPr>
        <w:t xml:space="preserve"> (2009):</w:t>
      </w:r>
      <w:r w:rsidRPr="00F757C2">
        <w:rPr>
          <w:sz w:val="24"/>
          <w:szCs w:val="24"/>
        </w:rPr>
        <w:t xml:space="preserve"> Urban economics, McGraw Hill.</w:t>
      </w:r>
    </w:p>
    <w:p w:rsidR="00D84BEB" w:rsidRPr="00F757C2" w:rsidRDefault="00D84BEB" w:rsidP="00FE5C66">
      <w:pPr>
        <w:keepNext/>
        <w:spacing w:after="120" w:line="240" w:lineRule="auto"/>
        <w:jc w:val="both"/>
        <w:rPr>
          <w:sz w:val="24"/>
          <w:szCs w:val="24"/>
        </w:rPr>
      </w:pPr>
      <w:r w:rsidRPr="00F757C2">
        <w:rPr>
          <w:sz w:val="24"/>
          <w:szCs w:val="24"/>
        </w:rPr>
        <w:t>PAHL, R. (1975): Whose City? And Further Essays on Urban Society. Harmondsworth, Penguin.</w:t>
      </w:r>
    </w:p>
    <w:p w:rsidR="00D84BEB" w:rsidRPr="00F757C2" w:rsidRDefault="00D84BEB" w:rsidP="00FE5C66">
      <w:pPr>
        <w:keepNext/>
        <w:spacing w:after="120" w:line="240" w:lineRule="auto"/>
        <w:jc w:val="both"/>
        <w:rPr>
          <w:sz w:val="24"/>
          <w:szCs w:val="24"/>
        </w:rPr>
      </w:pPr>
      <w:r w:rsidRPr="00F757C2">
        <w:rPr>
          <w:sz w:val="24"/>
          <w:szCs w:val="24"/>
        </w:rPr>
        <w:t>PARK, R. (1936): Human Ecology. The American Journal of Sociology, 42, p</w:t>
      </w:r>
      <w:r w:rsidR="00A55D6E">
        <w:rPr>
          <w:sz w:val="24"/>
          <w:szCs w:val="24"/>
        </w:rPr>
        <w:t>p</w:t>
      </w:r>
      <w:r w:rsidR="00D10637">
        <w:rPr>
          <w:sz w:val="24"/>
          <w:szCs w:val="24"/>
        </w:rPr>
        <w:t>. 1–</w:t>
      </w:r>
      <w:r w:rsidRPr="00F757C2">
        <w:rPr>
          <w:sz w:val="24"/>
          <w:szCs w:val="24"/>
        </w:rPr>
        <w:t>5.</w:t>
      </w:r>
    </w:p>
    <w:p w:rsidR="00D84BEB" w:rsidRPr="00F757C2" w:rsidRDefault="00D84BEB" w:rsidP="00FE5C66">
      <w:pPr>
        <w:keepNext/>
        <w:spacing w:after="120" w:line="240" w:lineRule="auto"/>
        <w:jc w:val="both"/>
        <w:rPr>
          <w:sz w:val="24"/>
          <w:szCs w:val="24"/>
        </w:rPr>
      </w:pPr>
      <w:r w:rsidRPr="00F757C2">
        <w:rPr>
          <w:sz w:val="24"/>
          <w:szCs w:val="24"/>
        </w:rPr>
        <w:t xml:space="preserve">PEARCE, D. W.; TURNER, R. K., </w:t>
      </w:r>
      <w:proofErr w:type="gramStart"/>
      <w:r w:rsidRPr="00F757C2">
        <w:rPr>
          <w:sz w:val="24"/>
          <w:szCs w:val="24"/>
        </w:rPr>
        <w:t>BATEMAN, I.  (1993</w:t>
      </w:r>
      <w:proofErr w:type="gramEnd"/>
      <w:r w:rsidRPr="00F757C2">
        <w:rPr>
          <w:sz w:val="24"/>
          <w:szCs w:val="24"/>
        </w:rPr>
        <w:t xml:space="preserve">): Environmental Economics: An Elementary Introduction. </w:t>
      </w:r>
      <w:proofErr w:type="gramStart"/>
      <w:r w:rsidRPr="00F757C2">
        <w:rPr>
          <w:sz w:val="24"/>
          <w:szCs w:val="24"/>
        </w:rPr>
        <w:t>Baltimore : The</w:t>
      </w:r>
      <w:proofErr w:type="gramEnd"/>
      <w:r w:rsidRPr="00F757C2">
        <w:rPr>
          <w:sz w:val="24"/>
          <w:szCs w:val="24"/>
        </w:rPr>
        <w:t xml:space="preserve"> John Hopkins University Press.</w:t>
      </w:r>
    </w:p>
    <w:p w:rsidR="00D84BEB" w:rsidRPr="00F757C2" w:rsidRDefault="00D84BEB" w:rsidP="00FE5C66">
      <w:pPr>
        <w:keepNext/>
        <w:spacing w:after="120" w:line="240" w:lineRule="auto"/>
        <w:jc w:val="both"/>
        <w:rPr>
          <w:sz w:val="24"/>
          <w:szCs w:val="24"/>
        </w:rPr>
      </w:pPr>
      <w:r w:rsidRPr="00F757C2">
        <w:rPr>
          <w:sz w:val="24"/>
          <w:szCs w:val="24"/>
        </w:rPr>
        <w:t>PIGOU, A. (1920): The Economics of Welfare. London: Macmillan.</w:t>
      </w:r>
    </w:p>
    <w:p w:rsidR="00D84BEB" w:rsidRPr="00F757C2" w:rsidRDefault="00D84BEB" w:rsidP="00FE5C66">
      <w:pPr>
        <w:keepNext/>
        <w:spacing w:after="120" w:line="240" w:lineRule="auto"/>
        <w:jc w:val="both"/>
        <w:rPr>
          <w:sz w:val="24"/>
          <w:szCs w:val="24"/>
        </w:rPr>
      </w:pPr>
      <w:r w:rsidRPr="00F757C2">
        <w:rPr>
          <w:sz w:val="24"/>
          <w:szCs w:val="24"/>
        </w:rPr>
        <w:t>REX, J., MOORE, R. (1967): Race, Community and Conflict: A Study of Sparkbrook, Michigan.</w:t>
      </w:r>
    </w:p>
    <w:p w:rsidR="00D84BEB" w:rsidRPr="00F757C2" w:rsidRDefault="00D84BEB" w:rsidP="00FE5C66">
      <w:pPr>
        <w:keepNext/>
        <w:spacing w:after="120" w:line="240" w:lineRule="auto"/>
        <w:jc w:val="both"/>
        <w:rPr>
          <w:sz w:val="24"/>
          <w:szCs w:val="24"/>
        </w:rPr>
      </w:pPr>
      <w:r w:rsidRPr="00F757C2">
        <w:rPr>
          <w:sz w:val="24"/>
          <w:szCs w:val="24"/>
        </w:rPr>
        <w:t xml:space="preserve">ROTHBARD, M. (2007): Právo, vlastnická práva a znečištění ovzduší. In Čamrová, L. (ed.) Ekonomie a životní prostředí – nepřátelé či spojenci? </w:t>
      </w:r>
      <w:proofErr w:type="gramStart"/>
      <w:r w:rsidRPr="00F757C2">
        <w:rPr>
          <w:sz w:val="24"/>
          <w:szCs w:val="24"/>
        </w:rPr>
        <w:t>Praha : Alfa</w:t>
      </w:r>
      <w:proofErr w:type="gramEnd"/>
      <w:r w:rsidRPr="00F757C2">
        <w:rPr>
          <w:sz w:val="24"/>
          <w:szCs w:val="24"/>
        </w:rPr>
        <w:t xml:space="preserve"> Publishing, s. 241–282. </w:t>
      </w:r>
    </w:p>
    <w:p w:rsidR="00D84BEB" w:rsidRPr="00F757C2" w:rsidRDefault="00D84BEB" w:rsidP="00FE5C66">
      <w:pPr>
        <w:keepNext/>
        <w:spacing w:after="120" w:line="240" w:lineRule="auto"/>
        <w:jc w:val="both"/>
        <w:rPr>
          <w:sz w:val="24"/>
          <w:szCs w:val="24"/>
        </w:rPr>
      </w:pPr>
      <w:r w:rsidRPr="00F757C2">
        <w:rPr>
          <w:caps/>
          <w:sz w:val="24"/>
          <w:szCs w:val="24"/>
        </w:rPr>
        <w:t>Stimson, R., Stough, R., Roberts, B.</w:t>
      </w:r>
      <w:r w:rsidRPr="00F757C2">
        <w:rPr>
          <w:sz w:val="24"/>
          <w:szCs w:val="24"/>
        </w:rPr>
        <w:t xml:space="preserve"> (2006): Regional economic development. Springer-Verlag Berlin-Heodelberg, Second edition.</w:t>
      </w:r>
    </w:p>
    <w:p w:rsidR="00D84BEB" w:rsidRPr="00F757C2" w:rsidRDefault="00D84BEB" w:rsidP="00FE5C66">
      <w:pPr>
        <w:keepNext/>
        <w:spacing w:after="120" w:line="240" w:lineRule="auto"/>
        <w:jc w:val="both"/>
        <w:rPr>
          <w:sz w:val="24"/>
          <w:szCs w:val="24"/>
        </w:rPr>
      </w:pPr>
      <w:r w:rsidRPr="00F757C2">
        <w:rPr>
          <w:sz w:val="24"/>
          <w:szCs w:val="24"/>
        </w:rPr>
        <w:t>SÝKORA, L. (1993): Teoretické přístupy ke studiu města. In Teoretické přístupy a vybrané problémy v současné geografii, Praha, 1993.</w:t>
      </w:r>
    </w:p>
    <w:p w:rsidR="00D84BEB" w:rsidRPr="00F757C2" w:rsidRDefault="00D84BEB" w:rsidP="00FE5C66">
      <w:pPr>
        <w:keepNext/>
        <w:spacing w:after="120" w:line="240" w:lineRule="auto"/>
        <w:jc w:val="both"/>
        <w:rPr>
          <w:sz w:val="24"/>
          <w:szCs w:val="24"/>
        </w:rPr>
      </w:pPr>
      <w:r w:rsidRPr="00F757C2">
        <w:rPr>
          <w:sz w:val="24"/>
          <w:szCs w:val="24"/>
        </w:rPr>
        <w:t>SÝKORA, L. (2001): Klasifikace změn v prostorové struktuře postkomunistických měst. In Acta Facultatis Studiorum Humanitatis et Natur</w:t>
      </w:r>
      <w:r w:rsidR="00BF44B7">
        <w:rPr>
          <w:sz w:val="24"/>
          <w:szCs w:val="24"/>
        </w:rPr>
        <w:t>ae Universitatis Prešoviensis – Folia Geographica, 4, pp. 194–</w:t>
      </w:r>
      <w:r w:rsidRPr="00F757C2">
        <w:rPr>
          <w:sz w:val="24"/>
          <w:szCs w:val="24"/>
        </w:rPr>
        <w:t xml:space="preserve">205. </w:t>
      </w:r>
    </w:p>
    <w:p w:rsidR="00D84BEB" w:rsidRPr="00F757C2" w:rsidRDefault="00D84BEB" w:rsidP="00FE5C66">
      <w:pPr>
        <w:keepNext/>
        <w:spacing w:after="120" w:line="240" w:lineRule="auto"/>
        <w:jc w:val="both"/>
        <w:rPr>
          <w:sz w:val="24"/>
          <w:szCs w:val="24"/>
        </w:rPr>
      </w:pPr>
      <w:r w:rsidRPr="00F757C2">
        <w:rPr>
          <w:sz w:val="24"/>
          <w:szCs w:val="24"/>
        </w:rPr>
        <w:t>VAN DEN BERGH, J. (2000): Ecological Economics: Themes, Approaches, and Differences with Environmental Economics. Tinbergen Institute Discussion Paper, 3, dostupný na http://www.tinbergen.nl/discussionpapers/00080.pdf.</w:t>
      </w:r>
    </w:p>
    <w:p w:rsidR="00D84BEB" w:rsidRPr="00F757C2" w:rsidRDefault="00D84BEB" w:rsidP="00FE5C66">
      <w:pPr>
        <w:keepNext/>
        <w:spacing w:after="120" w:line="240" w:lineRule="auto"/>
        <w:jc w:val="both"/>
        <w:rPr>
          <w:sz w:val="24"/>
          <w:szCs w:val="24"/>
        </w:rPr>
      </w:pPr>
      <w:r w:rsidRPr="00F757C2">
        <w:rPr>
          <w:sz w:val="24"/>
          <w:szCs w:val="24"/>
        </w:rPr>
        <w:t xml:space="preserve">VITURKA, M., PAŘIL, V. (2012): </w:t>
      </w:r>
      <w:bookmarkStart w:id="34" w:name="_Toc328034687"/>
      <w:r w:rsidRPr="00F757C2">
        <w:rPr>
          <w:sz w:val="24"/>
          <w:szCs w:val="24"/>
        </w:rPr>
        <w:t>Hodnocení environmentální dimenze ekonomického rozvoje</w:t>
      </w:r>
      <w:bookmarkEnd w:id="34"/>
      <w:r w:rsidRPr="00F757C2">
        <w:rPr>
          <w:sz w:val="24"/>
          <w:szCs w:val="24"/>
        </w:rPr>
        <w:t>. In KOUTSKÝ, J., RAŠKA P. (editoři)</w:t>
      </w:r>
      <w:r w:rsidR="00BF44B7">
        <w:rPr>
          <w:sz w:val="24"/>
          <w:szCs w:val="24"/>
        </w:rPr>
        <w:t xml:space="preserve">: Výzkum regionálního rozvoje – </w:t>
      </w:r>
      <w:r w:rsidRPr="00F757C2">
        <w:rPr>
          <w:sz w:val="24"/>
          <w:szCs w:val="24"/>
        </w:rPr>
        <w:t>vybraná témata a přístupy. Univerzita J. E. Purkyně.</w:t>
      </w:r>
    </w:p>
    <w:p w:rsidR="00D84BEB" w:rsidRPr="00F757C2" w:rsidRDefault="00D84BEB" w:rsidP="00FE5C66">
      <w:pPr>
        <w:keepNext/>
        <w:spacing w:after="120" w:line="240" w:lineRule="auto"/>
        <w:jc w:val="both"/>
        <w:rPr>
          <w:sz w:val="24"/>
          <w:szCs w:val="24"/>
        </w:rPr>
      </w:pPr>
      <w:r w:rsidRPr="00F757C2">
        <w:rPr>
          <w:sz w:val="24"/>
          <w:szCs w:val="24"/>
        </w:rPr>
        <w:t xml:space="preserve">YOUNG, O. R. (2002): The Institutional Dimensions of Environmental Change – Fit, Interplay and Scale. Cambridge: The MIT Press. </w:t>
      </w:r>
    </w:p>
    <w:p w:rsidR="00A6773B" w:rsidRPr="000D1BF2" w:rsidRDefault="00A6773B" w:rsidP="00FE5C66">
      <w:pPr>
        <w:keepNext/>
        <w:spacing w:after="120" w:line="240" w:lineRule="auto"/>
        <w:jc w:val="both"/>
        <w:rPr>
          <w:rFonts w:asciiTheme="majorHAnsi" w:hAnsiTheme="majorHAnsi"/>
          <w:b/>
          <w:color w:val="0070C0"/>
          <w:sz w:val="24"/>
          <w:szCs w:val="24"/>
          <w:lang w:eastAsia="en-US"/>
        </w:rPr>
      </w:pPr>
      <w:r w:rsidRPr="000D1BF2">
        <w:rPr>
          <w:rFonts w:asciiTheme="majorHAnsi" w:hAnsiTheme="majorHAnsi"/>
          <w:b/>
          <w:color w:val="0070C0"/>
          <w:sz w:val="24"/>
          <w:szCs w:val="24"/>
          <w:lang w:eastAsia="en-US"/>
        </w:rPr>
        <w:t>Ostatní zdroje</w:t>
      </w:r>
    </w:p>
    <w:p w:rsidR="00D84BEB" w:rsidRPr="00F757C2" w:rsidRDefault="00D84BEB" w:rsidP="00FE5C66">
      <w:pPr>
        <w:keepNext/>
        <w:spacing w:after="120" w:line="240" w:lineRule="auto"/>
        <w:jc w:val="both"/>
        <w:rPr>
          <w:sz w:val="24"/>
          <w:szCs w:val="24"/>
          <w:lang w:eastAsia="en-US"/>
        </w:rPr>
      </w:pPr>
      <w:r w:rsidRPr="00F757C2">
        <w:rPr>
          <w:sz w:val="24"/>
          <w:szCs w:val="24"/>
          <w:lang w:eastAsia="en-US"/>
        </w:rPr>
        <w:t xml:space="preserve">Cenová mapa stavebních pozemků města Brna (dostupná na </w:t>
      </w:r>
      <w:hyperlink r:id="rId26" w:history="1">
        <w:r w:rsidRPr="00F757C2">
          <w:rPr>
            <w:rStyle w:val="Hypertextovodkaz"/>
            <w:color w:val="auto"/>
            <w:sz w:val="24"/>
            <w:szCs w:val="24"/>
            <w:u w:val="none"/>
            <w:lang w:eastAsia="en-US"/>
          </w:rPr>
          <w:t>http://gis.brno.cz/tms</w:t>
        </w:r>
      </w:hyperlink>
      <w:r w:rsidRPr="00F757C2">
        <w:rPr>
          <w:sz w:val="24"/>
          <w:szCs w:val="24"/>
          <w:lang w:eastAsia="en-US"/>
        </w:rPr>
        <w:t xml:space="preserve"> /cenovamapa_a/)</w:t>
      </w:r>
    </w:p>
    <w:p w:rsidR="00D84BEB" w:rsidRPr="00F757C2" w:rsidRDefault="00D84BEB" w:rsidP="00FE5C66">
      <w:pPr>
        <w:keepNext/>
        <w:spacing w:after="120" w:line="240" w:lineRule="auto"/>
        <w:jc w:val="both"/>
        <w:rPr>
          <w:sz w:val="24"/>
          <w:szCs w:val="24"/>
          <w:lang w:eastAsia="en-US"/>
        </w:rPr>
      </w:pPr>
      <w:r w:rsidRPr="00F757C2">
        <w:rPr>
          <w:sz w:val="24"/>
          <w:szCs w:val="24"/>
          <w:lang w:eastAsia="en-US"/>
        </w:rPr>
        <w:t>Delta-NEM (specializovaný SW společnosti Diotima).</w:t>
      </w:r>
    </w:p>
    <w:p w:rsidR="00D84BEB" w:rsidRPr="00F757C2" w:rsidRDefault="00D84BEB" w:rsidP="00FE5C66">
      <w:pPr>
        <w:keepNext/>
        <w:spacing w:after="120" w:line="240" w:lineRule="auto"/>
        <w:jc w:val="both"/>
        <w:rPr>
          <w:sz w:val="24"/>
          <w:szCs w:val="24"/>
          <w:lang w:eastAsia="en-US"/>
        </w:rPr>
      </w:pPr>
      <w:r w:rsidRPr="00F757C2">
        <w:rPr>
          <w:sz w:val="24"/>
          <w:szCs w:val="24"/>
          <w:lang w:eastAsia="en-US"/>
        </w:rPr>
        <w:t>Realitní portál sreality.cz (dostupný na http://www.sreality.cz).</w:t>
      </w:r>
    </w:p>
    <w:p w:rsidR="00D84BEB" w:rsidRPr="00F757C2" w:rsidRDefault="00D84BEB" w:rsidP="00FE5C66">
      <w:pPr>
        <w:keepNext/>
        <w:spacing w:after="120" w:line="240" w:lineRule="auto"/>
        <w:jc w:val="both"/>
        <w:rPr>
          <w:sz w:val="24"/>
          <w:szCs w:val="24"/>
          <w:lang w:eastAsia="en-US"/>
        </w:rPr>
      </w:pPr>
      <w:r w:rsidRPr="00F757C2">
        <w:rPr>
          <w:sz w:val="24"/>
          <w:szCs w:val="24"/>
          <w:lang w:eastAsia="en-US"/>
        </w:rPr>
        <w:t xml:space="preserve">Státní fond pro rozvoj bydlení. Mapa nájemného. (dostupná na </w:t>
      </w:r>
      <w:hyperlink r:id="rId27" w:history="1">
        <w:r w:rsidRPr="00F757C2">
          <w:rPr>
            <w:rStyle w:val="Hypertextovodkaz"/>
            <w:color w:val="auto"/>
            <w:sz w:val="24"/>
            <w:szCs w:val="24"/>
            <w:u w:val="none"/>
            <w:lang w:eastAsia="en-US"/>
          </w:rPr>
          <w:t>http://www.sfrb.cz/servis/</w:t>
        </w:r>
      </w:hyperlink>
      <w:r w:rsidRPr="00F757C2">
        <w:rPr>
          <w:sz w:val="24"/>
          <w:szCs w:val="24"/>
          <w:lang w:eastAsia="en-US"/>
        </w:rPr>
        <w:t xml:space="preserve"> mapa-najemneho.html)</w:t>
      </w:r>
    </w:p>
    <w:p w:rsidR="00D84BEB" w:rsidRPr="00F757C2" w:rsidRDefault="00D84BEB" w:rsidP="00FE5C66">
      <w:pPr>
        <w:keepNext/>
        <w:spacing w:after="120" w:line="240" w:lineRule="auto"/>
        <w:jc w:val="both"/>
        <w:rPr>
          <w:sz w:val="24"/>
          <w:szCs w:val="24"/>
          <w:lang w:eastAsia="en-US"/>
        </w:rPr>
      </w:pPr>
      <w:r w:rsidRPr="00F757C2">
        <w:rPr>
          <w:sz w:val="24"/>
          <w:szCs w:val="24"/>
          <w:lang w:eastAsia="en-US"/>
        </w:rPr>
        <w:lastRenderedPageBreak/>
        <w:t>Vyhláška</w:t>
      </w:r>
      <w:r w:rsidRPr="00F757C2">
        <w:rPr>
          <w:rFonts w:ascii="Calibri" w:hAnsi="Calibri"/>
          <w:sz w:val="24"/>
          <w:szCs w:val="24"/>
          <w:lang w:eastAsia="en-US"/>
        </w:rPr>
        <w:t xml:space="preserve"> </w:t>
      </w:r>
      <w:r w:rsidRPr="00F757C2">
        <w:rPr>
          <w:sz w:val="24"/>
          <w:szCs w:val="24"/>
          <w:lang w:eastAsia="en-US"/>
        </w:rPr>
        <w:t>č. 3/2008 Sb., o provedení některých ustanovení zákona č. 151/1997 Sb., o oceňování majetku v platném znění.</w:t>
      </w:r>
    </w:p>
    <w:p w:rsidR="00D84BEB" w:rsidRPr="00F757C2" w:rsidRDefault="00D84BEB" w:rsidP="00FE5C66">
      <w:pPr>
        <w:keepNext/>
        <w:spacing w:after="120" w:line="240" w:lineRule="auto"/>
        <w:jc w:val="both"/>
        <w:rPr>
          <w:sz w:val="24"/>
          <w:szCs w:val="24"/>
          <w:lang w:eastAsia="en-US"/>
        </w:rPr>
      </w:pPr>
      <w:r w:rsidRPr="00F757C2">
        <w:rPr>
          <w:sz w:val="24"/>
          <w:szCs w:val="24"/>
          <w:lang w:eastAsia="en-US"/>
        </w:rPr>
        <w:t>Zákon</w:t>
      </w:r>
      <w:r w:rsidRPr="00F757C2">
        <w:rPr>
          <w:rFonts w:ascii="Calibri" w:hAnsi="Calibri"/>
          <w:sz w:val="24"/>
          <w:szCs w:val="24"/>
          <w:lang w:eastAsia="en-US"/>
        </w:rPr>
        <w:t xml:space="preserve"> </w:t>
      </w:r>
      <w:r w:rsidRPr="00F757C2">
        <w:rPr>
          <w:sz w:val="24"/>
          <w:szCs w:val="24"/>
          <w:lang w:eastAsia="en-US"/>
        </w:rPr>
        <w:t>č. 151/1997 Sb., o oceňování majetku v platném znění.</w:t>
      </w:r>
    </w:p>
    <w:p w:rsidR="00D84BEB" w:rsidRPr="006037E8" w:rsidRDefault="00D84BEB" w:rsidP="00890421">
      <w:pPr>
        <w:pStyle w:val="01-Nadpis1"/>
      </w:pPr>
      <w:r w:rsidRPr="00F757C2">
        <w:rPr>
          <w:color w:val="0000FF"/>
        </w:rPr>
        <w:br w:type="page"/>
      </w:r>
      <w:bookmarkStart w:id="35" w:name="_Toc382327188"/>
      <w:r w:rsidRPr="00C82061">
        <w:lastRenderedPageBreak/>
        <w:t>2</w:t>
      </w:r>
      <w:r w:rsidRPr="006037E8">
        <w:t>.</w:t>
      </w:r>
      <w:r>
        <w:t xml:space="preserve"> Mikroregionální </w:t>
      </w:r>
      <w:r w:rsidRPr="006037E8">
        <w:t>úroveň rozvoje</w:t>
      </w:r>
      <w:bookmarkEnd w:id="35"/>
    </w:p>
    <w:p w:rsidR="00D84BEB" w:rsidRPr="00E80574" w:rsidRDefault="00D84BEB" w:rsidP="00890421">
      <w:pPr>
        <w:pStyle w:val="02-Nadpis2"/>
        <w:rPr>
          <w:i/>
          <w:iCs/>
        </w:rPr>
      </w:pPr>
      <w:bookmarkStart w:id="36" w:name="_Toc382327189"/>
      <w:r>
        <w:t>2</w:t>
      </w:r>
      <w:r w:rsidRPr="00E80574">
        <w:t>.</w:t>
      </w:r>
      <w:r>
        <w:t>1</w:t>
      </w:r>
      <w:r w:rsidRPr="00E80574">
        <w:t xml:space="preserve">. </w:t>
      </w:r>
      <w:r>
        <w:t>Úvodní poznámky</w:t>
      </w:r>
      <w:bookmarkEnd w:id="36"/>
    </w:p>
    <w:p w:rsidR="00B24627" w:rsidRPr="00F757C2" w:rsidRDefault="00B24627" w:rsidP="00423120">
      <w:pPr>
        <w:pStyle w:val="05-Text"/>
      </w:pPr>
      <w:r w:rsidRPr="00F757C2">
        <w:t xml:space="preserve">Regiony jsou obecně považovány za skladební jednotky vyšších územních celků, představovaných jednotlivými státy </w:t>
      </w:r>
      <w:r w:rsidRPr="00F757C2">
        <w:rPr>
          <w:rStyle w:val="Znakapoznpodarou"/>
        </w:rPr>
        <w:footnoteReference w:id="11"/>
      </w:r>
      <w:r w:rsidRPr="00F757C2">
        <w:t>. Z pohledu hierarchie společenských systémů je lze chápat jako určitý mezistupeň mezi makroekonomickou úrovní státu a lokální úrovní městských a venkovských obcí. V rámci ekonomických věd se regiony a jejich rozvojem zabývá regionální ekonomie, z dalších věd pak zejména ekonomická geografie a územní (prostorové) plánování. Kromě uvedených věd má regionální ekonomie pochopitelně významné vazby i na již zmíněnou urbanistickou ekonomii.</w:t>
      </w:r>
    </w:p>
    <w:p w:rsidR="00B24627" w:rsidRPr="00F757C2" w:rsidRDefault="00B24627" w:rsidP="00423120">
      <w:pPr>
        <w:pStyle w:val="05-Text"/>
      </w:pPr>
      <w:r w:rsidRPr="00F757C2">
        <w:t xml:space="preserve">Aplikace </w:t>
      </w:r>
      <w:r w:rsidR="00060793">
        <w:t xml:space="preserve">výše </w:t>
      </w:r>
      <w:r w:rsidRPr="00F757C2">
        <w:t>uvedené definice regionální hierarchické úrovně je komplikována řadou otázek, týkajících se zejména jasného odlišení regionální o</w:t>
      </w:r>
      <w:r w:rsidR="00D449D4">
        <w:t>d lokální hierarchické úrovně a </w:t>
      </w:r>
      <w:r w:rsidRPr="00F757C2">
        <w:t xml:space="preserve">vymezení jednotlivých úrovní regionů. Řešení první </w:t>
      </w:r>
      <w:r w:rsidR="00060793">
        <w:t xml:space="preserve">z nich </w:t>
      </w:r>
      <w:r>
        <w:t>vychází z</w:t>
      </w:r>
      <w:r w:rsidR="00D449D4">
        <w:t> </w:t>
      </w:r>
      <w:r w:rsidRPr="00F757C2">
        <w:t>administrativního vymezení obcí</w:t>
      </w:r>
      <w:r>
        <w:t xml:space="preserve"> (k</w:t>
      </w:r>
      <w:r w:rsidRPr="00F757C2">
        <w:t xml:space="preserve">teré ovšem nemusí plně korespondovat s jejich urbanistickým rozvojem </w:t>
      </w:r>
      <w:r>
        <w:t xml:space="preserve">– </w:t>
      </w:r>
      <w:r w:rsidRPr="00F757C2">
        <w:t>viz např. rozšiřování měst prostřednictvím suburbanizačních procesů)</w:t>
      </w:r>
      <w:r>
        <w:t xml:space="preserve"> a vyšších územně-správních celků</w:t>
      </w:r>
      <w:r w:rsidRPr="00F757C2">
        <w:t xml:space="preserve">. Zajišťování racionálního ekonomického rozvoje </w:t>
      </w:r>
      <w:r>
        <w:t>totiž</w:t>
      </w:r>
      <w:r w:rsidRPr="00F757C2">
        <w:t xml:space="preserve"> přesahuje administrativní hranice obcí, čímž vzniká potřeba širší</w:t>
      </w:r>
      <w:r w:rsidR="00275DD2">
        <w:t>,</w:t>
      </w:r>
      <w:r w:rsidRPr="00F757C2">
        <w:t xml:space="preserve"> tj. regionální koordinace relevantních rozvojových záměrů. V tomto kontextu představují základní (elementární) regionální úroveň tzv. nodální regiony utvářené vazbami centrum – zázemí, v jejichž rámci hrají klíčovou roli dojížďka do zaměstná</w:t>
      </w:r>
      <w:r w:rsidR="00C35E3D">
        <w:t>ní a dále dojížďka do škol a za </w:t>
      </w:r>
      <w:r w:rsidRPr="00F757C2">
        <w:t>službami. Tyto regiony se vzhledem k jejich obvykle nevelkému územnímu rozsahu označují jako mikroregiony.</w:t>
      </w:r>
    </w:p>
    <w:p w:rsidR="00D84BEB" w:rsidRPr="00A91347" w:rsidRDefault="00D84BEB" w:rsidP="00890421">
      <w:pPr>
        <w:pStyle w:val="02-Nadpis2"/>
      </w:pPr>
      <w:bookmarkStart w:id="37" w:name="_Toc382327190"/>
      <w:r w:rsidRPr="00A91347">
        <w:t>2.2. Kvalita podnikatelského a sociálního prostředí</w:t>
      </w:r>
      <w:bookmarkEnd w:id="37"/>
      <w:r w:rsidRPr="00A91347">
        <w:t xml:space="preserve"> </w:t>
      </w:r>
    </w:p>
    <w:p w:rsidR="00B24627" w:rsidRPr="00C02798" w:rsidRDefault="00B24627" w:rsidP="00423120">
      <w:pPr>
        <w:pStyle w:val="05-Text"/>
        <w:rPr>
          <w:rFonts w:cs="TimesNewRomanPSMT"/>
          <w:szCs w:val="20"/>
        </w:rPr>
      </w:pPr>
      <w:r w:rsidRPr="00F757C2">
        <w:t>Regiony lze, podobně jako státy nebo města (příp. v</w:t>
      </w:r>
      <w:r w:rsidR="00C35E3D">
        <w:t>enkovské obce) analyzovat podle </w:t>
      </w:r>
      <w:r w:rsidRPr="00F757C2">
        <w:t xml:space="preserve">různých hledisek. Z ekonomického pohledu lze v tomto směru považovat za klíčovou analýzu podmínek pro rozvoj podnikatelských aktivit. Za nejstarší metodu jejich hodnocení lze považovat lokalizační modely. </w:t>
      </w:r>
      <w:r w:rsidRPr="00F757C2">
        <w:rPr>
          <w:rFonts w:cs="TimesNewRomanPSMT"/>
          <w:szCs w:val="20"/>
        </w:rPr>
        <w:t xml:space="preserve">Jejich výchozí premisu je možné shrnout do konstatování, že objem ekonomického výstupu </w:t>
      </w:r>
      <w:r>
        <w:rPr>
          <w:rFonts w:cs="TimesNewRomanPSMT"/>
          <w:szCs w:val="20"/>
        </w:rPr>
        <w:t xml:space="preserve">v určitém území </w:t>
      </w:r>
      <w:r w:rsidRPr="00F757C2">
        <w:rPr>
          <w:rFonts w:cs="TimesNewRomanPSMT"/>
          <w:szCs w:val="20"/>
        </w:rPr>
        <w:t>koresponduje s</w:t>
      </w:r>
      <w:r>
        <w:rPr>
          <w:rFonts w:cs="TimesNewRomanPSMT"/>
          <w:szCs w:val="20"/>
        </w:rPr>
        <w:t xml:space="preserve"> relevantním </w:t>
      </w:r>
      <w:r w:rsidRPr="00F757C2">
        <w:rPr>
          <w:rFonts w:cs="TimesNewRomanPSMT"/>
          <w:szCs w:val="20"/>
        </w:rPr>
        <w:t>objemem disponibilních výrobních faktorů, jejichž omez</w:t>
      </w:r>
      <w:r w:rsidRPr="00C02798">
        <w:rPr>
          <w:rFonts w:cs="TimesNewRomanPSMT"/>
          <w:szCs w:val="20"/>
        </w:rPr>
        <w:t xml:space="preserve">ená prostorová mobilita </w:t>
      </w:r>
      <w:r>
        <w:rPr>
          <w:rFonts w:cs="TimesNewRomanPSMT"/>
          <w:szCs w:val="20"/>
        </w:rPr>
        <w:t xml:space="preserve">pak </w:t>
      </w:r>
      <w:r w:rsidRPr="00C02798">
        <w:rPr>
          <w:rFonts w:cs="TimesNewRomanPSMT"/>
          <w:szCs w:val="20"/>
        </w:rPr>
        <w:t xml:space="preserve">determinuje vytváření územně specifických ekonomických struktur. Hlavním cílem těchto modelů je nalézt </w:t>
      </w:r>
      <w:r>
        <w:rPr>
          <w:rFonts w:cs="TimesNewRomanPSMT"/>
          <w:szCs w:val="20"/>
        </w:rPr>
        <w:t>rozhodující</w:t>
      </w:r>
      <w:r w:rsidRPr="00C02798">
        <w:rPr>
          <w:rFonts w:cs="TimesNewRomanPSMT"/>
          <w:szCs w:val="20"/>
        </w:rPr>
        <w:t xml:space="preserve"> faktory podmiňující lokalizaci ekonomických aktivit a</w:t>
      </w:r>
      <w:r>
        <w:rPr>
          <w:rFonts w:cs="TimesNewRomanPSMT"/>
          <w:szCs w:val="20"/>
        </w:rPr>
        <w:t xml:space="preserve"> v souladu s tím je </w:t>
      </w:r>
      <w:r w:rsidRPr="00C02798">
        <w:rPr>
          <w:rFonts w:cs="TimesNewRomanPSMT"/>
          <w:szCs w:val="20"/>
        </w:rPr>
        <w:t xml:space="preserve">jejich aplikace zaměřena </w:t>
      </w:r>
      <w:r>
        <w:rPr>
          <w:rFonts w:cs="TimesNewRomanPSMT"/>
          <w:szCs w:val="20"/>
        </w:rPr>
        <w:t xml:space="preserve">na zhodnocení vybavenosti území vybranými </w:t>
      </w:r>
      <w:r w:rsidRPr="00C02798">
        <w:rPr>
          <w:rFonts w:cs="TimesNewRomanPSMT"/>
          <w:szCs w:val="20"/>
        </w:rPr>
        <w:t xml:space="preserve">výrobními faktory včetně </w:t>
      </w:r>
      <w:r>
        <w:rPr>
          <w:rFonts w:cs="TimesNewRomanPSMT"/>
          <w:szCs w:val="20"/>
        </w:rPr>
        <w:t>ekonomických efektů</w:t>
      </w:r>
      <w:r w:rsidRPr="00C02798">
        <w:rPr>
          <w:rFonts w:cs="TimesNewRomanPSMT"/>
          <w:szCs w:val="20"/>
        </w:rPr>
        <w:t xml:space="preserve"> spojených s jejich využitím</w:t>
      </w:r>
      <w:r w:rsidR="00BA6F21">
        <w:rPr>
          <w:rFonts w:cs="TimesNewRomanPSMT"/>
          <w:szCs w:val="20"/>
        </w:rPr>
        <w:t>,</w:t>
      </w:r>
      <w:r w:rsidRPr="00C02798">
        <w:rPr>
          <w:rFonts w:cs="TimesNewRomanPSMT"/>
          <w:szCs w:val="20"/>
        </w:rPr>
        <w:t xml:space="preserve"> resp. aktivací. </w:t>
      </w:r>
      <w:r>
        <w:rPr>
          <w:rFonts w:cs="TimesNewRomanPSMT"/>
          <w:szCs w:val="20"/>
        </w:rPr>
        <w:t xml:space="preserve">V tomto kontextu lze konstatovat, </w:t>
      </w:r>
      <w:r w:rsidRPr="00C02798">
        <w:rPr>
          <w:rFonts w:cs="TimesNewRomanPSMT"/>
          <w:szCs w:val="20"/>
        </w:rPr>
        <w:t xml:space="preserve">že úroveň bohatství regionů se odvíjí </w:t>
      </w:r>
      <w:r>
        <w:rPr>
          <w:rFonts w:cs="TimesNewRomanPSMT"/>
          <w:szCs w:val="20"/>
        </w:rPr>
        <w:t>od</w:t>
      </w:r>
      <w:r w:rsidRPr="00C02798">
        <w:rPr>
          <w:rFonts w:cs="TimesNewRomanPSMT"/>
          <w:szCs w:val="20"/>
        </w:rPr>
        <w:t xml:space="preserve"> výnosů výrobních faktorů.</w:t>
      </w:r>
    </w:p>
    <w:p w:rsidR="00A6773B" w:rsidRDefault="00B24627" w:rsidP="00423120">
      <w:pPr>
        <w:pStyle w:val="05-Text"/>
      </w:pPr>
      <w:r w:rsidRPr="00E30B5F">
        <w:t>Nejvýznamnější oblast aplikace lokalizačních modelů bezesporu představuje průmyslová výroba. Z významných auto</w:t>
      </w:r>
      <w:r>
        <w:t>rů (podrobněji viz např. McCann</w:t>
      </w:r>
      <w:r w:rsidRPr="00E30B5F">
        <w:t>, 2009</w:t>
      </w:r>
      <w:r>
        <w:t>; Blažek, Uhlíř, 2002</w:t>
      </w:r>
      <w:r w:rsidRPr="00E30B5F">
        <w:t xml:space="preserve">) je potřebné uvést především A. Webera. Jeho model vychází ze standardního mikroekonomického předpokladu, že hlavním cílem firem je maximalizace zisku. Plnění tohoto cíle pak úzce souvisí s lokalizací firmy, za jejíž hlavní optimalizační faktor jsou </w:t>
      </w:r>
      <w:r w:rsidRPr="004A4A72">
        <w:lastRenderedPageBreak/>
        <w:t>pokládány náklady na dopravu surovin (</w:t>
      </w:r>
      <w:r>
        <w:t xml:space="preserve">včetně </w:t>
      </w:r>
      <w:r w:rsidRPr="004A4A72">
        <w:t>meziproduktů</w:t>
      </w:r>
      <w:r w:rsidR="00C35E3D">
        <w:t>) do firmy a hotových výrobků z </w:t>
      </w:r>
      <w:r w:rsidRPr="004A4A72">
        <w:t>firmy na trh. Ostatní faktory</w:t>
      </w:r>
      <w:r w:rsidRPr="00E30B5F">
        <w:t xml:space="preserve">, např. cena práce a cena nemovitostí, jsou v původním modelu považovány za homogenní (Weberův přístup </w:t>
      </w:r>
      <w:r w:rsidRPr="00033A05">
        <w:t xml:space="preserve">však umožňuje modelovat i odpovídající vlivy generované rozdílnými cenami těchto vstupů). Kromě všeobecných omezení vypovídací schopnosti modelu vyplývajících již ze samotné inkorporace výchozích předpokladů neoklasické teorie je potřebné poznamenat, že podíl dopravních nákladů na celkových nákladech průmyslových firem je ve skutečnosti nepříliš významný (obvykle nepřesahují hranici 5 %). </w:t>
      </w:r>
      <w:r w:rsidRPr="00E30B5F">
        <w:t xml:space="preserve">Další </w:t>
      </w:r>
      <w:r>
        <w:t xml:space="preserve">významný </w:t>
      </w:r>
      <w:r w:rsidRPr="00E30B5F">
        <w:t xml:space="preserve">nedostatek </w:t>
      </w:r>
      <w:r>
        <w:t xml:space="preserve">modelu </w:t>
      </w:r>
      <w:r w:rsidRPr="00E30B5F">
        <w:t>vyplývající ze zavedeného nereálného předpokladu stabilního poměru ceny vstupů a výstupů se pokusil odstranit L. Moses, jehož model klade důraz na substituci vstupů (motivovanou především úsporou nákladů) a její potenciální vlivy na lokalizaci průmyslových firem, které korespondují s </w:t>
      </w:r>
      <w:r w:rsidRPr="008D7B65">
        <w:t>mírou elasticity této substituce. Mosesův model</w:t>
      </w:r>
      <w:r>
        <w:t xml:space="preserve"> ovšem zároveň</w:t>
      </w:r>
      <w:r w:rsidRPr="008D7B65">
        <w:t xml:space="preserve"> zdůrazňuje značnou inercii lokalizace firem, což koresponduje s výsledky empirických analýz – firmy obvykle přistupují ke změně lokalizace až po vyčerpání ostatních možností udržení</w:t>
      </w:r>
      <w:r w:rsidR="00BA6F21">
        <w:t>,</w:t>
      </w:r>
      <w:r w:rsidRPr="008D7B65">
        <w:t xml:space="preserve"> resp. zvýšení jejich konkurenceschopnosti. Z dalších autorů je potřebné zmínit T. Palandera, k</w:t>
      </w:r>
      <w:r w:rsidR="00C35E3D">
        <w:t>terý ve svém modelu poukázal na </w:t>
      </w:r>
      <w:r w:rsidRPr="008D7B65">
        <w:t xml:space="preserve">významný vliv lokalizace </w:t>
      </w:r>
      <w:r w:rsidRPr="00E30B5F">
        <w:t>na monopolní sílu firem</w:t>
      </w:r>
      <w:r>
        <w:t xml:space="preserve"> </w:t>
      </w:r>
      <w:r w:rsidRPr="00E30B5F">
        <w:t>generov</w:t>
      </w:r>
      <w:r>
        <w:t>aný</w:t>
      </w:r>
      <w:r w:rsidRPr="00E30B5F">
        <w:t xml:space="preserve"> </w:t>
      </w:r>
      <w:r>
        <w:t xml:space="preserve">úrovní </w:t>
      </w:r>
      <w:r w:rsidRPr="00E30B5F">
        <w:t>dopravní</w:t>
      </w:r>
      <w:r>
        <w:t>ch</w:t>
      </w:r>
      <w:r w:rsidRPr="00E30B5F">
        <w:t xml:space="preserve"> náklad</w:t>
      </w:r>
      <w:r>
        <w:t>ů</w:t>
      </w:r>
      <w:r w:rsidRPr="00E30B5F">
        <w:t xml:space="preserve">. Lokalizace je </w:t>
      </w:r>
      <w:r>
        <w:t>v jeho modelu</w:t>
      </w:r>
      <w:r w:rsidRPr="00E30B5F">
        <w:t xml:space="preserve"> chápána nikoliv jako pouhý bod v prostoru, ale </w:t>
      </w:r>
      <w:r>
        <w:t xml:space="preserve">jako </w:t>
      </w:r>
      <w:r w:rsidRPr="00E74130">
        <w:t xml:space="preserve">tržní prostor </w:t>
      </w:r>
      <w:r>
        <w:t xml:space="preserve">jednotlivých </w:t>
      </w:r>
      <w:r w:rsidRPr="00E74130">
        <w:t>firem –</w:t>
      </w:r>
      <w:r>
        <w:t xml:space="preserve"> </w:t>
      </w:r>
      <w:r w:rsidRPr="00E74130">
        <w:t xml:space="preserve">tento přístup </w:t>
      </w:r>
      <w:r>
        <w:t>do značné míry</w:t>
      </w:r>
      <w:r w:rsidRPr="00E74130">
        <w:t xml:space="preserve"> koresponduje s regionalistickým přístupem k ekonomickému rozvoji. Toto pojetí dále rozšiřuje mod</w:t>
      </w:r>
      <w:r w:rsidR="00C35E3D">
        <w:t>el H. Hotellinga orientovaný na </w:t>
      </w:r>
      <w:r w:rsidRPr="00E74130">
        <w:t xml:space="preserve">necenovou konkurenci firem </w:t>
      </w:r>
      <w:r>
        <w:t xml:space="preserve">(např. kvalitou produkce) </w:t>
      </w:r>
      <w:r w:rsidRPr="00E74130">
        <w:t>a její vliv</w:t>
      </w:r>
      <w:r>
        <w:t>y</w:t>
      </w:r>
      <w:r w:rsidRPr="00E74130">
        <w:t xml:space="preserve"> na lokalizaci, kter</w:t>
      </w:r>
      <w:r>
        <w:t>ý</w:t>
      </w:r>
      <w:r w:rsidRPr="00E74130">
        <w:t xml:space="preserve"> </w:t>
      </w:r>
      <w:r>
        <w:t>je možné</w:t>
      </w:r>
      <w:r w:rsidRPr="00E74130">
        <w:t xml:space="preserve"> chápat i jako jeden z prvních příspěvků k v současnosti intenzivně diskutované problemati</w:t>
      </w:r>
      <w:r>
        <w:t>ce</w:t>
      </w:r>
      <w:r w:rsidRPr="00E74130">
        <w:t xml:space="preserve"> formování tzv. podnikatelských klastrů. </w:t>
      </w:r>
    </w:p>
    <w:p w:rsidR="00B24627" w:rsidRPr="00A942DE" w:rsidRDefault="00B24627" w:rsidP="00423120">
      <w:pPr>
        <w:pStyle w:val="05-Text"/>
        <w:rPr>
          <w:rFonts w:cs="TimesNewRomanPSMT"/>
          <w:color w:val="7030A0"/>
          <w:szCs w:val="20"/>
        </w:rPr>
      </w:pPr>
      <w:r w:rsidRPr="00E74130">
        <w:t xml:space="preserve">K výše uvedeným modelům je potřebné poznamenat, že zavedený </w:t>
      </w:r>
      <w:r>
        <w:t xml:space="preserve">všeobecný </w:t>
      </w:r>
      <w:r w:rsidRPr="00E74130">
        <w:t xml:space="preserve">předpoklad </w:t>
      </w:r>
      <w:r w:rsidRPr="00223411">
        <w:t>maximalizace zisku byl podroben silné kritice z pozice behaviorální a rovněž evoluční ekonomie</w:t>
      </w:r>
      <w:r>
        <w:t xml:space="preserve"> (McCann</w:t>
      </w:r>
      <w:r w:rsidRPr="00E30B5F">
        <w:t>, 2009</w:t>
      </w:r>
      <w:r>
        <w:t xml:space="preserve">). </w:t>
      </w:r>
      <w:r w:rsidRPr="00223411">
        <w:t xml:space="preserve">V tomto kontextu jsou zdůrazňovány především omezená racionalita, konfliktní cíle a relokační </w:t>
      </w:r>
      <w:r w:rsidRPr="00E74130">
        <w:t xml:space="preserve">náklady na přestěhování firem. Omezená racionalita </w:t>
      </w:r>
      <w:r>
        <w:t>neoklasicky založených</w:t>
      </w:r>
      <w:r w:rsidRPr="00E74130">
        <w:t xml:space="preserve"> modelů vyplývá z limitovan</w:t>
      </w:r>
      <w:r>
        <w:t>ých</w:t>
      </w:r>
      <w:r w:rsidRPr="00E74130">
        <w:t xml:space="preserve"> inform</w:t>
      </w:r>
      <w:r>
        <w:t>ací</w:t>
      </w:r>
      <w:r w:rsidRPr="00E74130">
        <w:t xml:space="preserve"> firem</w:t>
      </w:r>
      <w:r>
        <w:t xml:space="preserve">, což </w:t>
      </w:r>
      <w:r w:rsidRPr="00E74130">
        <w:t>znesnadňuj</w:t>
      </w:r>
      <w:r>
        <w:t xml:space="preserve">e </w:t>
      </w:r>
      <w:r w:rsidRPr="00E74130">
        <w:t xml:space="preserve">přímou orientaci </w:t>
      </w:r>
      <w:r>
        <w:t xml:space="preserve">lokalizačních rozhodnutí </w:t>
      </w:r>
      <w:r w:rsidRPr="00E74130">
        <w:t>na maximalizaci zisku</w:t>
      </w:r>
      <w:r w:rsidR="00C35E3D">
        <w:t>. Změny v </w:t>
      </w:r>
      <w:r w:rsidRPr="00E74130">
        <w:t>lokalizac</w:t>
      </w:r>
      <w:r>
        <w:t>i</w:t>
      </w:r>
      <w:r w:rsidRPr="00E74130">
        <w:t xml:space="preserve"> </w:t>
      </w:r>
      <w:r>
        <w:t xml:space="preserve">firem jsou tak </w:t>
      </w:r>
      <w:r w:rsidRPr="00E74130">
        <w:t>motivov</w:t>
      </w:r>
      <w:r>
        <w:t>ány</w:t>
      </w:r>
      <w:r w:rsidRPr="00E74130">
        <w:t xml:space="preserve"> spíše jinými cíli (např. zvýšení</w:t>
      </w:r>
      <w:r>
        <w:t>m</w:t>
      </w:r>
      <w:r w:rsidRPr="00E74130">
        <w:t xml:space="preserve"> tržeb)</w:t>
      </w:r>
      <w:r>
        <w:t>.</w:t>
      </w:r>
      <w:r w:rsidRPr="00E74130">
        <w:t xml:space="preserve"> Existence konfliktních cílů</w:t>
      </w:r>
      <w:r>
        <w:t xml:space="preserve"> pak vychází </w:t>
      </w:r>
      <w:r w:rsidRPr="00E74130">
        <w:t xml:space="preserve">z partikulárních zájmů vznikajících v rámci </w:t>
      </w:r>
      <w:r>
        <w:t xml:space="preserve">jednotlivých </w:t>
      </w:r>
      <w:r w:rsidRPr="00E74130">
        <w:t>firem (např. rozdílné zájmy managementu a akcionářů firm</w:t>
      </w:r>
      <w:r>
        <w:t>y</w:t>
      </w:r>
      <w:r w:rsidRPr="00E74130">
        <w:t>). Pokud jde o relokační náklady</w:t>
      </w:r>
      <w:r w:rsidR="00696A9C">
        <w:t>,</w:t>
      </w:r>
      <w:r w:rsidRPr="00E74130">
        <w:t xml:space="preserve"> lze konstatovat, že v neoklasických modelech </w:t>
      </w:r>
      <w:r w:rsidRPr="00B92E11">
        <w:t xml:space="preserve">jsou </w:t>
      </w:r>
      <w:r>
        <w:t xml:space="preserve">tyto náklady vesměs </w:t>
      </w:r>
      <w:r w:rsidRPr="00B92E11">
        <w:t xml:space="preserve">opomíjeny </w:t>
      </w:r>
      <w:r>
        <w:t>příp</w:t>
      </w:r>
      <w:r w:rsidRPr="00B92E11">
        <w:t>. podceňovány, ačkoliv jejich výše pochopitelně není v praxi zanedbatelná (tato skutečnost výrazně snižuje mobilitu zejména menších firem</w:t>
      </w:r>
      <w:r>
        <w:t>, které se tak ve svém rozhodování často řídí odpovídajícím chováním velkých firem</w:t>
      </w:r>
      <w:r w:rsidRPr="00B92E11">
        <w:t xml:space="preserve">). </w:t>
      </w:r>
      <w:r w:rsidRPr="00EC6436">
        <w:t xml:space="preserve">Podle evoluční ekonomie by lokalizace firem měla být primárně zkoumána ve vztahu k okolnímu </w:t>
      </w:r>
      <w:r w:rsidRPr="00B92E11">
        <w:t xml:space="preserve">prostředí, které lze </w:t>
      </w:r>
      <w:r>
        <w:t xml:space="preserve">obecně </w:t>
      </w:r>
      <w:r w:rsidRPr="00B92E11">
        <w:t>chápat jako výsledek konkurenčních i kooperačních vztahů firem</w:t>
      </w:r>
      <w:r>
        <w:t xml:space="preserve"> (determinujících jejich </w:t>
      </w:r>
      <w:r w:rsidRPr="00B92E11">
        <w:t>adaptac</w:t>
      </w:r>
      <w:r>
        <w:t>i</w:t>
      </w:r>
      <w:r w:rsidR="00C35E3D">
        <w:t xml:space="preserve"> na </w:t>
      </w:r>
      <w:r w:rsidRPr="00B92E11">
        <w:t xml:space="preserve">vývojové změny </w:t>
      </w:r>
      <w:r>
        <w:t xml:space="preserve">podnikatelského </w:t>
      </w:r>
      <w:r w:rsidRPr="00B92E11">
        <w:t>prostředí</w:t>
      </w:r>
      <w:r>
        <w:t>)</w:t>
      </w:r>
      <w:r w:rsidRPr="00B92E11">
        <w:t xml:space="preserve"> a </w:t>
      </w:r>
      <w:r>
        <w:t xml:space="preserve">dále interakcí firem </w:t>
      </w:r>
      <w:r w:rsidRPr="00B92E11">
        <w:t>s </w:t>
      </w:r>
      <w:r>
        <w:t>ostatními</w:t>
      </w:r>
      <w:r w:rsidRPr="00B92E11">
        <w:t xml:space="preserve"> </w:t>
      </w:r>
      <w:r>
        <w:t xml:space="preserve">subjekty, zejména </w:t>
      </w:r>
      <w:r w:rsidRPr="00B92E11">
        <w:t>institucem</w:t>
      </w:r>
      <w:r>
        <w:t>i veřejné správy</w:t>
      </w:r>
      <w:r w:rsidRPr="00B92E11">
        <w:t xml:space="preserve">. </w:t>
      </w:r>
      <w:r>
        <w:t>Z celkového pohledu lze podle</w:t>
      </w:r>
      <w:r w:rsidRPr="00B92E11">
        <w:rPr>
          <w:rFonts w:cs="TimesNewRomanPSMT"/>
          <w:szCs w:val="20"/>
        </w:rPr>
        <w:t xml:space="preserve"> Massey (1979) obecně rozlišovat čtyři základní typy lokalizačních modelů: </w:t>
      </w:r>
      <w:r>
        <w:rPr>
          <w:rFonts w:cs="TimesNewRomanPSMT"/>
          <w:szCs w:val="20"/>
        </w:rPr>
        <w:t>modely orientované na</w:t>
      </w:r>
      <w:r w:rsidRPr="00B92E11">
        <w:rPr>
          <w:rFonts w:cs="TimesNewRomanPSMT"/>
          <w:szCs w:val="20"/>
        </w:rPr>
        <w:t xml:space="preserve"> lokalizační rozhodování firem, </w:t>
      </w:r>
      <w:r>
        <w:rPr>
          <w:rFonts w:cs="TimesNewRomanPSMT"/>
          <w:szCs w:val="20"/>
        </w:rPr>
        <w:t xml:space="preserve">modely orientované na </w:t>
      </w:r>
      <w:r w:rsidRPr="00B92E11">
        <w:rPr>
          <w:rFonts w:cs="TimesNewRomanPSMT"/>
          <w:szCs w:val="20"/>
        </w:rPr>
        <w:t xml:space="preserve">zkoumání vzájemných závislostí lokalizačních rozhodnutí, </w:t>
      </w:r>
      <w:r>
        <w:rPr>
          <w:rFonts w:cs="TimesNewRomanPSMT"/>
          <w:szCs w:val="20"/>
        </w:rPr>
        <w:t xml:space="preserve">modely orientované na </w:t>
      </w:r>
      <w:r w:rsidRPr="00B92E11">
        <w:rPr>
          <w:rFonts w:cs="TimesNewRomanPSMT"/>
          <w:szCs w:val="20"/>
        </w:rPr>
        <w:t>analýz</w:t>
      </w:r>
      <w:r>
        <w:rPr>
          <w:rFonts w:cs="TimesNewRomanPSMT"/>
          <w:szCs w:val="20"/>
        </w:rPr>
        <w:t>u</w:t>
      </w:r>
      <w:r w:rsidRPr="00B92E11">
        <w:rPr>
          <w:rFonts w:cs="TimesNewRomanPSMT"/>
          <w:szCs w:val="20"/>
        </w:rPr>
        <w:t xml:space="preserve"> behaviorálních aspektů lokalizace a </w:t>
      </w:r>
      <w:r>
        <w:rPr>
          <w:rFonts w:cs="TimesNewRomanPSMT"/>
          <w:szCs w:val="20"/>
        </w:rPr>
        <w:t xml:space="preserve">modely orientované na </w:t>
      </w:r>
      <w:r w:rsidRPr="00B92E11">
        <w:rPr>
          <w:rFonts w:cs="TimesNewRomanPSMT"/>
          <w:szCs w:val="20"/>
        </w:rPr>
        <w:t>syntéz</w:t>
      </w:r>
      <w:r>
        <w:rPr>
          <w:rFonts w:cs="TimesNewRomanPSMT"/>
          <w:szCs w:val="20"/>
        </w:rPr>
        <w:t>u</w:t>
      </w:r>
      <w:r w:rsidRPr="00B92E11">
        <w:rPr>
          <w:rFonts w:cs="TimesNewRomanPSMT"/>
          <w:szCs w:val="20"/>
        </w:rPr>
        <w:t xml:space="preserve"> prostorového uspořádání ekonomiky.</w:t>
      </w:r>
    </w:p>
    <w:p w:rsidR="00B24627" w:rsidRDefault="00B24627" w:rsidP="00423120">
      <w:pPr>
        <w:pStyle w:val="05-Text"/>
      </w:pPr>
      <w:r>
        <w:lastRenderedPageBreak/>
        <w:t>K p</w:t>
      </w:r>
      <w:r w:rsidRPr="006F1173">
        <w:t>osledním</w:t>
      </w:r>
      <w:r>
        <w:t>u</w:t>
      </w:r>
      <w:r w:rsidRPr="006F1173">
        <w:t xml:space="preserve"> z uvedených typů </w:t>
      </w:r>
      <w:r>
        <w:t xml:space="preserve">lze přiřadit i </w:t>
      </w:r>
      <w:r w:rsidRPr="006F1173">
        <w:t>dále prezentovaný model kvality podnikatelského prostředí</w:t>
      </w:r>
      <w:r>
        <w:t>,</w:t>
      </w:r>
      <w:r w:rsidRPr="006F1173">
        <w:t xml:space="preserve"> vytvořený na Katedře regionální ekonomie a správy Ekonomicko-správní fakulty M</w:t>
      </w:r>
      <w:r w:rsidR="00E77121">
        <w:t>U</w:t>
      </w:r>
      <w:r>
        <w:t xml:space="preserve">. </w:t>
      </w:r>
      <w:r w:rsidRPr="006F1173">
        <w:t>Kvalita podnikatelského prostředí (dále jen KPP) je zde chápána jako agregátní výsledek dlouhodobé akumulace</w:t>
      </w:r>
      <w:r w:rsidRPr="006F1173">
        <w:rPr>
          <w:rFonts w:cs="Tahoma"/>
        </w:rPr>
        <w:t xml:space="preserve"> </w:t>
      </w:r>
      <w:r>
        <w:rPr>
          <w:rFonts w:cs="Tahoma"/>
        </w:rPr>
        <w:t xml:space="preserve">různorodých vlivů </w:t>
      </w:r>
      <w:r w:rsidRPr="00784E0A">
        <w:rPr>
          <w:rFonts w:cs="Tahoma"/>
        </w:rPr>
        <w:t>generovaných aktivitami podnikatelských i nepodnikatelských subjektů</w:t>
      </w:r>
      <w:r>
        <w:rPr>
          <w:rFonts w:cs="Tahoma"/>
        </w:rPr>
        <w:t xml:space="preserve"> v daném území </w:t>
      </w:r>
      <w:r w:rsidRPr="00784E0A">
        <w:rPr>
          <w:rFonts w:cs="TimesNewRomanPSMT"/>
        </w:rPr>
        <w:t xml:space="preserve">– </w:t>
      </w:r>
      <w:r>
        <w:rPr>
          <w:rFonts w:cs="TimesNewRomanPSMT"/>
        </w:rPr>
        <w:t xml:space="preserve">vytvořený </w:t>
      </w:r>
      <w:r w:rsidRPr="00784E0A">
        <w:rPr>
          <w:rFonts w:cs="TimesNewRomanPSMT"/>
        </w:rPr>
        <w:t xml:space="preserve">model na rozdíl od běžných </w:t>
      </w:r>
      <w:r>
        <w:rPr>
          <w:rFonts w:cs="TimesNewRomanPSMT"/>
        </w:rPr>
        <w:t xml:space="preserve">růstových </w:t>
      </w:r>
      <w:r w:rsidRPr="00784E0A">
        <w:rPr>
          <w:rFonts w:cs="TimesNewRomanPSMT"/>
        </w:rPr>
        <w:t xml:space="preserve">modelů zohledňuje </w:t>
      </w:r>
      <w:r>
        <w:rPr>
          <w:rFonts w:cs="TimesNewRomanPSMT"/>
        </w:rPr>
        <w:t xml:space="preserve">historický </w:t>
      </w:r>
      <w:r w:rsidRPr="00784E0A">
        <w:rPr>
          <w:rFonts w:cs="TimesNewRomanPSMT"/>
        </w:rPr>
        <w:t>vývoj (evoluční pojetí ekonomie).</w:t>
      </w:r>
      <w:r w:rsidRPr="00784E0A">
        <w:t xml:space="preserve"> R</w:t>
      </w:r>
      <w:r w:rsidRPr="00784E0A">
        <w:rPr>
          <w:rFonts w:cs="Tahoma"/>
        </w:rPr>
        <w:t xml:space="preserve">egionální </w:t>
      </w:r>
      <w:r w:rsidRPr="00784E0A">
        <w:t>h</w:t>
      </w:r>
      <w:r w:rsidRPr="00784E0A">
        <w:rPr>
          <w:rFonts w:cs="Tahoma"/>
        </w:rPr>
        <w:t xml:space="preserve">odnocení KPP </w:t>
      </w:r>
      <w:r w:rsidR="00E77121">
        <w:rPr>
          <w:rFonts w:cs="Tahoma"/>
        </w:rPr>
        <w:t xml:space="preserve">pak </w:t>
      </w:r>
      <w:r w:rsidRPr="00784E0A">
        <w:rPr>
          <w:rFonts w:cs="Tahoma"/>
        </w:rPr>
        <w:t xml:space="preserve">vychází z </w:t>
      </w:r>
      <w:r w:rsidRPr="00784E0A">
        <w:t>územně vázaných faktorů odrážejících investiční/rozvojové preference firem působících</w:t>
      </w:r>
      <w:r>
        <w:t xml:space="preserve"> především</w:t>
      </w:r>
      <w:r w:rsidR="00C35E3D">
        <w:t xml:space="preserve"> ve  </w:t>
      </w:r>
      <w:r w:rsidRPr="00784E0A">
        <w:t xml:space="preserve">zpracovatelském průmyslu a vyšších tržních službách, které mají ve vyspělých </w:t>
      </w:r>
      <w:r w:rsidR="00E77121">
        <w:t xml:space="preserve">zemích rozhodující </w:t>
      </w:r>
      <w:r w:rsidRPr="00784E0A">
        <w:t>podíl na tvorbě HDP</w:t>
      </w:r>
      <w:r w:rsidRPr="00784E0A">
        <w:rPr>
          <w:rFonts w:cs="TimesNewRomanPSMT"/>
        </w:rPr>
        <w:t xml:space="preserve"> </w:t>
      </w:r>
      <w:r w:rsidRPr="00784E0A">
        <w:rPr>
          <w:vertAlign w:val="superscript"/>
        </w:rPr>
        <w:footnoteReference w:id="12"/>
      </w:r>
      <w:r w:rsidRPr="00784E0A">
        <w:t xml:space="preserve">. </w:t>
      </w:r>
    </w:p>
    <w:p w:rsidR="00B24627" w:rsidRDefault="00B24627" w:rsidP="00F325EF">
      <w:pPr>
        <w:pStyle w:val="05-Text"/>
      </w:pPr>
      <w:r w:rsidRPr="00784E0A">
        <w:t xml:space="preserve">Základní informace pro výběr a stanovení významových vah faktorů byly získány z průzkumů názorů </w:t>
      </w:r>
      <w:r w:rsidRPr="009D72A4">
        <w:t xml:space="preserve">významných </w:t>
      </w:r>
      <w:r w:rsidRPr="007E4B93">
        <w:t>firem</w:t>
      </w:r>
      <w:r>
        <w:t>,</w:t>
      </w:r>
      <w:r w:rsidRPr="007E4B93">
        <w:t xml:space="preserve"> působících </w:t>
      </w:r>
      <w:r>
        <w:t xml:space="preserve">zejména </w:t>
      </w:r>
      <w:r w:rsidRPr="007E4B93">
        <w:t>v Evropě (</w:t>
      </w:r>
      <w:r>
        <w:t xml:space="preserve">viz např. </w:t>
      </w:r>
      <w:r w:rsidRPr="007E4B93">
        <w:t>N</w:t>
      </w:r>
      <w:r>
        <w:t>etherlands eco</w:t>
      </w:r>
      <w:r w:rsidRPr="007E4B93">
        <w:t>nomic institute</w:t>
      </w:r>
      <w:r>
        <w:t>, 1993</w:t>
      </w:r>
      <w:r>
        <w:sym w:font="Symbol" w:char="F03B"/>
      </w:r>
      <w:r>
        <w:t xml:space="preserve"> </w:t>
      </w:r>
      <w:hyperlink r:id="rId28" w:tooltip="Přejít na: http://www.bakbasel.ch/" w:history="1">
        <w:r w:rsidRPr="007E4B93">
          <w:rPr>
            <w:rStyle w:val="Hypertextovodkaz"/>
            <w:bCs/>
            <w:color w:val="auto"/>
            <w:u w:val="none"/>
          </w:rPr>
          <w:t>BAK</w:t>
        </w:r>
        <w:r w:rsidRPr="007E4B93">
          <w:rPr>
            <w:rStyle w:val="Hypertextovodkaz"/>
            <w:color w:val="auto"/>
            <w:u w:val="none"/>
          </w:rPr>
          <w:t xml:space="preserve"> </w:t>
        </w:r>
        <w:r w:rsidRPr="007E4B93">
          <w:rPr>
            <w:rStyle w:val="Hypertextovodkaz"/>
            <w:bCs/>
            <w:color w:val="auto"/>
            <w:u w:val="none"/>
          </w:rPr>
          <w:t>Basel</w:t>
        </w:r>
        <w:r w:rsidRPr="007E4B93">
          <w:rPr>
            <w:rStyle w:val="Hypertextovodkaz"/>
            <w:color w:val="auto"/>
            <w:u w:val="none"/>
          </w:rPr>
          <w:t xml:space="preserve"> Economics</w:t>
        </w:r>
      </w:hyperlink>
      <w:r>
        <w:rPr>
          <w:rStyle w:val="Hypertextovodkaz"/>
          <w:color w:val="auto"/>
          <w:u w:val="none"/>
        </w:rPr>
        <w:t xml:space="preserve"> a další</w:t>
      </w:r>
      <w:r w:rsidRPr="007E4B93">
        <w:t>)</w:t>
      </w:r>
      <w:r>
        <w:t>,</w:t>
      </w:r>
      <w:r w:rsidRPr="007E4B93">
        <w:t xml:space="preserve"> a z řady dalších </w:t>
      </w:r>
      <w:r w:rsidR="00C35E3D">
        <w:t>zahraničních i </w:t>
      </w:r>
      <w:r w:rsidRPr="007E4B93">
        <w:t>domácích zdrojů (podrobněji viz Viturka a kol., 1998</w:t>
      </w:r>
      <w:r>
        <w:t>,</w:t>
      </w:r>
      <w:r w:rsidRPr="007E4B93">
        <w:t xml:space="preserve"> 2003</w:t>
      </w:r>
      <w:r>
        <w:t>,</w:t>
      </w:r>
      <w:r w:rsidRPr="007E4B93">
        <w:t xml:space="preserve"> 2010).</w:t>
      </w:r>
    </w:p>
    <w:p w:rsidR="00B24627" w:rsidRPr="00D71B4B" w:rsidRDefault="00B24627" w:rsidP="00B66EE4">
      <w:pPr>
        <w:pStyle w:val="0T-Titulek"/>
      </w:pPr>
      <w:bookmarkStart w:id="38" w:name="_Toc349768210"/>
      <w:bookmarkStart w:id="39" w:name="_Toc349824528"/>
      <w:bookmarkStart w:id="40" w:name="_Toc382326434"/>
      <w:r w:rsidRPr="009C7B0A">
        <w:t xml:space="preserve">Tabulka </w:t>
      </w:r>
      <w:r>
        <w:t>7</w:t>
      </w:r>
      <w:r w:rsidRPr="009C7B0A">
        <w:t>: Faktory kvality podnikatelského prostředí a jejich významové váhy</w:t>
      </w:r>
      <w:bookmarkEnd w:id="38"/>
      <w:bookmarkEnd w:id="39"/>
      <w:bookmarkEnd w:id="40"/>
    </w:p>
    <w:tbl>
      <w:tblPr>
        <w:tblW w:w="8746"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firstRow="1" w:lastRow="1" w:firstColumn="1" w:lastColumn="1" w:noHBand="0" w:noVBand="0"/>
      </w:tblPr>
      <w:tblGrid>
        <w:gridCol w:w="3853"/>
        <w:gridCol w:w="2469"/>
        <w:gridCol w:w="808"/>
        <w:gridCol w:w="808"/>
        <w:gridCol w:w="808"/>
      </w:tblGrid>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
                <w:bCs/>
                <w:lang w:eastAsia="en-GB"/>
              </w:rPr>
            </w:pPr>
            <w:r w:rsidRPr="00E77121">
              <w:rPr>
                <w:rFonts w:asciiTheme="minorHAnsi" w:hAnsiTheme="minorHAnsi" w:cstheme="minorHAnsi"/>
                <w:b/>
                <w:bCs/>
                <w:lang w:eastAsia="en-GB"/>
              </w:rPr>
              <w:t xml:space="preserve">faktory </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
                <w:bCs/>
                <w:lang w:eastAsia="en-GB"/>
              </w:rPr>
            </w:pPr>
            <w:r w:rsidRPr="00E77121">
              <w:rPr>
                <w:rFonts w:asciiTheme="minorHAnsi" w:hAnsiTheme="minorHAnsi" w:cstheme="minorHAnsi"/>
                <w:b/>
                <w:bCs/>
                <w:lang w:eastAsia="en-GB"/>
              </w:rPr>
              <w:t>typologické skupiny</w:t>
            </w:r>
          </w:p>
        </w:tc>
        <w:tc>
          <w:tcPr>
            <w:tcW w:w="808" w:type="dxa"/>
            <w:vAlign w:val="center"/>
          </w:tcPr>
          <w:p w:rsidR="00B24627" w:rsidRPr="00E77121" w:rsidRDefault="00B24627" w:rsidP="00423120">
            <w:pPr>
              <w:keepNext/>
              <w:keepLines/>
              <w:autoSpaceDE w:val="0"/>
              <w:autoSpaceDN w:val="0"/>
              <w:adjustRightInd w:val="0"/>
              <w:ind w:left="-57" w:right="-57"/>
              <w:jc w:val="center"/>
              <w:rPr>
                <w:rFonts w:asciiTheme="minorHAnsi" w:hAnsiTheme="minorHAnsi" w:cstheme="minorHAnsi"/>
                <w:b/>
                <w:bCs/>
                <w:lang w:eastAsia="en-GB"/>
              </w:rPr>
            </w:pPr>
            <w:r w:rsidRPr="00E77121">
              <w:rPr>
                <w:rFonts w:asciiTheme="minorHAnsi" w:hAnsiTheme="minorHAnsi" w:cstheme="minorHAnsi"/>
                <w:b/>
                <w:bCs/>
                <w:lang w:eastAsia="en-GB"/>
              </w:rPr>
              <w:t>váhy A</w:t>
            </w:r>
          </w:p>
        </w:tc>
        <w:tc>
          <w:tcPr>
            <w:tcW w:w="808" w:type="dxa"/>
            <w:vAlign w:val="center"/>
          </w:tcPr>
          <w:p w:rsidR="00B24627" w:rsidRPr="00E77121" w:rsidRDefault="00B24627" w:rsidP="00423120">
            <w:pPr>
              <w:keepNext/>
              <w:keepLines/>
              <w:autoSpaceDE w:val="0"/>
              <w:autoSpaceDN w:val="0"/>
              <w:adjustRightInd w:val="0"/>
              <w:ind w:left="-57" w:right="-57"/>
              <w:jc w:val="center"/>
              <w:rPr>
                <w:rFonts w:asciiTheme="minorHAnsi" w:hAnsiTheme="minorHAnsi" w:cstheme="minorHAnsi"/>
                <w:b/>
                <w:bCs/>
                <w:lang w:eastAsia="en-GB"/>
              </w:rPr>
            </w:pPr>
            <w:r w:rsidRPr="00E77121">
              <w:rPr>
                <w:rFonts w:asciiTheme="minorHAnsi" w:hAnsiTheme="minorHAnsi" w:cstheme="minorHAnsi"/>
                <w:b/>
                <w:bCs/>
                <w:lang w:eastAsia="en-GB"/>
              </w:rPr>
              <w:t>váhy B</w:t>
            </w:r>
          </w:p>
        </w:tc>
        <w:tc>
          <w:tcPr>
            <w:tcW w:w="808" w:type="dxa"/>
            <w:vAlign w:val="center"/>
          </w:tcPr>
          <w:p w:rsidR="00B24627" w:rsidRPr="00E77121" w:rsidRDefault="00B24627" w:rsidP="00423120">
            <w:pPr>
              <w:keepNext/>
              <w:keepLines/>
              <w:autoSpaceDE w:val="0"/>
              <w:autoSpaceDN w:val="0"/>
              <w:adjustRightInd w:val="0"/>
              <w:ind w:left="-57" w:right="-57"/>
              <w:jc w:val="center"/>
              <w:rPr>
                <w:rFonts w:asciiTheme="minorHAnsi" w:hAnsiTheme="minorHAnsi" w:cstheme="minorHAnsi"/>
                <w:b/>
                <w:bCs/>
                <w:lang w:eastAsia="en-GB"/>
              </w:rPr>
            </w:pPr>
            <w:r w:rsidRPr="00E77121">
              <w:rPr>
                <w:rFonts w:asciiTheme="minorHAnsi" w:hAnsiTheme="minorHAnsi" w:cstheme="minorHAnsi"/>
                <w:b/>
                <w:bCs/>
                <w:lang w:eastAsia="en-GB"/>
              </w:rPr>
              <w:t>poměr A/B</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
                <w:bCs/>
                <w:i/>
                <w:lang w:eastAsia="en-GB"/>
              </w:rPr>
            </w:pPr>
            <w:r w:rsidRPr="00E77121">
              <w:rPr>
                <w:rFonts w:asciiTheme="minorHAnsi" w:hAnsiTheme="minorHAnsi" w:cstheme="minorHAnsi"/>
                <w:b/>
                <w:bCs/>
                <w:i/>
                <w:iCs/>
                <w:lang w:eastAsia="en-GB"/>
              </w:rPr>
              <w:t xml:space="preserve">nejvíce významné faktory:    </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
                <w:bCs/>
                <w:i/>
                <w:lang w:eastAsia="en-GB"/>
              </w:rPr>
            </w:pPr>
            <w:r w:rsidRPr="00E77121">
              <w:rPr>
                <w:rFonts w:asciiTheme="minorHAnsi" w:hAnsiTheme="minorHAnsi" w:cstheme="minorHAnsi"/>
                <w:b/>
                <w:bCs/>
                <w:i/>
                <w:lang w:eastAsia="en-GB"/>
              </w:rPr>
              <w:t> </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
                <w:bCs/>
                <w:i/>
                <w:lang w:eastAsia="en-GB"/>
              </w:rPr>
            </w:pPr>
            <w:r w:rsidRPr="00E77121">
              <w:rPr>
                <w:rFonts w:asciiTheme="minorHAnsi" w:hAnsiTheme="minorHAnsi" w:cstheme="minorHAnsi"/>
                <w:b/>
                <w:bCs/>
                <w:i/>
                <w:iCs/>
                <w:lang w:eastAsia="en-GB"/>
              </w:rPr>
              <w:t>44</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
                <w:bCs/>
                <w:i/>
                <w:lang w:eastAsia="en-GB"/>
              </w:rPr>
            </w:pPr>
            <w:r w:rsidRPr="00E77121">
              <w:rPr>
                <w:rFonts w:asciiTheme="minorHAnsi" w:hAnsiTheme="minorHAnsi" w:cstheme="minorHAnsi"/>
                <w:b/>
                <w:bCs/>
                <w:i/>
                <w:iCs/>
                <w:lang w:eastAsia="en-GB"/>
              </w:rPr>
              <w:t>48</w:t>
            </w:r>
          </w:p>
        </w:tc>
        <w:tc>
          <w:tcPr>
            <w:tcW w:w="808" w:type="dxa"/>
            <w:vAlign w:val="center"/>
          </w:tcPr>
          <w:p w:rsidR="00B24627" w:rsidRPr="00E77121" w:rsidRDefault="00B24627" w:rsidP="00423120">
            <w:pPr>
              <w:keepNext/>
              <w:jc w:val="center"/>
              <w:rPr>
                <w:rFonts w:asciiTheme="minorHAnsi" w:hAnsiTheme="minorHAnsi" w:cstheme="minorHAnsi"/>
                <w:b/>
                <w:i/>
                <w:lang w:eastAsia="en-GB"/>
              </w:rPr>
            </w:pPr>
            <w:r w:rsidRPr="00E77121">
              <w:rPr>
                <w:rFonts w:ascii="Arial" w:hAnsi="Arial" w:cs="Arial"/>
                <w:b/>
                <w:bCs/>
                <w:i/>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podnikatelská a znalostní báze</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lokální faktory</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9</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11</w:t>
            </w:r>
          </w:p>
        </w:tc>
        <w:tc>
          <w:tcPr>
            <w:tcW w:w="808" w:type="dxa"/>
            <w:vAlign w:val="center"/>
          </w:tcPr>
          <w:p w:rsidR="00B24627" w:rsidRPr="00E77121" w:rsidRDefault="00B24627" w:rsidP="00423120">
            <w:pPr>
              <w:keepNext/>
              <w:jc w:val="center"/>
              <w:rPr>
                <w:rFonts w:asciiTheme="minorHAnsi" w:hAnsiTheme="minorHAnsi" w:cstheme="minorHAnsi"/>
                <w:lang w:eastAsia="en-GB"/>
              </w:rPr>
            </w:pPr>
            <w:r w:rsidRPr="00E77121">
              <w:rPr>
                <w:rFonts w:ascii="Arial" w:hAnsi="Arial" w:cs="Arial"/>
                <w:bCs/>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dostupnost pracovních sil</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pracovní faktory</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10</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10</w:t>
            </w:r>
          </w:p>
        </w:tc>
        <w:tc>
          <w:tcPr>
            <w:tcW w:w="808" w:type="dxa"/>
            <w:vAlign w:val="center"/>
          </w:tcPr>
          <w:p w:rsidR="00B24627" w:rsidRPr="00E77121" w:rsidRDefault="00B24627" w:rsidP="00423120">
            <w:pPr>
              <w:keepNext/>
              <w:jc w:val="center"/>
              <w:rPr>
                <w:rFonts w:asciiTheme="minorHAnsi" w:hAnsiTheme="minorHAnsi" w:cstheme="minorHAnsi"/>
                <w:lang w:eastAsia="en-GB"/>
              </w:rPr>
            </w:pPr>
            <w:r w:rsidRPr="00E77121">
              <w:rPr>
                <w:rFonts w:asciiTheme="minorHAnsi" w:hAnsiTheme="minorHAnsi" w:cstheme="minorHAnsi"/>
                <w:bCs/>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blízkost trhů</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obchodní faktory</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9</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9</w:t>
            </w:r>
          </w:p>
        </w:tc>
        <w:tc>
          <w:tcPr>
            <w:tcW w:w="808" w:type="dxa"/>
            <w:vAlign w:val="center"/>
          </w:tcPr>
          <w:p w:rsidR="00B24627" w:rsidRPr="00E77121" w:rsidRDefault="00B24627" w:rsidP="00423120">
            <w:pPr>
              <w:keepNext/>
              <w:jc w:val="center"/>
              <w:rPr>
                <w:rFonts w:asciiTheme="minorHAnsi" w:hAnsiTheme="minorHAnsi" w:cstheme="minorHAnsi"/>
                <w:lang w:eastAsia="en-GB"/>
              </w:rPr>
            </w:pPr>
            <w:r w:rsidRPr="00E77121">
              <w:rPr>
                <w:rFonts w:asciiTheme="minorHAnsi" w:hAnsiTheme="minorHAnsi" w:cstheme="minorHAnsi"/>
                <w:bCs/>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 xml:space="preserve">koncentrace významných firem </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obchodní faktory</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9</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9</w:t>
            </w:r>
          </w:p>
        </w:tc>
        <w:tc>
          <w:tcPr>
            <w:tcW w:w="808" w:type="dxa"/>
            <w:vAlign w:val="center"/>
          </w:tcPr>
          <w:p w:rsidR="00B24627" w:rsidRPr="00E77121" w:rsidRDefault="00B24627" w:rsidP="00423120">
            <w:pPr>
              <w:keepNext/>
              <w:jc w:val="center"/>
              <w:rPr>
                <w:rFonts w:asciiTheme="minorHAnsi" w:hAnsiTheme="minorHAnsi" w:cstheme="minorHAnsi"/>
                <w:lang w:eastAsia="en-GB"/>
              </w:rPr>
            </w:pPr>
            <w:r w:rsidRPr="00E77121">
              <w:rPr>
                <w:rFonts w:asciiTheme="minorHAnsi" w:hAnsiTheme="minorHAnsi" w:cstheme="minorHAnsi"/>
                <w:bCs/>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 xml:space="preserve">kvalita pracovních sil </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pracovní faktory</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7</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9</w:t>
            </w:r>
          </w:p>
        </w:tc>
        <w:tc>
          <w:tcPr>
            <w:tcW w:w="808" w:type="dxa"/>
            <w:vAlign w:val="center"/>
          </w:tcPr>
          <w:p w:rsidR="00B24627" w:rsidRPr="00E77121" w:rsidRDefault="00B24627" w:rsidP="00423120">
            <w:pPr>
              <w:keepNext/>
              <w:jc w:val="center"/>
              <w:rPr>
                <w:rFonts w:asciiTheme="minorHAnsi" w:hAnsiTheme="minorHAnsi" w:cstheme="minorHAnsi"/>
                <w:lang w:eastAsia="en-GB"/>
              </w:rPr>
            </w:pPr>
            <w:r w:rsidRPr="00E77121">
              <w:rPr>
                <w:rFonts w:ascii="Arial" w:hAnsi="Arial" w:cs="Arial"/>
                <w:bCs/>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
                <w:bCs/>
                <w:i/>
                <w:lang w:eastAsia="en-GB"/>
              </w:rPr>
            </w:pPr>
            <w:r w:rsidRPr="00E77121">
              <w:rPr>
                <w:rFonts w:asciiTheme="minorHAnsi" w:hAnsiTheme="minorHAnsi" w:cstheme="minorHAnsi"/>
                <w:b/>
                <w:bCs/>
                <w:i/>
                <w:iCs/>
                <w:lang w:eastAsia="en-GB"/>
              </w:rPr>
              <w:t>středně významné faktory:</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
                <w:bCs/>
                <w:i/>
                <w:lang w:eastAsia="en-GB"/>
              </w:rPr>
            </w:pPr>
            <w:r w:rsidRPr="00E77121">
              <w:rPr>
                <w:rFonts w:asciiTheme="minorHAnsi" w:hAnsiTheme="minorHAnsi" w:cstheme="minorHAnsi"/>
                <w:b/>
                <w:bCs/>
                <w:i/>
                <w:lang w:eastAsia="en-GB"/>
              </w:rPr>
              <w:t> </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
                <w:bCs/>
                <w:i/>
                <w:lang w:eastAsia="en-GB"/>
              </w:rPr>
            </w:pPr>
            <w:r w:rsidRPr="00E77121">
              <w:rPr>
                <w:rFonts w:asciiTheme="minorHAnsi" w:hAnsiTheme="minorHAnsi" w:cstheme="minorHAnsi"/>
                <w:b/>
                <w:bCs/>
                <w:i/>
                <w:iCs/>
                <w:lang w:eastAsia="en-GB"/>
              </w:rPr>
              <w:t>37</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
                <w:bCs/>
                <w:i/>
                <w:lang w:eastAsia="en-GB"/>
              </w:rPr>
            </w:pPr>
            <w:r w:rsidRPr="00E77121">
              <w:rPr>
                <w:rFonts w:asciiTheme="minorHAnsi" w:hAnsiTheme="minorHAnsi" w:cstheme="minorHAnsi"/>
                <w:b/>
                <w:bCs/>
                <w:i/>
                <w:iCs/>
                <w:lang w:eastAsia="en-GB"/>
              </w:rPr>
              <w:t>35</w:t>
            </w:r>
          </w:p>
        </w:tc>
        <w:tc>
          <w:tcPr>
            <w:tcW w:w="808" w:type="dxa"/>
            <w:vAlign w:val="center"/>
          </w:tcPr>
          <w:p w:rsidR="00B24627" w:rsidRPr="00E77121" w:rsidRDefault="00B24627" w:rsidP="00423120">
            <w:pPr>
              <w:keepNext/>
              <w:keepLines/>
              <w:jc w:val="center"/>
              <w:rPr>
                <w:rFonts w:asciiTheme="minorHAnsi" w:hAnsiTheme="minorHAnsi" w:cstheme="minorHAnsi"/>
                <w:b/>
                <w:i/>
                <w:lang w:eastAsia="en-GB"/>
              </w:rPr>
            </w:pPr>
            <w:r w:rsidRPr="00E77121">
              <w:rPr>
                <w:rFonts w:ascii="Arial" w:hAnsi="Arial" w:cs="Arial"/>
                <w:b/>
                <w:bCs/>
                <w:i/>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cena nemovitostí</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 xml:space="preserve">cenové faktory </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7</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7</w:t>
            </w:r>
          </w:p>
        </w:tc>
        <w:tc>
          <w:tcPr>
            <w:tcW w:w="808" w:type="dxa"/>
            <w:vAlign w:val="center"/>
          </w:tcPr>
          <w:p w:rsidR="00B24627" w:rsidRPr="00E77121" w:rsidRDefault="00B24627" w:rsidP="00423120">
            <w:pPr>
              <w:keepNext/>
              <w:keepLines/>
              <w:jc w:val="center"/>
              <w:rPr>
                <w:rFonts w:asciiTheme="minorHAnsi" w:hAnsiTheme="minorHAnsi" w:cstheme="minorHAnsi"/>
                <w:lang w:eastAsia="en-GB"/>
              </w:rPr>
            </w:pPr>
            <w:r w:rsidRPr="00E77121">
              <w:rPr>
                <w:rFonts w:asciiTheme="minorHAnsi" w:hAnsiTheme="minorHAnsi" w:cstheme="minorHAnsi"/>
                <w:bCs/>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kvalita silnic a železnic</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 xml:space="preserve">infrastrukturní </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8</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6</w:t>
            </w:r>
          </w:p>
        </w:tc>
        <w:tc>
          <w:tcPr>
            <w:tcW w:w="808" w:type="dxa"/>
            <w:vAlign w:val="center"/>
          </w:tcPr>
          <w:p w:rsidR="00B24627" w:rsidRPr="00E77121" w:rsidRDefault="00B24627" w:rsidP="00423120">
            <w:pPr>
              <w:keepNext/>
              <w:keepLines/>
              <w:jc w:val="center"/>
              <w:rPr>
                <w:rFonts w:asciiTheme="minorHAnsi" w:hAnsiTheme="minorHAnsi" w:cstheme="minorHAnsi"/>
                <w:lang w:eastAsia="en-GB"/>
              </w:rPr>
            </w:pPr>
            <w:r w:rsidRPr="00E77121">
              <w:rPr>
                <w:rFonts w:ascii="Arial" w:hAnsi="Arial" w:cs="Arial"/>
                <w:bCs/>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cena práce</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cenové faktory</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6</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6</w:t>
            </w:r>
          </w:p>
        </w:tc>
        <w:tc>
          <w:tcPr>
            <w:tcW w:w="808" w:type="dxa"/>
            <w:vAlign w:val="center"/>
          </w:tcPr>
          <w:p w:rsidR="00B24627" w:rsidRPr="00E77121" w:rsidRDefault="00B24627" w:rsidP="00423120">
            <w:pPr>
              <w:keepNext/>
              <w:keepLines/>
              <w:jc w:val="center"/>
              <w:rPr>
                <w:rFonts w:asciiTheme="minorHAnsi" w:hAnsiTheme="minorHAnsi" w:cstheme="minorHAnsi"/>
                <w:lang w:eastAsia="en-GB"/>
              </w:rPr>
            </w:pPr>
            <w:r w:rsidRPr="00E77121">
              <w:rPr>
                <w:rFonts w:asciiTheme="minorHAnsi" w:hAnsiTheme="minorHAnsi" w:cstheme="minorHAnsi"/>
                <w:bCs/>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 xml:space="preserve">informační a komunikační technologie </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infrastrukturní faktory</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6</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6</w:t>
            </w:r>
          </w:p>
        </w:tc>
        <w:tc>
          <w:tcPr>
            <w:tcW w:w="808" w:type="dxa"/>
            <w:vAlign w:val="center"/>
          </w:tcPr>
          <w:p w:rsidR="00B24627" w:rsidRPr="00E77121" w:rsidRDefault="00B24627" w:rsidP="00423120">
            <w:pPr>
              <w:keepNext/>
              <w:keepLines/>
              <w:jc w:val="center"/>
              <w:rPr>
                <w:rFonts w:asciiTheme="minorHAnsi" w:hAnsiTheme="minorHAnsi" w:cstheme="minorHAnsi"/>
                <w:lang w:eastAsia="en-GB"/>
              </w:rPr>
            </w:pPr>
            <w:r w:rsidRPr="00E77121">
              <w:rPr>
                <w:rFonts w:asciiTheme="minorHAnsi" w:hAnsiTheme="minorHAnsi" w:cstheme="minorHAnsi"/>
                <w:bCs/>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podpůrné služby</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obchodní faktory</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6</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5</w:t>
            </w:r>
          </w:p>
        </w:tc>
        <w:tc>
          <w:tcPr>
            <w:tcW w:w="808" w:type="dxa"/>
            <w:vAlign w:val="center"/>
          </w:tcPr>
          <w:p w:rsidR="00B24627" w:rsidRPr="00E77121" w:rsidRDefault="00B24627" w:rsidP="00423120">
            <w:pPr>
              <w:keepNext/>
              <w:keepLines/>
              <w:jc w:val="center"/>
              <w:rPr>
                <w:rFonts w:asciiTheme="minorHAnsi" w:hAnsiTheme="minorHAnsi" w:cstheme="minorHAnsi"/>
                <w:lang w:eastAsia="en-GB"/>
              </w:rPr>
            </w:pPr>
            <w:r w:rsidRPr="00E77121">
              <w:rPr>
                <w:rFonts w:ascii="Arial" w:hAnsi="Arial" w:cs="Arial"/>
                <w:bCs/>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 xml:space="preserve">urbanistická a přírodní atraktivita území </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environmentální faktory</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4</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5</w:t>
            </w:r>
          </w:p>
        </w:tc>
        <w:tc>
          <w:tcPr>
            <w:tcW w:w="808" w:type="dxa"/>
            <w:vAlign w:val="center"/>
          </w:tcPr>
          <w:p w:rsidR="00B24627" w:rsidRPr="00E77121" w:rsidRDefault="00B24627" w:rsidP="00423120">
            <w:pPr>
              <w:keepNext/>
              <w:keepLines/>
              <w:jc w:val="center"/>
              <w:rPr>
                <w:rFonts w:asciiTheme="minorHAnsi" w:hAnsiTheme="minorHAnsi" w:cstheme="minorHAnsi"/>
                <w:lang w:eastAsia="en-GB"/>
              </w:rPr>
            </w:pPr>
            <w:r w:rsidRPr="00E77121">
              <w:rPr>
                <w:rFonts w:ascii="Arial" w:hAnsi="Arial" w:cs="Arial"/>
                <w:bCs/>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
                <w:bCs/>
                <w:i/>
                <w:lang w:eastAsia="en-GB"/>
              </w:rPr>
            </w:pPr>
            <w:r w:rsidRPr="00E77121">
              <w:rPr>
                <w:rFonts w:asciiTheme="minorHAnsi" w:hAnsiTheme="minorHAnsi" w:cstheme="minorHAnsi"/>
                <w:b/>
                <w:bCs/>
                <w:i/>
                <w:iCs/>
                <w:lang w:eastAsia="en-GB"/>
              </w:rPr>
              <w:t>méně významné faktory:</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
                <w:bCs/>
                <w:i/>
                <w:lang w:eastAsia="en-GB"/>
              </w:rPr>
            </w:pPr>
            <w:r w:rsidRPr="00E77121">
              <w:rPr>
                <w:rFonts w:asciiTheme="minorHAnsi" w:hAnsiTheme="minorHAnsi" w:cstheme="minorHAnsi"/>
                <w:b/>
                <w:bCs/>
                <w:i/>
                <w:lang w:eastAsia="en-GB"/>
              </w:rPr>
              <w:t> </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
                <w:bCs/>
                <w:i/>
                <w:lang w:eastAsia="en-GB"/>
              </w:rPr>
            </w:pPr>
            <w:r w:rsidRPr="00E77121">
              <w:rPr>
                <w:rFonts w:asciiTheme="minorHAnsi" w:hAnsiTheme="minorHAnsi" w:cstheme="minorHAnsi"/>
                <w:b/>
                <w:bCs/>
                <w:i/>
                <w:iCs/>
                <w:lang w:eastAsia="en-GB"/>
              </w:rPr>
              <w:t>19</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
                <w:bCs/>
                <w:i/>
                <w:lang w:eastAsia="en-GB"/>
              </w:rPr>
            </w:pPr>
            <w:r w:rsidRPr="00E77121">
              <w:rPr>
                <w:rFonts w:asciiTheme="minorHAnsi" w:hAnsiTheme="minorHAnsi" w:cstheme="minorHAnsi"/>
                <w:b/>
                <w:bCs/>
                <w:i/>
                <w:iCs/>
                <w:lang w:eastAsia="en-GB"/>
              </w:rPr>
              <w:t>17</w:t>
            </w:r>
          </w:p>
        </w:tc>
        <w:tc>
          <w:tcPr>
            <w:tcW w:w="808" w:type="dxa"/>
            <w:vAlign w:val="center"/>
          </w:tcPr>
          <w:p w:rsidR="00B24627" w:rsidRPr="00E77121" w:rsidRDefault="00B24627" w:rsidP="00423120">
            <w:pPr>
              <w:keepNext/>
              <w:keepLines/>
              <w:jc w:val="center"/>
              <w:rPr>
                <w:rFonts w:asciiTheme="minorHAnsi" w:hAnsiTheme="minorHAnsi" w:cstheme="minorHAnsi"/>
                <w:b/>
                <w:i/>
                <w:lang w:eastAsia="en-GB"/>
              </w:rPr>
            </w:pPr>
            <w:r w:rsidRPr="00E77121">
              <w:rPr>
                <w:rFonts w:ascii="Arial" w:hAnsi="Arial" w:cs="Arial"/>
                <w:b/>
                <w:bCs/>
                <w:i/>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přítomnost zahraničních firem</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obchodní faktory</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5</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4</w:t>
            </w:r>
          </w:p>
        </w:tc>
        <w:tc>
          <w:tcPr>
            <w:tcW w:w="808" w:type="dxa"/>
            <w:vAlign w:val="center"/>
          </w:tcPr>
          <w:p w:rsidR="00B24627" w:rsidRPr="00E77121" w:rsidRDefault="00B24627" w:rsidP="00423120">
            <w:pPr>
              <w:keepNext/>
              <w:keepLines/>
              <w:jc w:val="center"/>
              <w:rPr>
                <w:rFonts w:asciiTheme="minorHAnsi" w:hAnsiTheme="minorHAnsi" w:cstheme="minorHAnsi"/>
                <w:lang w:eastAsia="en-GB"/>
              </w:rPr>
            </w:pPr>
            <w:r w:rsidRPr="00E77121">
              <w:rPr>
                <w:rFonts w:ascii="Arial" w:hAnsi="Arial" w:cs="Arial"/>
                <w:bCs/>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environmentální kvalita území</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environmentální faktory</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3</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4</w:t>
            </w:r>
          </w:p>
        </w:tc>
        <w:tc>
          <w:tcPr>
            <w:tcW w:w="808" w:type="dxa"/>
            <w:vAlign w:val="center"/>
          </w:tcPr>
          <w:p w:rsidR="00B24627" w:rsidRPr="00E77121" w:rsidRDefault="00B24627" w:rsidP="00423120">
            <w:pPr>
              <w:keepNext/>
              <w:keepLines/>
              <w:jc w:val="center"/>
              <w:rPr>
                <w:rFonts w:asciiTheme="minorHAnsi" w:hAnsiTheme="minorHAnsi" w:cstheme="minorHAnsi"/>
                <w:lang w:eastAsia="en-GB"/>
              </w:rPr>
            </w:pPr>
            <w:r w:rsidRPr="00E77121">
              <w:rPr>
                <w:rFonts w:ascii="Arial" w:hAnsi="Arial" w:cs="Arial"/>
                <w:bCs/>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asistence veřejné správy</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lokální faktory</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4</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3</w:t>
            </w:r>
          </w:p>
        </w:tc>
        <w:tc>
          <w:tcPr>
            <w:tcW w:w="808" w:type="dxa"/>
            <w:vAlign w:val="center"/>
          </w:tcPr>
          <w:p w:rsidR="00B24627" w:rsidRPr="00E77121" w:rsidRDefault="00B24627" w:rsidP="00423120">
            <w:pPr>
              <w:keepNext/>
              <w:keepLines/>
              <w:jc w:val="center"/>
              <w:rPr>
                <w:rFonts w:asciiTheme="minorHAnsi" w:hAnsiTheme="minorHAnsi" w:cstheme="minorHAnsi"/>
                <w:lang w:eastAsia="en-GB"/>
              </w:rPr>
            </w:pPr>
            <w:r w:rsidRPr="00E77121">
              <w:rPr>
                <w:rFonts w:ascii="Arial" w:hAnsi="Arial" w:cs="Arial"/>
                <w:bCs/>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blízkost mezinárodních letišť</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infrastrukturní faktory</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4</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3</w:t>
            </w:r>
          </w:p>
        </w:tc>
        <w:tc>
          <w:tcPr>
            <w:tcW w:w="808" w:type="dxa"/>
            <w:vAlign w:val="center"/>
          </w:tcPr>
          <w:p w:rsidR="00B24627" w:rsidRPr="00E77121" w:rsidRDefault="00B24627" w:rsidP="00423120">
            <w:pPr>
              <w:keepNext/>
              <w:keepLines/>
              <w:jc w:val="center"/>
              <w:rPr>
                <w:rFonts w:asciiTheme="minorHAnsi" w:hAnsiTheme="minorHAnsi" w:cstheme="minorHAnsi"/>
                <w:lang w:eastAsia="en-GB"/>
              </w:rPr>
            </w:pPr>
            <w:r w:rsidRPr="00E77121">
              <w:rPr>
                <w:rFonts w:ascii="Arial" w:hAnsi="Arial" w:cs="Arial"/>
                <w:bCs/>
                <w:iCs/>
                <w:lang w:eastAsia="en-GB"/>
              </w:rPr>
              <w:t>▼</w:t>
            </w:r>
          </w:p>
        </w:tc>
      </w:tr>
      <w:tr w:rsidR="00B24627" w:rsidRPr="009C7B0A" w:rsidTr="00E77121">
        <w:trPr>
          <w:trHeight w:hRule="exact" w:val="340"/>
          <w:jc w:val="center"/>
        </w:trPr>
        <w:tc>
          <w:tcPr>
            <w:tcW w:w="3853"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flexibilita pracovních sil</w:t>
            </w:r>
          </w:p>
        </w:tc>
        <w:tc>
          <w:tcPr>
            <w:tcW w:w="2469" w:type="dxa"/>
            <w:vAlign w:val="center"/>
          </w:tcPr>
          <w:p w:rsidR="00B24627" w:rsidRPr="00E77121" w:rsidRDefault="00B24627" w:rsidP="00423120">
            <w:pPr>
              <w:keepNext/>
              <w:keepLines/>
              <w:autoSpaceDE w:val="0"/>
              <w:autoSpaceDN w:val="0"/>
              <w:adjustRightInd w:val="0"/>
              <w:rPr>
                <w:rFonts w:asciiTheme="minorHAnsi" w:hAnsiTheme="minorHAnsi" w:cstheme="minorHAnsi"/>
                <w:bCs/>
                <w:lang w:eastAsia="en-GB"/>
              </w:rPr>
            </w:pPr>
            <w:r w:rsidRPr="00E77121">
              <w:rPr>
                <w:rFonts w:asciiTheme="minorHAnsi" w:hAnsiTheme="minorHAnsi" w:cstheme="minorHAnsi"/>
                <w:bCs/>
                <w:lang w:eastAsia="en-GB"/>
              </w:rPr>
              <w:t>pracovní faktory</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3</w:t>
            </w:r>
          </w:p>
        </w:tc>
        <w:tc>
          <w:tcPr>
            <w:tcW w:w="808" w:type="dxa"/>
            <w:vAlign w:val="center"/>
          </w:tcPr>
          <w:p w:rsidR="00B24627" w:rsidRPr="00E77121" w:rsidRDefault="00B24627" w:rsidP="00423120">
            <w:pPr>
              <w:keepNext/>
              <w:keepLines/>
              <w:autoSpaceDE w:val="0"/>
              <w:autoSpaceDN w:val="0"/>
              <w:adjustRightInd w:val="0"/>
              <w:jc w:val="center"/>
              <w:rPr>
                <w:rFonts w:asciiTheme="minorHAnsi" w:hAnsiTheme="minorHAnsi" w:cstheme="minorHAnsi"/>
                <w:bCs/>
                <w:lang w:eastAsia="en-GB"/>
              </w:rPr>
            </w:pPr>
            <w:r w:rsidRPr="00E77121">
              <w:rPr>
                <w:rFonts w:asciiTheme="minorHAnsi" w:hAnsiTheme="minorHAnsi" w:cstheme="minorHAnsi"/>
                <w:bCs/>
                <w:lang w:eastAsia="en-GB"/>
              </w:rPr>
              <w:t>3</w:t>
            </w:r>
          </w:p>
        </w:tc>
        <w:tc>
          <w:tcPr>
            <w:tcW w:w="808" w:type="dxa"/>
            <w:vAlign w:val="center"/>
          </w:tcPr>
          <w:p w:rsidR="00B24627" w:rsidRPr="00E77121" w:rsidRDefault="00B24627" w:rsidP="00423120">
            <w:pPr>
              <w:keepNext/>
              <w:keepLines/>
              <w:jc w:val="center"/>
              <w:rPr>
                <w:rFonts w:asciiTheme="minorHAnsi" w:hAnsiTheme="minorHAnsi" w:cstheme="minorHAnsi"/>
                <w:lang w:eastAsia="en-GB"/>
              </w:rPr>
            </w:pPr>
            <w:r w:rsidRPr="00E77121">
              <w:rPr>
                <w:rFonts w:asciiTheme="minorHAnsi" w:hAnsiTheme="minorHAnsi" w:cstheme="minorHAnsi"/>
                <w:bCs/>
                <w:iCs/>
                <w:lang w:eastAsia="en-GB"/>
              </w:rPr>
              <w:t>○</w:t>
            </w:r>
          </w:p>
        </w:tc>
      </w:tr>
    </w:tbl>
    <w:p w:rsidR="00F325EF" w:rsidRDefault="00B24627" w:rsidP="00F325EF">
      <w:pPr>
        <w:pStyle w:val="0T-Pramen"/>
        <w:spacing w:line="240" w:lineRule="auto"/>
        <w:ind w:left="170" w:right="170"/>
        <w:jc w:val="both"/>
        <w:rPr>
          <w:sz w:val="20"/>
          <w:szCs w:val="20"/>
        </w:rPr>
      </w:pPr>
      <w:r w:rsidRPr="00202BDD">
        <w:rPr>
          <w:sz w:val="20"/>
          <w:szCs w:val="20"/>
        </w:rPr>
        <w:t>Poznámka: váhy A – charakteristické pro vývoj tažený investi</w:t>
      </w:r>
      <w:r w:rsidR="00D2367B">
        <w:rPr>
          <w:sz w:val="20"/>
          <w:szCs w:val="20"/>
        </w:rPr>
        <w:t>cemi, váhy B – charakteristické</w:t>
      </w:r>
      <w:r w:rsidRPr="00202BDD">
        <w:rPr>
          <w:sz w:val="20"/>
          <w:szCs w:val="20"/>
        </w:rPr>
        <w:t xml:space="preserve"> pro vývoj tažený inovacemi</w:t>
      </w:r>
      <w:r w:rsidRPr="00202BDD">
        <w:rPr>
          <w:sz w:val="20"/>
          <w:szCs w:val="20"/>
        </w:rPr>
        <w:sym w:font="Symbol" w:char="F03B"/>
      </w:r>
      <w:r w:rsidRPr="00202BDD">
        <w:rPr>
          <w:sz w:val="20"/>
          <w:szCs w:val="20"/>
        </w:rPr>
        <w:t xml:space="preserve">  poměr B/A – </w:t>
      </w:r>
      <w:r w:rsidRPr="00202BDD">
        <w:rPr>
          <w:rFonts w:ascii="Arial" w:hAnsi="Arial" w:cs="Arial"/>
          <w:b/>
          <w:bCs/>
          <w:iCs/>
          <w:sz w:val="20"/>
          <w:szCs w:val="20"/>
          <w:lang w:eastAsia="en-GB"/>
        </w:rPr>
        <w:t>▲</w:t>
      </w:r>
      <w:r w:rsidRPr="00202BDD">
        <w:rPr>
          <w:bCs/>
          <w:iCs/>
          <w:sz w:val="20"/>
          <w:szCs w:val="20"/>
        </w:rPr>
        <w:t xml:space="preserve">vyšší váha B, </w:t>
      </w:r>
      <w:r w:rsidRPr="00202BDD">
        <w:rPr>
          <w:rFonts w:ascii="Arial" w:hAnsi="Arial" w:cs="Arial"/>
          <w:bCs/>
          <w:iCs/>
          <w:sz w:val="20"/>
          <w:szCs w:val="20"/>
        </w:rPr>
        <w:t>○</w:t>
      </w:r>
      <w:r w:rsidRPr="00202BDD">
        <w:rPr>
          <w:bCs/>
          <w:iCs/>
          <w:sz w:val="20"/>
          <w:szCs w:val="20"/>
        </w:rPr>
        <w:t xml:space="preserve"> vyrovnaný, </w:t>
      </w:r>
      <w:r w:rsidRPr="00202BDD">
        <w:rPr>
          <w:rFonts w:ascii="Arial" w:hAnsi="Arial" w:cs="Arial"/>
          <w:bCs/>
          <w:iCs/>
          <w:sz w:val="20"/>
          <w:szCs w:val="20"/>
        </w:rPr>
        <w:t>▼</w:t>
      </w:r>
      <w:r w:rsidRPr="00202BDD">
        <w:rPr>
          <w:bCs/>
          <w:iCs/>
          <w:sz w:val="20"/>
          <w:szCs w:val="20"/>
        </w:rPr>
        <w:t xml:space="preserve"> nižší váha B</w:t>
      </w:r>
      <w:r w:rsidRPr="00202BDD">
        <w:rPr>
          <w:sz w:val="20"/>
          <w:szCs w:val="20"/>
        </w:rPr>
        <w:t xml:space="preserve">. </w:t>
      </w:r>
    </w:p>
    <w:p w:rsidR="00B24627" w:rsidRPr="00F325EF" w:rsidRDefault="00B24627" w:rsidP="00F325EF">
      <w:pPr>
        <w:pStyle w:val="0T-Pramen"/>
        <w:spacing w:line="240" w:lineRule="auto"/>
        <w:ind w:left="170" w:right="170"/>
        <w:rPr>
          <w:sz w:val="20"/>
          <w:szCs w:val="20"/>
        </w:rPr>
      </w:pPr>
      <w:r w:rsidRPr="00D71B4B">
        <w:rPr>
          <w:lang w:eastAsia="en-GB"/>
        </w:rPr>
        <w:t>Pramen:</w:t>
      </w:r>
      <w:r w:rsidRPr="00D71B4B">
        <w:rPr>
          <w:rFonts w:cs="Arial"/>
        </w:rPr>
        <w:t xml:space="preserve"> vlastní výzkum.</w:t>
      </w:r>
    </w:p>
    <w:p w:rsidR="001D5CBA" w:rsidRDefault="001D5CBA" w:rsidP="00423120">
      <w:pPr>
        <w:pStyle w:val="05-Text"/>
        <w:rPr>
          <w:color w:val="FF0000"/>
        </w:rPr>
      </w:pPr>
      <w:r w:rsidRPr="001D5CBA">
        <w:rPr>
          <w:rFonts w:cs="TimesNewRomanPSMT"/>
          <w:szCs w:val="20"/>
        </w:rPr>
        <w:lastRenderedPageBreak/>
        <w:t>Ve výše uvedené tabulce je popsáno všech 16 faktorů</w:t>
      </w:r>
      <w:r w:rsidR="00C35E3D">
        <w:rPr>
          <w:rFonts w:cs="TimesNewRomanPSMT"/>
          <w:szCs w:val="20"/>
        </w:rPr>
        <w:t xml:space="preserve"> KPP (včetně jejich zařazení do </w:t>
      </w:r>
      <w:r w:rsidRPr="001D5CBA">
        <w:rPr>
          <w:rFonts w:cs="TimesNewRomanPSMT"/>
          <w:szCs w:val="20"/>
        </w:rPr>
        <w:t>stanovených typologických skupin a jim odpovídajících významových vah), které byly identifikovány na základě posouzení intenzity vazeb relevantních ukazatelů a zjištěných preferencí firem. Jako základní jednotky použité pro hodnocení KPP byly logicky zvoleny vnitřně silně integrované nodální regiony</w:t>
      </w:r>
      <w:r w:rsidR="00BA6F21">
        <w:rPr>
          <w:rFonts w:cs="TimesNewRomanPSMT"/>
          <w:szCs w:val="20"/>
        </w:rPr>
        <w:t>,</w:t>
      </w:r>
      <w:r w:rsidRPr="001D5CBA">
        <w:rPr>
          <w:rFonts w:cs="TimesNewRomanPSMT"/>
          <w:szCs w:val="20"/>
        </w:rPr>
        <w:t xml:space="preserve"> resp. mikroregiony, které lze v podmínkách České republiky do značné míry ztotožnit s administrativními regiony správních obvodů pověřených obcí s rozšířenou působností 3. stupně (ORP) – jde celkem o 205 mikroregionů pokrývajících spolu s územím hlavního města Prahy (představujícím specifický „městský“ region považovaný z čistě administrativního pohledu za kraj) celé území republiky. Agregátní hodnoty KPP pak byly určeny pomocí následujícího postupu: zařazení mikroregionů podle hodnot primárních ukazatelů interpretujících disponibilní nabídku regionů do pěti skupin podle jejich statistického rozložení, zařazení mikroregio</w:t>
      </w:r>
      <w:r w:rsidR="00C35E3D">
        <w:rPr>
          <w:rFonts w:cs="TimesNewRomanPSMT"/>
          <w:szCs w:val="20"/>
        </w:rPr>
        <w:t xml:space="preserve">nů v rámci jednotlivých faktorů </w:t>
      </w:r>
      <w:r w:rsidRPr="001D5CBA">
        <w:rPr>
          <w:rFonts w:cs="TimesNewRomanPSMT"/>
          <w:szCs w:val="20"/>
        </w:rPr>
        <w:t>agregujících výsledky hodnocení primárních ukazatelů s podobnou věc</w:t>
      </w:r>
      <w:r w:rsidR="00C35E3D">
        <w:rPr>
          <w:rFonts w:cs="TimesNewRomanPSMT"/>
          <w:szCs w:val="20"/>
        </w:rPr>
        <w:t>nou orientací a </w:t>
      </w:r>
      <w:r w:rsidRPr="001D5CBA">
        <w:rPr>
          <w:rFonts w:cs="TimesNewRomanPSMT"/>
          <w:szCs w:val="20"/>
        </w:rPr>
        <w:t xml:space="preserve">následná transformace výsledku dílčích faktorových hodnocení do pěti generalizovaných klasifikačních stupňů užitých pro komplexní hodnocení KPP (od nejlepšího 1. stupně s vynikající KPP po nejhorší 5. stupeň s nepříznivou KPP). K vypracované metodice hodnocení je potřebné ještě poznamenat, že pro posouzení významu jednotlivých faktorů lze v souladu s výsledky provedených průzkumů použít různé váhy, které zohledňují stávající </w:t>
      </w:r>
      <w:r w:rsidRPr="009330DC">
        <w:rPr>
          <w:rFonts w:cs="TimesNewRomanPSMT"/>
          <w:szCs w:val="20"/>
        </w:rPr>
        <w:t>příp. z perspektivního pohledu žádoucí typ ekonomického rozvoje. V naší studii z roku 2010 byly v souladu s hlavním strategickým cílem rozvoje české ekonomiky</w:t>
      </w:r>
      <w:r w:rsidR="00D2367B" w:rsidRPr="009330DC">
        <w:rPr>
          <w:rFonts w:cs="TimesNewRomanPSMT"/>
          <w:szCs w:val="20"/>
        </w:rPr>
        <w:t>,</w:t>
      </w:r>
      <w:r w:rsidR="00DB1314" w:rsidRPr="009330DC">
        <w:rPr>
          <w:rFonts w:cs="TimesNewRomanPSMT"/>
          <w:szCs w:val="20"/>
        </w:rPr>
        <w:t xml:space="preserve"> tj.</w:t>
      </w:r>
      <w:r w:rsidR="00D2367B" w:rsidRPr="009330DC">
        <w:rPr>
          <w:rFonts w:cs="TimesNewRomanPSMT"/>
          <w:szCs w:val="20"/>
        </w:rPr>
        <w:t xml:space="preserve"> </w:t>
      </w:r>
      <w:r w:rsidRPr="009330DC">
        <w:rPr>
          <w:rFonts w:cs="TimesNewRomanPSMT"/>
          <w:szCs w:val="20"/>
        </w:rPr>
        <w:t>jejím postupným přechodem ke znalostní ekonomice</w:t>
      </w:r>
      <w:r w:rsidR="00DB1314" w:rsidRPr="009330DC">
        <w:rPr>
          <w:rFonts w:cs="TimesNewRomanPSMT"/>
          <w:szCs w:val="20"/>
        </w:rPr>
        <w:t xml:space="preserve">, </w:t>
      </w:r>
      <w:r w:rsidRPr="009330DC">
        <w:rPr>
          <w:rFonts w:cs="TimesNewRomanPSMT"/>
          <w:szCs w:val="20"/>
        </w:rPr>
        <w:t>upřednostněny váhy označené jako B, které odpovídají intenzivnímu typu ekonomickéh</w:t>
      </w:r>
      <w:r w:rsidR="00DB1314" w:rsidRPr="009330DC">
        <w:rPr>
          <w:rFonts w:cs="TimesNewRomanPSMT"/>
          <w:szCs w:val="20"/>
        </w:rPr>
        <w:t>o rozvoje taženého inovacemi. U</w:t>
      </w:r>
      <w:r w:rsidRPr="009330DC">
        <w:rPr>
          <w:rFonts w:cs="TimesNewRomanPSMT"/>
          <w:szCs w:val="20"/>
        </w:rPr>
        <w:t xml:space="preserve">žitý přístup dobře popisuje situaci v </w:t>
      </w:r>
      <w:r w:rsidR="009330DC" w:rsidRPr="009330DC">
        <w:rPr>
          <w:rFonts w:cs="TimesNewRomanPSMT"/>
          <w:szCs w:val="20"/>
        </w:rPr>
        <w:t xml:space="preserve">ekonomicky nejvyspělejších zemí a </w:t>
      </w:r>
      <w:r w:rsidRPr="009330DC">
        <w:rPr>
          <w:rFonts w:cs="TimesNewRomanPSMT"/>
          <w:szCs w:val="20"/>
        </w:rPr>
        <w:t>zvyšuje</w:t>
      </w:r>
      <w:r w:rsidR="009330DC" w:rsidRPr="009330DC">
        <w:rPr>
          <w:rFonts w:cs="TimesNewRomanPSMT"/>
          <w:szCs w:val="20"/>
        </w:rPr>
        <w:t xml:space="preserve"> tak</w:t>
      </w:r>
      <w:r w:rsidRPr="009330DC">
        <w:rPr>
          <w:rFonts w:cs="TimesNewRomanPSMT"/>
          <w:szCs w:val="20"/>
        </w:rPr>
        <w:t xml:space="preserve"> nadčasový význam provedeného hodnocení (váhy </w:t>
      </w:r>
      <w:r w:rsidR="00D2367B" w:rsidRPr="009330DC">
        <w:rPr>
          <w:rFonts w:cs="TimesNewRomanPSMT"/>
          <w:szCs w:val="20"/>
        </w:rPr>
        <w:t xml:space="preserve">A </w:t>
      </w:r>
      <w:r w:rsidRPr="009330DC">
        <w:rPr>
          <w:rFonts w:cs="TimesNewRomanPSMT"/>
          <w:szCs w:val="20"/>
        </w:rPr>
        <w:t>použité v předchozích studiích z let 1998 a 2003</w:t>
      </w:r>
      <w:r w:rsidRPr="009330DC">
        <w:t xml:space="preserve"> odpovídají extenzivnímu typu rozvoje české ekonomiky taženého zahraničními </w:t>
      </w:r>
      <w:r w:rsidR="00D2367B" w:rsidRPr="009330DC">
        <w:t xml:space="preserve">investicemi) </w:t>
      </w:r>
      <w:r w:rsidRPr="009330DC">
        <w:rPr>
          <w:rStyle w:val="Znakapoznpodarou"/>
        </w:rPr>
        <w:footnoteReference w:id="13"/>
      </w:r>
      <w:r w:rsidRPr="009330DC">
        <w:t>. Dosažené</w:t>
      </w:r>
      <w:r w:rsidRPr="001A42B6">
        <w:t xml:space="preserve"> v</w:t>
      </w:r>
      <w:r w:rsidRPr="001A42B6">
        <w:rPr>
          <w:rFonts w:cs="TimesNewRomanPSMT"/>
          <w:szCs w:val="20"/>
        </w:rPr>
        <w:t>ýsledky mikroregionálního hodnocení KPP za Českou republiku (</w:t>
      </w:r>
      <w:r>
        <w:rPr>
          <w:rFonts w:cs="TimesNewRomanPSMT"/>
          <w:szCs w:val="20"/>
        </w:rPr>
        <w:t>včetně</w:t>
      </w:r>
      <w:r w:rsidRPr="001A42B6">
        <w:rPr>
          <w:rFonts w:cs="TimesNewRomanPSMT"/>
          <w:szCs w:val="20"/>
        </w:rPr>
        <w:t xml:space="preserve"> </w:t>
      </w:r>
      <w:r>
        <w:rPr>
          <w:rFonts w:cs="TimesNewRomanPSMT"/>
          <w:szCs w:val="20"/>
        </w:rPr>
        <w:t>výsledné</w:t>
      </w:r>
      <w:r w:rsidRPr="001A42B6">
        <w:rPr>
          <w:rFonts w:cs="TimesNewRomanPSMT"/>
          <w:szCs w:val="20"/>
        </w:rPr>
        <w:t xml:space="preserve"> hodnot</w:t>
      </w:r>
      <w:r>
        <w:rPr>
          <w:rFonts w:cs="TimesNewRomanPSMT"/>
          <w:szCs w:val="20"/>
        </w:rPr>
        <w:t>y KPP</w:t>
      </w:r>
      <w:r w:rsidR="00C35E3D">
        <w:rPr>
          <w:rFonts w:cs="TimesNewRomanPSMT"/>
          <w:szCs w:val="20"/>
        </w:rPr>
        <w:t xml:space="preserve"> za </w:t>
      </w:r>
      <w:r w:rsidRPr="001A42B6">
        <w:rPr>
          <w:rFonts w:cs="TimesNewRomanPSMT"/>
          <w:szCs w:val="20"/>
        </w:rPr>
        <w:t xml:space="preserve">Prahu) </w:t>
      </w:r>
      <w:r>
        <w:rPr>
          <w:rFonts w:cs="TimesNewRomanPSMT"/>
          <w:szCs w:val="20"/>
        </w:rPr>
        <w:t>jsou prezentovány v</w:t>
      </w:r>
      <w:r w:rsidRPr="001A42B6">
        <w:rPr>
          <w:rFonts w:cs="TimesNewRomanPSMT"/>
          <w:szCs w:val="20"/>
        </w:rPr>
        <w:t xml:space="preserve"> následující</w:t>
      </w:r>
      <w:r>
        <w:rPr>
          <w:rFonts w:cs="TimesNewRomanPSMT"/>
          <w:szCs w:val="20"/>
        </w:rPr>
        <w:t>m</w:t>
      </w:r>
      <w:r w:rsidRPr="001A42B6">
        <w:rPr>
          <w:rFonts w:cs="TimesNewRomanPSMT"/>
          <w:szCs w:val="20"/>
        </w:rPr>
        <w:t xml:space="preserve"> kartogram</w:t>
      </w:r>
      <w:r>
        <w:rPr>
          <w:rFonts w:cs="TimesNewRomanPSMT"/>
          <w:szCs w:val="20"/>
        </w:rPr>
        <w:t>u</w:t>
      </w:r>
      <w:r w:rsidRPr="001A42B6">
        <w:rPr>
          <w:rFonts w:cs="TimesNewRomanPSMT"/>
          <w:szCs w:val="20"/>
        </w:rPr>
        <w:t>.</w:t>
      </w:r>
    </w:p>
    <w:p w:rsidR="00B24627" w:rsidRPr="00BA6C59" w:rsidRDefault="00B24627" w:rsidP="00423120">
      <w:pPr>
        <w:pStyle w:val="05-Text"/>
      </w:pPr>
      <w:r w:rsidRPr="009330DC">
        <w:rPr>
          <w:rFonts w:cs="TimesNewRomanPSMT"/>
          <w:szCs w:val="20"/>
        </w:rPr>
        <w:t>A</w:t>
      </w:r>
      <w:r w:rsidRPr="009330DC">
        <w:t>plikace popsaného modelu KPP v</w:t>
      </w:r>
      <w:r w:rsidRPr="009330DC">
        <w:rPr>
          <w:rFonts w:cs="TimesNewRomanPSMT"/>
          <w:szCs w:val="20"/>
        </w:rPr>
        <w:t xml:space="preserve"> souladu s kauzální povahou dlouhodobých vztahů mezi </w:t>
      </w:r>
      <w:r w:rsidR="009330DC" w:rsidRPr="009330DC">
        <w:rPr>
          <w:rFonts w:cs="TimesNewRomanPSMT"/>
          <w:szCs w:val="20"/>
        </w:rPr>
        <w:t xml:space="preserve">podmínkami a výsledky podnikání </w:t>
      </w:r>
      <w:r w:rsidRPr="009330DC">
        <w:rPr>
          <w:rFonts w:cs="TimesNewRomanPSMT"/>
          <w:szCs w:val="20"/>
        </w:rPr>
        <w:t>a rovněž s potřebnou mírou jeho komplexity</w:t>
      </w:r>
      <w:r w:rsidR="009330DC" w:rsidRPr="009330DC">
        <w:rPr>
          <w:rFonts w:cs="TimesNewRomanPSMT"/>
          <w:szCs w:val="20"/>
        </w:rPr>
        <w:t xml:space="preserve"> umožňuje</w:t>
      </w:r>
      <w:r w:rsidRPr="009330DC">
        <w:rPr>
          <w:rFonts w:cs="TimesNewRomanPSMT"/>
          <w:szCs w:val="20"/>
        </w:rPr>
        <w:t xml:space="preserve"> </w:t>
      </w:r>
      <w:r w:rsidRPr="009330DC">
        <w:t xml:space="preserve">získat </w:t>
      </w:r>
      <w:r w:rsidR="009330DC" w:rsidRPr="009330DC">
        <w:t>objektivní</w:t>
      </w:r>
      <w:r w:rsidRPr="009330DC">
        <w:t xml:space="preserve"> poznatky o v</w:t>
      </w:r>
      <w:r w:rsidRPr="009330DC">
        <w:rPr>
          <w:rFonts w:cs="TimesNewRomanPSMT"/>
          <w:szCs w:val="20"/>
        </w:rPr>
        <w:t>ývojové dife</w:t>
      </w:r>
      <w:r w:rsidR="009330DC" w:rsidRPr="009330DC">
        <w:rPr>
          <w:rFonts w:cs="TimesNewRomanPSMT"/>
          <w:szCs w:val="20"/>
        </w:rPr>
        <w:t>renciaci společenských systémů (</w:t>
      </w:r>
      <w:r w:rsidRPr="009330DC">
        <w:rPr>
          <w:rFonts w:cs="TimesNewRomanPSMT"/>
          <w:szCs w:val="20"/>
        </w:rPr>
        <w:t>zejména pokud jde o otevřené a územně silně integrované ekonomiky vyspělých zemí</w:t>
      </w:r>
      <w:r w:rsidR="009330DC" w:rsidRPr="009330DC">
        <w:rPr>
          <w:rFonts w:cs="TimesNewRomanPSMT"/>
          <w:szCs w:val="20"/>
        </w:rPr>
        <w:t>)</w:t>
      </w:r>
      <w:r w:rsidRPr="009330DC">
        <w:rPr>
          <w:rFonts w:cs="TimesNewRomanPSMT"/>
          <w:szCs w:val="20"/>
        </w:rPr>
        <w:t>. V tomto kontextu je za nejvýznamnější evoluční proces všeobecně pokládán přirozený výběr</w:t>
      </w:r>
      <w:r w:rsidRPr="00EF0C74">
        <w:rPr>
          <w:rFonts w:cs="TimesNewRomanPSMT"/>
          <w:szCs w:val="20"/>
        </w:rPr>
        <w:t xml:space="preserve"> na základě konkurenčních vztahů, který v kombinaci </w:t>
      </w:r>
      <w:r w:rsidRPr="00F37779">
        <w:rPr>
          <w:rFonts w:cs="TimesNewRomanPSMT"/>
          <w:szCs w:val="20"/>
        </w:rPr>
        <w:t xml:space="preserve">s účelovou spoluprací podnikatelských subjektů </w:t>
      </w:r>
      <w:r>
        <w:rPr>
          <w:rFonts w:cs="TimesNewRomanPSMT"/>
          <w:szCs w:val="20"/>
        </w:rPr>
        <w:t>vycházející z</w:t>
      </w:r>
      <w:r w:rsidRPr="00F37779">
        <w:rPr>
          <w:rFonts w:cs="TimesNewRomanPSMT"/>
          <w:szCs w:val="20"/>
        </w:rPr>
        <w:t xml:space="preserve"> </w:t>
      </w:r>
      <w:r w:rsidRPr="00EF0C74">
        <w:rPr>
          <w:rFonts w:cs="TimesNewRomanPSMT"/>
          <w:szCs w:val="20"/>
        </w:rPr>
        <w:t xml:space="preserve">rozvojových strategií firem zajišťuje </w:t>
      </w:r>
      <w:r>
        <w:rPr>
          <w:rFonts w:cs="TimesNewRomanPSMT"/>
          <w:szCs w:val="20"/>
        </w:rPr>
        <w:t>racionální</w:t>
      </w:r>
      <w:r w:rsidRPr="00EF0C74">
        <w:rPr>
          <w:rFonts w:cs="TimesNewRomanPSMT"/>
          <w:szCs w:val="20"/>
        </w:rPr>
        <w:t xml:space="preserve"> lokalizaci ekonomických akt</w:t>
      </w:r>
      <w:r>
        <w:rPr>
          <w:rFonts w:cs="TimesNewRomanPSMT"/>
          <w:szCs w:val="20"/>
        </w:rPr>
        <w:t>ivit a</w:t>
      </w:r>
      <w:r w:rsidRPr="00EF0C74">
        <w:rPr>
          <w:rFonts w:cs="TimesNewRomanPSMT"/>
          <w:szCs w:val="20"/>
        </w:rPr>
        <w:t xml:space="preserve"> </w:t>
      </w:r>
      <w:r>
        <w:rPr>
          <w:rFonts w:cs="TimesNewRomanPSMT"/>
          <w:szCs w:val="20"/>
        </w:rPr>
        <w:t xml:space="preserve">optimální </w:t>
      </w:r>
      <w:r w:rsidRPr="00EF0C74">
        <w:rPr>
          <w:rFonts w:cs="TimesNewRomanPSMT"/>
          <w:szCs w:val="20"/>
        </w:rPr>
        <w:t xml:space="preserve">využití </w:t>
      </w:r>
      <w:r w:rsidRPr="00E07227">
        <w:rPr>
          <w:rFonts w:cs="TimesNewRomanPSMT"/>
          <w:szCs w:val="20"/>
        </w:rPr>
        <w:t xml:space="preserve">omezených regionálních zdrojů a zvyšuje tak produktivitu všech výrobních faktorů. V reálném světě je působení těchto </w:t>
      </w:r>
      <w:r w:rsidRPr="00BA6C59">
        <w:rPr>
          <w:rFonts w:cs="TimesNewRomanPSMT"/>
          <w:szCs w:val="20"/>
        </w:rPr>
        <w:t xml:space="preserve">procesů </w:t>
      </w:r>
      <w:r w:rsidRPr="00BA6C59">
        <w:t>pochopitelně</w:t>
      </w:r>
      <w:r w:rsidRPr="00BA6C59">
        <w:rPr>
          <w:rFonts w:cs="TimesNewRomanPSMT"/>
          <w:szCs w:val="20"/>
        </w:rPr>
        <w:t xml:space="preserve"> modifikováno </w:t>
      </w:r>
      <w:r w:rsidRPr="00BA6C59">
        <w:t>specifickými faktory spojenými s</w:t>
      </w:r>
      <w:r w:rsidR="00BA6F21">
        <w:t> </w:t>
      </w:r>
      <w:r w:rsidRPr="00BA6C59">
        <w:t>adaptací</w:t>
      </w:r>
      <w:r w:rsidR="00BA6F21">
        <w:t>,</w:t>
      </w:r>
      <w:r w:rsidRPr="00BA6C59">
        <w:t xml:space="preserve"> resp. transformací </w:t>
      </w:r>
      <w:r w:rsidRPr="00BA6C59">
        <w:lastRenderedPageBreak/>
        <w:t>regionálních ekonomických struktur v zájmu udržení konkurenceschopnosti (odvíjejících se</w:t>
      </w:r>
      <w:r>
        <w:t xml:space="preserve"> obvykle </w:t>
      </w:r>
      <w:r w:rsidRPr="00BA6C59">
        <w:t xml:space="preserve">z intuitivních přístupů, </w:t>
      </w:r>
      <w:r w:rsidR="001D5CBA" w:rsidRPr="001D5CBA">
        <w:t>následně verifikovaných</w:t>
      </w:r>
      <w:r>
        <w:t xml:space="preserve"> získanými zkušenostmi</w:t>
      </w:r>
      <w:r w:rsidRPr="00BA6C59">
        <w:t>).</w:t>
      </w:r>
    </w:p>
    <w:p w:rsidR="00B24627" w:rsidRDefault="005C3F8A" w:rsidP="00B66EE4">
      <w:pPr>
        <w:keepNext/>
        <w:keepLines/>
        <w:widowControl w:val="0"/>
        <w:spacing w:after="0" w:line="240" w:lineRule="auto"/>
        <w:jc w:val="center"/>
      </w:pPr>
      <w:r>
        <w:rPr>
          <w:noProof/>
          <w:lang w:val="en-GB" w:eastAsia="en-GB"/>
        </w:rPr>
        <w:drawing>
          <wp:inline distT="0" distB="0" distL="0" distR="0" wp14:anchorId="7E09DA28" wp14:editId="5B033407">
            <wp:extent cx="5760720" cy="3533036"/>
            <wp:effectExtent l="0" t="0" r="0" b="0"/>
            <wp:docPr id="46" name="Obrázek 46" descr="C:\Users\76412\Downloads\ob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6412\Downloads\obr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533036"/>
                    </a:xfrm>
                    <a:prstGeom prst="rect">
                      <a:avLst/>
                    </a:prstGeom>
                    <a:noFill/>
                    <a:ln>
                      <a:noFill/>
                    </a:ln>
                  </pic:spPr>
                </pic:pic>
              </a:graphicData>
            </a:graphic>
          </wp:inline>
        </w:drawing>
      </w:r>
    </w:p>
    <w:p w:rsidR="00B24627" w:rsidRPr="00DB6E18" w:rsidRDefault="00B24627" w:rsidP="00B66EE4">
      <w:pPr>
        <w:pStyle w:val="0G-Titulek"/>
      </w:pPr>
      <w:bookmarkStart w:id="41" w:name="_Toc349768224"/>
      <w:bookmarkStart w:id="42" w:name="_Toc349824543"/>
      <w:bookmarkStart w:id="43" w:name="_Toc382326813"/>
      <w:r w:rsidRPr="00DB6E18">
        <w:t>Obrázek 9: Kvalita podnikatelského prostředí podle regionů ORP</w:t>
      </w:r>
      <w:bookmarkEnd w:id="41"/>
      <w:bookmarkEnd w:id="42"/>
      <w:bookmarkEnd w:id="43"/>
    </w:p>
    <w:p w:rsidR="00B24627" w:rsidRPr="00941990" w:rsidRDefault="00B24627" w:rsidP="00423120">
      <w:pPr>
        <w:pStyle w:val="0G-Pramen"/>
        <w:spacing w:after="200"/>
      </w:pPr>
      <w:r w:rsidRPr="00941990">
        <w:rPr>
          <w:lang w:eastAsia="en-GB"/>
        </w:rPr>
        <w:t>Pramen:</w:t>
      </w:r>
      <w:r w:rsidRPr="00941990">
        <w:t xml:space="preserve"> Viturka</w:t>
      </w:r>
      <w:r>
        <w:t>,</w:t>
      </w:r>
      <w:r w:rsidRPr="00941990">
        <w:t xml:space="preserve"> 2011.</w:t>
      </w:r>
    </w:p>
    <w:p w:rsidR="00B24627" w:rsidRPr="00525199" w:rsidRDefault="00B24627" w:rsidP="00423120">
      <w:pPr>
        <w:pStyle w:val="05-Text"/>
      </w:pPr>
      <w:r w:rsidRPr="001E5A3A">
        <w:t xml:space="preserve">Vývojová diferenciace společenských </w:t>
      </w:r>
      <w:r w:rsidRPr="009D3FBA">
        <w:t>systémů</w:t>
      </w:r>
      <w:r w:rsidRPr="001E5A3A">
        <w:t xml:space="preserve"> je </w:t>
      </w:r>
      <w:r>
        <w:t>interaktivně pro</w:t>
      </w:r>
      <w:r w:rsidRPr="001E5A3A">
        <w:t>pojena s</w:t>
      </w:r>
      <w:r>
        <w:t xml:space="preserve"> jejich </w:t>
      </w:r>
      <w:r w:rsidRPr="001E5A3A">
        <w:t>hierarchickou diferenciací</w:t>
      </w:r>
      <w:r w:rsidRPr="009D3FBA">
        <w:t>, jejímž výsledkem je sociálně-geografická organizace společnosti (Hampl, 2005)</w:t>
      </w:r>
      <w:r>
        <w:t xml:space="preserve">. Tato prostorová organizace je charakteristická </w:t>
      </w:r>
      <w:r w:rsidRPr="009D3FBA">
        <w:t>silnou inercií</w:t>
      </w:r>
      <w:r>
        <w:t>, která výrazně modifikuje výsledky generované procesem vývojové diferenciace.</w:t>
      </w:r>
      <w:r w:rsidRPr="009D3FBA">
        <w:t xml:space="preserve"> V</w:t>
      </w:r>
      <w:r w:rsidRPr="00DF2D11">
        <w:t xml:space="preserve"> této souvislosti byla </w:t>
      </w:r>
      <w:r>
        <w:t>pomocí</w:t>
      </w:r>
      <w:r w:rsidRPr="00DF2D11">
        <w:t xml:space="preserve"> mocninné regresní křivky závislosti mezi KPP a </w:t>
      </w:r>
      <w:r>
        <w:t xml:space="preserve">velikostí </w:t>
      </w:r>
      <w:r w:rsidRPr="00DF2D11">
        <w:t xml:space="preserve">regionů </w:t>
      </w:r>
      <w:r w:rsidRPr="00F11130">
        <w:t xml:space="preserve">ORP potvrzena hypotéza, že hodnoty KPP silně korespondují s populační </w:t>
      </w:r>
      <w:r w:rsidRPr="00EC5340">
        <w:t>velikostí mikroregionů jako základní míry jejich významového</w:t>
      </w:r>
      <w:r>
        <w:t>/</w:t>
      </w:r>
      <w:r w:rsidRPr="00EC5340">
        <w:t>hierarchického postavení</w:t>
      </w:r>
      <w:r w:rsidR="00C35E3D">
        <w:t xml:space="preserve"> – toto zjištění je v souladu s </w:t>
      </w:r>
      <w:r>
        <w:t>významnou rolí inercie v regionálním rozvoji, která je řadou teorií hospodářského růstu zamlčována či dokonce popírána. M</w:t>
      </w:r>
      <w:r w:rsidRPr="00EC5340">
        <w:t>ocninn</w:t>
      </w:r>
      <w:r>
        <w:t>á</w:t>
      </w:r>
      <w:r w:rsidRPr="00EC5340">
        <w:t xml:space="preserve"> funkce byl</w:t>
      </w:r>
      <w:r>
        <w:t>a</w:t>
      </w:r>
      <w:r w:rsidRPr="00EC5340">
        <w:t xml:space="preserve"> identifikována jako </w:t>
      </w:r>
      <w:r w:rsidRPr="008128A9">
        <w:t>optimální</w:t>
      </w:r>
      <w:r w:rsidR="00595BB7">
        <w:t>,</w:t>
      </w:r>
      <w:r w:rsidRPr="008128A9">
        <w:t xml:space="preserve"> zvláště z pohledu největších měst disponujících největším</w:t>
      </w:r>
      <w:r>
        <w:t>i</w:t>
      </w:r>
      <w:r w:rsidRPr="008128A9">
        <w:t xml:space="preserve"> aglomerační</w:t>
      </w:r>
      <w:r>
        <w:t>mi</w:t>
      </w:r>
      <w:r w:rsidRPr="008128A9">
        <w:t xml:space="preserve"> výhod</w:t>
      </w:r>
      <w:r>
        <w:t xml:space="preserve">ami. </w:t>
      </w:r>
      <w:r w:rsidRPr="008128A9">
        <w:t xml:space="preserve"> K tomu je účelné poznamenat, že podle empirických zjištění právě </w:t>
      </w:r>
      <w:r>
        <w:t xml:space="preserve">mocninná </w:t>
      </w:r>
      <w:r w:rsidR="00595BB7">
        <w:t xml:space="preserve">funkce nejlépe vystihuje </w:t>
      </w:r>
      <w:r w:rsidRPr="008128A9">
        <w:t xml:space="preserve">obecné </w:t>
      </w:r>
      <w:r w:rsidRPr="000D19F1">
        <w:t>pravidelnosti ve velikostním rozložení měst, označované v anglo</w:t>
      </w:r>
      <w:r w:rsidR="00595BB7">
        <w:t xml:space="preserve">saské literatuře jako rank-size </w:t>
      </w:r>
      <w:r w:rsidRPr="000D19F1">
        <w:t>rule</w:t>
      </w:r>
      <w:r>
        <w:t>.</w:t>
      </w:r>
      <w:r w:rsidRPr="000D19F1">
        <w:t xml:space="preserve"> Vyhodnocení odchylek skutečně </w:t>
      </w:r>
      <w:r w:rsidR="001D5CBA" w:rsidRPr="001D5CBA">
        <w:t>zjištěných</w:t>
      </w:r>
      <w:r w:rsidRPr="000D19F1">
        <w:t xml:space="preserve"> hodnot KPP od teoreticky příslušných hodnot vyplývajících z regresní křivky nám pak (i </w:t>
      </w:r>
      <w:r w:rsidR="00C35E3D">
        <w:t>přes určitá zkreslení spojená s </w:t>
      </w:r>
      <w:r w:rsidRPr="000D19F1">
        <w:t xml:space="preserve">administrativním vymezením regionů) poskytuje </w:t>
      </w:r>
      <w:r>
        <w:t xml:space="preserve">konkrétní </w:t>
      </w:r>
      <w:r w:rsidRPr="000D19F1">
        <w:t>informace o vývojových tendencích</w:t>
      </w:r>
      <w:r w:rsidR="00BA6F21">
        <w:t>,</w:t>
      </w:r>
      <w:r w:rsidRPr="000D19F1">
        <w:t xml:space="preserve"> resp. </w:t>
      </w:r>
      <w:r>
        <w:t xml:space="preserve">výsledcích </w:t>
      </w:r>
      <w:r w:rsidRPr="000D19F1">
        <w:t>socioekonomického rozvoje jednotlivých mikroregionů.</w:t>
      </w:r>
      <w:r w:rsidRPr="00CD3D0C">
        <w:rPr>
          <w:color w:val="0000FF"/>
        </w:rPr>
        <w:t xml:space="preserve"> </w:t>
      </w:r>
      <w:r w:rsidRPr="00487671">
        <w:t>Vznik těchto odchylek lze vysvětlovat pomocí různých modelů</w:t>
      </w:r>
      <w:r>
        <w:t>.</w:t>
      </w:r>
      <w:r w:rsidRPr="00487671">
        <w:t xml:space="preserve"> </w:t>
      </w:r>
      <w:r>
        <w:t>Z</w:t>
      </w:r>
      <w:r w:rsidRPr="00487671">
        <w:t> obecně uznávaných modelů lze v této souvislosti připomenout model exportní báze</w:t>
      </w:r>
      <w:r>
        <w:t xml:space="preserve">, </w:t>
      </w:r>
      <w:r w:rsidR="001D5CBA">
        <w:t>který je</w:t>
      </w:r>
      <w:r w:rsidR="00C35E3D">
        <w:t xml:space="preserve"> zvláště vhodný pro </w:t>
      </w:r>
      <w:r w:rsidR="001D5CBA" w:rsidRPr="001D5CBA">
        <w:t>mikroregionální analýzy</w:t>
      </w:r>
      <w:r w:rsidR="001D5CBA">
        <w:t>.</w:t>
      </w:r>
      <w:r>
        <w:t xml:space="preserve"> </w:t>
      </w:r>
      <w:r w:rsidRPr="000F74D1">
        <w:t>Podle tohoto jednoduchého modelu lze ekonomické aktivity regionu rozdělit do dvou s</w:t>
      </w:r>
      <w:r>
        <w:t>ektorů</w:t>
      </w:r>
      <w:r w:rsidRPr="000F74D1">
        <w:t>: bazická</w:t>
      </w:r>
      <w:r w:rsidR="001D5CBA">
        <w:t>,</w:t>
      </w:r>
      <w:r w:rsidRPr="000F74D1">
        <w:t xml:space="preserve"> tj. exportně orientovaná odvětví uspokojující externí poptávku</w:t>
      </w:r>
      <w:r w:rsidR="00595BB7">
        <w:rPr>
          <w:color w:val="FF0000"/>
        </w:rPr>
        <w:t xml:space="preserve"> </w:t>
      </w:r>
      <w:r w:rsidRPr="000F74D1">
        <w:t xml:space="preserve">a </w:t>
      </w:r>
      <w:r w:rsidRPr="000E043E">
        <w:t>ne</w:t>
      </w:r>
      <w:r w:rsidR="001D5CBA">
        <w:t>-</w:t>
      </w:r>
      <w:r w:rsidRPr="000E043E">
        <w:t>bazická</w:t>
      </w:r>
      <w:r w:rsidR="001D5CBA">
        <w:t>,</w:t>
      </w:r>
      <w:r w:rsidRPr="000E043E">
        <w:t xml:space="preserve"> tj. </w:t>
      </w:r>
      <w:r>
        <w:t xml:space="preserve">obvykle </w:t>
      </w:r>
      <w:r w:rsidRPr="00144E53">
        <w:t xml:space="preserve">lokálně orientovaná odvětví uspokojující místní </w:t>
      </w:r>
      <w:r w:rsidRPr="00144E53">
        <w:lastRenderedPageBreak/>
        <w:t>poptávku. Rozvoj exportn</w:t>
      </w:r>
      <w:r>
        <w:t>ích</w:t>
      </w:r>
      <w:r w:rsidRPr="00144E53">
        <w:t xml:space="preserve"> odvětví vykazuje </w:t>
      </w:r>
      <w:r>
        <w:t>z </w:t>
      </w:r>
      <w:r w:rsidRPr="00BB4509">
        <w:t xml:space="preserve">důvodu silnější konkurence </w:t>
      </w:r>
      <w:r w:rsidR="006C0B61">
        <w:t xml:space="preserve">i </w:t>
      </w:r>
      <w:r w:rsidRPr="00BB4509">
        <w:t>vyšší nároky</w:t>
      </w:r>
      <w:r w:rsidR="00C35E3D">
        <w:t xml:space="preserve"> na </w:t>
      </w:r>
      <w:r w:rsidR="001D5CBA">
        <w:t>kvalitu výrobních vstupů</w:t>
      </w:r>
      <w:r>
        <w:t xml:space="preserve"> s </w:t>
      </w:r>
      <w:r w:rsidRPr="00BB4509">
        <w:t xml:space="preserve">pozitivními dopady na KPP. V souladu s tím </w:t>
      </w:r>
      <w:r w:rsidR="001D5CBA">
        <w:t xml:space="preserve">pak </w:t>
      </w:r>
      <w:r w:rsidRPr="00BB4509">
        <w:t xml:space="preserve">lze </w:t>
      </w:r>
      <w:r w:rsidR="006C0B61">
        <w:t xml:space="preserve">logicky </w:t>
      </w:r>
      <w:r w:rsidRPr="00BB4509">
        <w:t>předpokládat, že mikroregio</w:t>
      </w:r>
      <w:r>
        <w:t xml:space="preserve">ny s pozitivními odchylkami KPP </w:t>
      </w:r>
      <w:r w:rsidRPr="00BB4509">
        <w:t>disponují vyšším zastoupením exportních</w:t>
      </w:r>
      <w:r w:rsidR="006C0B61">
        <w:t>,</w:t>
      </w:r>
      <w:r w:rsidRPr="00BB4509">
        <w:t xml:space="preserve"> </w:t>
      </w:r>
      <w:r>
        <w:t xml:space="preserve">tj. bazických </w:t>
      </w:r>
      <w:r w:rsidRPr="00BB4509">
        <w:t xml:space="preserve">odvětví s významnými multiplikačními efekty </w:t>
      </w:r>
      <w:r>
        <w:t>(</w:t>
      </w:r>
      <w:r w:rsidRPr="00BB4509">
        <w:t xml:space="preserve">exportní orientace však na druhé straně přináší i </w:t>
      </w:r>
      <w:r w:rsidR="006C0B61">
        <w:t xml:space="preserve">výrazně </w:t>
      </w:r>
      <w:r w:rsidRPr="00BB4509">
        <w:t xml:space="preserve">vyšší rizika v případě </w:t>
      </w:r>
      <w:r>
        <w:t>negativního</w:t>
      </w:r>
      <w:r w:rsidRPr="00BB4509">
        <w:t xml:space="preserve"> vývoje </w:t>
      </w:r>
      <w:r>
        <w:t>externí</w:t>
      </w:r>
      <w:r w:rsidRPr="00BB4509">
        <w:t xml:space="preserve"> poptávky).</w:t>
      </w:r>
    </w:p>
    <w:p w:rsidR="00B24627" w:rsidRDefault="00B24627" w:rsidP="00B66EE4">
      <w:pPr>
        <w:keepNext/>
        <w:spacing w:after="0" w:line="240" w:lineRule="auto"/>
        <w:jc w:val="center"/>
        <w:rPr>
          <w:color w:val="FF0000"/>
          <w:szCs w:val="24"/>
        </w:rPr>
      </w:pPr>
      <w:r>
        <w:rPr>
          <w:noProof/>
          <w:color w:val="FF0000"/>
          <w:sz w:val="24"/>
          <w:szCs w:val="24"/>
          <w:lang w:val="en-GB" w:eastAsia="en-GB"/>
        </w:rPr>
        <w:drawing>
          <wp:inline distT="0" distB="0" distL="0" distR="0" wp14:anchorId="24EFE85B" wp14:editId="22B1AF8C">
            <wp:extent cx="4305935" cy="2711450"/>
            <wp:effectExtent l="0" t="0" r="0" b="0"/>
            <wp:docPr id="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935" cy="2711450"/>
                    </a:xfrm>
                    <a:prstGeom prst="rect">
                      <a:avLst/>
                    </a:prstGeom>
                    <a:noFill/>
                    <a:ln>
                      <a:noFill/>
                    </a:ln>
                  </pic:spPr>
                </pic:pic>
              </a:graphicData>
            </a:graphic>
          </wp:inline>
        </w:drawing>
      </w:r>
    </w:p>
    <w:p w:rsidR="00B24627" w:rsidRDefault="00B24627" w:rsidP="00B66EE4">
      <w:pPr>
        <w:pStyle w:val="0G-Titulek"/>
        <w:ind w:left="907" w:right="907" w:firstLine="0"/>
      </w:pPr>
      <w:bookmarkStart w:id="44" w:name="_Toc349768225"/>
      <w:bookmarkStart w:id="45" w:name="_Toc349824544"/>
      <w:bookmarkStart w:id="46" w:name="_Toc382326814"/>
      <w:r>
        <w:t>Obrázek 10</w:t>
      </w:r>
      <w:r w:rsidRPr="006037E8">
        <w:t xml:space="preserve">: </w:t>
      </w:r>
      <w:r w:rsidRPr="00236001">
        <w:t>Regresní mocninná křivka závislosti hodno</w:t>
      </w:r>
      <w:r>
        <w:t>t KPP na velikosti mikroregionů</w:t>
      </w:r>
      <w:bookmarkEnd w:id="44"/>
      <w:bookmarkEnd w:id="45"/>
      <w:bookmarkEnd w:id="46"/>
    </w:p>
    <w:p w:rsidR="00B24627" w:rsidRDefault="00B24627" w:rsidP="00423120">
      <w:pPr>
        <w:pStyle w:val="0G-Pramen"/>
        <w:spacing w:after="200"/>
        <w:ind w:left="964" w:right="964" w:firstLine="0"/>
      </w:pPr>
      <w:r w:rsidRPr="00941990">
        <w:t>Pramen: Viturka, 2011.</w:t>
      </w:r>
    </w:p>
    <w:p w:rsidR="00B24627" w:rsidRPr="00D70371" w:rsidRDefault="00B24627" w:rsidP="00423120">
      <w:pPr>
        <w:pStyle w:val="05-Text"/>
      </w:pPr>
      <w:r w:rsidRPr="00D70371">
        <w:t xml:space="preserve">Pokud se </w:t>
      </w:r>
      <w:r>
        <w:t xml:space="preserve">dále </w:t>
      </w:r>
      <w:r w:rsidRPr="00D70371">
        <w:t xml:space="preserve">hlouběji zamyslíme nad rozvojem lidské společnosti, dojdeme </w:t>
      </w:r>
      <w:r>
        <w:t xml:space="preserve">ovšem vcelku </w:t>
      </w:r>
      <w:r w:rsidRPr="00D70371">
        <w:t xml:space="preserve">logicky k závěru, že ekonomický rozvoj orientovaný na maximalizaci užitků tvoří jen jeho dílčí (i když nejdynamičtější) součást. Jeho neméně významnou součástí je sociální rozvoj orientovaný na zajištění spokojenosti </w:t>
      </w:r>
      <w:r w:rsidR="00BF44B7">
        <w:t xml:space="preserve">všech členů společnosti – </w:t>
      </w:r>
      <w:r>
        <w:t>jako příklad lze uvést koncept „</w:t>
      </w:r>
      <w:r w:rsidRPr="00D70371">
        <w:t>maximalizac</w:t>
      </w:r>
      <w:r w:rsidR="001D5CBA">
        <w:t>e</w:t>
      </w:r>
      <w:r w:rsidRPr="00D70371">
        <w:t xml:space="preserve"> dobra</w:t>
      </w:r>
      <w:r>
        <w:t>“</w:t>
      </w:r>
      <w:r w:rsidRPr="00D70371">
        <w:t xml:space="preserve"> </w:t>
      </w:r>
      <w:r w:rsidR="001D5CBA">
        <w:t>(</w:t>
      </w:r>
      <w:r w:rsidRPr="00D70371">
        <w:t>Sedláč</w:t>
      </w:r>
      <w:r w:rsidR="001D5CBA">
        <w:t>e</w:t>
      </w:r>
      <w:r w:rsidRPr="00D70371">
        <w:t>k</w:t>
      </w:r>
      <w:r w:rsidR="001D5CBA">
        <w:t>, 2012</w:t>
      </w:r>
      <w:r w:rsidRPr="00D70371">
        <w:t xml:space="preserve">). V souladu s tímto závěrem je </w:t>
      </w:r>
      <w:r>
        <w:t xml:space="preserve">tedy </w:t>
      </w:r>
      <w:r w:rsidRPr="00D70371">
        <w:t xml:space="preserve">potřebné hodnocení kvality podnikatelského prostředí </w:t>
      </w:r>
      <w:r>
        <w:t xml:space="preserve">interaktivním způsobem </w:t>
      </w:r>
      <w:r w:rsidRPr="00D70371">
        <w:t>doplnit hodnocením kvality sociálního prostředí, přičemž hodnocení obou hlavních prostorových komponent společenského rozvoje zahrnuje (v souladu s</w:t>
      </w:r>
      <w:r>
        <w:t> teorií o</w:t>
      </w:r>
      <w:r w:rsidRPr="00D70371">
        <w:t xml:space="preserve"> společné evoluc</w:t>
      </w:r>
      <w:r>
        <w:t>e</w:t>
      </w:r>
      <w:r w:rsidRPr="00D70371">
        <w:t xml:space="preserve"> Země</w:t>
      </w:r>
      <w:r w:rsidRPr="000068B7">
        <w:t xml:space="preserve"> </w:t>
      </w:r>
      <w:r w:rsidR="00C35E3D">
        <w:t>J. Lovelocka) i </w:t>
      </w:r>
      <w:r>
        <w:t>relevantní</w:t>
      </w:r>
      <w:r w:rsidRPr="00D70371">
        <w:t xml:space="preserve"> environmentální faktory. Z hlediska hodnocení kvality sociálního prostředí (KSP) považujeme za inspirativní </w:t>
      </w:r>
      <w:r>
        <w:t xml:space="preserve">zvláště </w:t>
      </w:r>
      <w:r w:rsidRPr="00D70371">
        <w:t xml:space="preserve">koncept kvality života, na jehož rozpracování se podílela </w:t>
      </w:r>
      <w:r>
        <w:t xml:space="preserve">celá </w:t>
      </w:r>
      <w:r w:rsidRPr="00D70371">
        <w:t xml:space="preserve">řada autorů (např. Diener, </w:t>
      </w:r>
      <w:r>
        <w:t xml:space="preserve">Suh, </w:t>
      </w:r>
      <w:r w:rsidRPr="00D70371">
        <w:t>199</w:t>
      </w:r>
      <w:r>
        <w:t>7</w:t>
      </w:r>
      <w:r w:rsidRPr="00D70371">
        <w:sym w:font="Symbol" w:char="F03B"/>
      </w:r>
      <w:r w:rsidRPr="00D70371">
        <w:t xml:space="preserve"> </w:t>
      </w:r>
      <w:r>
        <w:t>Mederly, Nováček, Topercer, 1994</w:t>
      </w:r>
      <w:r w:rsidRPr="00D70371">
        <w:sym w:font="Symbol" w:char="F03B"/>
      </w:r>
      <w:r>
        <w:t xml:space="preserve"> Rogerson, Findlay, Morris, 1989</w:t>
      </w:r>
      <w:r w:rsidRPr="00D70371">
        <w:sym w:font="Symbol" w:char="F03B"/>
      </w:r>
      <w:r w:rsidRPr="00D70371">
        <w:t xml:space="preserve"> Smith, 1973</w:t>
      </w:r>
      <w:r w:rsidRPr="00D70371">
        <w:sym w:font="Symbol" w:char="F03B"/>
      </w:r>
      <w:r w:rsidRPr="00D70371">
        <w:t xml:space="preserve"> Veenhoven, 1996).</w:t>
      </w:r>
      <w:r>
        <w:t xml:space="preserve"> </w:t>
      </w:r>
      <w:r w:rsidRPr="00D70371">
        <w:t>Jeho rostoucí popularita významně souvisí s probíhající diskusí o dominantní roli HDP jako měřítka společenského rozvoje. Postupně se vytvořily tři základní směry hodnocení kvali</w:t>
      </w:r>
      <w:r w:rsidR="00C35E3D">
        <w:t>ty života, které lze označit za </w:t>
      </w:r>
      <w:r w:rsidRPr="00D70371">
        <w:t>sociologický (založený na objektivních sociálních indikátorech odrážejících idealizované představy o žádoucím společenském rozvoji), ekonomick</w:t>
      </w:r>
      <w:r w:rsidR="00C35E3D">
        <w:t>ý (definující kvalitu života na </w:t>
      </w:r>
      <w:r w:rsidRPr="00D70371">
        <w:t>základě míry uspokojování spotřebitelských preferenc</w:t>
      </w:r>
      <w:r w:rsidR="00C35E3D">
        <w:t>í) a psychologický (založený na </w:t>
      </w:r>
      <w:r w:rsidRPr="00D70371">
        <w:t xml:space="preserve">subjektivních sociálních indikátorech odrážejících spokojenost obyvatel). Ze studií zaměřených na hodnocení kvality života se s největším zájmem veřejnosti setkaly Human </w:t>
      </w:r>
      <w:r w:rsidRPr="00D70371">
        <w:lastRenderedPageBreak/>
        <w:t>development index, Economist Intelligence Unit´s index a Merc</w:t>
      </w:r>
      <w:r w:rsidR="00C35E3D">
        <w:t>er´s quality of living report a </w:t>
      </w:r>
      <w:r w:rsidRPr="00D70371">
        <w:t>dále žebříčky kvality života měst</w:t>
      </w:r>
      <w:r w:rsidR="00BA6F21">
        <w:t>,</w:t>
      </w:r>
      <w:r w:rsidRPr="00D70371">
        <w:t xml:space="preserve"> resp. metropolitních regionů. </w:t>
      </w:r>
    </w:p>
    <w:p w:rsidR="001D5CBA" w:rsidRPr="001D5CBA" w:rsidRDefault="001D5CBA" w:rsidP="00423120">
      <w:pPr>
        <w:pStyle w:val="05-Text"/>
      </w:pPr>
      <w:r w:rsidRPr="000A5697">
        <w:t xml:space="preserve">Hodnocení KSP poskytuje podnikatelské sféře, veřejné správě i dalším potenciálním uživatelům územně a věcně strukturované informace o relevantních faktorech vypovídajících o úrovni sociálního prostředí a v interakci s hodnocením KPP i o udržitelnosti stávajícího modelu </w:t>
      </w:r>
      <w:r w:rsidRPr="001D5CBA">
        <w:t>hospodářského</w:t>
      </w:r>
      <w:r w:rsidRPr="000A5697">
        <w:t xml:space="preserve"> rozvoje (trvalé zhoršování kvality života, vyvolané např. rostoucími škodami na životním prostředí či výrazným zvyšováním výskytu kriminality</w:t>
      </w:r>
      <w:r w:rsidR="00595BB7">
        <w:t xml:space="preserve"> </w:t>
      </w:r>
      <w:r w:rsidRPr="000A5697">
        <w:t>nepochybně p</w:t>
      </w:r>
      <w:r>
        <w:t>řispívá k výraznému</w:t>
      </w:r>
      <w:r w:rsidRPr="000A5697">
        <w:t xml:space="preserve"> zvyšování „neproduktivních“ nákladů jak veřejného, tak i soukromého sektoru). Pro hodnocení KSP se jako nejvhodnější </w:t>
      </w:r>
      <w:r w:rsidRPr="001D5CBA">
        <w:t xml:space="preserve">jeví </w:t>
      </w:r>
      <w:r w:rsidRPr="000A5697">
        <w:t xml:space="preserve">aplikace tzv. objektivních sociálních indikátorů interpretovaných pomocí jednotlivých </w:t>
      </w:r>
      <w:r>
        <w:t xml:space="preserve">sociálních </w:t>
      </w:r>
      <w:r w:rsidRPr="000A5697">
        <w:t xml:space="preserve">faktorů, jejichž výběr je však výrazně </w:t>
      </w:r>
      <w:r>
        <w:t>subjektivnější</w:t>
      </w:r>
      <w:r w:rsidRPr="000A5697">
        <w:t xml:space="preserve"> záležitostí než v případě KPP. V této sou</w:t>
      </w:r>
      <w:r w:rsidR="00C35E3D">
        <w:t>vislosti je často diskutována i </w:t>
      </w:r>
      <w:r w:rsidRPr="000A5697">
        <w:t xml:space="preserve">váha vybraných faktorů – zde se přikláníme k názoru, že jejich zavedení by nebylo </w:t>
      </w:r>
      <w:r w:rsidRPr="001D5CBA">
        <w:t xml:space="preserve">z důvodu významného rizika zkreslení </w:t>
      </w:r>
      <w:r w:rsidRPr="000A5697">
        <w:t xml:space="preserve">výsledků hodnocení účelné (viz např. </w:t>
      </w:r>
      <w:r>
        <w:t>Becker, Denby, McGill, Wilks, 1989</w:t>
      </w:r>
      <w:r>
        <w:sym w:font="Symbol" w:char="F03B"/>
      </w:r>
      <w:r>
        <w:t xml:space="preserve"> </w:t>
      </w:r>
      <w:r w:rsidRPr="000A5697">
        <w:t>Smith, 1973).</w:t>
      </w:r>
      <w:r>
        <w:t xml:space="preserve"> </w:t>
      </w:r>
      <w:r w:rsidRPr="000A5697">
        <w:t xml:space="preserve">„Ideální“ </w:t>
      </w:r>
      <w:r w:rsidRPr="003410CF">
        <w:t>společenský rozvoj by měl navíc reflektovat preference všech skupin obyvatelstva, aniž by některé z nich by</w:t>
      </w:r>
      <w:r w:rsidR="00C35E3D">
        <w:t>ly výrazněji upřednostněny před </w:t>
      </w:r>
      <w:r w:rsidRPr="003410CF">
        <w:t>preferencemi jiných skupin (např. faktor nezaměstnan</w:t>
      </w:r>
      <w:r w:rsidR="00C35E3D">
        <w:t>osti je plně relevantní jen pro </w:t>
      </w:r>
      <w:r w:rsidRPr="003410CF">
        <w:t xml:space="preserve">obyvatelstvo v produktivním věku). Na základě provedených analýz byl v rámci příslušné případové studie České republiky zvolen stejný počet faktorů jako v případě hodnocení KPP, přičemž vybrané faktory pokrývají všechny </w:t>
      </w:r>
      <w:r>
        <w:t>nejdůležitější</w:t>
      </w:r>
      <w:r w:rsidRPr="003410CF">
        <w:t xml:space="preserve"> oblasti </w:t>
      </w:r>
      <w:r w:rsidRPr="00441D26">
        <w:t>dané komponenty</w:t>
      </w:r>
      <w:r w:rsidR="00275DD2">
        <w:t>,</w:t>
      </w:r>
      <w:r w:rsidRPr="00441D26">
        <w:t xml:space="preserve"> tj. sociální, demografickou, urbanistickou, infrastrukturní a environmentální (viz následující tabulka). Ze širšího pohledu </w:t>
      </w:r>
      <w:r>
        <w:t xml:space="preserve">pak </w:t>
      </w:r>
      <w:r w:rsidRPr="00441D26">
        <w:t xml:space="preserve">představuje významný spojovací článek </w:t>
      </w:r>
      <w:r w:rsidRPr="001D5CBA">
        <w:t xml:space="preserve">mezi hodnocením </w:t>
      </w:r>
      <w:r w:rsidRPr="00441D26">
        <w:t>kvality podnikatelského a sociálního prostředí teritoriálně chápaná konkurenceschopnost, kterou lze obecně definovat jako schopnost regionů gene</w:t>
      </w:r>
      <w:r w:rsidR="00C35E3D">
        <w:t xml:space="preserve">rovat relativně vysoké příjmy </w:t>
      </w:r>
      <w:r w:rsidR="00C35E3D" w:rsidRPr="00C35E3D">
        <w:t>a</w:t>
      </w:r>
      <w:r w:rsidR="00C35E3D">
        <w:t> </w:t>
      </w:r>
      <w:r w:rsidRPr="00C35E3D">
        <w:t>úroveň</w:t>
      </w:r>
      <w:r w:rsidRPr="00441D26">
        <w:t xml:space="preserve"> zaměstnanosti při jejich vystavení vnější konkurenci </w:t>
      </w:r>
      <w:r>
        <w:t xml:space="preserve">(European Commission, 1999) </w:t>
      </w:r>
      <w:r w:rsidRPr="00441D26">
        <w:t xml:space="preserve">a za jejíž reálný základ lze považovat vysokou atraktivita regionů pro podnikání a pro bydlení. </w:t>
      </w:r>
    </w:p>
    <w:p w:rsidR="001D5CBA" w:rsidRPr="006C0B61" w:rsidRDefault="001D5CBA" w:rsidP="00423120">
      <w:pPr>
        <w:pStyle w:val="05-Text"/>
        <w:rPr>
          <w:color w:val="FF0000"/>
        </w:rPr>
      </w:pPr>
      <w:bookmarkStart w:id="47" w:name="_Toc349768211"/>
      <w:bookmarkStart w:id="48" w:name="_Toc349824529"/>
      <w:r w:rsidRPr="00CB4DA3">
        <w:t>Pokud jde o zjištěné hodnoty KSP</w:t>
      </w:r>
      <w:r w:rsidR="007F6C19">
        <w:t>,</w:t>
      </w:r>
      <w:r w:rsidRPr="00CB4DA3">
        <w:t xml:space="preserve"> lze region</w:t>
      </w:r>
      <w:r>
        <w:t>y</w:t>
      </w:r>
      <w:r w:rsidRPr="00CB4DA3">
        <w:t xml:space="preserve"> ORP rozdělit na progresivní</w:t>
      </w:r>
      <w:r w:rsidR="00275DD2">
        <w:t>,</w:t>
      </w:r>
      <w:r w:rsidRPr="00CB4DA3">
        <w:t xml:space="preserve"> tj. regiony se silně nadprůměrnou úrovní KSP, standardní</w:t>
      </w:r>
      <w:r w:rsidR="00275DD2">
        <w:t>,</w:t>
      </w:r>
      <w:r w:rsidRPr="00CB4DA3">
        <w:t xml:space="preserve"> tj. regio</w:t>
      </w:r>
      <w:r w:rsidR="00C35E3D">
        <w:t>ny s průměrnou úrovní KSP a </w:t>
      </w:r>
      <w:r w:rsidRPr="00CB4DA3">
        <w:t>regresivní</w:t>
      </w:r>
      <w:r w:rsidR="00275DD2">
        <w:t>,</w:t>
      </w:r>
      <w:r w:rsidRPr="00CB4DA3">
        <w:t xml:space="preserve"> tj. regiony se silně </w:t>
      </w:r>
      <w:r w:rsidRPr="001F3670">
        <w:t>podprůměrnou úrovní KSP</w:t>
      </w:r>
      <w:r>
        <w:t xml:space="preserve"> </w:t>
      </w:r>
      <w:r w:rsidRPr="001F3670">
        <w:t>(</w:t>
      </w:r>
      <w:r>
        <w:t xml:space="preserve">toto členění je pochopitelně možné aplikovat i na jiné </w:t>
      </w:r>
      <w:r w:rsidRPr="001D5CBA">
        <w:t>regionální studie</w:t>
      </w:r>
      <w:r w:rsidRPr="001F3670">
        <w:t xml:space="preserve">). Z dosažených výsledků vyplývá, že ve srovnání s KPP je pro územní rozložení hodnot KSP charakteristická zřetelně nižší úroveň diferenciace. </w:t>
      </w:r>
      <w:r>
        <w:t xml:space="preserve">Z hlediska vzájemných vazeb je potřebné zdůraznit, že dynamická </w:t>
      </w:r>
      <w:r w:rsidRPr="008F4963">
        <w:t>rovnováh</w:t>
      </w:r>
      <w:r>
        <w:t>a</w:t>
      </w:r>
      <w:r w:rsidRPr="008F4963">
        <w:t xml:space="preserve"> mezi oběma komponentami </w:t>
      </w:r>
      <w:r>
        <w:t xml:space="preserve">je </w:t>
      </w:r>
      <w:r w:rsidRPr="00BD2068">
        <w:t>považ</w:t>
      </w:r>
      <w:r>
        <w:t>ována</w:t>
      </w:r>
      <w:r w:rsidRPr="00BD2068">
        <w:t xml:space="preserve"> za základní předpoklad udržitelného společenského rozvoje</w:t>
      </w:r>
      <w:r w:rsidR="00275DD2">
        <w:t>,</w:t>
      </w:r>
      <w:r w:rsidRPr="00BD2068">
        <w:t xml:space="preserve"> tj. takového způsobu rozvoje, který uspokojuje potřeby přítomnosti</w:t>
      </w:r>
      <w:r>
        <w:t xml:space="preserve">, </w:t>
      </w:r>
      <w:r w:rsidRPr="00BD2068">
        <w:t xml:space="preserve">aniž by oslaboval možnosti naplňování </w:t>
      </w:r>
      <w:r w:rsidRPr="00CB4DA3">
        <w:t>budoucích</w:t>
      </w:r>
      <w:r w:rsidRPr="00BD2068">
        <w:t xml:space="preserve"> potřeb</w:t>
      </w:r>
      <w:r>
        <w:t xml:space="preserve"> </w:t>
      </w:r>
      <w:r w:rsidRPr="00CB4DA3">
        <w:t xml:space="preserve">(Bruntland, 1987). V této souvislosti </w:t>
      </w:r>
      <w:r>
        <w:t>je účelné poukázat na</w:t>
      </w:r>
      <w:r w:rsidRPr="00CB4DA3">
        <w:t xml:space="preserve"> přirozené tendence k postupnému vyrovnávání úrovně </w:t>
      </w:r>
      <w:r>
        <w:t>daných</w:t>
      </w:r>
      <w:r w:rsidRPr="00CB4DA3">
        <w:t xml:space="preserve"> komponent v dlouhém časovém horizontu</w:t>
      </w:r>
      <w:r>
        <w:t xml:space="preserve">, </w:t>
      </w:r>
      <w:r w:rsidRPr="001D5CBA">
        <w:t xml:space="preserve">vycházející z </w:t>
      </w:r>
      <w:r w:rsidRPr="00CB4DA3">
        <w:t xml:space="preserve">příznivějšího vývoje pozitivních (např. růst vzdělanosti a </w:t>
      </w:r>
      <w:r w:rsidRPr="00A044FA">
        <w:t>úrovně zabezpečení zdravotnické péče) než negativních (např. zvyšující se znečištění ovzduší či kriminalita) faktorů.</w:t>
      </w:r>
      <w:r w:rsidRPr="006C0B61">
        <w:rPr>
          <w:color w:val="FF0000"/>
        </w:rPr>
        <w:t xml:space="preserve"> </w:t>
      </w:r>
    </w:p>
    <w:p w:rsidR="00B24627" w:rsidRDefault="00B24627" w:rsidP="00423120">
      <w:pPr>
        <w:pStyle w:val="0T-Titulek"/>
        <w:spacing w:after="200"/>
      </w:pPr>
    </w:p>
    <w:p w:rsidR="001D5CBA" w:rsidRDefault="001D5CBA" w:rsidP="00423120">
      <w:pPr>
        <w:spacing w:line="240" w:lineRule="auto"/>
        <w:rPr>
          <w:rFonts w:ascii="Calibri" w:hAnsi="Calibri" w:cs="Calibri"/>
          <w:b/>
          <w:sz w:val="24"/>
          <w:szCs w:val="24"/>
          <w:lang w:eastAsia="en-US"/>
        </w:rPr>
      </w:pPr>
      <w:r>
        <w:br w:type="page"/>
      </w:r>
    </w:p>
    <w:p w:rsidR="00B24627" w:rsidRPr="00D71B4B" w:rsidRDefault="00B24627" w:rsidP="00B66EE4">
      <w:pPr>
        <w:pStyle w:val="0T-Titulek"/>
      </w:pPr>
      <w:bookmarkStart w:id="49" w:name="_Toc382326435"/>
      <w:r w:rsidRPr="00D71B4B">
        <w:lastRenderedPageBreak/>
        <w:t xml:space="preserve">Tabulka </w:t>
      </w:r>
      <w:r>
        <w:t>8</w:t>
      </w:r>
      <w:r w:rsidRPr="00D71B4B">
        <w:t>: Faktory kvality sociálního prostředí a jejich významové váhy</w:t>
      </w:r>
      <w:bookmarkEnd w:id="47"/>
      <w:bookmarkEnd w:id="48"/>
      <w:bookmarkEnd w:id="49"/>
    </w:p>
    <w:tbl>
      <w:tblPr>
        <w:tblW w:w="8743"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firstRow="1" w:lastRow="1" w:firstColumn="1" w:lastColumn="1" w:noHBand="0" w:noVBand="0"/>
      </w:tblPr>
      <w:tblGrid>
        <w:gridCol w:w="2131"/>
        <w:gridCol w:w="2509"/>
        <w:gridCol w:w="4103"/>
      </w:tblGrid>
      <w:tr w:rsidR="00B24627" w:rsidRPr="00907AF2" w:rsidTr="005A3A26">
        <w:trPr>
          <w:trHeight w:hRule="exact" w:val="340"/>
          <w:jc w:val="center"/>
        </w:trPr>
        <w:tc>
          <w:tcPr>
            <w:tcW w:w="2098" w:type="dxa"/>
            <w:vAlign w:val="center"/>
          </w:tcPr>
          <w:p w:rsidR="00B24627" w:rsidRPr="00C35E3D" w:rsidRDefault="00B24627" w:rsidP="00423120">
            <w:pPr>
              <w:keepNext/>
              <w:keepLines/>
              <w:autoSpaceDE w:val="0"/>
              <w:autoSpaceDN w:val="0"/>
              <w:adjustRightInd w:val="0"/>
              <w:rPr>
                <w:rFonts w:asciiTheme="minorHAnsi" w:hAnsiTheme="minorHAnsi" w:cstheme="minorHAnsi"/>
                <w:b/>
                <w:bCs/>
                <w:lang w:eastAsia="en-GB"/>
              </w:rPr>
            </w:pPr>
            <w:r w:rsidRPr="00C35E3D">
              <w:rPr>
                <w:rFonts w:asciiTheme="minorHAnsi" w:hAnsiTheme="minorHAnsi" w:cstheme="minorHAnsi"/>
                <w:b/>
                <w:bCs/>
                <w:lang w:eastAsia="en-GB"/>
              </w:rPr>
              <w:t xml:space="preserve">faktory </w:t>
            </w:r>
          </w:p>
        </w:tc>
        <w:tc>
          <w:tcPr>
            <w:tcW w:w="2551" w:type="dxa"/>
            <w:vAlign w:val="center"/>
          </w:tcPr>
          <w:p w:rsidR="00B24627" w:rsidRPr="00C35E3D" w:rsidRDefault="00B24627" w:rsidP="00423120">
            <w:pPr>
              <w:keepNext/>
              <w:keepLines/>
              <w:autoSpaceDE w:val="0"/>
              <w:autoSpaceDN w:val="0"/>
              <w:adjustRightInd w:val="0"/>
              <w:rPr>
                <w:rFonts w:asciiTheme="minorHAnsi" w:hAnsiTheme="minorHAnsi" w:cstheme="minorHAnsi"/>
                <w:b/>
                <w:bCs/>
                <w:lang w:eastAsia="en-GB"/>
              </w:rPr>
            </w:pPr>
            <w:r w:rsidRPr="00C35E3D">
              <w:rPr>
                <w:rFonts w:asciiTheme="minorHAnsi" w:hAnsiTheme="minorHAnsi" w:cstheme="minorHAnsi"/>
                <w:b/>
                <w:bCs/>
                <w:lang w:eastAsia="en-GB"/>
              </w:rPr>
              <w:t>typologické skupiny</w:t>
            </w:r>
          </w:p>
        </w:tc>
        <w:tc>
          <w:tcPr>
            <w:tcW w:w="4229" w:type="dxa"/>
            <w:vAlign w:val="center"/>
          </w:tcPr>
          <w:p w:rsidR="00B24627" w:rsidRPr="00C35E3D" w:rsidRDefault="00B24627" w:rsidP="00423120">
            <w:pPr>
              <w:keepNext/>
              <w:keepLines/>
              <w:autoSpaceDE w:val="0"/>
              <w:autoSpaceDN w:val="0"/>
              <w:adjustRightInd w:val="0"/>
              <w:ind w:left="-57" w:right="-57"/>
              <w:jc w:val="center"/>
              <w:rPr>
                <w:rFonts w:asciiTheme="minorHAnsi" w:hAnsiTheme="minorHAnsi" w:cstheme="minorHAnsi"/>
                <w:b/>
                <w:bCs/>
                <w:lang w:eastAsia="en-GB"/>
              </w:rPr>
            </w:pPr>
            <w:r w:rsidRPr="00C35E3D">
              <w:rPr>
                <w:rFonts w:asciiTheme="minorHAnsi" w:hAnsiTheme="minorHAnsi" w:cstheme="minorHAnsi"/>
                <w:b/>
                <w:bCs/>
                <w:lang w:eastAsia="en-GB"/>
              </w:rPr>
              <w:t>hlavní indikátory</w:t>
            </w:r>
          </w:p>
        </w:tc>
      </w:tr>
      <w:tr w:rsidR="00B24627" w:rsidRPr="00907AF2" w:rsidTr="005A3A26">
        <w:trPr>
          <w:trHeight w:hRule="exact" w:val="340"/>
          <w:jc w:val="center"/>
        </w:trPr>
        <w:tc>
          <w:tcPr>
            <w:tcW w:w="2098" w:type="dxa"/>
            <w:vAlign w:val="center"/>
          </w:tcPr>
          <w:p w:rsidR="00B24627" w:rsidRPr="00C35E3D" w:rsidRDefault="00B24627" w:rsidP="00423120">
            <w:pPr>
              <w:keepNext/>
              <w:rPr>
                <w:rFonts w:asciiTheme="minorHAnsi" w:hAnsiTheme="minorHAnsi" w:cstheme="minorHAnsi"/>
                <w:lang w:eastAsia="en-US"/>
              </w:rPr>
            </w:pPr>
            <w:r w:rsidRPr="00C35E3D">
              <w:rPr>
                <w:rFonts w:asciiTheme="minorHAnsi" w:hAnsiTheme="minorHAnsi" w:cstheme="minorHAnsi"/>
                <w:lang w:eastAsia="en-US"/>
              </w:rPr>
              <w:t>naděje dožití</w:t>
            </w:r>
          </w:p>
        </w:tc>
        <w:tc>
          <w:tcPr>
            <w:tcW w:w="2551" w:type="dxa"/>
            <w:vAlign w:val="center"/>
          </w:tcPr>
          <w:p w:rsidR="00B24627" w:rsidRPr="00C35E3D" w:rsidRDefault="00B24627" w:rsidP="00423120">
            <w:pPr>
              <w:keepNext/>
              <w:keepLines/>
              <w:autoSpaceDE w:val="0"/>
              <w:autoSpaceDN w:val="0"/>
              <w:adjustRightInd w:val="0"/>
              <w:rPr>
                <w:rFonts w:asciiTheme="minorHAnsi" w:hAnsiTheme="minorHAnsi" w:cstheme="minorHAnsi"/>
                <w:bCs/>
                <w:lang w:eastAsia="en-GB"/>
              </w:rPr>
            </w:pPr>
            <w:r w:rsidRPr="00C35E3D">
              <w:rPr>
                <w:rFonts w:asciiTheme="minorHAnsi" w:hAnsiTheme="minorHAnsi" w:cstheme="minorHAnsi"/>
                <w:bCs/>
                <w:lang w:eastAsia="en-GB"/>
              </w:rPr>
              <w:t>sociální faktory</w:t>
            </w:r>
          </w:p>
        </w:tc>
        <w:tc>
          <w:tcPr>
            <w:tcW w:w="4229" w:type="dxa"/>
            <w:vAlign w:val="center"/>
          </w:tcPr>
          <w:p w:rsidR="00B24627" w:rsidRPr="00C35E3D" w:rsidRDefault="00B24627" w:rsidP="00423120">
            <w:pPr>
              <w:keepNext/>
              <w:ind w:right="-57"/>
              <w:rPr>
                <w:rFonts w:asciiTheme="minorHAnsi" w:hAnsiTheme="minorHAnsi" w:cstheme="minorHAnsi"/>
                <w:b/>
                <w:i/>
                <w:lang w:eastAsia="en-GB"/>
              </w:rPr>
            </w:pPr>
            <w:r w:rsidRPr="00C35E3D">
              <w:rPr>
                <w:rFonts w:asciiTheme="minorHAnsi" w:hAnsiTheme="minorHAnsi" w:cstheme="minorHAnsi"/>
                <w:lang w:eastAsia="en-US"/>
              </w:rPr>
              <w:t>naděje dožití při narození dítěte</w:t>
            </w:r>
          </w:p>
        </w:tc>
      </w:tr>
      <w:tr w:rsidR="00B24627" w:rsidRPr="00907AF2" w:rsidTr="005A3A26">
        <w:trPr>
          <w:trHeight w:hRule="exact" w:val="340"/>
          <w:jc w:val="center"/>
        </w:trPr>
        <w:tc>
          <w:tcPr>
            <w:tcW w:w="2098" w:type="dxa"/>
            <w:vAlign w:val="center"/>
          </w:tcPr>
          <w:p w:rsidR="00B24627" w:rsidRPr="00C35E3D" w:rsidRDefault="00B24627" w:rsidP="00423120">
            <w:pPr>
              <w:keepNext/>
              <w:rPr>
                <w:rFonts w:asciiTheme="minorHAnsi" w:hAnsiTheme="minorHAnsi" w:cstheme="minorHAnsi"/>
                <w:lang w:eastAsia="en-US"/>
              </w:rPr>
            </w:pPr>
            <w:r w:rsidRPr="00C35E3D">
              <w:rPr>
                <w:rFonts w:asciiTheme="minorHAnsi" w:hAnsiTheme="minorHAnsi" w:cstheme="minorHAnsi"/>
                <w:lang w:eastAsia="en-US"/>
              </w:rPr>
              <w:t xml:space="preserve">vzdělanost </w:t>
            </w:r>
          </w:p>
        </w:tc>
        <w:tc>
          <w:tcPr>
            <w:tcW w:w="2551" w:type="dxa"/>
            <w:vAlign w:val="center"/>
          </w:tcPr>
          <w:p w:rsidR="00B24627" w:rsidRPr="00C35E3D" w:rsidRDefault="00B24627" w:rsidP="00423120">
            <w:pPr>
              <w:keepNext/>
              <w:rPr>
                <w:rFonts w:asciiTheme="minorHAnsi" w:hAnsiTheme="minorHAnsi" w:cstheme="minorHAnsi"/>
              </w:rPr>
            </w:pPr>
            <w:r w:rsidRPr="00C35E3D">
              <w:rPr>
                <w:rFonts w:asciiTheme="minorHAnsi" w:hAnsiTheme="minorHAnsi" w:cstheme="minorHAnsi"/>
                <w:bCs/>
                <w:lang w:eastAsia="en-GB"/>
              </w:rPr>
              <w:t>sociální faktory</w:t>
            </w:r>
          </w:p>
        </w:tc>
        <w:tc>
          <w:tcPr>
            <w:tcW w:w="4229" w:type="dxa"/>
            <w:vAlign w:val="center"/>
          </w:tcPr>
          <w:p w:rsidR="00B24627" w:rsidRPr="00C35E3D" w:rsidRDefault="00B24627" w:rsidP="00423120">
            <w:pPr>
              <w:keepNext/>
              <w:ind w:right="-57"/>
              <w:rPr>
                <w:rFonts w:asciiTheme="minorHAnsi" w:hAnsiTheme="minorHAnsi" w:cstheme="minorHAnsi"/>
                <w:lang w:eastAsia="en-GB"/>
              </w:rPr>
            </w:pPr>
            <w:r w:rsidRPr="00C35E3D">
              <w:rPr>
                <w:rFonts w:asciiTheme="minorHAnsi" w:hAnsiTheme="minorHAnsi" w:cstheme="minorHAnsi"/>
                <w:lang w:eastAsia="en-GB"/>
              </w:rPr>
              <w:t>index vzdělanosti</w:t>
            </w:r>
          </w:p>
        </w:tc>
      </w:tr>
      <w:tr w:rsidR="00B24627" w:rsidRPr="00907AF2" w:rsidTr="005A3A26">
        <w:trPr>
          <w:trHeight w:hRule="exact" w:val="340"/>
          <w:jc w:val="center"/>
        </w:trPr>
        <w:tc>
          <w:tcPr>
            <w:tcW w:w="2098" w:type="dxa"/>
            <w:vAlign w:val="center"/>
          </w:tcPr>
          <w:p w:rsidR="00B24627" w:rsidRPr="00C35E3D" w:rsidRDefault="00B24627" w:rsidP="00423120">
            <w:pPr>
              <w:keepNext/>
              <w:rPr>
                <w:rFonts w:asciiTheme="minorHAnsi" w:hAnsiTheme="minorHAnsi" w:cstheme="minorHAnsi"/>
                <w:lang w:eastAsia="en-US"/>
              </w:rPr>
            </w:pPr>
            <w:r w:rsidRPr="00C35E3D">
              <w:rPr>
                <w:rFonts w:asciiTheme="minorHAnsi" w:hAnsiTheme="minorHAnsi" w:cstheme="minorHAnsi"/>
                <w:lang w:eastAsia="en-US"/>
              </w:rPr>
              <w:t>nezaměstnanost</w:t>
            </w:r>
          </w:p>
        </w:tc>
        <w:tc>
          <w:tcPr>
            <w:tcW w:w="2551" w:type="dxa"/>
            <w:vAlign w:val="center"/>
          </w:tcPr>
          <w:p w:rsidR="00B24627" w:rsidRPr="00C35E3D" w:rsidRDefault="00B24627" w:rsidP="00423120">
            <w:pPr>
              <w:keepNext/>
              <w:rPr>
                <w:rFonts w:asciiTheme="minorHAnsi" w:hAnsiTheme="minorHAnsi" w:cstheme="minorHAnsi"/>
              </w:rPr>
            </w:pPr>
            <w:r w:rsidRPr="00C35E3D">
              <w:rPr>
                <w:rFonts w:asciiTheme="minorHAnsi" w:hAnsiTheme="minorHAnsi" w:cstheme="minorHAnsi"/>
                <w:bCs/>
                <w:lang w:eastAsia="en-GB"/>
              </w:rPr>
              <w:t>sociální faktory</w:t>
            </w:r>
          </w:p>
        </w:tc>
        <w:tc>
          <w:tcPr>
            <w:tcW w:w="4229" w:type="dxa"/>
            <w:vAlign w:val="center"/>
          </w:tcPr>
          <w:p w:rsidR="00B24627" w:rsidRPr="00C35E3D" w:rsidRDefault="00B24627" w:rsidP="00423120">
            <w:pPr>
              <w:keepNext/>
              <w:ind w:right="-57"/>
              <w:rPr>
                <w:rFonts w:asciiTheme="minorHAnsi" w:hAnsiTheme="minorHAnsi" w:cstheme="minorHAnsi"/>
              </w:rPr>
            </w:pPr>
            <w:r w:rsidRPr="00C35E3D">
              <w:rPr>
                <w:rFonts w:asciiTheme="minorHAnsi" w:hAnsiTheme="minorHAnsi" w:cstheme="minorHAnsi"/>
                <w:lang w:eastAsia="en-GB"/>
              </w:rPr>
              <w:t>míra registrované nezaměstnanosti</w:t>
            </w:r>
          </w:p>
        </w:tc>
      </w:tr>
      <w:tr w:rsidR="00B24627" w:rsidRPr="00907AF2" w:rsidTr="005A3A26">
        <w:trPr>
          <w:trHeight w:hRule="exact" w:val="340"/>
          <w:jc w:val="center"/>
        </w:trPr>
        <w:tc>
          <w:tcPr>
            <w:tcW w:w="2098" w:type="dxa"/>
            <w:vAlign w:val="center"/>
          </w:tcPr>
          <w:p w:rsidR="00B24627" w:rsidRPr="00C35E3D" w:rsidRDefault="00B24627" w:rsidP="00423120">
            <w:pPr>
              <w:keepNext/>
              <w:rPr>
                <w:rFonts w:asciiTheme="minorHAnsi" w:hAnsiTheme="minorHAnsi" w:cstheme="minorHAnsi"/>
                <w:lang w:eastAsia="en-US"/>
              </w:rPr>
            </w:pPr>
            <w:r w:rsidRPr="00C35E3D">
              <w:rPr>
                <w:rFonts w:asciiTheme="minorHAnsi" w:hAnsiTheme="minorHAnsi" w:cstheme="minorHAnsi"/>
                <w:lang w:eastAsia="en-US"/>
              </w:rPr>
              <w:t>rozvodovost</w:t>
            </w:r>
          </w:p>
        </w:tc>
        <w:tc>
          <w:tcPr>
            <w:tcW w:w="2551" w:type="dxa"/>
            <w:vAlign w:val="center"/>
          </w:tcPr>
          <w:p w:rsidR="00B24627" w:rsidRPr="00C35E3D" w:rsidRDefault="00B24627" w:rsidP="00423120">
            <w:pPr>
              <w:keepNext/>
              <w:rPr>
                <w:rFonts w:asciiTheme="minorHAnsi" w:hAnsiTheme="minorHAnsi" w:cstheme="minorHAnsi"/>
              </w:rPr>
            </w:pPr>
            <w:r w:rsidRPr="00C35E3D">
              <w:rPr>
                <w:rFonts w:asciiTheme="minorHAnsi" w:hAnsiTheme="minorHAnsi" w:cstheme="minorHAnsi"/>
                <w:bCs/>
                <w:lang w:eastAsia="en-GB"/>
              </w:rPr>
              <w:t>sociální faktory</w:t>
            </w:r>
          </w:p>
        </w:tc>
        <w:tc>
          <w:tcPr>
            <w:tcW w:w="4229" w:type="dxa"/>
            <w:vAlign w:val="center"/>
          </w:tcPr>
          <w:p w:rsidR="00B24627" w:rsidRPr="00C35E3D" w:rsidRDefault="00B24627" w:rsidP="00423120">
            <w:pPr>
              <w:keepNext/>
              <w:ind w:right="-57"/>
              <w:rPr>
                <w:rFonts w:asciiTheme="minorHAnsi" w:hAnsiTheme="minorHAnsi" w:cstheme="minorHAnsi"/>
              </w:rPr>
            </w:pPr>
            <w:r w:rsidRPr="00C35E3D">
              <w:rPr>
                <w:rFonts w:asciiTheme="minorHAnsi" w:hAnsiTheme="minorHAnsi" w:cstheme="minorHAnsi"/>
                <w:lang w:eastAsia="en-GB"/>
              </w:rPr>
              <w:t>poměr rozvodů a sňatků</w:t>
            </w:r>
          </w:p>
        </w:tc>
      </w:tr>
      <w:tr w:rsidR="00B24627" w:rsidRPr="00907AF2" w:rsidTr="005A3A26">
        <w:trPr>
          <w:trHeight w:hRule="exact" w:val="340"/>
          <w:jc w:val="center"/>
        </w:trPr>
        <w:tc>
          <w:tcPr>
            <w:tcW w:w="2098" w:type="dxa"/>
            <w:vAlign w:val="center"/>
          </w:tcPr>
          <w:p w:rsidR="00B24627" w:rsidRPr="00C35E3D" w:rsidRDefault="00B24627" w:rsidP="00423120">
            <w:pPr>
              <w:keepNext/>
              <w:rPr>
                <w:rFonts w:asciiTheme="minorHAnsi" w:hAnsiTheme="minorHAnsi" w:cstheme="minorHAnsi"/>
                <w:lang w:eastAsia="en-US"/>
              </w:rPr>
            </w:pPr>
            <w:r w:rsidRPr="00C35E3D">
              <w:rPr>
                <w:rFonts w:asciiTheme="minorHAnsi" w:hAnsiTheme="minorHAnsi" w:cstheme="minorHAnsi"/>
                <w:lang w:eastAsia="en-US"/>
              </w:rPr>
              <w:t>potratovost</w:t>
            </w:r>
          </w:p>
        </w:tc>
        <w:tc>
          <w:tcPr>
            <w:tcW w:w="2551" w:type="dxa"/>
            <w:vAlign w:val="center"/>
          </w:tcPr>
          <w:p w:rsidR="00B24627" w:rsidRPr="00C35E3D" w:rsidRDefault="00B24627" w:rsidP="00423120">
            <w:pPr>
              <w:keepNext/>
              <w:rPr>
                <w:rFonts w:asciiTheme="minorHAnsi" w:hAnsiTheme="minorHAnsi" w:cstheme="minorHAnsi"/>
              </w:rPr>
            </w:pPr>
            <w:r w:rsidRPr="00C35E3D">
              <w:rPr>
                <w:rFonts w:asciiTheme="minorHAnsi" w:hAnsiTheme="minorHAnsi" w:cstheme="minorHAnsi"/>
                <w:bCs/>
                <w:lang w:eastAsia="en-GB"/>
              </w:rPr>
              <w:t>sociální faktory</w:t>
            </w:r>
          </w:p>
        </w:tc>
        <w:tc>
          <w:tcPr>
            <w:tcW w:w="4229" w:type="dxa"/>
            <w:vAlign w:val="center"/>
          </w:tcPr>
          <w:p w:rsidR="00B24627" w:rsidRPr="00C35E3D" w:rsidRDefault="00B24627" w:rsidP="00423120">
            <w:pPr>
              <w:keepNext/>
              <w:ind w:right="-57"/>
              <w:rPr>
                <w:rFonts w:asciiTheme="minorHAnsi" w:hAnsiTheme="minorHAnsi" w:cstheme="minorHAnsi"/>
              </w:rPr>
            </w:pPr>
            <w:r w:rsidRPr="00C35E3D">
              <w:rPr>
                <w:rFonts w:asciiTheme="minorHAnsi" w:hAnsiTheme="minorHAnsi" w:cstheme="minorHAnsi"/>
                <w:lang w:eastAsia="en-GB"/>
              </w:rPr>
              <w:t>poměr potratů a živě narozených trestných činů/1000 obyv.</w:t>
            </w:r>
          </w:p>
        </w:tc>
      </w:tr>
      <w:tr w:rsidR="00B24627" w:rsidRPr="00907AF2" w:rsidTr="005A3A26">
        <w:trPr>
          <w:trHeight w:hRule="exact" w:val="340"/>
          <w:jc w:val="center"/>
        </w:trPr>
        <w:tc>
          <w:tcPr>
            <w:tcW w:w="2098" w:type="dxa"/>
            <w:vAlign w:val="center"/>
          </w:tcPr>
          <w:p w:rsidR="00B24627" w:rsidRPr="00C35E3D" w:rsidRDefault="00B24627" w:rsidP="00423120">
            <w:pPr>
              <w:keepNext/>
              <w:rPr>
                <w:rFonts w:asciiTheme="minorHAnsi" w:hAnsiTheme="minorHAnsi" w:cstheme="minorHAnsi"/>
                <w:lang w:eastAsia="en-US"/>
              </w:rPr>
            </w:pPr>
            <w:r w:rsidRPr="00C35E3D">
              <w:rPr>
                <w:rFonts w:asciiTheme="minorHAnsi" w:hAnsiTheme="minorHAnsi" w:cstheme="minorHAnsi"/>
                <w:lang w:eastAsia="en-US"/>
              </w:rPr>
              <w:t>kriminalita</w:t>
            </w:r>
          </w:p>
        </w:tc>
        <w:tc>
          <w:tcPr>
            <w:tcW w:w="2551" w:type="dxa"/>
            <w:vAlign w:val="center"/>
          </w:tcPr>
          <w:p w:rsidR="00B24627" w:rsidRPr="00C35E3D" w:rsidRDefault="00B24627" w:rsidP="00423120">
            <w:pPr>
              <w:keepNext/>
              <w:rPr>
                <w:rFonts w:asciiTheme="minorHAnsi" w:hAnsiTheme="minorHAnsi" w:cstheme="minorHAnsi"/>
              </w:rPr>
            </w:pPr>
            <w:r w:rsidRPr="00C35E3D">
              <w:rPr>
                <w:rFonts w:asciiTheme="minorHAnsi" w:hAnsiTheme="minorHAnsi" w:cstheme="minorHAnsi"/>
                <w:bCs/>
                <w:lang w:eastAsia="en-GB"/>
              </w:rPr>
              <w:t>sociální faktory</w:t>
            </w:r>
          </w:p>
        </w:tc>
        <w:tc>
          <w:tcPr>
            <w:tcW w:w="4229" w:type="dxa"/>
            <w:vAlign w:val="center"/>
          </w:tcPr>
          <w:p w:rsidR="00B24627" w:rsidRPr="00C35E3D" w:rsidRDefault="00B24627" w:rsidP="00423120">
            <w:pPr>
              <w:keepNext/>
              <w:ind w:right="-113"/>
              <w:rPr>
                <w:rFonts w:asciiTheme="minorHAnsi" w:hAnsiTheme="minorHAnsi" w:cstheme="minorHAnsi"/>
              </w:rPr>
            </w:pPr>
            <w:r w:rsidRPr="00C35E3D">
              <w:rPr>
                <w:rFonts w:asciiTheme="minorHAnsi" w:hAnsiTheme="minorHAnsi" w:cstheme="minorHAnsi"/>
                <w:lang w:eastAsia="en-GB"/>
              </w:rPr>
              <w:t>počet trestných činů na 1000 obyv.</w:t>
            </w:r>
          </w:p>
        </w:tc>
      </w:tr>
      <w:tr w:rsidR="00B24627" w:rsidRPr="00907AF2" w:rsidTr="005A3A26">
        <w:trPr>
          <w:trHeight w:hRule="exact" w:val="340"/>
          <w:jc w:val="center"/>
        </w:trPr>
        <w:tc>
          <w:tcPr>
            <w:tcW w:w="2098" w:type="dxa"/>
            <w:vAlign w:val="center"/>
          </w:tcPr>
          <w:p w:rsidR="00B24627" w:rsidRPr="00C35E3D" w:rsidRDefault="00B24627" w:rsidP="00423120">
            <w:pPr>
              <w:keepNext/>
              <w:rPr>
                <w:rFonts w:asciiTheme="minorHAnsi" w:hAnsiTheme="minorHAnsi" w:cstheme="minorHAnsi"/>
                <w:lang w:eastAsia="en-US"/>
              </w:rPr>
            </w:pPr>
            <w:r w:rsidRPr="00C35E3D">
              <w:rPr>
                <w:rFonts w:asciiTheme="minorHAnsi" w:hAnsiTheme="minorHAnsi" w:cstheme="minorHAnsi"/>
                <w:lang w:eastAsia="en-US"/>
              </w:rPr>
              <w:t>přirozený pohyb obyvatelstva</w:t>
            </w:r>
          </w:p>
        </w:tc>
        <w:tc>
          <w:tcPr>
            <w:tcW w:w="2551" w:type="dxa"/>
            <w:vAlign w:val="center"/>
          </w:tcPr>
          <w:p w:rsidR="00B24627" w:rsidRPr="00C35E3D" w:rsidRDefault="00B24627" w:rsidP="00423120">
            <w:pPr>
              <w:keepNext/>
              <w:rPr>
                <w:rFonts w:asciiTheme="minorHAnsi" w:hAnsiTheme="minorHAnsi" w:cstheme="minorHAnsi"/>
              </w:rPr>
            </w:pPr>
            <w:r w:rsidRPr="00C35E3D">
              <w:rPr>
                <w:rFonts w:asciiTheme="minorHAnsi" w:hAnsiTheme="minorHAnsi" w:cstheme="minorHAnsi"/>
                <w:bCs/>
                <w:lang w:eastAsia="en-GB"/>
              </w:rPr>
              <w:t>demografické faktory</w:t>
            </w:r>
          </w:p>
        </w:tc>
        <w:tc>
          <w:tcPr>
            <w:tcW w:w="4229" w:type="dxa"/>
            <w:vAlign w:val="center"/>
          </w:tcPr>
          <w:p w:rsidR="00B24627" w:rsidRPr="00C35E3D" w:rsidRDefault="00B24627" w:rsidP="00423120">
            <w:pPr>
              <w:keepNext/>
              <w:ind w:right="-57"/>
              <w:rPr>
                <w:rFonts w:asciiTheme="minorHAnsi" w:hAnsiTheme="minorHAnsi" w:cstheme="minorHAnsi"/>
              </w:rPr>
            </w:pPr>
            <w:r w:rsidRPr="00C35E3D">
              <w:rPr>
                <w:rFonts w:asciiTheme="minorHAnsi" w:hAnsiTheme="minorHAnsi" w:cstheme="minorHAnsi"/>
                <w:lang w:eastAsia="en-GB"/>
              </w:rPr>
              <w:t>přirozený přírůstek na 1000 obyv.</w:t>
            </w:r>
          </w:p>
        </w:tc>
      </w:tr>
      <w:tr w:rsidR="00B24627" w:rsidRPr="00907AF2" w:rsidTr="005A3A26">
        <w:trPr>
          <w:trHeight w:hRule="exact" w:val="340"/>
          <w:jc w:val="center"/>
        </w:trPr>
        <w:tc>
          <w:tcPr>
            <w:tcW w:w="2098" w:type="dxa"/>
            <w:vAlign w:val="center"/>
          </w:tcPr>
          <w:p w:rsidR="00B24627" w:rsidRPr="00C35E3D" w:rsidRDefault="00B24627" w:rsidP="00423120">
            <w:pPr>
              <w:keepNext/>
              <w:keepLines/>
              <w:autoSpaceDE w:val="0"/>
              <w:autoSpaceDN w:val="0"/>
              <w:adjustRightInd w:val="0"/>
              <w:rPr>
                <w:rFonts w:asciiTheme="minorHAnsi" w:hAnsiTheme="minorHAnsi" w:cstheme="minorHAnsi"/>
                <w:b/>
                <w:bCs/>
                <w:i/>
                <w:lang w:eastAsia="en-GB"/>
              </w:rPr>
            </w:pPr>
            <w:r w:rsidRPr="00C35E3D">
              <w:rPr>
                <w:rFonts w:asciiTheme="minorHAnsi" w:hAnsiTheme="minorHAnsi" w:cstheme="minorHAnsi"/>
                <w:lang w:eastAsia="en-US"/>
              </w:rPr>
              <w:t>mechanický pohyb obyvatelstva</w:t>
            </w:r>
          </w:p>
        </w:tc>
        <w:tc>
          <w:tcPr>
            <w:tcW w:w="2551" w:type="dxa"/>
            <w:vAlign w:val="center"/>
          </w:tcPr>
          <w:p w:rsidR="00B24627" w:rsidRPr="00C35E3D" w:rsidRDefault="00B24627" w:rsidP="00423120">
            <w:pPr>
              <w:keepNext/>
              <w:rPr>
                <w:rFonts w:asciiTheme="minorHAnsi" w:hAnsiTheme="minorHAnsi" w:cstheme="minorHAnsi"/>
              </w:rPr>
            </w:pPr>
            <w:r w:rsidRPr="00C35E3D">
              <w:rPr>
                <w:rFonts w:asciiTheme="minorHAnsi" w:hAnsiTheme="minorHAnsi" w:cstheme="minorHAnsi"/>
                <w:bCs/>
                <w:lang w:eastAsia="en-GB"/>
              </w:rPr>
              <w:t>demografické faktory</w:t>
            </w:r>
          </w:p>
        </w:tc>
        <w:tc>
          <w:tcPr>
            <w:tcW w:w="4229" w:type="dxa"/>
            <w:vAlign w:val="center"/>
          </w:tcPr>
          <w:p w:rsidR="00B24627" w:rsidRPr="00C35E3D" w:rsidRDefault="00B24627" w:rsidP="00423120">
            <w:pPr>
              <w:keepNext/>
              <w:ind w:right="-57"/>
              <w:rPr>
                <w:rFonts w:asciiTheme="minorHAnsi" w:hAnsiTheme="minorHAnsi" w:cstheme="minorHAnsi"/>
              </w:rPr>
            </w:pPr>
            <w:r w:rsidRPr="00C35E3D">
              <w:rPr>
                <w:rFonts w:asciiTheme="minorHAnsi" w:hAnsiTheme="minorHAnsi" w:cstheme="minorHAnsi"/>
                <w:lang w:eastAsia="en-GB"/>
              </w:rPr>
              <w:t>migrační přírůstek na 1000 obyv.</w:t>
            </w:r>
          </w:p>
        </w:tc>
      </w:tr>
      <w:tr w:rsidR="00B24627" w:rsidRPr="00907AF2" w:rsidTr="005A3A26">
        <w:trPr>
          <w:trHeight w:hRule="exact" w:val="340"/>
          <w:jc w:val="center"/>
        </w:trPr>
        <w:tc>
          <w:tcPr>
            <w:tcW w:w="2155" w:type="dxa"/>
            <w:vAlign w:val="center"/>
          </w:tcPr>
          <w:p w:rsidR="00B24627" w:rsidRPr="00C35E3D" w:rsidRDefault="00B24627" w:rsidP="00423120">
            <w:pPr>
              <w:keepNext/>
              <w:keepLines/>
              <w:autoSpaceDE w:val="0"/>
              <w:autoSpaceDN w:val="0"/>
              <w:adjustRightInd w:val="0"/>
              <w:rPr>
                <w:rFonts w:asciiTheme="minorHAnsi" w:hAnsiTheme="minorHAnsi" w:cstheme="minorHAnsi"/>
                <w:bCs/>
                <w:lang w:eastAsia="en-GB"/>
              </w:rPr>
            </w:pPr>
            <w:r w:rsidRPr="00C35E3D">
              <w:rPr>
                <w:rFonts w:asciiTheme="minorHAnsi" w:hAnsiTheme="minorHAnsi" w:cstheme="minorHAnsi"/>
                <w:lang w:eastAsia="en-US"/>
              </w:rPr>
              <w:t>věková struktura obyvatelstva</w:t>
            </w:r>
          </w:p>
        </w:tc>
        <w:tc>
          <w:tcPr>
            <w:tcW w:w="2551" w:type="dxa"/>
            <w:vAlign w:val="center"/>
          </w:tcPr>
          <w:p w:rsidR="00B24627" w:rsidRPr="00C35E3D" w:rsidRDefault="00B24627" w:rsidP="00423120">
            <w:pPr>
              <w:keepNext/>
              <w:rPr>
                <w:rFonts w:asciiTheme="minorHAnsi" w:hAnsiTheme="minorHAnsi" w:cstheme="minorHAnsi"/>
              </w:rPr>
            </w:pPr>
            <w:r w:rsidRPr="00C35E3D">
              <w:rPr>
                <w:rFonts w:asciiTheme="minorHAnsi" w:hAnsiTheme="minorHAnsi" w:cstheme="minorHAnsi"/>
                <w:bCs/>
                <w:lang w:eastAsia="en-GB"/>
              </w:rPr>
              <w:t>demografické faktory</w:t>
            </w:r>
          </w:p>
        </w:tc>
        <w:tc>
          <w:tcPr>
            <w:tcW w:w="4229" w:type="dxa"/>
            <w:vAlign w:val="center"/>
          </w:tcPr>
          <w:p w:rsidR="00B24627" w:rsidRPr="00C35E3D" w:rsidRDefault="00B24627" w:rsidP="00423120">
            <w:pPr>
              <w:keepNext/>
              <w:ind w:right="-57"/>
              <w:rPr>
                <w:rFonts w:asciiTheme="minorHAnsi" w:hAnsiTheme="minorHAnsi" w:cstheme="minorHAnsi"/>
              </w:rPr>
            </w:pPr>
            <w:r w:rsidRPr="00C35E3D">
              <w:rPr>
                <w:rFonts w:asciiTheme="minorHAnsi" w:hAnsiTheme="minorHAnsi" w:cstheme="minorHAnsi"/>
                <w:lang w:eastAsia="en-GB"/>
              </w:rPr>
              <w:t>index stáří</w:t>
            </w:r>
          </w:p>
        </w:tc>
      </w:tr>
      <w:tr w:rsidR="00B24627" w:rsidRPr="00907AF2" w:rsidTr="005A3A26">
        <w:trPr>
          <w:trHeight w:hRule="exact" w:val="340"/>
          <w:jc w:val="center"/>
        </w:trPr>
        <w:tc>
          <w:tcPr>
            <w:tcW w:w="2155" w:type="dxa"/>
            <w:vAlign w:val="center"/>
          </w:tcPr>
          <w:p w:rsidR="00B24627" w:rsidRPr="00C35E3D" w:rsidRDefault="00B24627" w:rsidP="00423120">
            <w:pPr>
              <w:keepNext/>
              <w:keepLines/>
              <w:autoSpaceDE w:val="0"/>
              <w:autoSpaceDN w:val="0"/>
              <w:adjustRightInd w:val="0"/>
              <w:rPr>
                <w:rFonts w:asciiTheme="minorHAnsi" w:hAnsiTheme="minorHAnsi" w:cstheme="minorHAnsi"/>
                <w:bCs/>
                <w:lang w:eastAsia="en-GB"/>
              </w:rPr>
            </w:pPr>
            <w:r w:rsidRPr="00C35E3D">
              <w:rPr>
                <w:rFonts w:asciiTheme="minorHAnsi" w:hAnsiTheme="minorHAnsi" w:cstheme="minorHAnsi"/>
                <w:lang w:eastAsia="en-US"/>
              </w:rPr>
              <w:t>urbanizace</w:t>
            </w:r>
          </w:p>
        </w:tc>
        <w:tc>
          <w:tcPr>
            <w:tcW w:w="2551" w:type="dxa"/>
            <w:vAlign w:val="center"/>
          </w:tcPr>
          <w:p w:rsidR="00B24627" w:rsidRPr="00C35E3D" w:rsidRDefault="00B24627" w:rsidP="00423120">
            <w:pPr>
              <w:keepNext/>
              <w:rPr>
                <w:rFonts w:asciiTheme="minorHAnsi" w:hAnsiTheme="minorHAnsi" w:cstheme="minorHAnsi"/>
              </w:rPr>
            </w:pPr>
            <w:r w:rsidRPr="00C35E3D">
              <w:rPr>
                <w:rFonts w:asciiTheme="minorHAnsi" w:hAnsiTheme="minorHAnsi" w:cstheme="minorHAnsi"/>
                <w:bCs/>
                <w:lang w:eastAsia="en-GB"/>
              </w:rPr>
              <w:t>urbanistické faktory</w:t>
            </w:r>
          </w:p>
        </w:tc>
        <w:tc>
          <w:tcPr>
            <w:tcW w:w="4229" w:type="dxa"/>
            <w:vAlign w:val="center"/>
          </w:tcPr>
          <w:p w:rsidR="00B24627" w:rsidRPr="00C35E3D" w:rsidRDefault="00B24627" w:rsidP="00423120">
            <w:pPr>
              <w:keepNext/>
              <w:ind w:right="-57"/>
              <w:rPr>
                <w:rFonts w:asciiTheme="minorHAnsi" w:hAnsiTheme="minorHAnsi" w:cstheme="minorHAnsi"/>
              </w:rPr>
            </w:pPr>
            <w:r w:rsidRPr="00C35E3D">
              <w:rPr>
                <w:rFonts w:asciiTheme="minorHAnsi" w:hAnsiTheme="minorHAnsi" w:cstheme="minorHAnsi"/>
                <w:lang w:eastAsia="en-GB"/>
              </w:rPr>
              <w:t>podíl měst na počtu obyvatel</w:t>
            </w:r>
          </w:p>
        </w:tc>
      </w:tr>
      <w:tr w:rsidR="00B24627" w:rsidRPr="00907AF2" w:rsidTr="005A3A26">
        <w:trPr>
          <w:trHeight w:hRule="exact" w:val="340"/>
          <w:jc w:val="center"/>
        </w:trPr>
        <w:tc>
          <w:tcPr>
            <w:tcW w:w="2155" w:type="dxa"/>
            <w:vAlign w:val="center"/>
          </w:tcPr>
          <w:p w:rsidR="00B24627" w:rsidRPr="00C35E3D" w:rsidRDefault="00B24627" w:rsidP="00423120">
            <w:pPr>
              <w:keepNext/>
              <w:keepLines/>
              <w:autoSpaceDE w:val="0"/>
              <w:autoSpaceDN w:val="0"/>
              <w:adjustRightInd w:val="0"/>
              <w:rPr>
                <w:rFonts w:asciiTheme="minorHAnsi" w:hAnsiTheme="minorHAnsi" w:cstheme="minorHAnsi"/>
                <w:bCs/>
                <w:lang w:eastAsia="en-GB"/>
              </w:rPr>
            </w:pPr>
            <w:r w:rsidRPr="00C35E3D">
              <w:rPr>
                <w:rFonts w:asciiTheme="minorHAnsi" w:hAnsiTheme="minorHAnsi" w:cstheme="minorHAnsi"/>
                <w:lang w:eastAsia="en-US"/>
              </w:rPr>
              <w:t>urbanistický rozvoj</w:t>
            </w:r>
          </w:p>
        </w:tc>
        <w:tc>
          <w:tcPr>
            <w:tcW w:w="2551" w:type="dxa"/>
            <w:vAlign w:val="center"/>
          </w:tcPr>
          <w:p w:rsidR="00B24627" w:rsidRPr="00C35E3D" w:rsidRDefault="00B24627" w:rsidP="00423120">
            <w:pPr>
              <w:keepNext/>
              <w:rPr>
                <w:rFonts w:asciiTheme="minorHAnsi" w:hAnsiTheme="minorHAnsi" w:cstheme="minorHAnsi"/>
              </w:rPr>
            </w:pPr>
            <w:r w:rsidRPr="00C35E3D">
              <w:rPr>
                <w:rFonts w:asciiTheme="minorHAnsi" w:hAnsiTheme="minorHAnsi" w:cstheme="minorHAnsi"/>
                <w:bCs/>
                <w:lang w:eastAsia="en-GB"/>
              </w:rPr>
              <w:t>urbanistické faktory</w:t>
            </w:r>
          </w:p>
        </w:tc>
        <w:tc>
          <w:tcPr>
            <w:tcW w:w="4229" w:type="dxa"/>
            <w:vAlign w:val="center"/>
          </w:tcPr>
          <w:p w:rsidR="00B24627" w:rsidRPr="00C35E3D" w:rsidRDefault="00B24627" w:rsidP="00423120">
            <w:pPr>
              <w:keepNext/>
              <w:ind w:right="-57"/>
              <w:rPr>
                <w:rFonts w:asciiTheme="minorHAnsi" w:hAnsiTheme="minorHAnsi" w:cstheme="minorHAnsi"/>
              </w:rPr>
            </w:pPr>
            <w:r w:rsidRPr="00C35E3D">
              <w:rPr>
                <w:rFonts w:asciiTheme="minorHAnsi" w:hAnsiTheme="minorHAnsi" w:cstheme="minorHAnsi"/>
                <w:lang w:eastAsia="en-GB"/>
              </w:rPr>
              <w:t xml:space="preserve">podíl nových domů </w:t>
            </w:r>
          </w:p>
        </w:tc>
      </w:tr>
      <w:tr w:rsidR="00B24627" w:rsidRPr="00907AF2" w:rsidTr="005A3A26">
        <w:trPr>
          <w:trHeight w:hRule="exact" w:val="340"/>
          <w:jc w:val="center"/>
        </w:trPr>
        <w:tc>
          <w:tcPr>
            <w:tcW w:w="2155" w:type="dxa"/>
            <w:vAlign w:val="center"/>
          </w:tcPr>
          <w:p w:rsidR="00B24627" w:rsidRPr="00C35E3D" w:rsidRDefault="00B24627" w:rsidP="00957E80">
            <w:pPr>
              <w:keepNext/>
              <w:keepLines/>
              <w:autoSpaceDE w:val="0"/>
              <w:autoSpaceDN w:val="0"/>
              <w:adjustRightInd w:val="0"/>
              <w:rPr>
                <w:rFonts w:asciiTheme="minorHAnsi" w:hAnsiTheme="minorHAnsi" w:cstheme="minorHAnsi"/>
                <w:bCs/>
                <w:lang w:eastAsia="en-GB"/>
              </w:rPr>
            </w:pPr>
            <w:r w:rsidRPr="00C35E3D">
              <w:rPr>
                <w:rFonts w:asciiTheme="minorHAnsi" w:hAnsiTheme="minorHAnsi" w:cstheme="minorHAnsi"/>
                <w:lang w:eastAsia="en-US"/>
              </w:rPr>
              <w:t>urbanistické prostředí (genius</w:t>
            </w:r>
            <w:r w:rsidR="00A044FA" w:rsidRPr="00C35E3D">
              <w:rPr>
                <w:rFonts w:asciiTheme="minorHAnsi" w:hAnsiTheme="minorHAnsi" w:cstheme="minorHAnsi"/>
                <w:lang w:eastAsia="en-US"/>
              </w:rPr>
              <w:t xml:space="preserve"> </w:t>
            </w:r>
            <w:r w:rsidRPr="00C35E3D">
              <w:rPr>
                <w:rFonts w:asciiTheme="minorHAnsi" w:hAnsiTheme="minorHAnsi" w:cstheme="minorHAnsi"/>
                <w:lang w:eastAsia="en-US"/>
              </w:rPr>
              <w:t>loci)</w:t>
            </w:r>
          </w:p>
        </w:tc>
        <w:tc>
          <w:tcPr>
            <w:tcW w:w="2551" w:type="dxa"/>
            <w:vAlign w:val="center"/>
          </w:tcPr>
          <w:p w:rsidR="00B24627" w:rsidRPr="00C35E3D" w:rsidRDefault="00B24627" w:rsidP="00423120">
            <w:pPr>
              <w:keepNext/>
              <w:rPr>
                <w:rFonts w:asciiTheme="minorHAnsi" w:hAnsiTheme="minorHAnsi" w:cstheme="minorHAnsi"/>
              </w:rPr>
            </w:pPr>
            <w:r w:rsidRPr="00C35E3D">
              <w:rPr>
                <w:rFonts w:asciiTheme="minorHAnsi" w:hAnsiTheme="minorHAnsi" w:cstheme="minorHAnsi"/>
                <w:bCs/>
                <w:lang w:eastAsia="en-GB"/>
              </w:rPr>
              <w:t>urbanistické faktory</w:t>
            </w:r>
          </w:p>
        </w:tc>
        <w:tc>
          <w:tcPr>
            <w:tcW w:w="4229" w:type="dxa"/>
            <w:vAlign w:val="center"/>
          </w:tcPr>
          <w:p w:rsidR="00B24627" w:rsidRPr="00C35E3D" w:rsidRDefault="00B24627" w:rsidP="00423120">
            <w:pPr>
              <w:keepNext/>
              <w:ind w:right="-57"/>
              <w:rPr>
                <w:rFonts w:asciiTheme="minorHAnsi" w:hAnsiTheme="minorHAnsi" w:cstheme="minorHAnsi"/>
              </w:rPr>
            </w:pPr>
            <w:r w:rsidRPr="00C35E3D">
              <w:rPr>
                <w:rFonts w:asciiTheme="minorHAnsi" w:hAnsiTheme="minorHAnsi" w:cstheme="minorHAnsi"/>
                <w:lang w:eastAsia="en-GB"/>
              </w:rPr>
              <w:t>výskyt chráněných stavebních památek a lázeňských míst</w:t>
            </w:r>
          </w:p>
        </w:tc>
      </w:tr>
      <w:tr w:rsidR="00B24627" w:rsidRPr="00907AF2" w:rsidTr="005A3A26">
        <w:trPr>
          <w:trHeight w:hRule="exact" w:val="340"/>
          <w:jc w:val="center"/>
        </w:trPr>
        <w:tc>
          <w:tcPr>
            <w:tcW w:w="2155" w:type="dxa"/>
            <w:vAlign w:val="center"/>
          </w:tcPr>
          <w:p w:rsidR="00B24627" w:rsidRPr="00C35E3D" w:rsidRDefault="00B24627" w:rsidP="00423120">
            <w:pPr>
              <w:keepNext/>
              <w:keepLines/>
              <w:autoSpaceDE w:val="0"/>
              <w:autoSpaceDN w:val="0"/>
              <w:adjustRightInd w:val="0"/>
              <w:rPr>
                <w:rFonts w:asciiTheme="minorHAnsi" w:hAnsiTheme="minorHAnsi" w:cstheme="minorHAnsi"/>
                <w:bCs/>
                <w:lang w:eastAsia="en-GB"/>
              </w:rPr>
            </w:pPr>
            <w:r w:rsidRPr="00C35E3D">
              <w:rPr>
                <w:rFonts w:asciiTheme="minorHAnsi" w:hAnsiTheme="minorHAnsi" w:cstheme="minorHAnsi"/>
                <w:lang w:eastAsia="en-US"/>
              </w:rPr>
              <w:t>zdravotnická infrastruktura</w:t>
            </w:r>
          </w:p>
        </w:tc>
        <w:tc>
          <w:tcPr>
            <w:tcW w:w="2551" w:type="dxa"/>
            <w:vAlign w:val="center"/>
          </w:tcPr>
          <w:p w:rsidR="00B24627" w:rsidRPr="00C35E3D" w:rsidRDefault="00B24627" w:rsidP="00423120">
            <w:pPr>
              <w:keepNext/>
              <w:rPr>
                <w:rFonts w:asciiTheme="minorHAnsi" w:hAnsiTheme="minorHAnsi" w:cstheme="minorHAnsi"/>
              </w:rPr>
            </w:pPr>
            <w:r w:rsidRPr="00C35E3D">
              <w:rPr>
                <w:rFonts w:asciiTheme="minorHAnsi" w:hAnsiTheme="minorHAnsi" w:cstheme="minorHAnsi"/>
                <w:bCs/>
                <w:lang w:eastAsia="en-GB"/>
              </w:rPr>
              <w:t>infrastrukturní faktory</w:t>
            </w:r>
          </w:p>
        </w:tc>
        <w:tc>
          <w:tcPr>
            <w:tcW w:w="4229" w:type="dxa"/>
            <w:vAlign w:val="center"/>
          </w:tcPr>
          <w:p w:rsidR="00B24627" w:rsidRPr="00C35E3D" w:rsidRDefault="00B24627" w:rsidP="00423120">
            <w:pPr>
              <w:keepNext/>
              <w:ind w:right="-57"/>
              <w:rPr>
                <w:rFonts w:asciiTheme="minorHAnsi" w:hAnsiTheme="minorHAnsi" w:cstheme="minorHAnsi"/>
              </w:rPr>
            </w:pPr>
            <w:r w:rsidRPr="00C35E3D">
              <w:rPr>
                <w:rFonts w:asciiTheme="minorHAnsi" w:hAnsiTheme="minorHAnsi" w:cstheme="minorHAnsi"/>
                <w:lang w:eastAsia="en-GB"/>
              </w:rPr>
              <w:t>počet lékařů na 1000 obyv.</w:t>
            </w:r>
          </w:p>
        </w:tc>
      </w:tr>
      <w:tr w:rsidR="00B24627" w:rsidRPr="00907AF2" w:rsidTr="005A3A26">
        <w:trPr>
          <w:trHeight w:hRule="exact" w:val="340"/>
          <w:jc w:val="center"/>
        </w:trPr>
        <w:tc>
          <w:tcPr>
            <w:tcW w:w="2155" w:type="dxa"/>
            <w:vAlign w:val="center"/>
          </w:tcPr>
          <w:p w:rsidR="00B24627" w:rsidRPr="00C35E3D" w:rsidRDefault="00B24627" w:rsidP="00423120">
            <w:pPr>
              <w:keepNext/>
              <w:keepLines/>
              <w:autoSpaceDE w:val="0"/>
              <w:autoSpaceDN w:val="0"/>
              <w:adjustRightInd w:val="0"/>
              <w:rPr>
                <w:rFonts w:asciiTheme="minorHAnsi" w:hAnsiTheme="minorHAnsi" w:cstheme="minorHAnsi"/>
                <w:bCs/>
                <w:lang w:eastAsia="en-GB"/>
              </w:rPr>
            </w:pPr>
            <w:r w:rsidRPr="00C35E3D">
              <w:rPr>
                <w:rFonts w:asciiTheme="minorHAnsi" w:hAnsiTheme="minorHAnsi" w:cstheme="minorHAnsi"/>
                <w:lang w:eastAsia="en-US"/>
              </w:rPr>
              <w:t>sociální infrastruktura</w:t>
            </w:r>
          </w:p>
        </w:tc>
        <w:tc>
          <w:tcPr>
            <w:tcW w:w="2551" w:type="dxa"/>
            <w:vAlign w:val="center"/>
          </w:tcPr>
          <w:p w:rsidR="00B24627" w:rsidRPr="00C35E3D" w:rsidRDefault="00B24627" w:rsidP="00423120">
            <w:pPr>
              <w:keepNext/>
              <w:rPr>
                <w:rFonts w:asciiTheme="minorHAnsi" w:hAnsiTheme="minorHAnsi" w:cstheme="minorHAnsi"/>
              </w:rPr>
            </w:pPr>
            <w:r w:rsidRPr="00C35E3D">
              <w:rPr>
                <w:rFonts w:asciiTheme="minorHAnsi" w:hAnsiTheme="minorHAnsi" w:cstheme="minorHAnsi"/>
                <w:bCs/>
                <w:lang w:eastAsia="en-GB"/>
              </w:rPr>
              <w:t>infrastrukturní faktory</w:t>
            </w:r>
          </w:p>
        </w:tc>
        <w:tc>
          <w:tcPr>
            <w:tcW w:w="4229" w:type="dxa"/>
            <w:vAlign w:val="center"/>
          </w:tcPr>
          <w:p w:rsidR="00B24627" w:rsidRPr="00C35E3D" w:rsidRDefault="00B24627" w:rsidP="00423120">
            <w:pPr>
              <w:keepNext/>
              <w:ind w:right="-57"/>
              <w:rPr>
                <w:rFonts w:asciiTheme="minorHAnsi" w:hAnsiTheme="minorHAnsi" w:cstheme="minorHAnsi"/>
              </w:rPr>
            </w:pPr>
            <w:r w:rsidRPr="00C35E3D">
              <w:rPr>
                <w:rFonts w:asciiTheme="minorHAnsi" w:hAnsiTheme="minorHAnsi" w:cstheme="minorHAnsi"/>
                <w:lang w:eastAsia="en-GB"/>
              </w:rPr>
              <w:t>počet míst v zařízeních sociálních služeb na 1000 obyv.</w:t>
            </w:r>
          </w:p>
        </w:tc>
      </w:tr>
      <w:tr w:rsidR="00B24627" w:rsidRPr="00907AF2" w:rsidTr="005A3A26">
        <w:trPr>
          <w:trHeight w:hRule="exact" w:val="340"/>
          <w:jc w:val="center"/>
        </w:trPr>
        <w:tc>
          <w:tcPr>
            <w:tcW w:w="2155" w:type="dxa"/>
            <w:vAlign w:val="center"/>
          </w:tcPr>
          <w:p w:rsidR="00B24627" w:rsidRPr="00C35E3D" w:rsidRDefault="00B24627" w:rsidP="00423120">
            <w:pPr>
              <w:keepNext/>
              <w:keepLines/>
              <w:autoSpaceDE w:val="0"/>
              <w:autoSpaceDN w:val="0"/>
              <w:adjustRightInd w:val="0"/>
              <w:rPr>
                <w:rFonts w:asciiTheme="minorHAnsi" w:hAnsiTheme="minorHAnsi" w:cstheme="minorHAnsi"/>
                <w:b/>
                <w:bCs/>
                <w:i/>
                <w:lang w:eastAsia="en-GB"/>
              </w:rPr>
            </w:pPr>
            <w:r w:rsidRPr="00C35E3D">
              <w:rPr>
                <w:rFonts w:asciiTheme="minorHAnsi" w:hAnsiTheme="minorHAnsi" w:cstheme="minorHAnsi"/>
                <w:lang w:eastAsia="en-US"/>
              </w:rPr>
              <w:t>krajinná struktura</w:t>
            </w:r>
          </w:p>
        </w:tc>
        <w:tc>
          <w:tcPr>
            <w:tcW w:w="2551" w:type="dxa"/>
            <w:vAlign w:val="center"/>
          </w:tcPr>
          <w:p w:rsidR="00B24627" w:rsidRPr="00C35E3D" w:rsidRDefault="00B24627" w:rsidP="00423120">
            <w:pPr>
              <w:keepNext/>
              <w:rPr>
                <w:rFonts w:asciiTheme="minorHAnsi" w:hAnsiTheme="minorHAnsi" w:cstheme="minorHAnsi"/>
              </w:rPr>
            </w:pPr>
            <w:r w:rsidRPr="00C35E3D">
              <w:rPr>
                <w:rFonts w:asciiTheme="minorHAnsi" w:hAnsiTheme="minorHAnsi" w:cstheme="minorHAnsi"/>
                <w:bCs/>
                <w:lang w:eastAsia="en-GB"/>
              </w:rPr>
              <w:t>environmentální faktory</w:t>
            </w:r>
          </w:p>
        </w:tc>
        <w:tc>
          <w:tcPr>
            <w:tcW w:w="4229" w:type="dxa"/>
            <w:vAlign w:val="center"/>
          </w:tcPr>
          <w:p w:rsidR="00B24627" w:rsidRPr="00C35E3D" w:rsidRDefault="00B24627" w:rsidP="00423120">
            <w:pPr>
              <w:keepNext/>
              <w:ind w:right="-57"/>
              <w:rPr>
                <w:rFonts w:asciiTheme="minorHAnsi" w:hAnsiTheme="minorHAnsi" w:cstheme="minorHAnsi"/>
              </w:rPr>
            </w:pPr>
            <w:r w:rsidRPr="00C35E3D">
              <w:rPr>
                <w:rFonts w:asciiTheme="minorHAnsi" w:hAnsiTheme="minorHAnsi" w:cstheme="minorHAnsi"/>
                <w:lang w:eastAsia="en-GB"/>
              </w:rPr>
              <w:t>podíl lesních a vodních ploch</w:t>
            </w:r>
          </w:p>
        </w:tc>
      </w:tr>
      <w:tr w:rsidR="00B24627" w:rsidRPr="00907AF2" w:rsidTr="005A3A26">
        <w:trPr>
          <w:trHeight w:hRule="exact" w:val="340"/>
          <w:jc w:val="center"/>
        </w:trPr>
        <w:tc>
          <w:tcPr>
            <w:tcW w:w="2155" w:type="dxa"/>
            <w:vAlign w:val="center"/>
          </w:tcPr>
          <w:p w:rsidR="00B24627" w:rsidRPr="00C35E3D" w:rsidRDefault="00B24627" w:rsidP="00423120">
            <w:pPr>
              <w:keepNext/>
              <w:keepLines/>
              <w:autoSpaceDE w:val="0"/>
              <w:autoSpaceDN w:val="0"/>
              <w:adjustRightInd w:val="0"/>
              <w:rPr>
                <w:rFonts w:asciiTheme="minorHAnsi" w:hAnsiTheme="minorHAnsi" w:cstheme="minorHAnsi"/>
                <w:bCs/>
                <w:lang w:eastAsia="en-GB"/>
              </w:rPr>
            </w:pPr>
            <w:r w:rsidRPr="00C35E3D">
              <w:rPr>
                <w:rFonts w:asciiTheme="minorHAnsi" w:hAnsiTheme="minorHAnsi" w:cstheme="minorHAnsi"/>
                <w:lang w:eastAsia="en-US"/>
              </w:rPr>
              <w:t>kvalita ovzduší</w:t>
            </w:r>
          </w:p>
        </w:tc>
        <w:tc>
          <w:tcPr>
            <w:tcW w:w="2551" w:type="dxa"/>
            <w:vAlign w:val="center"/>
          </w:tcPr>
          <w:p w:rsidR="00B24627" w:rsidRPr="00C35E3D" w:rsidRDefault="00B24627" w:rsidP="00423120">
            <w:pPr>
              <w:keepNext/>
              <w:rPr>
                <w:rFonts w:asciiTheme="minorHAnsi" w:hAnsiTheme="minorHAnsi" w:cstheme="minorHAnsi"/>
              </w:rPr>
            </w:pPr>
            <w:r w:rsidRPr="00C35E3D">
              <w:rPr>
                <w:rFonts w:asciiTheme="minorHAnsi" w:hAnsiTheme="minorHAnsi" w:cstheme="minorHAnsi"/>
                <w:bCs/>
                <w:lang w:eastAsia="en-GB"/>
              </w:rPr>
              <w:t>environmentální faktory</w:t>
            </w:r>
          </w:p>
        </w:tc>
        <w:tc>
          <w:tcPr>
            <w:tcW w:w="4229" w:type="dxa"/>
            <w:vAlign w:val="center"/>
          </w:tcPr>
          <w:p w:rsidR="00B24627" w:rsidRPr="00C35E3D" w:rsidRDefault="00B24627" w:rsidP="00423120">
            <w:pPr>
              <w:keepNext/>
              <w:ind w:right="-57"/>
              <w:rPr>
                <w:rFonts w:asciiTheme="minorHAnsi" w:hAnsiTheme="minorHAnsi" w:cstheme="minorHAnsi"/>
              </w:rPr>
            </w:pPr>
            <w:r w:rsidRPr="00C35E3D">
              <w:rPr>
                <w:rFonts w:asciiTheme="minorHAnsi" w:hAnsiTheme="minorHAnsi" w:cstheme="minorHAnsi"/>
                <w:lang w:eastAsia="en-GB"/>
              </w:rPr>
              <w:t>průměrná roční koncentrace polétavého prachu</w:t>
            </w:r>
          </w:p>
        </w:tc>
      </w:tr>
    </w:tbl>
    <w:p w:rsidR="00B24627" w:rsidRPr="00D71B4B" w:rsidRDefault="00B24627" w:rsidP="00423120">
      <w:pPr>
        <w:pStyle w:val="0T-Pramen"/>
        <w:spacing w:after="200"/>
      </w:pPr>
      <w:r w:rsidRPr="00D71B4B">
        <w:rPr>
          <w:lang w:eastAsia="en-GB"/>
        </w:rPr>
        <w:t>Pramen:</w:t>
      </w:r>
      <w:r w:rsidRPr="00D71B4B">
        <w:rPr>
          <w:rFonts w:cs="Arial"/>
        </w:rPr>
        <w:t xml:space="preserve"> </w:t>
      </w:r>
      <w:r w:rsidRPr="00D71B4B">
        <w:t>ČSÚ, MPSV, ÚZIS, MK ČR, ČHMÚ, PČR, vlastní výpočty.</w:t>
      </w:r>
    </w:p>
    <w:p w:rsidR="00B24627" w:rsidRDefault="00B24627" w:rsidP="00423120">
      <w:pPr>
        <w:pStyle w:val="05-Text"/>
        <w:rPr>
          <w:lang w:eastAsia="en-US"/>
        </w:rPr>
      </w:pPr>
      <w:r w:rsidRPr="006A6584">
        <w:rPr>
          <w:lang w:eastAsia="en-US"/>
        </w:rPr>
        <w:t xml:space="preserve">Podle </w:t>
      </w:r>
      <w:r>
        <w:rPr>
          <w:lang w:eastAsia="en-US"/>
        </w:rPr>
        <w:t xml:space="preserve">zjištěné </w:t>
      </w:r>
      <w:r w:rsidRPr="006A6584">
        <w:rPr>
          <w:lang w:eastAsia="en-US"/>
        </w:rPr>
        <w:t xml:space="preserve">míry </w:t>
      </w:r>
      <w:r>
        <w:rPr>
          <w:lang w:eastAsia="en-US"/>
        </w:rPr>
        <w:t>rovnováhy mezi</w:t>
      </w:r>
      <w:r w:rsidRPr="006A6584">
        <w:rPr>
          <w:lang w:eastAsia="en-US"/>
        </w:rPr>
        <w:t xml:space="preserve"> úrovn</w:t>
      </w:r>
      <w:r>
        <w:rPr>
          <w:lang w:eastAsia="en-US"/>
        </w:rPr>
        <w:t>í KPP a KSP byly regiony ORP rozděleny do tří typů, členěných dále do pěti podtypů:</w:t>
      </w:r>
    </w:p>
    <w:p w:rsidR="00B24627" w:rsidRPr="00AE7611" w:rsidRDefault="00B24627" w:rsidP="00423120">
      <w:pPr>
        <w:keepNext/>
        <w:widowControl w:val="0"/>
        <w:numPr>
          <w:ilvl w:val="0"/>
          <w:numId w:val="4"/>
        </w:numPr>
        <w:ind w:left="284" w:hanging="284"/>
        <w:jc w:val="both"/>
        <w:rPr>
          <w:sz w:val="24"/>
          <w:szCs w:val="24"/>
        </w:rPr>
      </w:pPr>
      <w:r w:rsidRPr="00AE7611">
        <w:rPr>
          <w:sz w:val="24"/>
          <w:szCs w:val="24"/>
        </w:rPr>
        <w:t>Typ A: podnikatelsky profilované regiony charakteristick</w:t>
      </w:r>
      <w:r w:rsidR="00C35E3D">
        <w:rPr>
          <w:sz w:val="24"/>
          <w:szCs w:val="24"/>
        </w:rPr>
        <w:t>é zřetelně lepší úrovní KPP než </w:t>
      </w:r>
      <w:r w:rsidRPr="00AE7611">
        <w:rPr>
          <w:sz w:val="24"/>
          <w:szCs w:val="24"/>
        </w:rPr>
        <w:t>KSP, se specifickým  podtypem A</w:t>
      </w:r>
      <w:r w:rsidRPr="00AE7611">
        <w:rPr>
          <w:sz w:val="24"/>
          <w:szCs w:val="24"/>
        </w:rPr>
        <w:sym w:font="Symbol" w:char="F02D"/>
      </w:r>
      <w:r w:rsidRPr="00AE7611">
        <w:rPr>
          <w:sz w:val="24"/>
          <w:szCs w:val="24"/>
        </w:rPr>
        <w:t xml:space="preserve"> zahrnujícím regiony s podprůměrnou </w:t>
      </w:r>
      <w:r>
        <w:rPr>
          <w:sz w:val="24"/>
          <w:szCs w:val="24"/>
        </w:rPr>
        <w:t>KSP.</w:t>
      </w:r>
    </w:p>
    <w:p w:rsidR="00B24627" w:rsidRPr="00AE7611" w:rsidRDefault="00B24627" w:rsidP="00423120">
      <w:pPr>
        <w:keepNext/>
        <w:widowControl w:val="0"/>
        <w:numPr>
          <w:ilvl w:val="0"/>
          <w:numId w:val="4"/>
        </w:numPr>
        <w:ind w:left="284" w:hanging="284"/>
        <w:jc w:val="both"/>
        <w:rPr>
          <w:sz w:val="24"/>
          <w:szCs w:val="24"/>
        </w:rPr>
      </w:pPr>
      <w:r w:rsidRPr="00AE7611">
        <w:rPr>
          <w:sz w:val="24"/>
          <w:szCs w:val="24"/>
        </w:rPr>
        <w:t>Typ B: komplexně profilované regiony charakteri</w:t>
      </w:r>
      <w:r w:rsidR="00C35E3D">
        <w:rPr>
          <w:sz w:val="24"/>
          <w:szCs w:val="24"/>
        </w:rPr>
        <w:t>stické rovnováhou KPP a KSP, se </w:t>
      </w:r>
      <w:r w:rsidRPr="00AE7611">
        <w:rPr>
          <w:sz w:val="24"/>
          <w:szCs w:val="24"/>
        </w:rPr>
        <w:t>specifickým podtypem B</w:t>
      </w:r>
      <w:r w:rsidRPr="00AE7611">
        <w:rPr>
          <w:sz w:val="24"/>
          <w:szCs w:val="24"/>
        </w:rPr>
        <w:sym w:font="Symbol" w:char="F02B"/>
      </w:r>
      <w:r w:rsidRPr="00AE7611">
        <w:rPr>
          <w:sz w:val="24"/>
          <w:szCs w:val="24"/>
        </w:rPr>
        <w:t xml:space="preserve"> zahrnujícím regiony s nadprůměrnou KPP i KSP a B</w:t>
      </w:r>
      <w:r w:rsidRPr="00AE7611">
        <w:rPr>
          <w:sz w:val="24"/>
          <w:szCs w:val="24"/>
        </w:rPr>
        <w:sym w:font="Symbol" w:char="F02D"/>
      </w:r>
      <w:r w:rsidRPr="00AE7611">
        <w:rPr>
          <w:sz w:val="24"/>
          <w:szCs w:val="24"/>
        </w:rPr>
        <w:t xml:space="preserve"> zahrnujícím regiony s podprůměrnou KPP i KSP</w:t>
      </w:r>
      <w:r>
        <w:rPr>
          <w:sz w:val="24"/>
          <w:szCs w:val="24"/>
        </w:rPr>
        <w:t>.</w:t>
      </w:r>
    </w:p>
    <w:p w:rsidR="00B24627" w:rsidRPr="00AE7611" w:rsidRDefault="00B24627" w:rsidP="00423120">
      <w:pPr>
        <w:keepNext/>
        <w:widowControl w:val="0"/>
        <w:numPr>
          <w:ilvl w:val="0"/>
          <w:numId w:val="4"/>
        </w:numPr>
        <w:ind w:left="284" w:hanging="284"/>
        <w:jc w:val="both"/>
        <w:rPr>
          <w:sz w:val="24"/>
          <w:szCs w:val="24"/>
        </w:rPr>
      </w:pPr>
      <w:r w:rsidRPr="00AE7611">
        <w:rPr>
          <w:sz w:val="24"/>
          <w:szCs w:val="24"/>
        </w:rPr>
        <w:t>Typ C: sociálně profilované regiony charakteristické zřetelně lepší úrovní KSP než KPP, se specifickým podtypem C</w:t>
      </w:r>
      <w:r w:rsidRPr="00AE7611">
        <w:rPr>
          <w:sz w:val="24"/>
          <w:szCs w:val="24"/>
        </w:rPr>
        <w:sym w:font="Symbol" w:char="F02D"/>
      </w:r>
      <w:r w:rsidRPr="00AE7611">
        <w:rPr>
          <w:sz w:val="24"/>
          <w:szCs w:val="24"/>
        </w:rPr>
        <w:t xml:space="preserve"> zahrnujícím regiony s podprůměrnou KPP. </w:t>
      </w:r>
    </w:p>
    <w:p w:rsidR="00B24627" w:rsidRDefault="00B24627" w:rsidP="00423120">
      <w:pPr>
        <w:pStyle w:val="05-Text"/>
        <w:rPr>
          <w:color w:val="0000FF"/>
        </w:rPr>
      </w:pPr>
      <w:r w:rsidRPr="00C223A9">
        <w:t xml:space="preserve">Typ A zahrnuje </w:t>
      </w:r>
      <w:r>
        <w:t>téměř</w:t>
      </w:r>
      <w:r w:rsidRPr="00C223A9">
        <w:t xml:space="preserve"> desetinu regionů ORP</w:t>
      </w:r>
      <w:r>
        <w:t>, avšak</w:t>
      </w:r>
      <w:r w:rsidRPr="00C223A9">
        <w:t xml:space="preserve"> s třetinovým podílem na </w:t>
      </w:r>
      <w:r>
        <w:t xml:space="preserve">celkovém </w:t>
      </w:r>
      <w:r w:rsidRPr="00C223A9">
        <w:t xml:space="preserve">počtu </w:t>
      </w:r>
      <w:r w:rsidRPr="00F631F2">
        <w:t xml:space="preserve">obyvatel. </w:t>
      </w:r>
      <w:r>
        <w:t xml:space="preserve">Zásadní </w:t>
      </w:r>
      <w:r w:rsidRPr="00F631F2">
        <w:t xml:space="preserve">otázkou je, zda nerovnováha mezi KPP a KSP je </w:t>
      </w:r>
      <w:r>
        <w:t>logickým pro</w:t>
      </w:r>
      <w:r w:rsidRPr="00FE5FF3">
        <w:t xml:space="preserve">jevem dynamického růstu nebo </w:t>
      </w:r>
      <w:r>
        <w:t xml:space="preserve">spíše projevem </w:t>
      </w:r>
      <w:r w:rsidRPr="00FE5FF3">
        <w:t>špatné rozvojové strategie. První případ se</w:t>
      </w:r>
      <w:r>
        <w:t xml:space="preserve"> logicky týká především regionů </w:t>
      </w:r>
      <w:r w:rsidRPr="00E274B7">
        <w:t xml:space="preserve">krajských měst s nadprůměrnou KSP a druhý </w:t>
      </w:r>
      <w:r>
        <w:t>pak</w:t>
      </w:r>
      <w:r w:rsidRPr="00E274B7">
        <w:t xml:space="preserve"> </w:t>
      </w:r>
      <w:r>
        <w:t>zvláště</w:t>
      </w:r>
      <w:r w:rsidRPr="00E274B7">
        <w:t xml:space="preserve"> starých průmyslových </w:t>
      </w:r>
      <w:r w:rsidRPr="0086425B">
        <w:t xml:space="preserve">regionů </w:t>
      </w:r>
      <w:r>
        <w:t>příslušn</w:t>
      </w:r>
      <w:r w:rsidR="001D5CBA">
        <w:t>ýc</w:t>
      </w:r>
      <w:r>
        <w:t xml:space="preserve">h </w:t>
      </w:r>
      <w:r w:rsidR="001D5CBA">
        <w:t>ke specifickému</w:t>
      </w:r>
      <w:r w:rsidRPr="0086425B">
        <w:t xml:space="preserve"> </w:t>
      </w:r>
      <w:r w:rsidRPr="00E274B7">
        <w:t>podtypu A</w:t>
      </w:r>
      <w:r w:rsidRPr="00E274B7">
        <w:sym w:font="Symbol" w:char="F02D"/>
      </w:r>
      <w:r>
        <w:t xml:space="preserve"> </w:t>
      </w:r>
      <w:r w:rsidRPr="00E274B7">
        <w:t>s </w:t>
      </w:r>
      <w:r>
        <w:t>nízkou</w:t>
      </w:r>
      <w:r w:rsidRPr="00E274B7">
        <w:t xml:space="preserve"> </w:t>
      </w:r>
      <w:r>
        <w:t xml:space="preserve">úrovní </w:t>
      </w:r>
      <w:r w:rsidRPr="00E274B7">
        <w:t>vzdělanost</w:t>
      </w:r>
      <w:r>
        <w:t>í</w:t>
      </w:r>
      <w:r w:rsidRPr="00E274B7">
        <w:t xml:space="preserve">, vysokou </w:t>
      </w:r>
      <w:r>
        <w:t xml:space="preserve">úrovní </w:t>
      </w:r>
      <w:r w:rsidRPr="00E274B7">
        <w:t xml:space="preserve">nezaměstnaností </w:t>
      </w:r>
      <w:r>
        <w:t xml:space="preserve">a </w:t>
      </w:r>
      <w:r w:rsidRPr="00E274B7">
        <w:t xml:space="preserve">narušeným životním prostředím </w:t>
      </w:r>
      <w:r>
        <w:t xml:space="preserve">(tyto regiony se vyskytují </w:t>
      </w:r>
      <w:r w:rsidR="001D5CBA">
        <w:t xml:space="preserve">prakticky </w:t>
      </w:r>
      <w:r>
        <w:t>ve všech ekonomicky vyspělých zemích).</w:t>
      </w:r>
      <w:r w:rsidRPr="007A1FDF">
        <w:rPr>
          <w:color w:val="0000FF"/>
        </w:rPr>
        <w:t xml:space="preserve"> </w:t>
      </w:r>
    </w:p>
    <w:p w:rsidR="00B24627" w:rsidRDefault="00B24627" w:rsidP="00423120">
      <w:pPr>
        <w:pStyle w:val="05-Text"/>
        <w:keepLines/>
        <w:suppressLineNumbers/>
        <w:rPr>
          <w:color w:val="FF0000"/>
          <w:sz w:val="20"/>
          <w:szCs w:val="20"/>
        </w:rPr>
      </w:pPr>
      <w:r>
        <w:lastRenderedPageBreak/>
        <w:t>Do n</w:t>
      </w:r>
      <w:r w:rsidRPr="004974AF">
        <w:t>ásledující</w:t>
      </w:r>
      <w:r>
        <w:t>ho</w:t>
      </w:r>
      <w:r w:rsidRPr="004974AF">
        <w:t xml:space="preserve"> typ</w:t>
      </w:r>
      <w:r>
        <w:t>u</w:t>
      </w:r>
      <w:r w:rsidRPr="004974AF">
        <w:t xml:space="preserve"> B </w:t>
      </w:r>
      <w:r>
        <w:t xml:space="preserve">spadá cca </w:t>
      </w:r>
      <w:r w:rsidR="00250111">
        <w:t>polovina</w:t>
      </w:r>
      <w:r w:rsidRPr="004974AF">
        <w:t xml:space="preserve"> regionů (včetně regionů čtyř krajských měst) s</w:t>
      </w:r>
      <w:r>
        <w:t xml:space="preserve"> přibližně </w:t>
      </w:r>
      <w:r w:rsidR="00760C73">
        <w:t>47</w:t>
      </w:r>
      <w:r w:rsidRPr="004974AF">
        <w:t xml:space="preserve">% podílem na celkovém počtu obyvatel. </w:t>
      </w:r>
      <w:r>
        <w:t>Č</w:t>
      </w:r>
      <w:r w:rsidRPr="004974AF">
        <w:t>t</w:t>
      </w:r>
      <w:r w:rsidR="00C35E3D">
        <w:t>vrtina z  nich byla zařazena do </w:t>
      </w:r>
      <w:r w:rsidRPr="004974AF">
        <w:t>podtypu B</w:t>
      </w:r>
      <w:r w:rsidRPr="004974AF">
        <w:sym w:font="Symbol" w:char="F02B"/>
      </w:r>
      <w:r w:rsidRPr="004974AF">
        <w:t xml:space="preserve"> a další čtvrtina pak do podtypu B</w:t>
      </w:r>
      <w:r w:rsidRPr="004974AF">
        <w:sym w:font="Symbol" w:char="F02D"/>
      </w:r>
      <w:r w:rsidRPr="004974AF">
        <w:t xml:space="preserve">. </w:t>
      </w:r>
      <w:r>
        <w:t>Tento</w:t>
      </w:r>
      <w:r w:rsidRPr="004974AF">
        <w:t xml:space="preserve"> typ </w:t>
      </w:r>
      <w:r>
        <w:t xml:space="preserve">se </w:t>
      </w:r>
      <w:r w:rsidRPr="004974AF">
        <w:t xml:space="preserve">vyskytuje </w:t>
      </w:r>
      <w:r>
        <w:t xml:space="preserve">zejména </w:t>
      </w:r>
      <w:r w:rsidR="00C35E3D">
        <w:t>u třetí a </w:t>
      </w:r>
      <w:r w:rsidRPr="004974AF">
        <w:t xml:space="preserve">dále druhé velikostní skupiny regionů ORP. Obecně </w:t>
      </w:r>
      <w:r>
        <w:t>lze</w:t>
      </w:r>
      <w:r w:rsidRPr="004974AF">
        <w:t xml:space="preserve"> konstatovat, že vyvážen</w:t>
      </w:r>
      <w:r>
        <w:t>ý vztah</w:t>
      </w:r>
      <w:r w:rsidRPr="004974AF">
        <w:t xml:space="preserve"> KPP a KSP má </w:t>
      </w:r>
      <w:r>
        <w:t xml:space="preserve">vesměs </w:t>
      </w:r>
      <w:r w:rsidRPr="004974AF">
        <w:t xml:space="preserve">pozitivní vlivy na celkovou atraktivitu </w:t>
      </w:r>
      <w:r>
        <w:t xml:space="preserve">příslušných </w:t>
      </w:r>
      <w:r w:rsidRPr="004974AF">
        <w:t>regionů (jejímž signifikantním projevem je kladné migrační saldo</w:t>
      </w:r>
      <w:r w:rsidR="00BA6F21">
        <w:t>,</w:t>
      </w:r>
      <w:r>
        <w:t xml:space="preserve"> resp. tzv. demografická výhoda</w:t>
      </w:r>
      <w:r w:rsidRPr="004974AF">
        <w:t xml:space="preserve">) a tedy i </w:t>
      </w:r>
      <w:r w:rsidR="00C35E3D">
        <w:t>na </w:t>
      </w:r>
      <w:r w:rsidRPr="004974AF">
        <w:t xml:space="preserve">udržitelnost </w:t>
      </w:r>
      <w:r>
        <w:t>jejich</w:t>
      </w:r>
      <w:r w:rsidRPr="004974AF">
        <w:t xml:space="preserve"> rozvoje.</w:t>
      </w:r>
      <w:r w:rsidRPr="00AE7611">
        <w:rPr>
          <w:color w:val="FF0000"/>
          <w:sz w:val="20"/>
          <w:szCs w:val="20"/>
        </w:rPr>
        <w:t xml:space="preserve"> </w:t>
      </w:r>
    </w:p>
    <w:p w:rsidR="00B24627" w:rsidRPr="00156582" w:rsidRDefault="00DE2AF2" w:rsidP="00B66EE4">
      <w:pPr>
        <w:pStyle w:val="05-Text"/>
        <w:suppressLineNumbers/>
        <w:rPr>
          <w:b/>
          <w:bCs/>
          <w:lang w:eastAsia="en-GB"/>
        </w:rPr>
      </w:pPr>
      <w:r>
        <w:rPr>
          <w:noProof/>
          <w:lang w:val="en-GB" w:eastAsia="en-GB"/>
        </w:rPr>
        <w:drawing>
          <wp:anchor distT="0" distB="0" distL="114300" distR="114300" simplePos="0" relativeHeight="251663360" behindDoc="1" locked="0" layoutInCell="1" allowOverlap="0" wp14:anchorId="15A84216" wp14:editId="72FC109E">
            <wp:simplePos x="0" y="0"/>
            <wp:positionH relativeFrom="column">
              <wp:posOffset>-4445</wp:posOffset>
            </wp:positionH>
            <wp:positionV relativeFrom="paragraph">
              <wp:posOffset>1426210</wp:posOffset>
            </wp:positionV>
            <wp:extent cx="5753100" cy="3714750"/>
            <wp:effectExtent l="0" t="0" r="0" b="0"/>
            <wp:wrapTight wrapText="bothSides">
              <wp:wrapPolygon edited="0">
                <wp:start x="0" y="0"/>
                <wp:lineTo x="0" y="21268"/>
                <wp:lineTo x="21528" y="21268"/>
                <wp:lineTo x="21528" y="0"/>
                <wp:lineTo x="0" y="0"/>
              </wp:wrapPolygon>
            </wp:wrapTight>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rotWithShape="1">
                    <a:blip r:embed="rId31">
                      <a:extLst>
                        <a:ext uri="{28A0092B-C50C-407E-A947-70E740481C1C}">
                          <a14:useLocalDpi xmlns:a14="http://schemas.microsoft.com/office/drawing/2010/main" val="0"/>
                        </a:ext>
                      </a:extLst>
                    </a:blip>
                    <a:srcRect l="468" t="2137" r="-468" b="-2132"/>
                    <a:stretch/>
                  </pic:blipFill>
                  <pic:spPr bwMode="auto">
                    <a:xfrm>
                      <a:off x="0" y="0"/>
                      <a:ext cx="5753100" cy="3714750"/>
                    </a:xfrm>
                    <a:prstGeom prst="rect">
                      <a:avLst/>
                    </a:prstGeom>
                    <a:noFill/>
                    <a:ln>
                      <a:noFill/>
                    </a:ln>
                    <a:extLst>
                      <a:ext uri="{53640926-AAD7-44D8-BBD7-CCE9431645EC}">
                        <a14:shadowObscured xmlns:a14="http://schemas.microsoft.com/office/drawing/2010/main"/>
                      </a:ext>
                    </a:extLst>
                  </pic:spPr>
                </pic:pic>
              </a:graphicData>
            </a:graphic>
          </wp:anchor>
        </w:drawing>
      </w:r>
      <w:r w:rsidR="00B24627" w:rsidRPr="00D17FCF">
        <w:t xml:space="preserve">Typ C zahrnuje více než 40 % regionů </w:t>
      </w:r>
      <w:r w:rsidR="00B24627">
        <w:t>ORP, které však zaujímají</w:t>
      </w:r>
      <w:r w:rsidR="00B24627" w:rsidRPr="00D17FCF">
        <w:t xml:space="preserve"> pouze pětinový podíl na celkovém počtu obyvatel. Přibližně </w:t>
      </w:r>
      <w:r w:rsidR="00B24627">
        <w:t xml:space="preserve">tři pětiny z těchto regionů pak </w:t>
      </w:r>
      <w:r w:rsidR="00B24627" w:rsidRPr="00D17FCF">
        <w:t>spad</w:t>
      </w:r>
      <w:r w:rsidR="00B24627">
        <w:t>ají</w:t>
      </w:r>
      <w:r w:rsidR="00B24627" w:rsidRPr="00D17FCF">
        <w:t xml:space="preserve"> do podtypu C</w:t>
      </w:r>
      <w:r w:rsidR="00B24627" w:rsidRPr="00D17FCF">
        <w:sym w:font="Symbol" w:char="F02D"/>
      </w:r>
      <w:r w:rsidR="00B24627" w:rsidRPr="00D17FCF">
        <w:t xml:space="preserve">, </w:t>
      </w:r>
      <w:r w:rsidR="00B24627">
        <w:t xml:space="preserve">který sdružuje regiony, </w:t>
      </w:r>
      <w:r w:rsidR="00B24627" w:rsidRPr="00D17FCF">
        <w:t>jejich</w:t>
      </w:r>
      <w:r w:rsidR="00B24627">
        <w:t>ž</w:t>
      </w:r>
      <w:r w:rsidR="00B24627" w:rsidRPr="00D17FCF">
        <w:t xml:space="preserve"> rozvoj je ne</w:t>
      </w:r>
      <w:r w:rsidR="00B24627">
        <w:t>j</w:t>
      </w:r>
      <w:r w:rsidR="00B24627" w:rsidRPr="00D17FCF">
        <w:t>silněji limitován nízkou úrovní KPP</w:t>
      </w:r>
      <w:r w:rsidR="00B24627">
        <w:t xml:space="preserve"> (u</w:t>
      </w:r>
      <w:r w:rsidR="00C35E3D">
        <w:t> </w:t>
      </w:r>
      <w:r w:rsidR="00B24627" w:rsidRPr="00D17FCF">
        <w:t xml:space="preserve">zbývajících regionů </w:t>
      </w:r>
      <w:r w:rsidR="00B24627">
        <w:t>je</w:t>
      </w:r>
      <w:r w:rsidR="00B24627" w:rsidRPr="00D17FCF">
        <w:t xml:space="preserve"> pozitivní</w:t>
      </w:r>
      <w:r w:rsidR="00B24627">
        <w:t>m</w:t>
      </w:r>
      <w:r w:rsidR="00B24627" w:rsidRPr="00D17FCF">
        <w:t xml:space="preserve"> zjištění</w:t>
      </w:r>
      <w:r w:rsidR="00B24627">
        <w:t>m</w:t>
      </w:r>
      <w:r w:rsidR="00B24627" w:rsidRPr="00D17FCF">
        <w:t xml:space="preserve"> převaž</w:t>
      </w:r>
      <w:r w:rsidR="00B24627">
        <w:t>ující</w:t>
      </w:r>
      <w:r w:rsidR="00B24627" w:rsidRPr="00D17FCF">
        <w:t xml:space="preserve"> kladné migrační saldo</w:t>
      </w:r>
      <w:r w:rsidR="00B24627">
        <w:t xml:space="preserve">). </w:t>
      </w:r>
      <w:r w:rsidR="001D5CBA">
        <w:t>P</w:t>
      </w:r>
      <w:r w:rsidR="00B24627">
        <w:t xml:space="preserve">ouze </w:t>
      </w:r>
      <w:r w:rsidR="00B24627" w:rsidRPr="00D17FCF">
        <w:t xml:space="preserve">čtvrtina </w:t>
      </w:r>
      <w:r w:rsidR="00B24627">
        <w:t>regionů daného typu vykázala</w:t>
      </w:r>
      <w:r w:rsidR="00B24627" w:rsidRPr="00D17FCF">
        <w:t xml:space="preserve"> pozitivní odchylky </w:t>
      </w:r>
      <w:r w:rsidR="00B24627">
        <w:t xml:space="preserve">skutečných </w:t>
      </w:r>
      <w:r w:rsidR="00B24627" w:rsidRPr="00D17FCF">
        <w:t>od teoreticky přís</w:t>
      </w:r>
      <w:r w:rsidR="00B24627">
        <w:t>l</w:t>
      </w:r>
      <w:r w:rsidR="00B24627" w:rsidRPr="00D17FCF">
        <w:t>ušn</w:t>
      </w:r>
      <w:r w:rsidR="00B24627">
        <w:t>ých</w:t>
      </w:r>
      <w:r w:rsidR="00B24627" w:rsidRPr="00D17FCF">
        <w:t xml:space="preserve"> </w:t>
      </w:r>
      <w:r w:rsidR="00B24627">
        <w:t>hodnot</w:t>
      </w:r>
      <w:r w:rsidR="00B24627" w:rsidRPr="00D11ABA">
        <w:t xml:space="preserve"> </w:t>
      </w:r>
      <w:r w:rsidR="00B24627" w:rsidRPr="00D17FCF">
        <w:t>KPP</w:t>
      </w:r>
      <w:r w:rsidR="00B24627">
        <w:t xml:space="preserve"> a </w:t>
      </w:r>
      <w:r w:rsidR="00B24627" w:rsidRPr="00D17FCF">
        <w:t xml:space="preserve">jejich dosavadní </w:t>
      </w:r>
      <w:r w:rsidR="00B24627">
        <w:t xml:space="preserve">ekonomický </w:t>
      </w:r>
      <w:r w:rsidR="00B24627" w:rsidRPr="00D17FCF">
        <w:t>rozvoj</w:t>
      </w:r>
      <w:r w:rsidR="00B24627">
        <w:t xml:space="preserve"> tak lze obecně hodnotit jako spíše pozitivní.</w:t>
      </w:r>
    </w:p>
    <w:p w:rsidR="00B24627" w:rsidRPr="00D70371" w:rsidRDefault="00B24627" w:rsidP="00B66EE4">
      <w:pPr>
        <w:pStyle w:val="0G-Titulek"/>
        <w:suppressLineNumbers/>
        <w:ind w:firstLine="0"/>
      </w:pPr>
      <w:bookmarkStart w:id="50" w:name="_Toc349768226"/>
      <w:bookmarkStart w:id="51" w:name="_Toc349824545"/>
      <w:bookmarkStart w:id="52" w:name="_Toc382326815"/>
      <w:r w:rsidRPr="00D70371">
        <w:t>Obrázek 1</w:t>
      </w:r>
      <w:r>
        <w:t>1</w:t>
      </w:r>
      <w:r w:rsidRPr="00D70371">
        <w:t>: KSP v regionech ORP a jejich typologie podle rovnováhy KSP a KPP</w:t>
      </w:r>
      <w:bookmarkEnd w:id="50"/>
      <w:bookmarkEnd w:id="51"/>
      <w:bookmarkEnd w:id="52"/>
    </w:p>
    <w:p w:rsidR="00B24627" w:rsidRDefault="00B24627" w:rsidP="00423120">
      <w:pPr>
        <w:pStyle w:val="0G-Pramen"/>
        <w:suppressLineNumbers/>
        <w:spacing w:after="200"/>
        <w:ind w:firstLine="0"/>
      </w:pPr>
      <w:r w:rsidRPr="00D70371">
        <w:t>Pramen: Viturka a kol., 201</w:t>
      </w:r>
      <w:r>
        <w:t>3</w:t>
      </w:r>
      <w:r w:rsidRPr="00D70371">
        <w:t>.</w:t>
      </w:r>
    </w:p>
    <w:p w:rsidR="00D84BEB" w:rsidRPr="00A91347" w:rsidRDefault="00D84BEB" w:rsidP="00890421">
      <w:pPr>
        <w:pStyle w:val="02-Nadpis2"/>
      </w:pPr>
      <w:bookmarkStart w:id="53" w:name="_Toc382327191"/>
      <w:r w:rsidRPr="00A91347">
        <w:t>2.3. Pracovní síla</w:t>
      </w:r>
      <w:bookmarkEnd w:id="53"/>
      <w:r w:rsidRPr="00A91347">
        <w:t xml:space="preserve"> </w:t>
      </w:r>
    </w:p>
    <w:p w:rsidR="00AC5422" w:rsidRDefault="00AC5422" w:rsidP="00423120">
      <w:pPr>
        <w:ind w:firstLine="709"/>
        <w:jc w:val="both"/>
        <w:rPr>
          <w:sz w:val="24"/>
          <w:szCs w:val="24"/>
        </w:rPr>
      </w:pPr>
      <w:r>
        <w:rPr>
          <w:sz w:val="24"/>
          <w:szCs w:val="24"/>
        </w:rPr>
        <w:t xml:space="preserve">Práce je nejdůležitějším výrobním faktorem, který je bytostně spojen s každým jedincem, který se individuálně rozhoduje, jaké množství </w:t>
      </w:r>
      <w:r w:rsidR="00C35E3D">
        <w:rPr>
          <w:sz w:val="24"/>
          <w:szCs w:val="24"/>
        </w:rPr>
        <w:t>faktoru je ochoten vynaložit za </w:t>
      </w:r>
      <w:r>
        <w:rPr>
          <w:sz w:val="24"/>
          <w:szCs w:val="24"/>
        </w:rPr>
        <w:t>daných podmínek. Obecná ekonomická teorie pracuje především s výší reálné hrubé mzdy, která je však determinována i dalšími parametry národní a regionální ekonomiky. Tyto parametry pak vedou každého člověka k rozhodnutí</w:t>
      </w:r>
      <w:r w:rsidR="009330DC">
        <w:rPr>
          <w:sz w:val="24"/>
          <w:szCs w:val="24"/>
        </w:rPr>
        <w:t xml:space="preserve">, zda </w:t>
      </w:r>
      <w:r>
        <w:rPr>
          <w:sz w:val="24"/>
          <w:szCs w:val="24"/>
        </w:rPr>
        <w:t>a v jakém rozsahu na trh práce vstoupí.</w:t>
      </w:r>
    </w:p>
    <w:p w:rsidR="00AC5422" w:rsidRDefault="00AC5422" w:rsidP="00423120">
      <w:pPr>
        <w:ind w:firstLine="709"/>
        <w:jc w:val="both"/>
        <w:rPr>
          <w:sz w:val="24"/>
          <w:szCs w:val="24"/>
        </w:rPr>
      </w:pPr>
      <w:r>
        <w:rPr>
          <w:sz w:val="24"/>
          <w:szCs w:val="24"/>
        </w:rPr>
        <w:lastRenderedPageBreak/>
        <w:t>Na rozdíl od faktoru půdy vykazuje práce poměrně vysokou mobilitu, která je však nižší než v případě kapitálu. V souvislosti s mobilitou bývá používán pojem migrace</w:t>
      </w:r>
      <w:r w:rsidRPr="00A44280">
        <w:rPr>
          <w:sz w:val="24"/>
          <w:szCs w:val="24"/>
        </w:rPr>
        <w:t xml:space="preserve"> </w:t>
      </w:r>
      <w:r>
        <w:rPr>
          <w:sz w:val="24"/>
          <w:szCs w:val="24"/>
        </w:rPr>
        <w:t>pracovní síly. Jejím výsledkem je změna situace na trhu práce v</w:t>
      </w:r>
      <w:r w:rsidR="00250111">
        <w:rPr>
          <w:sz w:val="24"/>
          <w:szCs w:val="24"/>
        </w:rPr>
        <w:t> </w:t>
      </w:r>
      <w:r>
        <w:rPr>
          <w:sz w:val="24"/>
          <w:szCs w:val="24"/>
        </w:rPr>
        <w:t>regionech</w:t>
      </w:r>
      <w:r w:rsidR="00250111">
        <w:rPr>
          <w:sz w:val="24"/>
          <w:szCs w:val="24"/>
        </w:rPr>
        <w:t>,</w:t>
      </w:r>
      <w:r>
        <w:rPr>
          <w:sz w:val="24"/>
          <w:szCs w:val="24"/>
        </w:rPr>
        <w:t xml:space="preserve"> a to jak v imigračních regionech charakteristických přílivem pracovní síly, tak v emigračních regionech charakteristických ztrátou pracovní</w:t>
      </w:r>
      <w:r w:rsidR="00250111">
        <w:rPr>
          <w:sz w:val="24"/>
          <w:szCs w:val="24"/>
        </w:rPr>
        <w:t xml:space="preserve"> síly</w:t>
      </w:r>
      <w:r>
        <w:rPr>
          <w:sz w:val="24"/>
          <w:szCs w:val="24"/>
        </w:rPr>
        <w:t>. Bližšímu vysvětlení tohoto jevu musí předcházet nástin podstaty vytváření rovnováhy na trhu práce.</w:t>
      </w:r>
    </w:p>
    <w:p w:rsidR="00AC5422" w:rsidRPr="00A81490" w:rsidRDefault="00AC5422" w:rsidP="00423120">
      <w:pPr>
        <w:jc w:val="both"/>
        <w:rPr>
          <w:b/>
          <w:sz w:val="24"/>
          <w:szCs w:val="24"/>
        </w:rPr>
      </w:pPr>
      <w:r w:rsidRPr="00A81490">
        <w:rPr>
          <w:b/>
          <w:sz w:val="24"/>
          <w:szCs w:val="24"/>
        </w:rPr>
        <w:t>Rovnováha na trhu práce</w:t>
      </w:r>
    </w:p>
    <w:p w:rsidR="00AC5422" w:rsidRDefault="00AC5422" w:rsidP="00423120">
      <w:pPr>
        <w:ind w:firstLine="709"/>
        <w:jc w:val="both"/>
        <w:rPr>
          <w:sz w:val="24"/>
          <w:szCs w:val="24"/>
        </w:rPr>
      </w:pPr>
      <w:r>
        <w:rPr>
          <w:sz w:val="24"/>
          <w:szCs w:val="24"/>
        </w:rPr>
        <w:t>Klasická ekonomie předložila několik významných konceptů vysvětlujících procesy na trhu práce. Adam Smith považoval mzdu za existenční minimum (</w:t>
      </w:r>
      <w:r w:rsidRPr="00905AA8">
        <w:rPr>
          <w:sz w:val="24"/>
          <w:szCs w:val="24"/>
        </w:rPr>
        <w:t>subsistent wage</w:t>
      </w:r>
      <w:r>
        <w:rPr>
          <w:sz w:val="24"/>
          <w:szCs w:val="24"/>
        </w:rPr>
        <w:t>), kolem něhož tržní mzda kolísá.</w:t>
      </w:r>
      <w:r w:rsidRPr="004A2943">
        <w:t xml:space="preserve"> </w:t>
      </w:r>
      <w:r w:rsidRPr="004A2943">
        <w:rPr>
          <w:sz w:val="24"/>
          <w:szCs w:val="24"/>
        </w:rPr>
        <w:t xml:space="preserve">Mzda se </w:t>
      </w:r>
      <w:r>
        <w:rPr>
          <w:sz w:val="24"/>
          <w:szCs w:val="24"/>
        </w:rPr>
        <w:t xml:space="preserve">pak </w:t>
      </w:r>
      <w:r w:rsidRPr="004A2943">
        <w:rPr>
          <w:sz w:val="24"/>
          <w:szCs w:val="24"/>
        </w:rPr>
        <w:t>na této úrovni udržuje proto, že konkurence na straně poptávky je slabá, což tlačí mzdu dolů.</w:t>
      </w:r>
      <w:r w:rsidRPr="004A2943">
        <w:t xml:space="preserve"> </w:t>
      </w:r>
      <w:r w:rsidRPr="004A2943">
        <w:rPr>
          <w:sz w:val="24"/>
          <w:szCs w:val="24"/>
        </w:rPr>
        <w:t xml:space="preserve">Dodával však, že pokud je akumulace kapitálu dostatečně rychlá, může docházet k poměrně dlouhodobému zvyšování mezd nad </w:t>
      </w:r>
      <w:r>
        <w:rPr>
          <w:sz w:val="24"/>
          <w:szCs w:val="24"/>
        </w:rPr>
        <w:t>existenční minimum (Holman, 200</w:t>
      </w:r>
      <w:r w:rsidR="003B683A">
        <w:rPr>
          <w:sz w:val="24"/>
          <w:szCs w:val="24"/>
        </w:rPr>
        <w:t>5</w:t>
      </w:r>
      <w:r>
        <w:rPr>
          <w:sz w:val="24"/>
          <w:szCs w:val="24"/>
        </w:rPr>
        <w:t>)</w:t>
      </w:r>
      <w:r w:rsidRPr="004A2943">
        <w:rPr>
          <w:sz w:val="24"/>
          <w:szCs w:val="24"/>
        </w:rPr>
        <w:t>.</w:t>
      </w:r>
      <w:r w:rsidRPr="004A2943">
        <w:t xml:space="preserve"> </w:t>
      </w:r>
      <w:r w:rsidRPr="004A2943">
        <w:rPr>
          <w:sz w:val="24"/>
          <w:szCs w:val="24"/>
        </w:rPr>
        <w:t>J</w:t>
      </w:r>
      <w:r>
        <w:rPr>
          <w:sz w:val="24"/>
          <w:szCs w:val="24"/>
        </w:rPr>
        <w:t xml:space="preserve">. </w:t>
      </w:r>
      <w:r w:rsidRPr="004A2943">
        <w:rPr>
          <w:sz w:val="24"/>
          <w:szCs w:val="24"/>
        </w:rPr>
        <w:t>B</w:t>
      </w:r>
      <w:r>
        <w:rPr>
          <w:sz w:val="24"/>
          <w:szCs w:val="24"/>
        </w:rPr>
        <w:t xml:space="preserve">. </w:t>
      </w:r>
      <w:r w:rsidRPr="004A2943">
        <w:rPr>
          <w:sz w:val="24"/>
          <w:szCs w:val="24"/>
        </w:rPr>
        <w:t>Say</w:t>
      </w:r>
      <w:r w:rsidRPr="004A2943">
        <w:t xml:space="preserve"> </w:t>
      </w:r>
      <w:r>
        <w:rPr>
          <w:sz w:val="24"/>
          <w:szCs w:val="24"/>
        </w:rPr>
        <w:t>o</w:t>
      </w:r>
      <w:r w:rsidRPr="004A2943">
        <w:rPr>
          <w:sz w:val="24"/>
          <w:szCs w:val="24"/>
        </w:rPr>
        <w:t>brátil kauzalitu mezi nabídkou a poptávkou, tedy že nabídka vytváří poptávku a ne naopak. Není možné, aby se agregátní nabídka a agregátní poptávka lišily co do celkové výše (mohou se lišit co do struktury)</w:t>
      </w:r>
      <w:r>
        <w:rPr>
          <w:sz w:val="24"/>
          <w:szCs w:val="24"/>
        </w:rPr>
        <w:t xml:space="preserve"> – n</w:t>
      </w:r>
      <w:r w:rsidRPr="004A2943">
        <w:rPr>
          <w:sz w:val="24"/>
          <w:szCs w:val="24"/>
        </w:rPr>
        <w:t>abídka si vždy</w:t>
      </w:r>
      <w:r>
        <w:rPr>
          <w:sz w:val="24"/>
          <w:szCs w:val="24"/>
        </w:rPr>
        <w:t xml:space="preserve"> </w:t>
      </w:r>
      <w:r w:rsidRPr="004A2943">
        <w:rPr>
          <w:sz w:val="24"/>
          <w:szCs w:val="24"/>
        </w:rPr>
        <w:t>vytv</w:t>
      </w:r>
      <w:r>
        <w:rPr>
          <w:sz w:val="24"/>
          <w:szCs w:val="24"/>
        </w:rPr>
        <w:t>o</w:t>
      </w:r>
      <w:r w:rsidRPr="004A2943">
        <w:rPr>
          <w:sz w:val="24"/>
          <w:szCs w:val="24"/>
        </w:rPr>
        <w:t>ř</w:t>
      </w:r>
      <w:r>
        <w:rPr>
          <w:sz w:val="24"/>
          <w:szCs w:val="24"/>
        </w:rPr>
        <w:t xml:space="preserve">í </w:t>
      </w:r>
      <w:r w:rsidRPr="004A2943">
        <w:rPr>
          <w:sz w:val="24"/>
          <w:szCs w:val="24"/>
        </w:rPr>
        <w:t>stejně velkou poptávku</w:t>
      </w:r>
      <w:r>
        <w:rPr>
          <w:sz w:val="24"/>
          <w:szCs w:val="24"/>
        </w:rPr>
        <w:t xml:space="preserve"> </w:t>
      </w:r>
      <w:r w:rsidRPr="004A2943">
        <w:rPr>
          <w:sz w:val="24"/>
          <w:szCs w:val="24"/>
          <w:vertAlign w:val="superscript"/>
        </w:rPr>
        <w:footnoteReference w:id="14"/>
      </w:r>
      <w:r w:rsidRPr="004A2943">
        <w:rPr>
          <w:sz w:val="24"/>
          <w:szCs w:val="24"/>
        </w:rPr>
        <w:t>. Deprese</w:t>
      </w:r>
      <w:r>
        <w:rPr>
          <w:sz w:val="24"/>
          <w:szCs w:val="24"/>
        </w:rPr>
        <w:t xml:space="preserve"> pak Say </w:t>
      </w:r>
      <w:r w:rsidRPr="004A2943">
        <w:rPr>
          <w:sz w:val="24"/>
          <w:szCs w:val="24"/>
        </w:rPr>
        <w:t>považoval</w:t>
      </w:r>
      <w:r>
        <w:rPr>
          <w:sz w:val="24"/>
          <w:szCs w:val="24"/>
        </w:rPr>
        <w:t xml:space="preserve"> </w:t>
      </w:r>
      <w:r w:rsidRPr="004A2943">
        <w:rPr>
          <w:sz w:val="24"/>
          <w:szCs w:val="24"/>
        </w:rPr>
        <w:t>za strukturální poruchy</w:t>
      </w:r>
      <w:r>
        <w:rPr>
          <w:sz w:val="24"/>
          <w:szCs w:val="24"/>
        </w:rPr>
        <w:t xml:space="preserve"> a</w:t>
      </w:r>
      <w:r w:rsidRPr="004A2943">
        <w:rPr>
          <w:sz w:val="24"/>
          <w:szCs w:val="24"/>
        </w:rPr>
        <w:t xml:space="preserve"> nepřipouštěl, že by byly vyvol</w:t>
      </w:r>
      <w:r>
        <w:rPr>
          <w:sz w:val="24"/>
          <w:szCs w:val="24"/>
        </w:rPr>
        <w:t>ány celkovým deficitem poptávky (Holman 200</w:t>
      </w:r>
      <w:r w:rsidR="003F23D2">
        <w:rPr>
          <w:sz w:val="24"/>
          <w:szCs w:val="24"/>
        </w:rPr>
        <w:t>5</w:t>
      </w:r>
      <w:r>
        <w:rPr>
          <w:sz w:val="24"/>
          <w:szCs w:val="24"/>
        </w:rPr>
        <w:t xml:space="preserve">). D. Ricardo sice akceptoval </w:t>
      </w:r>
      <w:r w:rsidRPr="000D4A0A">
        <w:rPr>
          <w:sz w:val="24"/>
          <w:szCs w:val="24"/>
        </w:rPr>
        <w:t>Sayův zákon trhů</w:t>
      </w:r>
      <w:r>
        <w:rPr>
          <w:sz w:val="24"/>
          <w:szCs w:val="24"/>
        </w:rPr>
        <w:t xml:space="preserve">, hovoří však </w:t>
      </w:r>
      <w:r w:rsidRPr="000D4A0A">
        <w:rPr>
          <w:sz w:val="24"/>
          <w:szCs w:val="24"/>
        </w:rPr>
        <w:t>o možnosti vyřazení některých dělníků z práce kvůli zavádění strojů do výroby</w:t>
      </w:r>
      <w:r>
        <w:rPr>
          <w:sz w:val="24"/>
          <w:szCs w:val="24"/>
        </w:rPr>
        <w:t xml:space="preserve"> (Brožová, 2004).</w:t>
      </w:r>
    </w:p>
    <w:p w:rsidR="00AC5422" w:rsidRDefault="00AC5422" w:rsidP="00423120">
      <w:pPr>
        <w:ind w:firstLine="709"/>
        <w:jc w:val="both"/>
        <w:rPr>
          <w:sz w:val="24"/>
          <w:szCs w:val="24"/>
        </w:rPr>
      </w:pPr>
      <w:r w:rsidRPr="008421CF">
        <w:rPr>
          <w:sz w:val="24"/>
          <w:szCs w:val="24"/>
        </w:rPr>
        <w:t xml:space="preserve">Charakteristickým rysem </w:t>
      </w:r>
      <w:r>
        <w:rPr>
          <w:sz w:val="24"/>
          <w:szCs w:val="24"/>
        </w:rPr>
        <w:t>mikroekonomicky orientované</w:t>
      </w:r>
      <w:r w:rsidRPr="008421CF">
        <w:rPr>
          <w:sz w:val="24"/>
          <w:szCs w:val="24"/>
        </w:rPr>
        <w:t xml:space="preserve"> neoklasic</w:t>
      </w:r>
      <w:r>
        <w:rPr>
          <w:sz w:val="24"/>
          <w:szCs w:val="24"/>
        </w:rPr>
        <w:t>ké ekonomie</w:t>
      </w:r>
      <w:r w:rsidRPr="008421CF">
        <w:rPr>
          <w:sz w:val="24"/>
          <w:szCs w:val="24"/>
        </w:rPr>
        <w:t xml:space="preserve"> </w:t>
      </w:r>
      <w:r>
        <w:rPr>
          <w:sz w:val="24"/>
          <w:szCs w:val="24"/>
        </w:rPr>
        <w:t>je racionalita jednání všech aktérů v podmínkách dokonalé konkurence a dokonalé informovanosti. Společně s předpokladem dokonalé mobility výrobních faktorů pak v těchto podmínkách dochází k dosažení tržní rovnováhy při plném využití zdrojů a tedy i plné zaměstnanosti. Ve svých pracích se pak neoklasikové</w:t>
      </w:r>
      <w:r w:rsidRPr="008421CF">
        <w:rPr>
          <w:sz w:val="24"/>
          <w:szCs w:val="24"/>
        </w:rPr>
        <w:t xml:space="preserve"> jednostranně orientovali na analýzu stavů rovnováhy, zaměřili se na domácnosti a firmy</w:t>
      </w:r>
      <w:r>
        <w:rPr>
          <w:sz w:val="24"/>
          <w:szCs w:val="24"/>
        </w:rPr>
        <w:t xml:space="preserve"> jako </w:t>
      </w:r>
      <w:r w:rsidR="00C35E3D">
        <w:rPr>
          <w:sz w:val="24"/>
          <w:szCs w:val="24"/>
        </w:rPr>
        <w:t>mikroekonomické subjekty a </w:t>
      </w:r>
      <w:r w:rsidRPr="008421CF">
        <w:rPr>
          <w:sz w:val="24"/>
          <w:szCs w:val="24"/>
        </w:rPr>
        <w:t xml:space="preserve">usilovali o </w:t>
      </w:r>
      <w:r>
        <w:rPr>
          <w:sz w:val="24"/>
          <w:szCs w:val="24"/>
        </w:rPr>
        <w:t>kvantifikaci</w:t>
      </w:r>
      <w:r w:rsidRPr="008421CF">
        <w:rPr>
          <w:sz w:val="24"/>
          <w:szCs w:val="24"/>
        </w:rPr>
        <w:t xml:space="preserve"> ekonomické vědy </w:t>
      </w:r>
      <w:r>
        <w:rPr>
          <w:sz w:val="24"/>
          <w:szCs w:val="24"/>
        </w:rPr>
        <w:t>na základě</w:t>
      </w:r>
      <w:r w:rsidRPr="008421CF">
        <w:rPr>
          <w:sz w:val="24"/>
          <w:szCs w:val="24"/>
        </w:rPr>
        <w:t xml:space="preserve"> matematických funkcí</w:t>
      </w:r>
      <w:r>
        <w:rPr>
          <w:sz w:val="24"/>
          <w:szCs w:val="24"/>
        </w:rPr>
        <w:t xml:space="preserve"> (</w:t>
      </w:r>
      <w:r w:rsidRPr="000D4A0A">
        <w:rPr>
          <w:sz w:val="24"/>
          <w:szCs w:val="24"/>
        </w:rPr>
        <w:t>Sojka a kol.</w:t>
      </w:r>
      <w:r>
        <w:rPr>
          <w:sz w:val="24"/>
          <w:szCs w:val="24"/>
        </w:rPr>
        <w:t>,</w:t>
      </w:r>
      <w:r w:rsidRPr="000D4A0A">
        <w:rPr>
          <w:sz w:val="24"/>
          <w:szCs w:val="24"/>
        </w:rPr>
        <w:t xml:space="preserve"> 1999</w:t>
      </w:r>
      <w:r>
        <w:rPr>
          <w:sz w:val="24"/>
          <w:szCs w:val="24"/>
        </w:rPr>
        <w:t>).</w:t>
      </w:r>
    </w:p>
    <w:p w:rsidR="00AC5422" w:rsidRPr="004D2A5D" w:rsidRDefault="00AC5422" w:rsidP="00423120">
      <w:pPr>
        <w:ind w:firstLine="709"/>
        <w:jc w:val="both"/>
        <w:rPr>
          <w:sz w:val="24"/>
          <w:szCs w:val="24"/>
        </w:rPr>
      </w:pPr>
      <w:r>
        <w:rPr>
          <w:sz w:val="24"/>
          <w:szCs w:val="24"/>
        </w:rPr>
        <w:t xml:space="preserve">Významným představitelem neoklasické školy je </w:t>
      </w:r>
      <w:r w:rsidRPr="004D2A5D">
        <w:rPr>
          <w:sz w:val="24"/>
          <w:szCs w:val="24"/>
        </w:rPr>
        <w:t>A</w:t>
      </w:r>
      <w:r>
        <w:rPr>
          <w:sz w:val="24"/>
          <w:szCs w:val="24"/>
        </w:rPr>
        <w:t xml:space="preserve">. </w:t>
      </w:r>
      <w:r w:rsidRPr="004D2A5D">
        <w:rPr>
          <w:sz w:val="24"/>
          <w:szCs w:val="24"/>
        </w:rPr>
        <w:t>C</w:t>
      </w:r>
      <w:r>
        <w:rPr>
          <w:sz w:val="24"/>
          <w:szCs w:val="24"/>
        </w:rPr>
        <w:t xml:space="preserve">. </w:t>
      </w:r>
      <w:r w:rsidRPr="004D2A5D">
        <w:rPr>
          <w:sz w:val="24"/>
          <w:szCs w:val="24"/>
        </w:rPr>
        <w:t>Pigou</w:t>
      </w:r>
      <w:r w:rsidR="00C35E3D">
        <w:rPr>
          <w:sz w:val="24"/>
          <w:szCs w:val="24"/>
        </w:rPr>
        <w:t>, který vycházel z </w:t>
      </w:r>
      <w:r>
        <w:rPr>
          <w:sz w:val="24"/>
          <w:szCs w:val="24"/>
        </w:rPr>
        <w:t xml:space="preserve">předpokladu </w:t>
      </w:r>
      <w:r w:rsidRPr="004D2A5D">
        <w:rPr>
          <w:sz w:val="24"/>
          <w:szCs w:val="24"/>
        </w:rPr>
        <w:t>tržní konkur</w:t>
      </w:r>
      <w:r>
        <w:rPr>
          <w:sz w:val="24"/>
          <w:szCs w:val="24"/>
        </w:rPr>
        <w:t>ence a dokonale pružné reálné mzdy</w:t>
      </w:r>
      <w:r w:rsidRPr="004D2A5D">
        <w:rPr>
          <w:sz w:val="24"/>
          <w:szCs w:val="24"/>
        </w:rPr>
        <w:t xml:space="preserve">. Pigou tvrdil, že při této konkurenci a dokonalé mobilitě práce bude vždy existovat tendence vytvořit takový vztah mezi mzdami a úrovní poptávky, aby byl každý zaměstnán. Nezaměstnanost je vyvolána jedině měnícími se podmínkami poptávky a odporem </w:t>
      </w:r>
      <w:r>
        <w:rPr>
          <w:sz w:val="24"/>
          <w:szCs w:val="24"/>
        </w:rPr>
        <w:t>proti</w:t>
      </w:r>
      <w:r w:rsidRPr="004D2A5D">
        <w:rPr>
          <w:sz w:val="24"/>
          <w:szCs w:val="24"/>
        </w:rPr>
        <w:t xml:space="preserve"> okamžitému provedení mzdových změn. </w:t>
      </w:r>
      <w:r w:rsidRPr="00957E80">
        <w:rPr>
          <w:sz w:val="24"/>
          <w:szCs w:val="24"/>
        </w:rPr>
        <w:t xml:space="preserve">Je tedy důsledkem mzdové politiky, která se včas nepřizpůsobuje změnám reálné poptávky po práci. V dlouhém období se nezaměstnanost odstraní přizpůsobením mzdových sazeb. Nedobrovolná nezaměstnanost nemůže vzniknout, </w:t>
      </w:r>
      <w:r w:rsidR="00957E80" w:rsidRPr="00957E80">
        <w:rPr>
          <w:sz w:val="24"/>
          <w:szCs w:val="24"/>
        </w:rPr>
        <w:t>s výjimkou situace, kdy je</w:t>
      </w:r>
      <w:r w:rsidRPr="00957E80">
        <w:rPr>
          <w:sz w:val="24"/>
          <w:szCs w:val="24"/>
        </w:rPr>
        <w:t xml:space="preserve"> brán</w:t>
      </w:r>
      <w:r w:rsidR="00957E80" w:rsidRPr="00957E80">
        <w:rPr>
          <w:sz w:val="24"/>
          <w:szCs w:val="24"/>
        </w:rPr>
        <w:t>ěno</w:t>
      </w:r>
      <w:r w:rsidRPr="00957E80">
        <w:rPr>
          <w:sz w:val="24"/>
          <w:szCs w:val="24"/>
        </w:rPr>
        <w:t xml:space="preserve"> poklesu mezd (Brožová</w:t>
      </w:r>
      <w:r>
        <w:rPr>
          <w:sz w:val="24"/>
          <w:szCs w:val="24"/>
        </w:rPr>
        <w:t>,</w:t>
      </w:r>
      <w:r w:rsidRPr="004D2A5D">
        <w:rPr>
          <w:sz w:val="24"/>
          <w:szCs w:val="24"/>
        </w:rPr>
        <w:t xml:space="preserve"> 200</w:t>
      </w:r>
      <w:r w:rsidR="00A9356F">
        <w:rPr>
          <w:sz w:val="24"/>
          <w:szCs w:val="24"/>
        </w:rPr>
        <w:t>4</w:t>
      </w:r>
      <w:r>
        <w:rPr>
          <w:sz w:val="24"/>
          <w:szCs w:val="24"/>
        </w:rPr>
        <w:sym w:font="Symbol" w:char="F03B"/>
      </w:r>
      <w:r w:rsidRPr="004D2A5D">
        <w:rPr>
          <w:sz w:val="24"/>
          <w:szCs w:val="24"/>
        </w:rPr>
        <w:t xml:space="preserve"> Mareš</w:t>
      </w:r>
      <w:r>
        <w:rPr>
          <w:sz w:val="24"/>
          <w:szCs w:val="24"/>
        </w:rPr>
        <w:t xml:space="preserve">, </w:t>
      </w:r>
      <w:r w:rsidRPr="004D2A5D">
        <w:rPr>
          <w:sz w:val="24"/>
          <w:szCs w:val="24"/>
        </w:rPr>
        <w:t>1994</w:t>
      </w:r>
      <w:r>
        <w:rPr>
          <w:sz w:val="24"/>
          <w:szCs w:val="24"/>
        </w:rPr>
        <w:t xml:space="preserve">). </w:t>
      </w:r>
      <w:r w:rsidRPr="004D2A5D">
        <w:rPr>
          <w:sz w:val="24"/>
          <w:szCs w:val="24"/>
        </w:rPr>
        <w:t xml:space="preserve">Neoklasický </w:t>
      </w:r>
      <w:r w:rsidR="00C35E3D">
        <w:rPr>
          <w:sz w:val="24"/>
          <w:szCs w:val="24"/>
        </w:rPr>
        <w:t>model trhu práce je zachycen na </w:t>
      </w:r>
      <w:r>
        <w:rPr>
          <w:sz w:val="24"/>
          <w:szCs w:val="24"/>
        </w:rPr>
        <w:t xml:space="preserve">následujícím </w:t>
      </w:r>
      <w:r w:rsidRPr="004D2A5D">
        <w:rPr>
          <w:sz w:val="24"/>
          <w:szCs w:val="24"/>
        </w:rPr>
        <w:t xml:space="preserve">obrázku. Rovnováha se ustanovuje při mzdové sazbě </w:t>
      </w:r>
      <w:r>
        <w:rPr>
          <w:sz w:val="24"/>
          <w:szCs w:val="24"/>
        </w:rPr>
        <w:t>W</w:t>
      </w:r>
      <w:r w:rsidRPr="00A660DB">
        <w:rPr>
          <w:sz w:val="24"/>
          <w:szCs w:val="24"/>
        </w:rPr>
        <w:t>E</w:t>
      </w:r>
      <w:r w:rsidR="00C35E3D">
        <w:rPr>
          <w:sz w:val="24"/>
          <w:szCs w:val="24"/>
        </w:rPr>
        <w:t>, kde se poptávka po </w:t>
      </w:r>
      <w:r w:rsidRPr="004D2A5D">
        <w:rPr>
          <w:sz w:val="24"/>
          <w:szCs w:val="24"/>
        </w:rPr>
        <w:t xml:space="preserve">práci rovná nabídce, firmy najímají právě takové množství práce, které jsou pracovníci </w:t>
      </w:r>
      <w:r w:rsidRPr="004D2A5D">
        <w:rPr>
          <w:sz w:val="24"/>
          <w:szCs w:val="24"/>
        </w:rPr>
        <w:lastRenderedPageBreak/>
        <w:t>ochotni nabízet. Je-li tržní mzda vyšší než rovnovážná, musí dojít ke snížení mzdy a je-li nižší, dojde k jejímu nárůstu, dokud nebude dosaženo rovnovážné úrovně.</w:t>
      </w:r>
    </w:p>
    <w:p w:rsidR="00AC5422" w:rsidRPr="004D2A5D" w:rsidRDefault="00B40349" w:rsidP="00423120">
      <w:pPr>
        <w:spacing w:line="360" w:lineRule="auto"/>
        <w:ind w:firstLine="709"/>
        <w:jc w:val="center"/>
        <w:rPr>
          <w:i/>
          <w:sz w:val="20"/>
          <w:szCs w:val="20"/>
        </w:rPr>
      </w:pPr>
      <w:r>
        <w:rPr>
          <w:i/>
          <w:noProof/>
          <w:sz w:val="20"/>
          <w:szCs w:val="20"/>
        </w:rPr>
        <w:pict>
          <v:group id="Skupina 9" o:spid="_x0000_s1026" style="position:absolute;left:0;text-align:left;margin-left:27.65pt;margin-top:7.05pt;width:343.9pt;height:217.2pt;z-index:-251655168" coordorigin="2793,8376" coordsize="5459,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">
            <v:line id="Line 3" o:spid="_x0000_s1027" style="position:absolute;visibility:visible;mso-wrap-style:square" from="3224,8520" to="3225,1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4" o:spid="_x0000_s1028" style="position:absolute;visibility:visible;mso-wrap-style:square" from="3224,11393" to="6097,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5" o:spid="_x0000_s1029" style="position:absolute;visibility:visible;mso-wrap-style:square" from="3224,10675" to="3655,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6" o:spid="_x0000_s1030" style="position:absolute;visibility:visible;mso-wrap-style:square" from="3224,9956" to="4517,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QcMAAADbAAAADwAAAGRycy9kb3ducmV2LnhtbESPT4vCMBDF78J+hzAL3jRdQ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oJ0HDAAAA2wAAAA8AAAAAAAAAAAAA&#10;AAAAoQIAAGRycy9kb3ducmV2LnhtbFBLBQYAAAAABAAEAPkAAACRAwAAAAA=&#10;">
              <v:stroke dashstyle="dash"/>
            </v:line>
            <v:line id="Line 7" o:spid="_x0000_s1031" style="position:absolute;visibility:visible;mso-wrap-style:square" from="3224,9525" to="4086,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YcrcQAAADbAAAADwAAAGRycy9kb3ducmV2LnhtbESPT4vCMBDF78J+hzAL3jRdD+p2jSIL&#10;ggf/oC57HpqxrTaTmsRav70RBG8zvDfv92Yya00lGnK+tKzgq5+AIM6sLjlX8HdY9MYgfEDWWFkm&#10;BXfyMJt+dCaYanvjHTX7kIsYwj5FBUUIdSqlzwoy6Pu2Jo7a0TqDIa4ul9rhLYabSg6SZCgNlhwJ&#10;Bdb0W1B23l9N5Gb5yl3+T+d2eVyvFhduvjeHrVLdz3b+AyJQG97m1/VSx/ojeP4SB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hytxAAAANsAAAAPAAAAAAAAAAAA&#10;AAAAAKECAABkcnMvZG93bnJldi54bWxQSwUGAAAAAAQABAD5AAAAkgMAAAAA&#10;">
              <v:stroke dashstyle="dash"/>
            </v:line>
            <v:line id="Line 8" o:spid="_x0000_s1032" style="position:absolute;visibility:visible;mso-wrap-style:square" from="4086,9525" to="4948,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atnMQAAADbAAAADwAAAGRycy9kb3ducmV2LnhtbESPQW/CMAyF75P4D5GRuI0UDmgqBDQh&#10;gXqZ0NjE2TRe261xSpM1Zb9+PkzazdZ7fu/zZje6Vg3Uh8azgcU8A0VcettwZeD97fD4BCpEZIut&#10;ZzJwpwC77eRhg7n1iV9pOMdKSQiHHA3UMXa51qGsyWGY+45YtA/fO4yy9pW2PSYJd61eZtlKO2xY&#10;GmrsaF9T+XX+dgay9HPUn7pohlPxckvdNV2Wt2TMbDo+r0FFGuO/+e+6sIIvsPKLD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q2cxAAAANsAAAAPAAAAAAAAAAAA&#10;AAAAAKECAABkcnMvZG93bnJldi54bWxQSwUGAAAAAAQABAD5AAAAkgMAAAAA&#10;">
              <v:stroke startarrow="block" endarrow="block"/>
            </v:line>
            <v:line id="Line 9" o:spid="_x0000_s1033" style="position:absolute;visibility:visible;mso-wrap-style:square" from="3655,10675" to="538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oIB8EAAADbAAAADwAAAGRycy9kb3ducmV2LnhtbERPTWvCQBC9F/wPywi91Y0exEZXEcGS&#10;ixSteB6zYxLNzsbsNpv217tCobd5vM9ZrHpTi45aV1lWMB4lIIhzqysuFBy/tm8zEM4ja6wtk4If&#10;crBaDl4WmGobeE/dwRcihrBLUUHpfZNK6fKSDLqRbYgjd7GtQR9hW0jdYojhppaTJJlKgxXHhhIb&#10;2pSU3w7fRkESfj/kVWZV95nt7qE5h9PkHpR6HfbrOQhPvf8X/7kzHee/w/OXeI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yggHwQAAANsAAAAPAAAAAAAAAAAAAAAA&#10;AKECAABkcnMvZG93bnJldi54bWxQSwUGAAAAAAQABAD5AAAAjwMAAAAA&#10;">
              <v:stroke startarrow="block" endarrow="block"/>
            </v:line>
            <v:line id="Line 10" o:spid="_x0000_s1034" style="position:absolute;visibility:visible;mso-wrap-style:square" from="4086,9525" to="4087,1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OZMAAAADbAAAADwAAAGRycy9kb3ducmV2LnhtbERPTWvCQBC9F/wPywje6kYPRVNXKQXB&#10;g1WqpechOyap2dm4u8b4751DwePjfS9WvWtURyHWng1Mxhko4sLbmksDP8f16wxUTMgWG89k4E4R&#10;VsvBywJz62/8Td0hlUpCOOZooEqpzbWORUUO49i3xMKdfHCYBIZS24A3CXeNnmbZm3ZYszRU2NJn&#10;RcX5cHXSW5TbcPn9O/eb09d2feFuvjvujRkN+493UIn69BT/uzfWwFTWyxf5AXr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zTmTAAAAA2wAAAA8AAAAAAAAAAAAAAAAA&#10;oQIAAGRycy9kb3ducmV2LnhtbFBLBQYAAAAABAAEAPkAAACOAwAAAAA=&#10;">
              <v:stroke dashstyle="dash"/>
            </v:line>
            <v:line id="Line 11" o:spid="_x0000_s1035" style="position:absolute;visibility:visible;mso-wrap-style:square" from="4517,9956" to="4518,1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8EAAADbAAAADwAAAGRycy9kb3ducmV2LnhtbESPzYrCMBSF94LvEK7gTlNdiFONIoLg&#10;Qh3UYdaX5tpWm5uaxFrffiIIszycn48zX7amEg05X1pWMBomIIgzq0vOFfycN4MpCB+QNVaWScGL&#10;PCwX3c4cU22ffKTmFHIRR9inqKAIoU6l9FlBBv3Q1sTRu1hnMETpcqkdPuO4qeQ4SSbSYMmRUGBN&#10;64Ky2+lhIjfLd+7+e72128t+t7lz83U4fyvV77WrGYhAbfgPf9pbrWA8gveX+A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v+v/wQAAANsAAAAPAAAAAAAAAAAAAAAA&#10;AKECAABkcnMvZG93bnJldi54bWxQSwUGAAAAAAQABAD5AAAAjwMAAAAA&#10;">
              <v:stroke dashstyle="dash"/>
            </v:line>
            <v:line id="Line 12" o:spid="_x0000_s1036" style="position:absolute;flip:x;visibility:visible;mso-wrap-style:square" from="4948,9525" to="4949,1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icEAAADbAAAADwAAAGRycy9kb3ducmV2LnhtbESPQYvCMBSE78L+h/AWvGlqQZGuUUR0&#10;WRYv1vX+2jzTYvNSmqjdf28EweMwM98wi1VvG3GjzteOFUzGCQji0umajYK/4240B+EDssbGMSn4&#10;Jw+r5cdggZl2dz7QLQ9GRAj7DBVUIbSZlL6syKIfu5Y4emfXWQxRdkbqDu8RbhuZJslMWqw5LlTY&#10;0qai8pJfrYJiuz6Z3+K0tSnv9beZ5gXLXKnhZ7/+AhGoD+/wq/2jFaQpPL/E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YKJwQAAANsAAAAPAAAAAAAAAAAAAAAA&#10;AKECAABkcnMvZG93bnJldi54bWxQSwUGAAAAAAQABAD5AAAAjwMAAAAA&#10;">
              <v:stroke dashstyle="dash"/>
            </v:line>
            <v:line id="Line 13" o:spid="_x0000_s1037" style="position:absolute;visibility:visible;mso-wrap-style:square" from="3655,10675" to="3656,1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QE8QAAADbAAAADwAAAGRycy9kb3ducmV2LnhtbESPX2vCMBTF34V9h3AHe9N0D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dATxAAAANsAAAAPAAAAAAAAAAAA&#10;AAAAAKECAABkcnMvZG93bnJldi54bWxQSwUGAAAAAAQABAD5AAAAkgMAAAAA&#10;">
              <v:stroke dashstyle="dash"/>
            </v:line>
            <v:line id="Line 14" o:spid="_x0000_s1038" style="position:absolute;visibility:visible;mso-wrap-style:square" from="5379,10675" to="5380,1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IZ8QAAADbAAAADwAAAGRycy9kb3ducmV2LnhtbESPX2vCMBTF34V9h3AHe9N0M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EhnxAAAANsAAAAPAAAAAAAAAAAA&#10;AAAAAKECAABkcnMvZG93bnJldi54bWxQSwUGAAAAAAQABAD5AAAAkgMAAAAA&#10;">
              <v:stroke dashstyle="dash"/>
            </v:line>
            <v:shapetype id="_x0000_t202" coordsize="21600,21600" o:spt="202" path="m,l,21600r21600,l21600,xe">
              <v:stroke joinstyle="miter"/>
              <v:path gradientshapeok="t" o:connecttype="rect"/>
            </v:shapetype>
            <v:shape id="Text Box 15" o:spid="_x0000_s1039" type="#_x0000_t202" style="position:absolute;left:2793;top:8520;width:43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SUsMA&#10;AADbAAAADwAAAGRycy9kb3ducmV2LnhtbESPQWsCMRSE70L/Q3gFL6LZCtayGkUFodCDuPbg8bF5&#10;bhY3L0uS7m7/fSMIPQ4z8w2z3g62ER35UDtW8DbLQBCXTtdcKfi+HKcfIEJE1tg4JgW/FGC7eRmt&#10;Mdeu5zN1RaxEgnDIUYGJsc2lDKUhi2HmWuLk3Zy3GJP0ldQe+wS3jZxn2bu0WHNaMNjSwVB5L36s&#10;Am4PZunjlz1di8n52tl9X5dGqfHrsFuBiDTE//Cz/akVzBfw+J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ySUsMAAADbAAAADwAAAAAAAAAAAAAAAACYAgAAZHJzL2Rv&#10;d25yZXYueG1sUEsFBgAAAAAEAAQA9QAAAIgDAAAAAA==&#10;" filled="f" stroked="f">
              <v:fill opacity="32896f"/>
              <v:textbox style="mso-next-textbox:#Text Box 15">
                <w:txbxContent>
                  <w:p w:rsidR="00B40349" w:rsidRDefault="00B40349" w:rsidP="00AC5422">
                    <w:r>
                      <w:t>W</w:t>
                    </w:r>
                  </w:p>
                </w:txbxContent>
              </v:textbox>
            </v:shape>
            <v:shape id="Text Box 16" o:spid="_x0000_s1040" type="#_x0000_t202" style="position:absolute;left:2793;top:9382;width:575;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MJcMA&#10;AADbAAAADwAAAGRycy9kb3ducmV2LnhtbESPQWvCQBSE74L/YXlCL6IbPaikrlKFQsFDMXrI8ZF9&#10;zYZm34bdbZL++65Q8DjMzDfM/jjaVvTkQ+NYwWqZgSCunG64VnC/vS92IEJE1tg6JgW/FOB4mE72&#10;mGs38JX6ItYiQTjkqMDE2OVShsqQxbB0HXHyvpy3GJP0tdQehwS3rVxn2UZabDgtGOzobKj6Ln6s&#10;Au7OZuvjxX6Wxfxa9vY0NJVR6mU2vr2CiDTGZ/i//aEVrDfw+JJ+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4MJcMAAADbAAAADwAAAAAAAAAAAAAAAACYAgAAZHJzL2Rv&#10;d25yZXYueG1sUEsFBgAAAAAEAAQA9QAAAIgDAAAAAA==&#10;" filled="f" stroked="f">
              <v:fill opacity="32896f"/>
              <v:textbox style="mso-next-textbox:#Text Box 16">
                <w:txbxContent>
                  <w:p w:rsidR="00B40349" w:rsidRPr="00E47A0B" w:rsidRDefault="00B40349" w:rsidP="00AC5422">
                    <w:pPr>
                      <w:rPr>
                        <w:vertAlign w:val="subscript"/>
                      </w:rPr>
                    </w:pPr>
                    <w:r>
                      <w:t>W</w:t>
                    </w:r>
                    <w:r>
                      <w:rPr>
                        <w:vertAlign w:val="subscript"/>
                      </w:rPr>
                      <w:t>1</w:t>
                    </w:r>
                  </w:p>
                </w:txbxContent>
              </v:textbox>
            </v:shape>
            <v:shape id="Text Box 17" o:spid="_x0000_s1041" type="#_x0000_t202" style="position:absolute;left:2793;top:9813;width:575;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pvsMA&#10;AADbAAAADwAAAGRycy9kb3ducmV2LnhtbESPQWvCQBSE74L/YXlCL6IbPVRJXaUKhYKHYvSQ4yP7&#10;mg3Nvg272yT9911B8DjMzDfM7jDaVvTkQ+NYwWqZgSCunG64VnC7fiy2IEJE1tg6JgV/FOCwn052&#10;mGs38IX6ItYiQTjkqMDE2OVShsqQxbB0HXHyvp23GJP0tdQehwS3rVxn2au02HBaMNjRyVD1U/xa&#10;BdydzMbHs/0qi/ml7O1xaCqj1MtsfH8DEWmMz/Cj/akVrDdw/5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KpvsMAAADbAAAADwAAAAAAAAAAAAAAAACYAgAAZHJzL2Rv&#10;d25yZXYueG1sUEsFBgAAAAAEAAQA9QAAAIgDAAAAAA==&#10;" filled="f" stroked="f">
              <v:fill opacity="32896f"/>
              <v:textbox style="mso-next-textbox:#Text Box 17">
                <w:txbxContent>
                  <w:p w:rsidR="00B40349" w:rsidRPr="00E47A0B" w:rsidRDefault="00B40349" w:rsidP="00AC5422">
                    <w:pPr>
                      <w:rPr>
                        <w:vertAlign w:val="subscript"/>
                      </w:rPr>
                    </w:pPr>
                    <w:r>
                      <w:t>W</w:t>
                    </w:r>
                    <w:r>
                      <w:rPr>
                        <w:vertAlign w:val="subscript"/>
                      </w:rPr>
                      <w:t>E</w:t>
                    </w:r>
                  </w:p>
                </w:txbxContent>
              </v:textbox>
            </v:shape>
            <v:shape id="Text Box 18" o:spid="_x0000_s1042" type="#_x0000_t202" style="position:absolute;left:2793;top:10531;width:575;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9zL8A&#10;AADbAAAADwAAAGRycy9kb3ducmV2LnhtbERPTYvCMBC9C/sfwizsRTRdDyrVKK4gLHgQu3vwODRj&#10;U2wmJYlt/ffmIHh8vO/1drCN6MiH2rGC72kGgrh0uuZKwf/fYbIEESKyxsYxKXhQgO3mY7TGXLue&#10;z9QVsRIphEOOCkyMbS5lKA1ZDFPXEifu6rzFmKCvpPbYp3DbyFmWzaXFmlODwZb2hspbcbcKuN2b&#10;hY9He7oU4/Olsz99XRqlvj6H3QpEpCG+xS/3r1YwS2PTl/Q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rT3MvwAAANsAAAAPAAAAAAAAAAAAAAAAAJgCAABkcnMvZG93bnJl&#10;di54bWxQSwUGAAAAAAQABAD1AAAAhAMAAAAA&#10;" filled="f" stroked="f">
              <v:fill opacity="32896f"/>
              <v:textbox style="mso-next-textbox:#Text Box 18">
                <w:txbxContent>
                  <w:p w:rsidR="00B40349" w:rsidRPr="00E47A0B" w:rsidRDefault="00B40349" w:rsidP="00AC5422">
                    <w:pPr>
                      <w:rPr>
                        <w:vertAlign w:val="subscript"/>
                      </w:rPr>
                    </w:pPr>
                    <w:r>
                      <w:t>W</w:t>
                    </w:r>
                    <w:r>
                      <w:rPr>
                        <w:vertAlign w:val="subscript"/>
                      </w:rPr>
                      <w:t>2</w:t>
                    </w:r>
                  </w:p>
                </w:txbxContent>
              </v:textbox>
            </v:shape>
            <v:shape id="Text Box 19" o:spid="_x0000_s1043" type="#_x0000_t202" style="position:absolute;left:4086;top:8951;width:1009;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YV8MA&#10;AADbAAAADwAAAGRycy9kb3ducmV2LnhtbESPQWsCMRSE70L/Q3gFL6LZerB2NYoKQqEHce3B42Pz&#10;3CxuXpYk3d3++0YQehxm5htmvR1sIzryoXas4G2WgSAuna65UvB9OU6XIEJE1tg4JgW/FGC7eRmt&#10;Mdeu5zN1RaxEgnDIUYGJsc2lDKUhi2HmWuLk3Zy3GJP0ldQe+wS3jZxn2UJarDktGGzpYKi8Fz9W&#10;AbcH8+7jlz1di8n52tl9X5dGqfHrsFuBiDTE//Cz/akVzD/g8SX9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GYV8MAAADbAAAADwAAAAAAAAAAAAAAAACYAgAAZHJzL2Rv&#10;d25yZXYueG1sUEsFBgAAAAAEAAQA9QAAAIgDAAAAAA==&#10;" filled="f" stroked="f">
              <v:fill opacity="32896f"/>
              <v:textbox style="mso-next-textbox:#Text Box 19">
                <w:txbxContent>
                  <w:p w:rsidR="00B40349" w:rsidRDefault="00B40349" w:rsidP="00AC5422">
                    <w:r>
                      <w:t>přebytek</w:t>
                    </w:r>
                  </w:p>
                </w:txbxContent>
              </v:textbox>
            </v:shape>
            <v:shape id="Text Box 20" o:spid="_x0000_s1044" type="#_x0000_t202" style="position:absolute;left:5953;top:8376;width:2299;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nF8AA&#10;AADbAAAADwAAAGRycy9kb3ducmV2LnhtbERPz2vCMBS+D/wfwhO8DE11sEk1igqCsMOw8+Dx0Tyb&#10;YvNSktjW/94cBjt+fL/X28E2oiMfascK5rMMBHHpdM2VgsvvcboEESKyxsYxKXhSgO1m9LbGXLue&#10;z9QVsRIphEOOCkyMbS5lKA1ZDDPXEifu5rzFmKCvpPbYp3DbyEWWfUqLNacGgy0dDJX34mEVcHsw&#10;Xz5+259r8X6+dnbf16VRajIedisQkYb4L/5zn7SCj7Q+fUk/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KnF8AAAADbAAAADwAAAAAAAAAAAAAAAACYAgAAZHJzL2Rvd25y&#10;ZXYueG1sUEsFBgAAAAAEAAQA9QAAAIUDAAAAAA==&#10;" filled="f" stroked="f">
              <v:fill opacity="32896f"/>
              <v:textbox style="mso-next-textbox:#Text Box 20">
                <w:txbxContent>
                  <w:p w:rsidR="00B40349" w:rsidRPr="0087643D" w:rsidRDefault="00B40349" w:rsidP="00AC5422">
                    <w:r>
                      <w:t>S</w:t>
                    </w:r>
                    <w:r>
                      <w:rPr>
                        <w:vertAlign w:val="subscript"/>
                      </w:rPr>
                      <w:t xml:space="preserve">L </w:t>
                    </w:r>
                    <w:r>
                      <w:t>(funkce mezní újmy z práce)</w:t>
                    </w:r>
                  </w:p>
                </w:txbxContent>
              </v:textbox>
            </v:shape>
            <v:shape id="Text Box 21" o:spid="_x0000_s1045" type="#_x0000_t202" style="position:absolute;left:4373;top:9525;width:43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CjMQA&#10;AADbAAAADwAAAGRycy9kb3ducmV2LnhtbESPwWrDMBBE74X8g9hALqWRk0AbXMshCQQKPZS4OeS4&#10;WFvL1FoZSbHdv68ChR6HmXnDFLvJdmIgH1rHClbLDARx7XTLjYLL5+lpCyJEZI2dY1LwQwF25eyh&#10;wFy7kc80VLERCcIhRwUmxj6XMtSGLIal64mT9+W8xZikb6T2OCa47eQ6y56lxZbTgsGejobq7+pm&#10;FXB/NC8+vtuPa/V4vg72MLa1UWoxn/avICJN8T/8137TCjYruH9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OAozEAAAA2wAAAA8AAAAAAAAAAAAAAAAAmAIAAGRycy9k&#10;b3ducmV2LnhtbFBLBQYAAAAABAAEAPUAAACJAwAAAAA=&#10;" filled="f" stroked="f">
              <v:fill opacity="32896f"/>
              <v:textbox style="mso-next-textbox:#Text Box 21">
                <w:txbxContent>
                  <w:p w:rsidR="00B40349" w:rsidRDefault="00B40349" w:rsidP="00AC5422">
                    <w:r>
                      <w:t>E</w:t>
                    </w:r>
                  </w:p>
                </w:txbxContent>
              </v:textbox>
            </v:shape>
            <v:shape id="Text Box 22" o:spid="_x0000_s1046" type="#_x0000_t202" style="position:absolute;left:3942;top:10818;width:1149;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8MA&#10;AADbAAAADwAAAGRycy9kb3ducmV2LnhtbESPQWsCMRSE70L/Q3gFL6LZKtSyGkUFodCDuPbg8bF5&#10;bhY3L0uS7m7/fSMIPQ4z8w2z3g62ER35UDtW8DbLQBCXTtdcKfi+HKcfIEJE1tg4JgW/FGC7eRmt&#10;Mdeu5zN1RaxEgnDIUYGJsc2lDKUhi2HmWuLk3Zy3GJP0ldQe+wS3jZxn2bu0WHNaMNjSwVB5L36s&#10;Am4PZunjlz1di8n52tl9X5dGqfHrsFuBiDTE//Cz/akVLObw+J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c+8MAAADbAAAADwAAAAAAAAAAAAAAAACYAgAAZHJzL2Rv&#10;d25yZXYueG1sUEsFBgAAAAAEAAQA9QAAAIgDAAAAAA==&#10;" filled="f" stroked="f">
              <v:fill opacity="32896f"/>
              <v:textbox style="mso-next-textbox:#Text Box 22">
                <w:txbxContent>
                  <w:p w:rsidR="00B40349" w:rsidRDefault="00B40349" w:rsidP="00AC5422">
                    <w:r>
                      <w:t>nedostatek</w:t>
                    </w:r>
                  </w:p>
                </w:txbxContent>
              </v:textbox>
            </v:shape>
            <v:shape id="Text Box 23" o:spid="_x0000_s1047" type="#_x0000_t202" style="position:absolute;left:5953;top:10818;width:2299;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5YMQA&#10;AADbAAAADwAAAGRycy9kb3ducmV2LnhtbESPwWrDMBBE74X+g9hCLqWRk0BbXMshCQQCPYS4PeS4&#10;WFvL1FoZSbGdv48KgR6HmXnDFOvJdmIgH1rHChbzDARx7XTLjYLvr/3LO4gQkTV2jknBlQKsy8eH&#10;AnPtRj7RUMVGJAiHHBWYGPtcylAbshjmridO3o/zFmOSvpHa45jgtpPLLHuVFltOCwZ72hmqf6uL&#10;VcD9zrz5+GmP5+r5dB7sdmxro9Tsadp8gIg0xf/wvX3QClYr+PuSfo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OWDEAAAA2wAAAA8AAAAAAAAAAAAAAAAAmAIAAGRycy9k&#10;b3ducmV2LnhtbFBLBQYAAAAABAAEAPUAAACJAwAAAAA=&#10;" filled="f" stroked="f">
              <v:fill opacity="32896f"/>
              <v:textbox style="mso-next-textbox:#Text Box 23">
                <w:txbxContent>
                  <w:p w:rsidR="00B40349" w:rsidRPr="00F14AFA" w:rsidRDefault="00B40349" w:rsidP="00AC5422">
                    <w:r>
                      <w:t>D</w:t>
                    </w:r>
                    <w:r>
                      <w:rPr>
                        <w:vertAlign w:val="subscript"/>
                      </w:rPr>
                      <w:t xml:space="preserve">L </w:t>
                    </w:r>
                    <w:r>
                      <w:t>(funkce příjmu z mezního produktu práce)</w:t>
                    </w:r>
                  </w:p>
                </w:txbxContent>
              </v:textbox>
            </v:shape>
            <v:shape id="Text Box 24" o:spid="_x0000_s1048" type="#_x0000_t202" style="position:absolute;left:3511;top:11393;width:428;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hFMQA&#10;AADbAAAADwAAAGRycy9kb3ducmV2LnhtbESPQWsCMRSE74X+h/AKXopmbYuV1ShVEAoeimsPHh+b&#10;52bp5mVJ0t313xtB8DjMzDfMcj3YRnTkQ+1YwXSSgSAuna65UvB73I3nIEJE1tg4JgUXCrBePT8t&#10;Mdeu5wN1RaxEgnDIUYGJsc2lDKUhi2HiWuLknZ23GJP0ldQe+wS3jXzLspm0WHNaMNjS1lD5V/xb&#10;BdxuzaePe/tzKl4Pp85u+ro0So1ehq8FiEhDfITv7W+t4P0Dbl/S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oRTEAAAA2wAAAA8AAAAAAAAAAAAAAAAAmAIAAGRycy9k&#10;b3ducmV2LnhtbFBLBQYAAAAABAAEAPUAAACJAwAAAAA=&#10;" filled="f" stroked="f">
              <v:fill opacity="32896f"/>
              <v:textbox style="mso-next-textbox:#Text Box 24">
                <w:txbxContent>
                  <w:p w:rsidR="00B40349" w:rsidRDefault="00B40349" w:rsidP="00AC5422">
                    <w:r>
                      <w:t>C</w:t>
                    </w:r>
                  </w:p>
                </w:txbxContent>
              </v:textbox>
            </v:shape>
            <v:shape id="Text Box 25" o:spid="_x0000_s1049" type="#_x0000_t202" style="position:absolute;left:3942;top:11393;width:43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Ej8QA&#10;AADbAAAADwAAAGRycy9kb3ducmV2LnhtbESPQWsCMRSE74X+h/AKXopmbamV1ShVEAoeimsPHh+b&#10;52bp5mVJ0t313xtB8DjMzDfMcj3YRnTkQ+1YwXSSgSAuna65UvB73I3nIEJE1tg4JgUXCrBePT8t&#10;Mdeu5wN1RaxEgnDIUYGJsc2lDKUhi2HiWuLknZ23GJP0ldQe+wS3jXzLspm0WHNaMNjS1lD5V/xb&#10;BdxuzaePe/tzKl4Pp85u+ro0So1ehq8FiEhDfITv7W+t4P0Dbl/S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BI/EAAAA2wAAAA8AAAAAAAAAAAAAAAAAmAIAAGRycy9k&#10;b3ducmV2LnhtbFBLBQYAAAAABAAEAPUAAACJAwAAAAA=&#10;" filled="f" stroked="f">
              <v:fill opacity="32896f"/>
              <v:textbox style="mso-next-textbox:#Text Box 25">
                <w:txbxContent>
                  <w:p w:rsidR="00B40349" w:rsidRDefault="00B40349" w:rsidP="00AC5422">
                    <w:r>
                      <w:t>A</w:t>
                    </w:r>
                  </w:p>
                </w:txbxContent>
              </v:textbox>
            </v:shape>
            <v:shape id="Text Box 26" o:spid="_x0000_s1050" type="#_x0000_t202" style="position:absolute;left:4373;top:11393;width:43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a+MQA&#10;AADbAAAADwAAAGRycy9kb3ducmV2LnhtbESPwWrDMBBE74X+g9hCLqWRk0JaXMshCQQCPZS4PeS4&#10;WFvL1FoZSbGdv48CgR6HmXnDFOvJdmIgH1rHChbzDARx7XTLjYKf7/3LO4gQkTV2jknBhQKsy8eH&#10;AnPtRj7SUMVGJAiHHBWYGPtcylAbshjmridO3q/zFmOSvpHa45jgtpPLLFtJiy2nBYM97QzVf9XZ&#10;KuB+Z958/LRfp+r5eBrsdmxro9Tsadp8gIg0xf/wvX3QCl5XcPuSfo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mvjEAAAA2wAAAA8AAAAAAAAAAAAAAAAAmAIAAGRycy9k&#10;b3ducmV2LnhtbFBLBQYAAAAABAAEAPUAAACJAwAAAAA=&#10;" filled="f" stroked="f">
              <v:fill opacity="32896f"/>
              <v:textbox style="mso-next-textbox:#Text Box 26">
                <w:txbxContent>
                  <w:p w:rsidR="00B40349" w:rsidRPr="004E045E" w:rsidRDefault="00B40349" w:rsidP="00AC5422">
                    <w:pPr>
                      <w:rPr>
                        <w:vertAlign w:val="subscript"/>
                      </w:rPr>
                    </w:pPr>
                    <w:r>
                      <w:t>L</w:t>
                    </w:r>
                    <w:r>
                      <w:rPr>
                        <w:vertAlign w:val="subscript"/>
                      </w:rPr>
                      <w:t>E</w:t>
                    </w:r>
                  </w:p>
                </w:txbxContent>
              </v:textbox>
            </v:shape>
            <v:shape id="Text Box 27" o:spid="_x0000_s1051" type="#_x0000_t202" style="position:absolute;left:4804;top:11393;width:287;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Y8QA&#10;AADbAAAADwAAAGRycy9kb3ducmV2LnhtbESPwWrDMBBE74H+g9hCLqGRm0BS3MimDQQKPYS4PeS4&#10;WFvL1FoZSbHdv68CgRyHmXnD7MrJdmIgH1rHCp6XGQji2umWGwXfX4enFxAhImvsHJOCPwpQFg+z&#10;HebajXyioYqNSBAOOSowMfa5lKE2ZDEsXU+cvB/nLcYkfSO1xzHBbSdXWbaRFltOCwZ72huqf6uL&#10;VcD93mx9/LTHc7U4nQf7Pra1UWr+OL29gog0xXv41v7QCtZbuH5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P2PEAAAA2wAAAA8AAAAAAAAAAAAAAAAAmAIAAGRycy9k&#10;b3ducmV2LnhtbFBLBQYAAAAABAAEAPUAAACJAwAAAAA=&#10;" filled="f" stroked="f">
              <v:fill opacity="32896f"/>
              <v:textbox style="mso-next-textbox:#Text Box 27">
                <w:txbxContent>
                  <w:p w:rsidR="00B40349" w:rsidRDefault="00B40349" w:rsidP="00AC5422">
                    <w:r>
                      <w:t>B</w:t>
                    </w:r>
                  </w:p>
                </w:txbxContent>
              </v:textbox>
            </v:shape>
            <v:shape id="Text Box 28" o:spid="_x0000_s1052" type="#_x0000_t202" style="position:absolute;left:5235;top:11393;width:287;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rEcAA&#10;AADbAAAADwAAAGRycy9kb3ducmV2LnhtbERPz2vCMBS+D/wfwhO8DE11sEk1igqCsMOw8+Dx0Tyb&#10;YvNSktjW/94cBjt+fL/X28E2oiMfascK5rMMBHHpdM2VgsvvcboEESKyxsYxKXhSgO1m9LbGXLue&#10;z9QVsRIphEOOCkyMbS5lKA1ZDDPXEifu5rzFmKCvpPbYp3DbyEWWfUqLNacGgy0dDJX34mEVcHsw&#10;Xz5+259r8X6+dnbf16VRajIedisQkYb4L/5zn7SCjzQ2fUk/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SrEcAAAADbAAAADwAAAAAAAAAAAAAAAACYAgAAZHJzL2Rvd25y&#10;ZXYueG1sUEsFBgAAAAAEAAQA9QAAAIUDAAAAAA==&#10;" filled="f" stroked="f">
              <v:fill opacity="32896f"/>
              <v:textbox style="mso-next-textbox:#Text Box 28">
                <w:txbxContent>
                  <w:p w:rsidR="00B40349" w:rsidRDefault="00B40349" w:rsidP="00AC5422">
                    <w:r>
                      <w:t>D</w:t>
                    </w:r>
                  </w:p>
                </w:txbxContent>
              </v:textbox>
            </v:shape>
            <v:shape id="Text Box 29" o:spid="_x0000_s1053" type="#_x0000_t202" style="position:absolute;left:5810;top:11393;width:288;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OisQA&#10;AADbAAAADwAAAGRycy9kb3ducmV2LnhtbESPQWsCMRSE74X+h/AKXopmbaHW1ShVEAoeimsPHh+b&#10;52bp5mVJ0t313xtB8DjMzDfMcj3YRnTkQ+1YwXSSgSAuna65UvB73I0/QYSIrLFxTAouFGC9en5a&#10;Yq5dzwfqiliJBOGQowITY5tLGUpDFsPEtcTJOztvMSbpK6k99gluG/mWZR/SYs1pwWBLW0PlX/Fv&#10;FXC7NTMf9/bnVLweTp3d9HVplBq9DF8LEJGG+Ajf299awfscbl/S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4DorEAAAA2wAAAA8AAAAAAAAAAAAAAAAAmAIAAGRycy9k&#10;b3ducmV2LnhtbFBLBQYAAAAABAAEAPUAAACJAwAAAAA=&#10;" filled="f" stroked="f">
              <v:fill opacity="32896f"/>
              <v:textbox style="mso-next-textbox:#Text Box 29">
                <w:txbxContent>
                  <w:p w:rsidR="00B40349" w:rsidRDefault="00B40349" w:rsidP="00AC5422">
                    <w:r>
                      <w:t>L</w:t>
                    </w:r>
                  </w:p>
                </w:txbxContent>
              </v:textbox>
            </v:shape>
            <v:shape id="Freeform 30" o:spid="_x0000_s1054" style="position:absolute;left:3297;top:8663;width:2513;height:2270;visibility:visible;mso-wrap-style:square;v-text-anchor:top" coordsize="3166,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Nx8AA&#10;AADbAAAADwAAAGRycy9kb3ducmV2LnhtbERPz2vCMBS+D/wfwhN2m6ljG9IZRTsLu8lUcMe35q0p&#10;Ni8liW39781hsOPH93u5Hm0revKhcaxgPstAEFdON1wrOB3LpwWIEJE1to5JwY0CrFeThyXm2g38&#10;Rf0h1iKFcMhRgYmxy6UMlSGLYeY64sT9Om8xJuhrqT0OKdy28jnL3qTFhlODwY4KQ9XlcLUKpH2N&#10;uiu35md/9Ofv8HGTza5Q6nE6bt5BRBrjv/jP/akVvKT16Uv6A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iNx8AAAADbAAAADwAAAAAAAAAAAAAAAACYAgAAZHJzL2Rvd25y&#10;ZXYueG1sUEsFBgAAAAAEAAQA9QAAAIUDAAAAAA==&#10;" path="m,2861v73,-54,196,-121,452,-326c708,2330,1267,1871,1538,1630v270,-242,271,-273,542,-544c2351,815,2985,181,3166,e" filled="f">
              <v:fill opacity="32896f"/>
              <v:path arrowok="t" o:connecttype="custom" o:connectlocs="0,2270;359,2011;1221,1293;1651,862;2513,0" o:connectangles="0,0,0,0,0"/>
            </v:shape>
            <v:shape id="Freeform 31" o:spid="_x0000_s1055" style="position:absolute;left:3368;top:8663;width:2441;height:2300;visibility:visible;mso-wrap-style:square;v-text-anchor:top" coordsize="3077,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qH8MA&#10;AADbAAAADwAAAGRycy9kb3ducmV2LnhtbESPS4vCQBCE7wv+h6EFbzrxgUjWUUQRPCk+WPfYZNok&#10;a6YnZMYk/ntHEPZYVNVX1HzZmkLUVLncsoLhIAJBnFidc6rgct72ZyCcR9ZYWCYFT3KwXHS+5hhr&#10;2/CR6pNPRYCwi1FB5n0ZS+mSjAy6gS2Jg3ezlUEfZJVKXWET4KaQoyiaSoM5h4UMS1pnlNxPD6Ng&#10;tEtXfz/NHjf19XDbl2O+Fr+sVK/brr5BeGr9f/jT3mkFkyG8v4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zqH8MAAADbAAAADwAAAAAAAAAAAAAAAACYAgAAZHJzL2Rv&#10;d25yZXYueG1sUEsFBgAAAAAEAAQA9QAAAIgDAAAAAA==&#10;" path="m,c332,407,664,815,905,1086v241,271,272,302,543,543c1719,1870,2262,2323,2534,2534v272,211,407,286,543,362e" filled="f">
              <v:fill opacity="32896f"/>
              <v:path arrowok="t" o:connecttype="custom" o:connectlocs="0,0;718,863;1149,1294;2010,2013;2441,2300" o:connectangles="0,0,0,0,0"/>
            </v:shape>
          </v:group>
        </w:pict>
      </w:r>
    </w:p>
    <w:p w:rsidR="00AC5422" w:rsidRPr="004D2A5D" w:rsidRDefault="00AC5422" w:rsidP="00423120">
      <w:pPr>
        <w:spacing w:line="360" w:lineRule="auto"/>
        <w:ind w:firstLine="709"/>
        <w:jc w:val="center"/>
        <w:rPr>
          <w:i/>
          <w:sz w:val="20"/>
          <w:szCs w:val="20"/>
        </w:rPr>
      </w:pPr>
    </w:p>
    <w:p w:rsidR="00AC5422" w:rsidRPr="004D2A5D" w:rsidRDefault="00AC5422" w:rsidP="00423120">
      <w:pPr>
        <w:spacing w:line="360" w:lineRule="auto"/>
        <w:ind w:firstLine="709"/>
        <w:jc w:val="center"/>
        <w:rPr>
          <w:i/>
          <w:sz w:val="20"/>
          <w:szCs w:val="20"/>
        </w:rPr>
      </w:pPr>
    </w:p>
    <w:p w:rsidR="00AC5422" w:rsidRPr="004D2A5D" w:rsidRDefault="00AC5422" w:rsidP="00423120">
      <w:pPr>
        <w:spacing w:line="360" w:lineRule="auto"/>
        <w:ind w:firstLine="709"/>
        <w:jc w:val="center"/>
        <w:rPr>
          <w:i/>
          <w:sz w:val="20"/>
          <w:szCs w:val="20"/>
        </w:rPr>
      </w:pPr>
    </w:p>
    <w:p w:rsidR="00AC5422" w:rsidRPr="004D2A5D" w:rsidRDefault="00AC5422" w:rsidP="00423120">
      <w:pPr>
        <w:spacing w:line="360" w:lineRule="auto"/>
        <w:ind w:firstLine="709"/>
        <w:jc w:val="center"/>
        <w:rPr>
          <w:i/>
          <w:sz w:val="20"/>
          <w:szCs w:val="20"/>
        </w:rPr>
      </w:pPr>
    </w:p>
    <w:p w:rsidR="00AC5422" w:rsidRPr="004D2A5D" w:rsidRDefault="00AC5422" w:rsidP="00423120">
      <w:pPr>
        <w:spacing w:line="360" w:lineRule="auto"/>
        <w:ind w:firstLine="709"/>
        <w:jc w:val="center"/>
        <w:rPr>
          <w:i/>
          <w:sz w:val="20"/>
          <w:szCs w:val="20"/>
        </w:rPr>
      </w:pPr>
    </w:p>
    <w:p w:rsidR="00AC5422" w:rsidRPr="004D2A5D" w:rsidRDefault="00AC5422" w:rsidP="00423120">
      <w:pPr>
        <w:spacing w:line="360" w:lineRule="auto"/>
        <w:ind w:firstLine="709"/>
        <w:jc w:val="center"/>
        <w:rPr>
          <w:i/>
          <w:sz w:val="20"/>
          <w:szCs w:val="20"/>
        </w:rPr>
      </w:pPr>
    </w:p>
    <w:p w:rsidR="00AC5422" w:rsidRDefault="00AC5422" w:rsidP="00B66EE4">
      <w:pPr>
        <w:jc w:val="both"/>
        <w:rPr>
          <w:rFonts w:ascii="Calibri" w:hAnsi="Calibri" w:cs="Calibri"/>
          <w:b/>
          <w:sz w:val="24"/>
          <w:szCs w:val="24"/>
        </w:rPr>
      </w:pPr>
    </w:p>
    <w:p w:rsidR="00AC5422" w:rsidRPr="001417C4" w:rsidRDefault="00AC5422" w:rsidP="00B66EE4">
      <w:pPr>
        <w:pStyle w:val="0G-Titulek"/>
        <w:suppressLineNumbers/>
        <w:ind w:firstLine="0"/>
      </w:pPr>
      <w:bookmarkStart w:id="54" w:name="_Toc382326816"/>
      <w:r w:rsidRPr="001417C4">
        <w:t>Obrázek 12: Neoklasický trh práce</w:t>
      </w:r>
      <w:bookmarkEnd w:id="54"/>
    </w:p>
    <w:p w:rsidR="00AC5422" w:rsidRPr="00E07423" w:rsidRDefault="00AC5422" w:rsidP="00423120">
      <w:pPr>
        <w:jc w:val="center"/>
        <w:rPr>
          <w:rFonts w:ascii="Calibri" w:hAnsi="Calibri" w:cs="Calibri"/>
          <w:i/>
        </w:rPr>
      </w:pPr>
      <w:r w:rsidRPr="00E07423">
        <w:rPr>
          <w:rFonts w:ascii="Calibri" w:hAnsi="Calibri" w:cs="Calibri"/>
          <w:i/>
        </w:rPr>
        <w:t>Pramen: Brožová, 200</w:t>
      </w:r>
      <w:r w:rsidR="00FC77DB">
        <w:rPr>
          <w:rFonts w:ascii="Calibri" w:hAnsi="Calibri" w:cs="Calibri"/>
          <w:i/>
        </w:rPr>
        <w:t>4</w:t>
      </w:r>
      <w:r w:rsidR="00250111">
        <w:rPr>
          <w:rFonts w:ascii="Calibri" w:hAnsi="Calibri" w:cs="Calibri"/>
          <w:i/>
        </w:rPr>
        <w:t>.</w:t>
      </w:r>
    </w:p>
    <w:p w:rsidR="00AC5422" w:rsidRDefault="00AC5422" w:rsidP="00423120">
      <w:pPr>
        <w:ind w:firstLine="709"/>
        <w:jc w:val="both"/>
        <w:rPr>
          <w:sz w:val="24"/>
          <w:szCs w:val="24"/>
        </w:rPr>
      </w:pPr>
      <w:r>
        <w:rPr>
          <w:sz w:val="24"/>
          <w:szCs w:val="24"/>
        </w:rPr>
        <w:t xml:space="preserve">Klasický, resp. neoklasický přístup odmítá </w:t>
      </w:r>
      <w:r w:rsidRPr="00F5688D">
        <w:rPr>
          <w:sz w:val="24"/>
          <w:szCs w:val="24"/>
        </w:rPr>
        <w:t>keynesiánská ekonomie</w:t>
      </w:r>
      <w:r>
        <w:rPr>
          <w:sz w:val="24"/>
          <w:szCs w:val="24"/>
        </w:rPr>
        <w:t xml:space="preserve">. </w:t>
      </w:r>
      <w:r w:rsidRPr="00F5688D">
        <w:rPr>
          <w:sz w:val="24"/>
          <w:szCs w:val="24"/>
        </w:rPr>
        <w:t>J</w:t>
      </w:r>
      <w:r>
        <w:rPr>
          <w:sz w:val="24"/>
          <w:szCs w:val="24"/>
        </w:rPr>
        <w:t xml:space="preserve">. </w:t>
      </w:r>
      <w:r w:rsidRPr="00F5688D">
        <w:rPr>
          <w:sz w:val="24"/>
          <w:szCs w:val="24"/>
        </w:rPr>
        <w:t>M</w:t>
      </w:r>
      <w:r>
        <w:rPr>
          <w:sz w:val="24"/>
          <w:szCs w:val="24"/>
        </w:rPr>
        <w:t xml:space="preserve">. </w:t>
      </w:r>
      <w:r w:rsidRPr="00F5688D">
        <w:rPr>
          <w:sz w:val="24"/>
          <w:szCs w:val="24"/>
        </w:rPr>
        <w:t xml:space="preserve">Keynes </w:t>
      </w:r>
      <w:r>
        <w:rPr>
          <w:sz w:val="24"/>
          <w:szCs w:val="24"/>
        </w:rPr>
        <w:t xml:space="preserve">podrobil </w:t>
      </w:r>
      <w:r w:rsidRPr="00F5688D">
        <w:rPr>
          <w:sz w:val="24"/>
          <w:szCs w:val="24"/>
        </w:rPr>
        <w:t>ostré kritice Sayův zákon trhů, který zaručova</w:t>
      </w:r>
      <w:r w:rsidR="00C35E3D">
        <w:rPr>
          <w:sz w:val="24"/>
          <w:szCs w:val="24"/>
        </w:rPr>
        <w:t>l rovnováhu agregátní nabídky a </w:t>
      </w:r>
      <w:r w:rsidRPr="00F5688D">
        <w:rPr>
          <w:sz w:val="24"/>
          <w:szCs w:val="24"/>
        </w:rPr>
        <w:t xml:space="preserve">poptávky při plném využití zdrojů. Tento zákon podcenil úlohu peněz coby uchovatele hodnoty a právě na tuto funkci peněz položil Keynes důraz. Podle něj bylo </w:t>
      </w:r>
      <w:r>
        <w:rPr>
          <w:sz w:val="24"/>
          <w:szCs w:val="24"/>
        </w:rPr>
        <w:t>zásadním</w:t>
      </w:r>
      <w:r w:rsidRPr="00F5688D">
        <w:rPr>
          <w:sz w:val="24"/>
          <w:szCs w:val="24"/>
        </w:rPr>
        <w:t xml:space="preserve"> omylem klasiků, že podceni</w:t>
      </w:r>
      <w:r w:rsidR="00250111">
        <w:rPr>
          <w:sz w:val="24"/>
          <w:szCs w:val="24"/>
        </w:rPr>
        <w:t>li problém agregátní poptávky. B</w:t>
      </w:r>
      <w:r w:rsidRPr="00F5688D">
        <w:rPr>
          <w:sz w:val="24"/>
          <w:szCs w:val="24"/>
        </w:rPr>
        <w:t>yl přesvědčen, že agregátní poptávka je nadčasový problém</w:t>
      </w:r>
      <w:r>
        <w:rPr>
          <w:sz w:val="24"/>
          <w:szCs w:val="24"/>
        </w:rPr>
        <w:t xml:space="preserve"> a</w:t>
      </w:r>
      <w:r w:rsidRPr="00F5688D">
        <w:rPr>
          <w:sz w:val="24"/>
          <w:szCs w:val="24"/>
        </w:rPr>
        <w:t xml:space="preserve"> klíčovou roli hraje vztah mezi úsporami a investicemi</w:t>
      </w:r>
      <w:r>
        <w:rPr>
          <w:sz w:val="24"/>
          <w:szCs w:val="24"/>
        </w:rPr>
        <w:t xml:space="preserve"> (Holman, 200</w:t>
      </w:r>
      <w:r w:rsidR="003F23D2">
        <w:rPr>
          <w:sz w:val="24"/>
          <w:szCs w:val="24"/>
        </w:rPr>
        <w:t>5</w:t>
      </w:r>
      <w:r>
        <w:rPr>
          <w:sz w:val="24"/>
          <w:szCs w:val="24"/>
        </w:rPr>
        <w:t>;</w:t>
      </w:r>
      <w:r w:rsidRPr="00F5688D">
        <w:rPr>
          <w:sz w:val="24"/>
          <w:szCs w:val="24"/>
        </w:rPr>
        <w:t xml:space="preserve"> Sojka a kol.</w:t>
      </w:r>
      <w:r>
        <w:rPr>
          <w:sz w:val="24"/>
          <w:szCs w:val="24"/>
        </w:rPr>
        <w:t>,</w:t>
      </w:r>
      <w:r w:rsidRPr="00F5688D">
        <w:rPr>
          <w:sz w:val="24"/>
          <w:szCs w:val="24"/>
        </w:rPr>
        <w:t xml:space="preserve"> 1999</w:t>
      </w:r>
      <w:r>
        <w:rPr>
          <w:sz w:val="24"/>
          <w:szCs w:val="24"/>
        </w:rPr>
        <w:t>).</w:t>
      </w:r>
    </w:p>
    <w:p w:rsidR="00AC5422" w:rsidRPr="00F5688D" w:rsidRDefault="00AC5422" w:rsidP="00423120">
      <w:pPr>
        <w:ind w:firstLine="709"/>
        <w:jc w:val="both"/>
        <w:rPr>
          <w:sz w:val="24"/>
          <w:szCs w:val="24"/>
        </w:rPr>
      </w:pPr>
      <w:r w:rsidRPr="00F5688D">
        <w:rPr>
          <w:sz w:val="24"/>
          <w:szCs w:val="24"/>
        </w:rPr>
        <w:t>V Keynesově pojetí závisí skutečný objem zaměstnanosti na efektivní poptávce</w:t>
      </w:r>
      <w:r>
        <w:rPr>
          <w:sz w:val="24"/>
          <w:szCs w:val="24"/>
        </w:rPr>
        <w:t xml:space="preserve"> a</w:t>
      </w:r>
      <w:r w:rsidRPr="00F5688D">
        <w:rPr>
          <w:sz w:val="24"/>
          <w:szCs w:val="24"/>
        </w:rPr>
        <w:t xml:space="preserve"> </w:t>
      </w:r>
      <w:r>
        <w:rPr>
          <w:sz w:val="24"/>
          <w:szCs w:val="24"/>
        </w:rPr>
        <w:t xml:space="preserve">je tedy </w:t>
      </w:r>
      <w:r w:rsidRPr="00F5688D">
        <w:rPr>
          <w:sz w:val="24"/>
          <w:szCs w:val="24"/>
        </w:rPr>
        <w:t>funkcí investic. Nedostatečnost soukromých investic způsobuje, že ekonomika funguje při neúplném využívání zdrojů</w:t>
      </w:r>
      <w:r>
        <w:rPr>
          <w:sz w:val="24"/>
          <w:szCs w:val="24"/>
        </w:rPr>
        <w:t>,</w:t>
      </w:r>
      <w:r w:rsidRPr="00F5688D">
        <w:rPr>
          <w:sz w:val="24"/>
          <w:szCs w:val="24"/>
        </w:rPr>
        <w:t xml:space="preserve"> resp. dosahuje rovnováhy p</w:t>
      </w:r>
      <w:r w:rsidR="00C35E3D">
        <w:rPr>
          <w:sz w:val="24"/>
          <w:szCs w:val="24"/>
        </w:rPr>
        <w:t>ři existenci nezaměstnanosti. Z </w:t>
      </w:r>
      <w:r w:rsidRPr="00F5688D">
        <w:rPr>
          <w:sz w:val="24"/>
          <w:szCs w:val="24"/>
        </w:rPr>
        <w:t>této situace se není schopna ekonomika dostat sama</w:t>
      </w:r>
      <w:r>
        <w:rPr>
          <w:sz w:val="24"/>
          <w:szCs w:val="24"/>
        </w:rPr>
        <w:t xml:space="preserve"> – c</w:t>
      </w:r>
      <w:r w:rsidRPr="00F5688D">
        <w:rPr>
          <w:sz w:val="24"/>
          <w:szCs w:val="24"/>
        </w:rPr>
        <w:t xml:space="preserve">o nezvládne neviditelná ruka trhu, musí být dosaženo viditelnou rukou státu, která by měla vyplnit mezeru soukromých investic. </w:t>
      </w:r>
      <w:r w:rsidRPr="00957E80">
        <w:rPr>
          <w:sz w:val="24"/>
          <w:szCs w:val="24"/>
        </w:rPr>
        <w:t xml:space="preserve">Státní intervence mohou mít podobu progresivního zdanění důchodů snižujícího disponibilní důchody a tím sklon ke spotřebě, měnové politiky udržující nízké úrokové sazby a zvyšující tak sklon k investicím </w:t>
      </w:r>
      <w:r w:rsidR="00957E80" w:rsidRPr="00957E80">
        <w:rPr>
          <w:sz w:val="24"/>
          <w:szCs w:val="24"/>
        </w:rPr>
        <w:t>či</w:t>
      </w:r>
      <w:r w:rsidRPr="00957E80">
        <w:rPr>
          <w:sz w:val="24"/>
          <w:szCs w:val="24"/>
        </w:rPr>
        <w:t xml:space="preserve"> fiskální politiky doplňující nedostatečnou poptávku pomocí vládních výdajů (Brožová 2004).</w:t>
      </w:r>
    </w:p>
    <w:p w:rsidR="00AC5422" w:rsidRDefault="00AC5422" w:rsidP="00423120">
      <w:pPr>
        <w:ind w:firstLine="709"/>
        <w:jc w:val="both"/>
        <w:rPr>
          <w:sz w:val="24"/>
          <w:szCs w:val="24"/>
        </w:rPr>
      </w:pPr>
      <w:r w:rsidRPr="00F5688D">
        <w:rPr>
          <w:sz w:val="24"/>
          <w:szCs w:val="24"/>
        </w:rPr>
        <w:t xml:space="preserve">Keynes podrobil kritice Pigouovu teorii zaměstnanosti, odmítl tezi o mechanismu vyčišťování trhu cestou pružného </w:t>
      </w:r>
      <w:r>
        <w:rPr>
          <w:sz w:val="24"/>
          <w:szCs w:val="24"/>
        </w:rPr>
        <w:t>přizpůsobování</w:t>
      </w:r>
      <w:r w:rsidRPr="00F5688D">
        <w:rPr>
          <w:sz w:val="24"/>
          <w:szCs w:val="24"/>
        </w:rPr>
        <w:t xml:space="preserve"> reálných mezd. Podle Keynese závisí nabídka práce na nominálníc</w:t>
      </w:r>
      <w:r w:rsidRPr="009330DC">
        <w:rPr>
          <w:sz w:val="24"/>
          <w:szCs w:val="24"/>
        </w:rPr>
        <w:t>h</w:t>
      </w:r>
      <w:r w:rsidR="00F31CB0" w:rsidRPr="009330DC">
        <w:rPr>
          <w:sz w:val="24"/>
          <w:szCs w:val="24"/>
        </w:rPr>
        <w:t>,</w:t>
      </w:r>
      <w:r w:rsidR="00F31CB0">
        <w:rPr>
          <w:sz w:val="24"/>
          <w:szCs w:val="24"/>
        </w:rPr>
        <w:t xml:space="preserve"> </w:t>
      </w:r>
      <w:r w:rsidRPr="00F5688D">
        <w:rPr>
          <w:sz w:val="24"/>
          <w:szCs w:val="24"/>
        </w:rPr>
        <w:t xml:space="preserve">nikoliv reálných mzdách. Připouštěl, že mzdy jsou nepružné směrem dolů, nepovažoval to však za příčinu nedobrovolné nezaměstnanosti. V depresi klesají ceny rychleji než nominální mzdy </w:t>
      </w:r>
      <w:r>
        <w:rPr>
          <w:sz w:val="24"/>
          <w:szCs w:val="24"/>
        </w:rPr>
        <w:t>(</w:t>
      </w:r>
      <w:r w:rsidRPr="00F5688D">
        <w:rPr>
          <w:sz w:val="24"/>
          <w:szCs w:val="24"/>
        </w:rPr>
        <w:t xml:space="preserve">rostou </w:t>
      </w:r>
      <w:r>
        <w:rPr>
          <w:sz w:val="24"/>
          <w:szCs w:val="24"/>
        </w:rPr>
        <w:t xml:space="preserve">tedy </w:t>
      </w:r>
      <w:r w:rsidRPr="00F5688D">
        <w:rPr>
          <w:sz w:val="24"/>
          <w:szCs w:val="24"/>
        </w:rPr>
        <w:t>reálné mzdy</w:t>
      </w:r>
      <w:r>
        <w:rPr>
          <w:sz w:val="24"/>
          <w:szCs w:val="24"/>
        </w:rPr>
        <w:t>)</w:t>
      </w:r>
      <w:r w:rsidRPr="00F5688D">
        <w:rPr>
          <w:sz w:val="24"/>
          <w:szCs w:val="24"/>
        </w:rPr>
        <w:t xml:space="preserve"> a klesá zaměstnanost</w:t>
      </w:r>
      <w:r>
        <w:rPr>
          <w:sz w:val="24"/>
          <w:szCs w:val="24"/>
        </w:rPr>
        <w:t>. K</w:t>
      </w:r>
      <w:r w:rsidRPr="00F5688D">
        <w:rPr>
          <w:sz w:val="24"/>
          <w:szCs w:val="24"/>
        </w:rPr>
        <w:t xml:space="preserve">dyž nakonec začnou klesat nominální mzdy, má to </w:t>
      </w:r>
      <w:r>
        <w:rPr>
          <w:sz w:val="24"/>
          <w:szCs w:val="24"/>
        </w:rPr>
        <w:t xml:space="preserve">sice </w:t>
      </w:r>
      <w:r w:rsidRPr="00F5688D">
        <w:rPr>
          <w:sz w:val="24"/>
          <w:szCs w:val="24"/>
        </w:rPr>
        <w:t xml:space="preserve">pozitivní vliv na náklady, ale pokles agregátní poptávky způsobí další pokles cen a očekávaných zisků. Proto příčinou </w:t>
      </w:r>
      <w:r w:rsidRPr="00F5688D">
        <w:rPr>
          <w:sz w:val="24"/>
          <w:szCs w:val="24"/>
        </w:rPr>
        <w:lastRenderedPageBreak/>
        <w:t>nezaměstnanosti nejsou strnulé mzdy, ale nedostatečná poptávka. Neoklasickou teorii zaměstnanosti považuje za speciální případ popisující ekonomiku plné zaměstnanosti</w:t>
      </w:r>
      <w:r>
        <w:rPr>
          <w:sz w:val="24"/>
          <w:szCs w:val="24"/>
        </w:rPr>
        <w:t xml:space="preserve"> (Holman, 200</w:t>
      </w:r>
      <w:r w:rsidR="0083732A">
        <w:rPr>
          <w:sz w:val="24"/>
          <w:szCs w:val="24"/>
        </w:rPr>
        <w:t>5</w:t>
      </w:r>
      <w:r>
        <w:rPr>
          <w:sz w:val="24"/>
          <w:szCs w:val="24"/>
        </w:rPr>
        <w:t>).</w:t>
      </w:r>
    </w:p>
    <w:p w:rsidR="00AC5422" w:rsidRPr="00A81490" w:rsidRDefault="00AC5422" w:rsidP="00423120">
      <w:pPr>
        <w:jc w:val="both"/>
        <w:rPr>
          <w:b/>
          <w:sz w:val="24"/>
          <w:szCs w:val="24"/>
        </w:rPr>
      </w:pPr>
      <w:r w:rsidRPr="00A81490">
        <w:rPr>
          <w:b/>
          <w:sz w:val="24"/>
          <w:szCs w:val="24"/>
        </w:rPr>
        <w:t>Migrace za prací mezi regiony</w:t>
      </w:r>
    </w:p>
    <w:p w:rsidR="00AC5422" w:rsidRDefault="00AC5422" w:rsidP="00423120">
      <w:pPr>
        <w:ind w:firstLine="709"/>
        <w:jc w:val="both"/>
        <w:rPr>
          <w:sz w:val="24"/>
          <w:szCs w:val="24"/>
        </w:rPr>
      </w:pPr>
      <w:r>
        <w:rPr>
          <w:sz w:val="24"/>
          <w:szCs w:val="24"/>
        </w:rPr>
        <w:t>Jelikož je zřejmé, že v různých regionech může být v daném čase dosaženo rovnováhy na trhu práce při rozdílných mzdách (zejména v souvislosti s lokalizací firem</w:t>
      </w:r>
      <w:r w:rsidR="00BA6F21">
        <w:rPr>
          <w:sz w:val="24"/>
          <w:szCs w:val="24"/>
        </w:rPr>
        <w:t>,</w:t>
      </w:r>
      <w:r>
        <w:rPr>
          <w:sz w:val="24"/>
          <w:szCs w:val="24"/>
        </w:rPr>
        <w:t xml:space="preserve"> resp. obecně vytvořením nových pracovních míst), je třeba se zabývat otázkou, jak na tuto skutečnost reagují racionálně uvažující jedinci. Neoklasická teorie předpokládá, že dojde k postupnému přesunu pracovních sil z regionu s nižší mzdou do regionu s vyšší mzdou, přičemž k tomuto jevu bude docházet tak dlouho, až se mzda v obou regionech vyrovná. Předpokladem modelu je shodná cenová hladina v obou regionech a současně neměnná situace na trhu finální spotřeby výrobků a služeb. </w:t>
      </w:r>
    </w:p>
    <w:p w:rsidR="00AC5422" w:rsidRDefault="00AC5422" w:rsidP="00B66EE4">
      <w:pPr>
        <w:spacing w:after="0" w:line="240" w:lineRule="auto"/>
        <w:jc w:val="center"/>
        <w:rPr>
          <w:b/>
          <w:sz w:val="24"/>
          <w:szCs w:val="24"/>
        </w:rPr>
      </w:pPr>
      <w:r w:rsidRPr="00D73FA5">
        <w:rPr>
          <w:noProof/>
          <w:lang w:val="en-GB" w:eastAsia="en-GB"/>
        </w:rPr>
        <w:drawing>
          <wp:inline distT="0" distB="0" distL="0" distR="0" wp14:anchorId="4B167A4E" wp14:editId="385ED462">
            <wp:extent cx="4727575" cy="259200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021" b="7021"/>
                    <a:stretch/>
                  </pic:blipFill>
                  <pic:spPr bwMode="auto">
                    <a:xfrm>
                      <a:off x="0" y="0"/>
                      <a:ext cx="4777883" cy="2619582"/>
                    </a:xfrm>
                    <a:prstGeom prst="rect">
                      <a:avLst/>
                    </a:prstGeom>
                    <a:noFill/>
                    <a:ln>
                      <a:noFill/>
                    </a:ln>
                    <a:extLst>
                      <a:ext uri="{53640926-AAD7-44D8-BBD7-CCE9431645EC}">
                        <a14:shadowObscured xmlns:a14="http://schemas.microsoft.com/office/drawing/2010/main"/>
                      </a:ext>
                    </a:extLst>
                  </pic:spPr>
                </pic:pic>
              </a:graphicData>
            </a:graphic>
          </wp:inline>
        </w:drawing>
      </w:r>
      <w:r w:rsidRPr="00C31538">
        <w:rPr>
          <w:b/>
          <w:sz w:val="24"/>
          <w:szCs w:val="24"/>
        </w:rPr>
        <w:t xml:space="preserve"> </w:t>
      </w:r>
    </w:p>
    <w:p w:rsidR="00AC5422" w:rsidRPr="001417C4" w:rsidRDefault="00AC5422" w:rsidP="00B66EE4">
      <w:pPr>
        <w:pStyle w:val="0G-Titulek"/>
        <w:suppressLineNumbers/>
        <w:ind w:firstLine="0"/>
      </w:pPr>
      <w:bookmarkStart w:id="55" w:name="_Toc382326817"/>
      <w:r w:rsidRPr="001417C4">
        <w:t>Obrázek 13: Neoklasický model migrace</w:t>
      </w:r>
      <w:bookmarkEnd w:id="55"/>
    </w:p>
    <w:p w:rsidR="00AC5422" w:rsidRPr="008948DD" w:rsidRDefault="00AC5422" w:rsidP="00423120">
      <w:pPr>
        <w:jc w:val="center"/>
        <w:rPr>
          <w:rFonts w:ascii="Calibri" w:hAnsi="Calibri" w:cs="Calibri"/>
          <w:i/>
        </w:rPr>
      </w:pPr>
      <w:r w:rsidRPr="008948DD">
        <w:rPr>
          <w:rFonts w:ascii="Calibri" w:hAnsi="Calibri" w:cs="Calibri"/>
          <w:i/>
        </w:rPr>
        <w:t>Pramen: McCann 2001; vlastní zpracován</w:t>
      </w:r>
      <w:r>
        <w:rPr>
          <w:rFonts w:ascii="Calibri" w:hAnsi="Calibri" w:cs="Calibri"/>
          <w:i/>
        </w:rPr>
        <w:t>í</w:t>
      </w:r>
      <w:r w:rsidR="00CC38B2">
        <w:rPr>
          <w:rFonts w:ascii="Calibri" w:hAnsi="Calibri" w:cs="Calibri"/>
          <w:i/>
        </w:rPr>
        <w:t>.</w:t>
      </w:r>
    </w:p>
    <w:p w:rsidR="00AC5422" w:rsidRDefault="00AC5422" w:rsidP="00423120">
      <w:pPr>
        <w:ind w:firstLine="709"/>
        <w:jc w:val="both"/>
        <w:rPr>
          <w:sz w:val="24"/>
          <w:szCs w:val="24"/>
        </w:rPr>
      </w:pPr>
      <w:r>
        <w:rPr>
          <w:sz w:val="24"/>
          <w:szCs w:val="24"/>
        </w:rPr>
        <w:t>Pokud je v regionu A možné získat vyšší mzdu v souvislosti s rostoucí nabídkou práce, začne se postupně přesouvat pracovní síla z regionu B do regionu A. V důsledku toho dojde v regionu A ke zvýšení S</w:t>
      </w:r>
      <w:r w:rsidRPr="000A4AD9">
        <w:rPr>
          <w:sz w:val="24"/>
          <w:szCs w:val="24"/>
          <w:vertAlign w:val="subscript"/>
        </w:rPr>
        <w:t>L</w:t>
      </w:r>
      <w:r>
        <w:rPr>
          <w:sz w:val="24"/>
          <w:szCs w:val="24"/>
        </w:rPr>
        <w:t xml:space="preserve"> (tedy posunu nabídkové křivky směrem dolů) a k poklesu ceny práce</w:t>
      </w:r>
      <w:r w:rsidR="00BA6F21">
        <w:rPr>
          <w:sz w:val="24"/>
          <w:szCs w:val="24"/>
        </w:rPr>
        <w:t>,</w:t>
      </w:r>
      <w:r>
        <w:rPr>
          <w:sz w:val="24"/>
          <w:szCs w:val="24"/>
        </w:rPr>
        <w:t xml:space="preserve"> resp. k vytvoření rovnováhy při vyšší zaměstnanosti a nižší mzdě. Současně v regionu B dojde v důsledku snížení </w:t>
      </w:r>
      <w:r w:rsidRPr="000A4AD9">
        <w:rPr>
          <w:sz w:val="24"/>
          <w:szCs w:val="24"/>
        </w:rPr>
        <w:t>S</w:t>
      </w:r>
      <w:r w:rsidRPr="00B35BDC">
        <w:rPr>
          <w:sz w:val="24"/>
          <w:szCs w:val="24"/>
          <w:vertAlign w:val="subscript"/>
        </w:rPr>
        <w:t>L</w:t>
      </w:r>
      <w:r w:rsidRPr="000A4AD9">
        <w:rPr>
          <w:sz w:val="24"/>
          <w:szCs w:val="24"/>
        </w:rPr>
        <w:t xml:space="preserve"> (tedy posunu nabídkové křivky směrem </w:t>
      </w:r>
      <w:r>
        <w:rPr>
          <w:sz w:val="24"/>
          <w:szCs w:val="24"/>
        </w:rPr>
        <w:t>nahoru</w:t>
      </w:r>
      <w:r w:rsidRPr="000A4AD9">
        <w:rPr>
          <w:sz w:val="24"/>
          <w:szCs w:val="24"/>
        </w:rPr>
        <w:t>)</w:t>
      </w:r>
      <w:r w:rsidR="00C35E3D">
        <w:rPr>
          <w:sz w:val="24"/>
          <w:szCs w:val="24"/>
        </w:rPr>
        <w:t xml:space="preserve"> ke </w:t>
      </w:r>
      <w:r>
        <w:rPr>
          <w:sz w:val="24"/>
          <w:szCs w:val="24"/>
        </w:rPr>
        <w:t>zvýšení ceny práce a tedy ke vzniku rovnováhy při nižší zaměstnanosti a vyšší mzdě, která odpovídá výši mzdy v regionu A. V reálných regionech však dojde bezpochyby i k dalšímu efektu. Lidé, kteří migrovali do jiného regionu, s sebou přes</w:t>
      </w:r>
      <w:r w:rsidR="00C35E3D">
        <w:rPr>
          <w:sz w:val="24"/>
          <w:szCs w:val="24"/>
        </w:rPr>
        <w:t>unuli i svoji spotřebu statků a </w:t>
      </w:r>
      <w:r>
        <w:rPr>
          <w:sz w:val="24"/>
          <w:szCs w:val="24"/>
        </w:rPr>
        <w:t>zejména služeb. To se v modelu projeví v posunu křivky D</w:t>
      </w:r>
      <w:r w:rsidRPr="00563199">
        <w:rPr>
          <w:sz w:val="24"/>
          <w:szCs w:val="24"/>
          <w:vertAlign w:val="subscript"/>
        </w:rPr>
        <w:t>L</w:t>
      </w:r>
      <w:r>
        <w:rPr>
          <w:sz w:val="24"/>
          <w:szCs w:val="24"/>
        </w:rPr>
        <w:t xml:space="preserve"> a v konečném důsledku dojde k rovnováze na trhu v regionech A a B při odlišných úrovních mzdy.</w:t>
      </w:r>
    </w:p>
    <w:p w:rsidR="003E7C9F" w:rsidRDefault="00AC5422" w:rsidP="00B66EE4">
      <w:pPr>
        <w:spacing w:after="0"/>
      </w:pPr>
      <w:r>
        <w:rPr>
          <w:noProof/>
          <w:lang w:val="en-GB" w:eastAsia="en-GB"/>
        </w:rPr>
        <w:lastRenderedPageBreak/>
        <w:drawing>
          <wp:inline distT="0" distB="0" distL="0" distR="0" wp14:anchorId="29068979" wp14:editId="7AD4A093">
            <wp:extent cx="5686425" cy="259200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898" b="6898"/>
                    <a:stretch/>
                  </pic:blipFill>
                  <pic:spPr bwMode="auto">
                    <a:xfrm>
                      <a:off x="0" y="0"/>
                      <a:ext cx="5762625" cy="2626734"/>
                    </a:xfrm>
                    <a:prstGeom prst="rect">
                      <a:avLst/>
                    </a:prstGeom>
                    <a:noFill/>
                    <a:ln>
                      <a:noFill/>
                    </a:ln>
                    <a:extLst>
                      <a:ext uri="{53640926-AAD7-44D8-BBD7-CCE9431645EC}">
                        <a14:shadowObscured xmlns:a14="http://schemas.microsoft.com/office/drawing/2010/main"/>
                      </a:ext>
                    </a:extLst>
                  </pic:spPr>
                </pic:pic>
              </a:graphicData>
            </a:graphic>
          </wp:inline>
        </w:drawing>
      </w:r>
    </w:p>
    <w:p w:rsidR="00AC5422" w:rsidRPr="006E3763" w:rsidRDefault="00AC5422" w:rsidP="00B66EE4">
      <w:pPr>
        <w:pStyle w:val="0G-Titulek"/>
        <w:suppressLineNumbers/>
        <w:ind w:firstLine="0"/>
      </w:pPr>
      <w:r w:rsidRPr="00096AB4">
        <w:t xml:space="preserve"> </w:t>
      </w:r>
      <w:bookmarkStart w:id="56" w:name="_Toc382326818"/>
      <w:r w:rsidRPr="001417C4">
        <w:t>Obrázek 14: Poptávkový přístup k migraci</w:t>
      </w:r>
      <w:bookmarkEnd w:id="56"/>
    </w:p>
    <w:p w:rsidR="00AC5422" w:rsidRPr="00096AB4" w:rsidRDefault="00AC5422" w:rsidP="00423120">
      <w:pPr>
        <w:jc w:val="center"/>
        <w:rPr>
          <w:rFonts w:ascii="Calibri" w:hAnsi="Calibri" w:cs="Calibri"/>
          <w:i/>
        </w:rPr>
      </w:pPr>
      <w:r w:rsidRPr="00096AB4">
        <w:rPr>
          <w:rFonts w:ascii="Calibri" w:hAnsi="Calibri" w:cs="Calibri"/>
          <w:i/>
        </w:rPr>
        <w:t>Pramen: Čadil 2010; upraveno</w:t>
      </w:r>
      <w:r>
        <w:rPr>
          <w:rFonts w:ascii="Calibri" w:hAnsi="Calibri" w:cs="Calibri"/>
          <w:i/>
        </w:rPr>
        <w:t>.</w:t>
      </w:r>
    </w:p>
    <w:p w:rsidR="00AC5422" w:rsidRDefault="00AC5422" w:rsidP="00423120">
      <w:pPr>
        <w:ind w:firstLine="709"/>
        <w:jc w:val="both"/>
        <w:rPr>
          <w:sz w:val="24"/>
          <w:szCs w:val="24"/>
        </w:rPr>
      </w:pPr>
      <w:r>
        <w:rPr>
          <w:sz w:val="24"/>
          <w:szCs w:val="24"/>
        </w:rPr>
        <w:t>Lze vypozorovat, že v regionu B došlo v důsledku výše popsaného posunu křivek S</w:t>
      </w:r>
      <w:r w:rsidRPr="009E20BC">
        <w:rPr>
          <w:sz w:val="24"/>
          <w:szCs w:val="24"/>
          <w:vertAlign w:val="subscript"/>
        </w:rPr>
        <w:t>L</w:t>
      </w:r>
      <w:r w:rsidR="00C35E3D">
        <w:rPr>
          <w:sz w:val="24"/>
          <w:szCs w:val="24"/>
        </w:rPr>
        <w:t xml:space="preserve"> a </w:t>
      </w:r>
      <w:r>
        <w:rPr>
          <w:sz w:val="24"/>
          <w:szCs w:val="24"/>
        </w:rPr>
        <w:t>D</w:t>
      </w:r>
      <w:r w:rsidRPr="009E20BC">
        <w:rPr>
          <w:sz w:val="24"/>
          <w:szCs w:val="24"/>
          <w:vertAlign w:val="subscript"/>
        </w:rPr>
        <w:t>L</w:t>
      </w:r>
      <w:r>
        <w:rPr>
          <w:sz w:val="24"/>
          <w:szCs w:val="24"/>
        </w:rPr>
        <w:t xml:space="preserve"> ke vzniku rovnováhy na úrovni původní výše mzdy, avšak při nižší zaměstnanosti. Obdobně v regionu A vzniká rovnováha na trhu na mzdové úrovni před migrací, tentokrát ovšem při vyšší zaměstnanosti. Lze tedy vyslovit závěr, že migrace vede v krátkém období pouze k přesunu pracovních sil mezi regiony, udržuje však rozdíly ve mzdách, nebo jinak řečeno nepřispívá ke konvergenci regionů. V dlouhém období ke konvergenci dojít může, a to prostřednictvím zvýšení cenové hladiny v regionu A, čím se přirozeně sníží reálná mzda v tomto regionu (Čadil, 2010). Problematiku migrace lze ještě rozšířit o několik významných poznámek:</w:t>
      </w:r>
    </w:p>
    <w:p w:rsidR="00A9221E" w:rsidRPr="00216A80" w:rsidRDefault="00AC5422" w:rsidP="00423120">
      <w:pPr>
        <w:ind w:left="284" w:hanging="284"/>
        <w:jc w:val="both"/>
        <w:rPr>
          <w:rFonts w:eastAsia="Calibri"/>
          <w:sz w:val="24"/>
          <w:szCs w:val="24"/>
          <w:lang w:eastAsia="en-US"/>
        </w:rPr>
      </w:pPr>
      <w:r>
        <w:rPr>
          <w:sz w:val="24"/>
          <w:szCs w:val="24"/>
        </w:rPr>
        <w:t xml:space="preserve">1) </w:t>
      </w:r>
      <w:r w:rsidR="00A9221E" w:rsidRPr="00216A80">
        <w:rPr>
          <w:rFonts w:eastAsia="Calibri"/>
          <w:sz w:val="24"/>
          <w:szCs w:val="24"/>
          <w:lang w:eastAsia="en-US"/>
        </w:rPr>
        <w:t xml:space="preserve">Při rozhodování o tom, zda </w:t>
      </w:r>
      <w:r w:rsidR="00A9221E" w:rsidRPr="00A9221E">
        <w:rPr>
          <w:rFonts w:eastAsia="Calibri"/>
          <w:sz w:val="24"/>
          <w:szCs w:val="24"/>
          <w:lang w:eastAsia="en-US"/>
        </w:rPr>
        <w:t xml:space="preserve">migrovat, vyhodnocují jedinci celou řadu dalších souvisejících faktorů, než jenom potenciální přírůstky nominálních a reálných </w:t>
      </w:r>
      <w:r w:rsidR="00A9221E" w:rsidRPr="00216A80">
        <w:rPr>
          <w:rFonts w:eastAsia="Calibri"/>
          <w:sz w:val="24"/>
          <w:szCs w:val="24"/>
          <w:lang w:eastAsia="en-US"/>
        </w:rPr>
        <w:t>mezd. Významnými determinantami kromě již zmíněné cenové hladiny může být dostupnost bydlení, kapacity služeb občanské vybavenosti, jazykové bariéry, vzdělání, vzdálenost od původního regionu.</w:t>
      </w:r>
    </w:p>
    <w:p w:rsidR="00AC5422" w:rsidRPr="00E26F2C" w:rsidRDefault="00AC5422" w:rsidP="00423120">
      <w:pPr>
        <w:ind w:left="284" w:hanging="284"/>
        <w:jc w:val="both"/>
        <w:rPr>
          <w:sz w:val="24"/>
          <w:szCs w:val="24"/>
        </w:rPr>
      </w:pPr>
      <w:r>
        <w:rPr>
          <w:sz w:val="24"/>
          <w:szCs w:val="24"/>
        </w:rPr>
        <w:t xml:space="preserve">2) </w:t>
      </w:r>
      <w:r w:rsidRPr="00E26F2C">
        <w:rPr>
          <w:sz w:val="24"/>
          <w:szCs w:val="24"/>
        </w:rPr>
        <w:t>Při rozšíření modelu o poptávkový přístup k migraci hraje důležitou roli skutečnost, zda dojde k úplné migraci (tedy přestěhování), nebo migraci částečné (tedy dojížďce za prací). Pokud totiž daný jedinec v jednom regionu bydlí a ve druhém pracuje, potom logicky nepřesouvá celou svoji spotřebu do jiného regionu, ba naopak podstatnou část realizuje v regionu, kde bydlí.</w:t>
      </w:r>
    </w:p>
    <w:p w:rsidR="00034F60" w:rsidRDefault="00AC5422" w:rsidP="00C35E3D">
      <w:pPr>
        <w:ind w:left="284" w:hanging="284"/>
        <w:jc w:val="both"/>
        <w:rPr>
          <w:sz w:val="24"/>
          <w:szCs w:val="24"/>
        </w:rPr>
      </w:pPr>
      <w:r>
        <w:rPr>
          <w:sz w:val="24"/>
          <w:szCs w:val="24"/>
        </w:rPr>
        <w:t xml:space="preserve">3) </w:t>
      </w:r>
      <w:r w:rsidRPr="00E26F2C">
        <w:rPr>
          <w:sz w:val="24"/>
          <w:szCs w:val="24"/>
        </w:rPr>
        <w:t>Z dlouhodobého hlediska lze považovat emigrační regiony za ty části území, které nemají dobrou budoucí perspektivu svého rozvoje. Ztrácí totiž obyvatele v produktivním věku</w:t>
      </w:r>
      <w:r w:rsidRPr="00C35E3D">
        <w:rPr>
          <w:sz w:val="24"/>
          <w:szCs w:val="24"/>
        </w:rPr>
        <w:t>,</w:t>
      </w:r>
      <w:r w:rsidRPr="00E26F2C">
        <w:rPr>
          <w:sz w:val="24"/>
          <w:szCs w:val="24"/>
        </w:rPr>
        <w:t xml:space="preserve"> a tím podvazují svůj další ekonomický vývoj. Naopak imigrační regiony si právě na úkor emigračních regionů vylepšují svoji demografickou strukturu a tím ta</w:t>
      </w:r>
      <w:r w:rsidR="00C35E3D">
        <w:rPr>
          <w:sz w:val="24"/>
          <w:szCs w:val="24"/>
        </w:rPr>
        <w:t>ké předpoklady budoucího růstu.</w:t>
      </w:r>
    </w:p>
    <w:p w:rsidR="00C35E3D" w:rsidRPr="00C35E3D" w:rsidRDefault="00C35E3D" w:rsidP="00C35E3D">
      <w:pPr>
        <w:ind w:left="284" w:hanging="284"/>
        <w:jc w:val="both"/>
        <w:rPr>
          <w:sz w:val="24"/>
          <w:szCs w:val="24"/>
        </w:rPr>
      </w:pPr>
    </w:p>
    <w:p w:rsidR="00AC5422" w:rsidRPr="00E26F2C" w:rsidRDefault="00AC5422" w:rsidP="00423120">
      <w:pPr>
        <w:jc w:val="both"/>
        <w:rPr>
          <w:b/>
          <w:sz w:val="24"/>
          <w:szCs w:val="24"/>
        </w:rPr>
      </w:pPr>
      <w:r w:rsidRPr="00E26F2C">
        <w:rPr>
          <w:b/>
          <w:sz w:val="24"/>
          <w:szCs w:val="24"/>
        </w:rPr>
        <w:lastRenderedPageBreak/>
        <w:t>Pracovní síla v</w:t>
      </w:r>
      <w:r>
        <w:rPr>
          <w:b/>
          <w:sz w:val="24"/>
          <w:szCs w:val="24"/>
        </w:rPr>
        <w:t> českých krajích</w:t>
      </w:r>
    </w:p>
    <w:p w:rsidR="00AC5422" w:rsidRPr="00ED046C" w:rsidRDefault="00AC5422" w:rsidP="00423120">
      <w:pPr>
        <w:ind w:firstLine="709"/>
        <w:jc w:val="both"/>
        <w:rPr>
          <w:color w:val="FF0000"/>
          <w:sz w:val="24"/>
          <w:szCs w:val="24"/>
        </w:rPr>
      </w:pPr>
      <w:r>
        <w:rPr>
          <w:sz w:val="24"/>
          <w:szCs w:val="24"/>
        </w:rPr>
        <w:t xml:space="preserve">V souladu s výše komentovanými teoretickými koncepty je možné konstatovat, že klíčovými charakteristikami ovlivňujícími trh práce v regionech jsou především počet ekonomicky aktivních obyvatel a výše reálné mzdy. Z hlediska dostupnosti pracovních sil má potom významnou vypovídací schopnost zejména struktura ekonomicky aktivního obyvatelstva, tedy počet zaměstnaných a počet nezaměstnaných Pro různá hodnocení pak bývá obvyklé použití podílových ukazatelů, kterými jsou míra ekonomické aktivity a míra nezaměstnanosti. </w:t>
      </w:r>
    </w:p>
    <w:p w:rsidR="00AC5422" w:rsidRPr="009D2B97" w:rsidRDefault="00AC5422" w:rsidP="00423120">
      <w:pPr>
        <w:pStyle w:val="0T-Titulek"/>
        <w:spacing w:after="200"/>
        <w:rPr>
          <w:color w:val="FF0000"/>
        </w:rPr>
      </w:pPr>
      <w:bookmarkStart w:id="57" w:name="_Toc382326436"/>
      <w:r w:rsidRPr="006E3763">
        <w:t>Tabulka 9: Počet ekonomicky aktivních</w:t>
      </w:r>
      <w:r w:rsidR="00F31CB0">
        <w:t xml:space="preserve"> obyvatel</w:t>
      </w:r>
      <w:r w:rsidRPr="006E3763">
        <w:t xml:space="preserve"> a průměrná hrubá mzda v českých krajích</w:t>
      </w:r>
      <w:bookmarkEnd w:id="57"/>
      <w:r w:rsidRPr="009D2B97">
        <w:rPr>
          <w:color w:val="FF0000"/>
        </w:rPr>
        <w:t xml:space="preserve">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814"/>
        <w:gridCol w:w="814"/>
        <w:gridCol w:w="814"/>
        <w:gridCol w:w="820"/>
        <w:gridCol w:w="820"/>
        <w:gridCol w:w="939"/>
      </w:tblGrid>
      <w:tr w:rsidR="00AC5422" w:rsidRPr="00C35E3D" w:rsidTr="00A61D6B">
        <w:trPr>
          <w:trHeight w:hRule="exact" w:val="340"/>
          <w:jc w:val="center"/>
        </w:trPr>
        <w:tc>
          <w:tcPr>
            <w:tcW w:w="2219" w:type="dxa"/>
            <w:vMerge w:val="restart"/>
            <w:vAlign w:val="center"/>
          </w:tcPr>
          <w:p w:rsidR="00AC5422" w:rsidRPr="00C35E3D" w:rsidRDefault="00AC5422" w:rsidP="00423120">
            <w:pPr>
              <w:jc w:val="center"/>
              <w:rPr>
                <w:rFonts w:asciiTheme="minorHAnsi" w:hAnsiTheme="minorHAnsi" w:cstheme="minorHAnsi"/>
                <w:b/>
              </w:rPr>
            </w:pPr>
          </w:p>
        </w:tc>
        <w:tc>
          <w:tcPr>
            <w:tcW w:w="2304" w:type="dxa"/>
            <w:gridSpan w:val="3"/>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počet ekon. aktivních</w:t>
            </w:r>
          </w:p>
        </w:tc>
        <w:tc>
          <w:tcPr>
            <w:tcW w:w="2304" w:type="dxa"/>
            <w:gridSpan w:val="3"/>
            <w:vAlign w:val="center"/>
          </w:tcPr>
          <w:p w:rsidR="00AC5422" w:rsidRPr="00C35E3D" w:rsidRDefault="00F90429" w:rsidP="00F90429">
            <w:pPr>
              <w:jc w:val="center"/>
              <w:rPr>
                <w:rFonts w:asciiTheme="minorHAnsi" w:hAnsiTheme="minorHAnsi" w:cstheme="minorHAnsi"/>
                <w:b/>
              </w:rPr>
            </w:pPr>
            <w:r w:rsidRPr="00C35E3D">
              <w:rPr>
                <w:rFonts w:asciiTheme="minorHAnsi" w:hAnsiTheme="minorHAnsi" w:cstheme="minorHAnsi"/>
                <w:b/>
              </w:rPr>
              <w:t>p</w:t>
            </w:r>
            <w:r w:rsidR="00AC5422" w:rsidRPr="00C35E3D">
              <w:rPr>
                <w:rFonts w:asciiTheme="minorHAnsi" w:hAnsiTheme="minorHAnsi" w:cstheme="minorHAnsi"/>
                <w:b/>
              </w:rPr>
              <w:t>rům</w:t>
            </w:r>
            <w:r w:rsidRPr="00C35E3D">
              <w:rPr>
                <w:rFonts w:asciiTheme="minorHAnsi" w:hAnsiTheme="minorHAnsi" w:cstheme="minorHAnsi"/>
                <w:b/>
              </w:rPr>
              <w:t>.</w:t>
            </w:r>
            <w:r w:rsidR="00AC5422" w:rsidRPr="00C35E3D">
              <w:rPr>
                <w:rFonts w:asciiTheme="minorHAnsi" w:hAnsiTheme="minorHAnsi" w:cstheme="minorHAnsi"/>
                <w:b/>
              </w:rPr>
              <w:t xml:space="preserve"> hrubá mzda</w:t>
            </w:r>
            <w:r w:rsidRPr="00C35E3D">
              <w:rPr>
                <w:rFonts w:asciiTheme="minorHAnsi" w:hAnsiTheme="minorHAnsi" w:cstheme="minorHAnsi"/>
                <w:b/>
              </w:rPr>
              <w:t xml:space="preserve"> v Kč</w:t>
            </w:r>
          </w:p>
        </w:tc>
      </w:tr>
      <w:tr w:rsidR="00AC5422" w:rsidRPr="00C35E3D" w:rsidTr="00A61D6B">
        <w:trPr>
          <w:trHeight w:hRule="exact" w:val="340"/>
          <w:jc w:val="center"/>
        </w:trPr>
        <w:tc>
          <w:tcPr>
            <w:tcW w:w="2219" w:type="dxa"/>
            <w:vMerge/>
            <w:vAlign w:val="center"/>
          </w:tcPr>
          <w:p w:rsidR="00AC5422" w:rsidRPr="00C35E3D" w:rsidRDefault="00AC5422" w:rsidP="00423120">
            <w:pPr>
              <w:jc w:val="center"/>
              <w:rPr>
                <w:rFonts w:asciiTheme="minorHAnsi" w:hAnsiTheme="minorHAnsi" w:cstheme="minorHAnsi"/>
                <w:b/>
              </w:rPr>
            </w:pPr>
          </w:p>
        </w:tc>
        <w:tc>
          <w:tcPr>
            <w:tcW w:w="768"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2009</w:t>
            </w:r>
          </w:p>
        </w:tc>
        <w:tc>
          <w:tcPr>
            <w:tcW w:w="768"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2010</w:t>
            </w:r>
          </w:p>
        </w:tc>
        <w:tc>
          <w:tcPr>
            <w:tcW w:w="768"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2011</w:t>
            </w:r>
          </w:p>
        </w:tc>
        <w:tc>
          <w:tcPr>
            <w:tcW w:w="768"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2009</w:t>
            </w:r>
          </w:p>
        </w:tc>
        <w:tc>
          <w:tcPr>
            <w:tcW w:w="768"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2010</w:t>
            </w:r>
          </w:p>
        </w:tc>
        <w:tc>
          <w:tcPr>
            <w:tcW w:w="768"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2011</w:t>
            </w:r>
          </w:p>
        </w:tc>
      </w:tr>
      <w:tr w:rsidR="00AC5422" w:rsidRPr="00C35E3D" w:rsidTr="00A61D6B">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Praha</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580,8</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682,4</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674,8</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30028 028</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30913 913</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29768 768</w:t>
            </w:r>
          </w:p>
        </w:tc>
      </w:tr>
      <w:tr w:rsidR="00AC5422" w:rsidRPr="00C35E3D" w:rsidTr="00A61D6B">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Středočeský</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629,2</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635,5</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643,9</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21972 972</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22776 776</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23226 226</w:t>
            </w:r>
          </w:p>
        </w:tc>
      </w:tr>
      <w:tr w:rsidR="00AC5422" w:rsidRPr="00C35E3D" w:rsidTr="00A61D6B">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Jihočeský</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321,2</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316,8</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319,9</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20319 319</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20665 665</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21269 269</w:t>
            </w:r>
          </w:p>
        </w:tc>
      </w:tr>
      <w:tr w:rsidR="00AC5422" w:rsidRPr="00C35E3D" w:rsidTr="00A61D6B">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Plzeňský</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293,2</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290,8</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291,7</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21864 864</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22018 018</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22489 489</w:t>
            </w:r>
          </w:p>
        </w:tc>
      </w:tr>
      <w:tr w:rsidR="00AC5422" w:rsidRPr="00C35E3D" w:rsidTr="00A61D6B">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Karlovarský</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161,5</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161,9</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156,8</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19450 450</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19675 675</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20304 304</w:t>
            </w:r>
          </w:p>
        </w:tc>
      </w:tr>
      <w:tr w:rsidR="00AC5422" w:rsidRPr="00C35E3D" w:rsidTr="00A61D6B">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Ústecký</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406,6</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407,3</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406,8</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20850 850</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21145 145</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21527 527</w:t>
            </w:r>
          </w:p>
        </w:tc>
      </w:tr>
      <w:tr w:rsidR="00AC5422" w:rsidRPr="00C35E3D" w:rsidTr="00A61D6B">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Liberecký</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214,0</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216,6</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214,7</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20426 426</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20723 723</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21591 591</w:t>
            </w:r>
          </w:p>
        </w:tc>
      </w:tr>
      <w:tr w:rsidR="00AC5422" w:rsidRPr="00C35E3D" w:rsidTr="00A61D6B">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Královehradecký</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276,0</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272,5</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271,6</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20527 527</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20852 852</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21543 543</w:t>
            </w:r>
          </w:p>
        </w:tc>
      </w:tr>
      <w:tr w:rsidR="00AC5422" w:rsidRPr="00C35E3D" w:rsidTr="00A61D6B">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Pardubický</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254,9</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253,4</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253,3</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19887 887</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20121 121</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20820 820820</w:t>
            </w:r>
          </w:p>
        </w:tc>
      </w:tr>
      <w:tr w:rsidR="00AC5422" w:rsidRPr="00C35E3D" w:rsidTr="00A61D6B">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Vysočina</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255,5</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255,9</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251,2</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20037 037</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20556 556</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21128</w:t>
            </w:r>
          </w:p>
        </w:tc>
      </w:tr>
      <w:tr w:rsidR="00AC5422" w:rsidRPr="00C35E3D" w:rsidTr="00A61D6B">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Jihomoravský</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568,6</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576,2</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572,5</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21703 703</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21847 847</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22692</w:t>
            </w:r>
          </w:p>
        </w:tc>
      </w:tr>
      <w:tr w:rsidR="00AC5422" w:rsidRPr="00C35E3D" w:rsidTr="00A61D6B">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Olomoucký</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316,6</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306,2</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307,2</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19926 926</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20359 359</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20906</w:t>
            </w:r>
          </w:p>
        </w:tc>
      </w:tr>
      <w:tr w:rsidR="00AC5422" w:rsidRPr="00C35E3D" w:rsidTr="00A61D6B">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Zlínský</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290,9</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288,5</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290,6</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19478 478</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19965 965</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20849</w:t>
            </w:r>
          </w:p>
        </w:tc>
      </w:tr>
      <w:tr w:rsidR="00AC5422" w:rsidRPr="00C35E3D" w:rsidTr="00A61D6B">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Moravskoslezský</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617,2</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605,0</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602,3</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21136 136</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21553 553</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22239</w:t>
            </w:r>
          </w:p>
        </w:tc>
      </w:tr>
    </w:tbl>
    <w:p w:rsidR="00AC5422" w:rsidRDefault="00AC5422" w:rsidP="00423120">
      <w:pPr>
        <w:ind w:left="1134" w:right="1134"/>
        <w:jc w:val="both"/>
        <w:rPr>
          <w:rFonts w:ascii="Calibri" w:hAnsi="Calibri" w:cs="Calibri"/>
          <w:i/>
        </w:rPr>
      </w:pPr>
      <w:r w:rsidRPr="005855EF">
        <w:rPr>
          <w:rFonts w:ascii="Calibri" w:hAnsi="Calibri" w:cs="Calibri"/>
          <w:i/>
        </w:rPr>
        <w:t>Pramen: Český statistický úřad</w:t>
      </w:r>
      <w:r>
        <w:rPr>
          <w:rFonts w:ascii="Calibri" w:hAnsi="Calibri" w:cs="Calibri"/>
          <w:i/>
        </w:rPr>
        <w:t>,</w:t>
      </w:r>
      <w:r w:rsidRPr="005855EF">
        <w:rPr>
          <w:rFonts w:ascii="Calibri" w:hAnsi="Calibri" w:cs="Calibri"/>
          <w:i/>
        </w:rPr>
        <w:t xml:space="preserve"> </w:t>
      </w:r>
      <w:r>
        <w:rPr>
          <w:rFonts w:ascii="Calibri" w:hAnsi="Calibri" w:cs="Calibri"/>
          <w:i/>
        </w:rPr>
        <w:t>v</w:t>
      </w:r>
      <w:r w:rsidRPr="005855EF">
        <w:rPr>
          <w:rFonts w:ascii="Calibri" w:hAnsi="Calibri" w:cs="Calibri"/>
          <w:i/>
        </w:rPr>
        <w:t>eřejná databáze on-line</w:t>
      </w:r>
      <w:r w:rsidRPr="005855EF">
        <w:rPr>
          <w:rFonts w:ascii="Calibri" w:hAnsi="Calibri" w:cs="Calibri"/>
        </w:rPr>
        <w:t xml:space="preserve"> </w:t>
      </w:r>
      <w:r w:rsidRPr="005855EF">
        <w:rPr>
          <w:rFonts w:ascii="Calibri" w:hAnsi="Calibri" w:cs="Calibri"/>
          <w:i/>
        </w:rPr>
        <w:t>(cit. 15.</w:t>
      </w:r>
      <w:r>
        <w:rPr>
          <w:rFonts w:ascii="Calibri" w:hAnsi="Calibri" w:cs="Calibri"/>
          <w:i/>
        </w:rPr>
        <w:t xml:space="preserve"> </w:t>
      </w:r>
      <w:r w:rsidRPr="005855EF">
        <w:rPr>
          <w:rFonts w:ascii="Calibri" w:hAnsi="Calibri" w:cs="Calibri"/>
          <w:i/>
        </w:rPr>
        <w:t>3.</w:t>
      </w:r>
      <w:r>
        <w:rPr>
          <w:rFonts w:ascii="Calibri" w:hAnsi="Calibri" w:cs="Calibri"/>
          <w:i/>
        </w:rPr>
        <w:t xml:space="preserve"> </w:t>
      </w:r>
      <w:r w:rsidRPr="005855EF">
        <w:rPr>
          <w:rFonts w:ascii="Calibri" w:hAnsi="Calibri" w:cs="Calibri"/>
          <w:i/>
        </w:rPr>
        <w:t>2013)</w:t>
      </w:r>
      <w:r>
        <w:rPr>
          <w:rFonts w:ascii="Calibri" w:hAnsi="Calibri" w:cs="Calibri"/>
          <w:i/>
        </w:rPr>
        <w:t>.</w:t>
      </w:r>
    </w:p>
    <w:p w:rsidR="00AC5422" w:rsidRDefault="00AC5422" w:rsidP="00423120">
      <w:pPr>
        <w:ind w:firstLine="709"/>
        <w:jc w:val="both"/>
        <w:rPr>
          <w:sz w:val="24"/>
          <w:szCs w:val="24"/>
        </w:rPr>
      </w:pPr>
      <w:r>
        <w:rPr>
          <w:sz w:val="24"/>
          <w:szCs w:val="24"/>
        </w:rPr>
        <w:t xml:space="preserve">Počet ekonomicky aktivních </w:t>
      </w:r>
      <w:r w:rsidR="00F90429">
        <w:rPr>
          <w:sz w:val="24"/>
          <w:szCs w:val="24"/>
        </w:rPr>
        <w:t xml:space="preserve">obyvatel </w:t>
      </w:r>
      <w:r>
        <w:rPr>
          <w:sz w:val="24"/>
          <w:szCs w:val="24"/>
        </w:rPr>
        <w:t> </w:t>
      </w:r>
      <w:r w:rsidR="00923F83">
        <w:rPr>
          <w:sz w:val="24"/>
          <w:szCs w:val="24"/>
        </w:rPr>
        <w:t>České republice v období 2009–</w:t>
      </w:r>
      <w:r>
        <w:rPr>
          <w:sz w:val="24"/>
          <w:szCs w:val="24"/>
        </w:rPr>
        <w:t xml:space="preserve">2011 stagnoval, resp. mírně klesal. Tato tendence je patrná v naprosté většině krajů, vymyká se pouze Středočeský kraj, kde se počet ekonomicky aktivních zvyšoval. </w:t>
      </w:r>
      <w:r w:rsidRPr="00B74C92">
        <w:rPr>
          <w:sz w:val="24"/>
          <w:szCs w:val="24"/>
        </w:rPr>
        <w:t xml:space="preserve">Průměrné </w:t>
      </w:r>
      <w:r>
        <w:rPr>
          <w:sz w:val="24"/>
          <w:szCs w:val="24"/>
        </w:rPr>
        <w:t xml:space="preserve">nominální </w:t>
      </w:r>
      <w:r w:rsidRPr="00B74C92">
        <w:rPr>
          <w:sz w:val="24"/>
          <w:szCs w:val="24"/>
        </w:rPr>
        <w:t>mzdy v čase rostou bez ohledu na výkyvy ekonomiky, což potvrzují i regionální údaje. Je tedy zřejmé, že i přes probíhající krizi a s ní spojené propouště</w:t>
      </w:r>
      <w:r w:rsidR="00C35E3D">
        <w:rPr>
          <w:sz w:val="24"/>
          <w:szCs w:val="24"/>
        </w:rPr>
        <w:t>ní a opakované snížení platů ve </w:t>
      </w:r>
      <w:r w:rsidRPr="00B74C92">
        <w:rPr>
          <w:sz w:val="24"/>
          <w:szCs w:val="24"/>
        </w:rPr>
        <w:t>veřejném sektoru nedošlo k výraznému snížení platů v</w:t>
      </w:r>
      <w:r>
        <w:rPr>
          <w:sz w:val="24"/>
          <w:szCs w:val="24"/>
        </w:rPr>
        <w:t>íce kvalifikovaných pracujících, jichž se propouštění tolik nedotklo.</w:t>
      </w:r>
    </w:p>
    <w:p w:rsidR="00AC5422" w:rsidRDefault="00AC5422" w:rsidP="00423120">
      <w:pPr>
        <w:ind w:firstLine="709"/>
        <w:jc w:val="both"/>
        <w:rPr>
          <w:sz w:val="24"/>
          <w:szCs w:val="24"/>
        </w:rPr>
      </w:pPr>
      <w:r>
        <w:rPr>
          <w:sz w:val="24"/>
          <w:szCs w:val="24"/>
        </w:rPr>
        <w:t>Nejvyšší počty zaměstnaných jsou logicky v nejlidnatějších krajích, resp. v regionech s nejvyšším počtem ekonomicky aktivních obyvatel. Mezi lety 2010 a 2011 došlo v osmi krajích k nárůstu počtu zaměstnaných a dokonce v 11 krajích také ke snížení počtu nezaměstnaných. To je určitým mírně pozitivním signálem o měnících se podmínkách na trhu práce.</w:t>
      </w:r>
    </w:p>
    <w:p w:rsidR="00AC5422" w:rsidRPr="006E3763" w:rsidRDefault="00AC5422" w:rsidP="00423120">
      <w:pPr>
        <w:pStyle w:val="0T-Titulek"/>
        <w:spacing w:after="200"/>
      </w:pPr>
      <w:bookmarkStart w:id="58" w:name="_Toc382326437"/>
      <w:r w:rsidRPr="006E3763">
        <w:lastRenderedPageBreak/>
        <w:t>Tabulka 10: Počet zaměstnaných a nezaměstnaných v českých krajích</w:t>
      </w:r>
      <w:bookmarkEnd w:id="58"/>
      <w:r w:rsidRPr="006E3763">
        <w:t xml:space="preserve">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829"/>
        <w:gridCol w:w="829"/>
        <w:gridCol w:w="829"/>
        <w:gridCol w:w="829"/>
        <w:gridCol w:w="829"/>
        <w:gridCol w:w="829"/>
      </w:tblGrid>
      <w:tr w:rsidR="00AC5422" w:rsidRPr="00FA3820" w:rsidTr="00AD4BC6">
        <w:trPr>
          <w:trHeight w:hRule="exact" w:val="340"/>
          <w:jc w:val="center"/>
        </w:trPr>
        <w:tc>
          <w:tcPr>
            <w:tcW w:w="2219" w:type="dxa"/>
            <w:vMerge w:val="restart"/>
          </w:tcPr>
          <w:p w:rsidR="00AC5422" w:rsidRPr="00C35E3D" w:rsidRDefault="00AC5422" w:rsidP="00423120">
            <w:pPr>
              <w:ind w:firstLine="709"/>
              <w:rPr>
                <w:rFonts w:asciiTheme="minorHAnsi" w:hAnsiTheme="minorHAnsi" w:cstheme="minorHAnsi"/>
                <w:b/>
              </w:rPr>
            </w:pPr>
          </w:p>
        </w:tc>
        <w:tc>
          <w:tcPr>
            <w:tcW w:w="2304" w:type="dxa"/>
            <w:gridSpan w:val="3"/>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počet zaměstnaných</w:t>
            </w:r>
          </w:p>
        </w:tc>
        <w:tc>
          <w:tcPr>
            <w:tcW w:w="2304" w:type="dxa"/>
            <w:gridSpan w:val="3"/>
          </w:tcPr>
          <w:p w:rsidR="00AC5422" w:rsidRPr="00C35E3D" w:rsidRDefault="00F90429" w:rsidP="00423120">
            <w:pPr>
              <w:rPr>
                <w:rFonts w:asciiTheme="minorHAnsi" w:hAnsiTheme="minorHAnsi" w:cstheme="minorHAnsi"/>
                <w:b/>
              </w:rPr>
            </w:pPr>
            <w:r w:rsidRPr="00C35E3D">
              <w:rPr>
                <w:rFonts w:asciiTheme="minorHAnsi" w:hAnsiTheme="minorHAnsi" w:cstheme="minorHAnsi"/>
                <w:b/>
              </w:rPr>
              <w:t>p</w:t>
            </w:r>
            <w:r w:rsidR="002342D1" w:rsidRPr="00C35E3D">
              <w:rPr>
                <w:rFonts w:asciiTheme="minorHAnsi" w:hAnsiTheme="minorHAnsi" w:cstheme="minorHAnsi"/>
                <w:b/>
              </w:rPr>
              <w:t>očet</w:t>
            </w:r>
            <w:r w:rsidRPr="00C35E3D">
              <w:rPr>
                <w:rFonts w:asciiTheme="minorHAnsi" w:hAnsiTheme="minorHAnsi" w:cstheme="minorHAnsi"/>
                <w:b/>
              </w:rPr>
              <w:t xml:space="preserve"> </w:t>
            </w:r>
            <w:r w:rsidR="00AC5422" w:rsidRPr="00C35E3D">
              <w:rPr>
                <w:rFonts w:asciiTheme="minorHAnsi" w:hAnsiTheme="minorHAnsi" w:cstheme="minorHAnsi"/>
                <w:b/>
              </w:rPr>
              <w:t>nezaměstnaných</w:t>
            </w:r>
          </w:p>
          <w:p w:rsidR="002342D1" w:rsidRPr="00C35E3D" w:rsidRDefault="002342D1" w:rsidP="00423120">
            <w:pPr>
              <w:rPr>
                <w:rFonts w:asciiTheme="minorHAnsi" w:hAnsiTheme="minorHAnsi" w:cstheme="minorHAnsi"/>
                <w:b/>
              </w:rPr>
            </w:pPr>
          </w:p>
          <w:p w:rsidR="002342D1" w:rsidRPr="00C35E3D" w:rsidRDefault="002342D1" w:rsidP="00423120">
            <w:pPr>
              <w:rPr>
                <w:rFonts w:asciiTheme="minorHAnsi" w:hAnsiTheme="minorHAnsi" w:cstheme="minorHAnsi"/>
                <w:b/>
              </w:rPr>
            </w:pPr>
          </w:p>
          <w:p w:rsidR="002342D1" w:rsidRPr="00C35E3D" w:rsidRDefault="002342D1" w:rsidP="00423120">
            <w:pPr>
              <w:rPr>
                <w:rFonts w:asciiTheme="minorHAnsi" w:hAnsiTheme="minorHAnsi" w:cstheme="minorHAnsi"/>
                <w:b/>
              </w:rPr>
            </w:pPr>
          </w:p>
          <w:p w:rsidR="002342D1" w:rsidRPr="00C35E3D" w:rsidRDefault="002342D1" w:rsidP="00423120">
            <w:pPr>
              <w:rPr>
                <w:rFonts w:asciiTheme="minorHAnsi" w:hAnsiTheme="minorHAnsi" w:cstheme="minorHAnsi"/>
                <w:b/>
              </w:rPr>
            </w:pPr>
          </w:p>
        </w:tc>
      </w:tr>
      <w:tr w:rsidR="00AC5422" w:rsidRPr="00FA3820" w:rsidTr="00AD4BC6">
        <w:trPr>
          <w:trHeight w:hRule="exact" w:val="340"/>
          <w:jc w:val="center"/>
        </w:trPr>
        <w:tc>
          <w:tcPr>
            <w:tcW w:w="2219" w:type="dxa"/>
            <w:vMerge/>
          </w:tcPr>
          <w:p w:rsidR="00AC5422" w:rsidRPr="00C35E3D" w:rsidRDefault="00AC5422" w:rsidP="00423120">
            <w:pPr>
              <w:rPr>
                <w:rFonts w:asciiTheme="minorHAnsi" w:hAnsiTheme="minorHAnsi" w:cstheme="minorHAnsi"/>
                <w:b/>
              </w:rPr>
            </w:pPr>
          </w:p>
        </w:tc>
        <w:tc>
          <w:tcPr>
            <w:tcW w:w="768" w:type="dxa"/>
            <w:vAlign w:val="center"/>
          </w:tcPr>
          <w:p w:rsidR="00AC5422" w:rsidRPr="00C35E3D" w:rsidRDefault="002342D1" w:rsidP="00423120">
            <w:pPr>
              <w:jc w:val="center"/>
              <w:rPr>
                <w:rFonts w:asciiTheme="minorHAnsi" w:hAnsiTheme="minorHAnsi" w:cstheme="minorHAnsi"/>
                <w:b/>
              </w:rPr>
            </w:pPr>
            <w:r w:rsidRPr="00C35E3D">
              <w:rPr>
                <w:rFonts w:asciiTheme="minorHAnsi" w:hAnsiTheme="minorHAnsi" w:cstheme="minorHAnsi"/>
                <w:b/>
              </w:rPr>
              <w:t>20</w:t>
            </w:r>
            <w:r w:rsidR="00AC5422" w:rsidRPr="00C35E3D">
              <w:rPr>
                <w:rFonts w:asciiTheme="minorHAnsi" w:hAnsiTheme="minorHAnsi" w:cstheme="minorHAnsi"/>
                <w:b/>
              </w:rPr>
              <w:t>09</w:t>
            </w:r>
          </w:p>
        </w:tc>
        <w:tc>
          <w:tcPr>
            <w:tcW w:w="768"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2010</w:t>
            </w:r>
          </w:p>
        </w:tc>
        <w:tc>
          <w:tcPr>
            <w:tcW w:w="768"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2011</w:t>
            </w:r>
          </w:p>
        </w:tc>
        <w:tc>
          <w:tcPr>
            <w:tcW w:w="768"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2009</w:t>
            </w:r>
          </w:p>
        </w:tc>
        <w:tc>
          <w:tcPr>
            <w:tcW w:w="768"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2010</w:t>
            </w:r>
          </w:p>
        </w:tc>
        <w:tc>
          <w:tcPr>
            <w:tcW w:w="768"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2011</w:t>
            </w:r>
          </w:p>
        </w:tc>
      </w:tr>
      <w:tr w:rsidR="00AC5422" w:rsidRPr="00FA3820" w:rsidTr="00AD4BC6">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Praha</w:t>
            </w:r>
          </w:p>
        </w:tc>
        <w:tc>
          <w:tcPr>
            <w:tcW w:w="0" w:type="auto"/>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660,0</w:t>
            </w:r>
          </w:p>
        </w:tc>
        <w:tc>
          <w:tcPr>
            <w:tcW w:w="0" w:type="auto"/>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656,8</w:t>
            </w:r>
          </w:p>
        </w:tc>
        <w:tc>
          <w:tcPr>
            <w:tcW w:w="0" w:type="auto"/>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650,3</w:t>
            </w:r>
          </w:p>
        </w:tc>
        <w:tc>
          <w:tcPr>
            <w:tcW w:w="0" w:type="auto"/>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20,8</w:t>
            </w:r>
          </w:p>
        </w:tc>
        <w:tc>
          <w:tcPr>
            <w:tcW w:w="0" w:type="auto"/>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25,6</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24,5</w:t>
            </w:r>
          </w:p>
        </w:tc>
      </w:tr>
      <w:tr w:rsidR="00AC5422" w:rsidRPr="00FA3820" w:rsidTr="00AD4BC6">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Středočeský</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601,4</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602,2</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611,2</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27,8</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33,3</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32,7</w:t>
            </w:r>
          </w:p>
        </w:tc>
      </w:tr>
      <w:tr w:rsidR="00AC5422" w:rsidRPr="00FA3820" w:rsidTr="00AD4BC6">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Jihočeský</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307,5</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300,0</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302,2</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13,7</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16,8</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17,7</w:t>
            </w:r>
          </w:p>
        </w:tc>
      </w:tr>
      <w:tr w:rsidR="00AC5422" w:rsidRPr="00FA3820" w:rsidTr="00AD4BC6">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Plzeňský</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274,8</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273,7</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276,6</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18,4</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17,1</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15,1</w:t>
            </w:r>
          </w:p>
        </w:tc>
      </w:tr>
      <w:tr w:rsidR="00AC5422" w:rsidRPr="00FA3820" w:rsidTr="00AD4BC6">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Karlovarský</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143,9</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144,4</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143,4</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17,6</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17,5</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13,4</w:t>
            </w:r>
          </w:p>
        </w:tc>
      </w:tr>
      <w:tr w:rsidR="00AC5422" w:rsidRPr="00FA3820" w:rsidTr="00AD4BC6">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Ústecký</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365,7</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361,9</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366,6</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40,9</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45,4</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40,2</w:t>
            </w:r>
          </w:p>
        </w:tc>
      </w:tr>
      <w:tr w:rsidR="00AC5422" w:rsidRPr="00FA3820" w:rsidTr="00AD4BC6">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Liberecký</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197,2</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201,5</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199,1</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16,8</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15,1</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15,6</w:t>
            </w:r>
          </w:p>
        </w:tc>
      </w:tr>
      <w:tr w:rsidR="00AC5422" w:rsidRPr="00FA3820" w:rsidTr="00AD4BC6">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Královehradecký</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254,7</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253,8</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252,3</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21,3</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18,7</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19,3</w:t>
            </w:r>
          </w:p>
        </w:tc>
      </w:tr>
      <w:tr w:rsidR="00AC5422" w:rsidRPr="00FA3820" w:rsidTr="00AD4BC6">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Pardubický</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238,5</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235,0</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239,2</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16,4</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18,4</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14,1</w:t>
            </w:r>
          </w:p>
        </w:tc>
      </w:tr>
      <w:tr w:rsidR="00AC5422" w:rsidRPr="00FA3820" w:rsidTr="00AD4BC6">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Vysočina</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241,0</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238,2</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235,0</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14,5</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17,7</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16,2</w:t>
            </w:r>
          </w:p>
        </w:tc>
      </w:tr>
      <w:tr w:rsidR="00AC5422" w:rsidRPr="00FA3820" w:rsidTr="00AD4BC6">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Jihomoravský</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529,7</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531,8</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529,3</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38,9</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44,4</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43,2</w:t>
            </w:r>
          </w:p>
        </w:tc>
      </w:tr>
      <w:tr w:rsidR="00AC5422" w:rsidRPr="00FA3820" w:rsidTr="00AD4BC6">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Olomoucký</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292,4</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278,5</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283,9</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24,2</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27,7</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23,3</w:t>
            </w:r>
          </w:p>
        </w:tc>
      </w:tr>
      <w:tr w:rsidR="00AC5422" w:rsidRPr="00FA3820" w:rsidTr="00AD4BC6">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Zlínský</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269,7</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264,0</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268,4</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21,2</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24,5</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22,2</w:t>
            </w:r>
          </w:p>
        </w:tc>
      </w:tr>
      <w:tr w:rsidR="00AC5422" w:rsidRPr="00FA3820" w:rsidTr="00AD4BC6">
        <w:trPr>
          <w:trHeight w:hRule="exact" w:val="340"/>
          <w:jc w:val="center"/>
        </w:trPr>
        <w:tc>
          <w:tcPr>
            <w:tcW w:w="2219"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Moravskoslezský</w:t>
            </w:r>
          </w:p>
        </w:tc>
        <w:tc>
          <w:tcPr>
            <w:tcW w:w="768" w:type="dxa"/>
            <w:vAlign w:val="center"/>
          </w:tcPr>
          <w:p w:rsidR="00AC5422" w:rsidRPr="00C35E3D" w:rsidRDefault="00AC5422" w:rsidP="00423120">
            <w:pPr>
              <w:jc w:val="right"/>
              <w:rPr>
                <w:rFonts w:asciiTheme="minorHAnsi" w:hAnsiTheme="minorHAnsi" w:cstheme="minorHAnsi"/>
                <w:color w:val="000000"/>
              </w:rPr>
            </w:pPr>
            <w:r w:rsidRPr="00C35E3D">
              <w:rPr>
                <w:rFonts w:asciiTheme="minorHAnsi" w:hAnsiTheme="minorHAnsi" w:cstheme="minorHAnsi"/>
                <w:color w:val="000000"/>
              </w:rPr>
              <w:t>557,5</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543,6</w:t>
            </w:r>
          </w:p>
        </w:tc>
        <w:tc>
          <w:tcPr>
            <w:tcW w:w="768" w:type="dxa"/>
            <w:vAlign w:val="center"/>
          </w:tcPr>
          <w:p w:rsidR="00AC5422" w:rsidRPr="00C35E3D" w:rsidRDefault="00AC5422" w:rsidP="00423120">
            <w:pPr>
              <w:jc w:val="center"/>
              <w:rPr>
                <w:rFonts w:asciiTheme="minorHAnsi" w:hAnsiTheme="minorHAnsi" w:cstheme="minorHAnsi"/>
                <w:color w:val="000000"/>
              </w:rPr>
            </w:pPr>
            <w:r w:rsidRPr="00C35E3D">
              <w:rPr>
                <w:rFonts w:asciiTheme="minorHAnsi" w:hAnsiTheme="minorHAnsi" w:cstheme="minorHAnsi"/>
                <w:color w:val="000000"/>
              </w:rPr>
              <w:t>546,1</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59,7</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61,4</w:t>
            </w:r>
          </w:p>
        </w:tc>
        <w:tc>
          <w:tcPr>
            <w:tcW w:w="768"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56,2</w:t>
            </w:r>
          </w:p>
        </w:tc>
      </w:tr>
    </w:tbl>
    <w:p w:rsidR="00AC5422" w:rsidRDefault="00AC5422" w:rsidP="00423120">
      <w:pPr>
        <w:ind w:left="1134" w:right="1134"/>
        <w:jc w:val="both"/>
        <w:rPr>
          <w:rFonts w:ascii="Calibri" w:hAnsi="Calibri" w:cs="Calibri"/>
          <w:i/>
        </w:rPr>
      </w:pPr>
      <w:r w:rsidRPr="005855EF">
        <w:rPr>
          <w:rFonts w:ascii="Calibri" w:hAnsi="Calibri" w:cs="Calibri"/>
          <w:i/>
        </w:rPr>
        <w:t>Pramen: Český statistický úřad</w:t>
      </w:r>
      <w:r>
        <w:rPr>
          <w:rFonts w:ascii="Calibri" w:hAnsi="Calibri" w:cs="Calibri"/>
          <w:i/>
        </w:rPr>
        <w:t>,</w:t>
      </w:r>
      <w:r w:rsidRPr="005855EF">
        <w:rPr>
          <w:rFonts w:ascii="Calibri" w:hAnsi="Calibri" w:cs="Calibri"/>
          <w:i/>
        </w:rPr>
        <w:t xml:space="preserve"> </w:t>
      </w:r>
      <w:r>
        <w:rPr>
          <w:rFonts w:ascii="Calibri" w:hAnsi="Calibri" w:cs="Calibri"/>
          <w:i/>
        </w:rPr>
        <w:t>v</w:t>
      </w:r>
      <w:r w:rsidRPr="005855EF">
        <w:rPr>
          <w:rFonts w:ascii="Calibri" w:hAnsi="Calibri" w:cs="Calibri"/>
          <w:i/>
        </w:rPr>
        <w:t>eřejná databáze on-line</w:t>
      </w:r>
      <w:r w:rsidRPr="005855EF">
        <w:rPr>
          <w:rFonts w:ascii="Calibri" w:hAnsi="Calibri" w:cs="Calibri"/>
        </w:rPr>
        <w:t xml:space="preserve"> </w:t>
      </w:r>
      <w:r w:rsidRPr="005855EF">
        <w:rPr>
          <w:rFonts w:ascii="Calibri" w:hAnsi="Calibri" w:cs="Calibri"/>
          <w:i/>
        </w:rPr>
        <w:t>(cit. 15.</w:t>
      </w:r>
      <w:r>
        <w:rPr>
          <w:rFonts w:ascii="Calibri" w:hAnsi="Calibri" w:cs="Calibri"/>
          <w:i/>
        </w:rPr>
        <w:t xml:space="preserve"> </w:t>
      </w:r>
      <w:r w:rsidRPr="005855EF">
        <w:rPr>
          <w:rFonts w:ascii="Calibri" w:hAnsi="Calibri" w:cs="Calibri"/>
          <w:i/>
        </w:rPr>
        <w:t>3.</w:t>
      </w:r>
      <w:r>
        <w:rPr>
          <w:rFonts w:ascii="Calibri" w:hAnsi="Calibri" w:cs="Calibri"/>
          <w:i/>
        </w:rPr>
        <w:t xml:space="preserve"> </w:t>
      </w:r>
      <w:r w:rsidRPr="005855EF">
        <w:rPr>
          <w:rFonts w:ascii="Calibri" w:hAnsi="Calibri" w:cs="Calibri"/>
          <w:i/>
        </w:rPr>
        <w:t>2013)</w:t>
      </w:r>
      <w:r>
        <w:rPr>
          <w:rFonts w:ascii="Calibri" w:hAnsi="Calibri" w:cs="Calibri"/>
          <w:i/>
        </w:rPr>
        <w:t>.</w:t>
      </w:r>
    </w:p>
    <w:p w:rsidR="00AC5422" w:rsidRDefault="00AC5422" w:rsidP="00423120">
      <w:pPr>
        <w:ind w:firstLine="720"/>
        <w:jc w:val="both"/>
        <w:rPr>
          <w:rFonts w:ascii="Calibri" w:hAnsi="Calibri" w:cs="Calibri"/>
          <w:i/>
        </w:rPr>
      </w:pPr>
      <w:r>
        <w:rPr>
          <w:sz w:val="24"/>
          <w:szCs w:val="24"/>
        </w:rPr>
        <w:t xml:space="preserve">Podle dlouhodobé prognózy bude mít míra ekonomické aktivity obecně klesající tendenci s tím, jak se bude zvyšovat počet obyvatel v poproduktivním věku. V současnosti tato tendence není ještě nijak zřetelná v žádném z českých krajů. </w:t>
      </w:r>
    </w:p>
    <w:p w:rsidR="00AC5422" w:rsidRPr="006E3763" w:rsidRDefault="00AC5422" w:rsidP="00423120">
      <w:pPr>
        <w:pStyle w:val="0T-Titulek"/>
        <w:spacing w:after="200"/>
      </w:pPr>
      <w:bookmarkStart w:id="59" w:name="_Toc382326438"/>
      <w:r w:rsidRPr="006E3763">
        <w:t xml:space="preserve">Tabulka 11: Míra ekonomické aktivity a míra nezaměstnanosti v českých krajích </w:t>
      </w:r>
      <w:r w:rsidR="009330DC">
        <w:t>(v %)</w:t>
      </w:r>
      <w:bookmarkEnd w:id="59"/>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921"/>
        <w:gridCol w:w="921"/>
        <w:gridCol w:w="922"/>
        <w:gridCol w:w="922"/>
        <w:gridCol w:w="922"/>
        <w:gridCol w:w="922"/>
      </w:tblGrid>
      <w:tr w:rsidR="00AC5422" w:rsidRPr="00FA3820" w:rsidTr="00AD4BC6">
        <w:trPr>
          <w:trHeight w:hRule="exact" w:val="340"/>
          <w:jc w:val="center"/>
        </w:trPr>
        <w:tc>
          <w:tcPr>
            <w:tcW w:w="2217" w:type="dxa"/>
            <w:vMerge w:val="restart"/>
            <w:vAlign w:val="center"/>
          </w:tcPr>
          <w:p w:rsidR="00AC5422" w:rsidRPr="00C35E3D" w:rsidRDefault="00AC5422" w:rsidP="00423120">
            <w:pPr>
              <w:rPr>
                <w:rFonts w:asciiTheme="minorHAnsi" w:hAnsiTheme="minorHAnsi" w:cstheme="minorHAnsi"/>
                <w:b/>
              </w:rPr>
            </w:pPr>
          </w:p>
        </w:tc>
        <w:tc>
          <w:tcPr>
            <w:tcW w:w="2217" w:type="dxa"/>
            <w:gridSpan w:val="3"/>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míra ekonomické aktivity</w:t>
            </w:r>
          </w:p>
        </w:tc>
        <w:tc>
          <w:tcPr>
            <w:tcW w:w="2217" w:type="dxa"/>
            <w:gridSpan w:val="3"/>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míra nezaměstnanosti</w:t>
            </w:r>
          </w:p>
        </w:tc>
      </w:tr>
      <w:tr w:rsidR="00AC5422" w:rsidRPr="00FA3820" w:rsidTr="00AD4BC6">
        <w:trPr>
          <w:trHeight w:hRule="exact" w:val="340"/>
          <w:jc w:val="center"/>
        </w:trPr>
        <w:tc>
          <w:tcPr>
            <w:tcW w:w="2217" w:type="dxa"/>
            <w:vMerge/>
            <w:vAlign w:val="center"/>
          </w:tcPr>
          <w:p w:rsidR="00AC5422" w:rsidRPr="00C35E3D" w:rsidRDefault="00AC5422" w:rsidP="00423120">
            <w:pPr>
              <w:rPr>
                <w:rFonts w:asciiTheme="minorHAnsi" w:hAnsiTheme="minorHAnsi" w:cstheme="minorHAnsi"/>
                <w:b/>
              </w:rPr>
            </w:pPr>
          </w:p>
        </w:tc>
        <w:tc>
          <w:tcPr>
            <w:tcW w:w="2217" w:type="dxa"/>
            <w:vAlign w:val="center"/>
          </w:tcPr>
          <w:p w:rsidR="00AC5422" w:rsidRPr="00C35E3D" w:rsidRDefault="002342D1" w:rsidP="00423120">
            <w:pPr>
              <w:jc w:val="center"/>
              <w:rPr>
                <w:rFonts w:asciiTheme="minorHAnsi" w:hAnsiTheme="minorHAnsi" w:cstheme="minorHAnsi"/>
                <w:b/>
              </w:rPr>
            </w:pPr>
            <w:r w:rsidRPr="00C35E3D">
              <w:rPr>
                <w:rFonts w:asciiTheme="minorHAnsi" w:hAnsiTheme="minorHAnsi" w:cstheme="minorHAnsi"/>
                <w:b/>
              </w:rPr>
              <w:t>20</w:t>
            </w:r>
            <w:r w:rsidR="00AC5422" w:rsidRPr="00C35E3D">
              <w:rPr>
                <w:rFonts w:asciiTheme="minorHAnsi" w:hAnsiTheme="minorHAnsi" w:cstheme="minorHAnsi"/>
                <w:b/>
              </w:rPr>
              <w:t>09</w:t>
            </w:r>
          </w:p>
        </w:tc>
        <w:tc>
          <w:tcPr>
            <w:tcW w:w="2217"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2010</w:t>
            </w:r>
          </w:p>
        </w:tc>
        <w:tc>
          <w:tcPr>
            <w:tcW w:w="2217"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2011</w:t>
            </w:r>
          </w:p>
        </w:tc>
        <w:tc>
          <w:tcPr>
            <w:tcW w:w="2217"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2009</w:t>
            </w:r>
          </w:p>
        </w:tc>
        <w:tc>
          <w:tcPr>
            <w:tcW w:w="2217"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2010</w:t>
            </w:r>
          </w:p>
        </w:tc>
        <w:tc>
          <w:tcPr>
            <w:tcW w:w="2217" w:type="dxa"/>
            <w:vAlign w:val="center"/>
          </w:tcPr>
          <w:p w:rsidR="00AC5422" w:rsidRPr="00C35E3D" w:rsidRDefault="00AC5422" w:rsidP="00423120">
            <w:pPr>
              <w:jc w:val="center"/>
              <w:rPr>
                <w:rFonts w:asciiTheme="minorHAnsi" w:hAnsiTheme="minorHAnsi" w:cstheme="minorHAnsi"/>
                <w:b/>
              </w:rPr>
            </w:pPr>
            <w:r w:rsidRPr="00C35E3D">
              <w:rPr>
                <w:rFonts w:asciiTheme="minorHAnsi" w:hAnsiTheme="minorHAnsi" w:cstheme="minorHAnsi"/>
                <w:b/>
              </w:rPr>
              <w:t>2011</w:t>
            </w:r>
          </w:p>
        </w:tc>
      </w:tr>
      <w:tr w:rsidR="00AC5422" w:rsidRPr="00FA3820" w:rsidTr="00AD4BC6">
        <w:trPr>
          <w:trHeight w:hRule="exact" w:val="340"/>
          <w:jc w:val="center"/>
        </w:trPr>
        <w:tc>
          <w:tcPr>
            <w:tcW w:w="2217"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Praha</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58,7</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58,4</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58,3</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3,1</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3,8</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3,6</w:t>
            </w:r>
          </w:p>
        </w:tc>
      </w:tr>
      <w:tr w:rsidR="00AC5422" w:rsidRPr="00FA3820" w:rsidTr="00AD4BC6">
        <w:trPr>
          <w:trHeight w:hRule="exact" w:val="340"/>
          <w:jc w:val="center"/>
        </w:trPr>
        <w:tc>
          <w:tcPr>
            <w:tcW w:w="2217"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Středočeský</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62,6</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62,2</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61,4</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4,4</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5,2</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5,1</w:t>
            </w:r>
          </w:p>
        </w:tc>
      </w:tr>
      <w:tr w:rsidR="00AC5422" w:rsidRPr="00FA3820" w:rsidTr="00AD4BC6">
        <w:trPr>
          <w:trHeight w:hRule="exact" w:val="340"/>
          <w:jc w:val="center"/>
        </w:trPr>
        <w:tc>
          <w:tcPr>
            <w:tcW w:w="2217"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Jihočeský</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59,6</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59,7</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59,9</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4,3</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5,3</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5,5</w:t>
            </w:r>
          </w:p>
        </w:tc>
      </w:tr>
      <w:tr w:rsidR="00AC5422" w:rsidRPr="00FA3820" w:rsidTr="00AD4BC6">
        <w:trPr>
          <w:trHeight w:hRule="exact" w:val="340"/>
          <w:jc w:val="center"/>
        </w:trPr>
        <w:tc>
          <w:tcPr>
            <w:tcW w:w="2217" w:type="dxa"/>
            <w:shd w:val="clear" w:color="auto" w:fill="auto"/>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Plzeňský</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58,8</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58,0</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58,6</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6,3</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5,9</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5,2</w:t>
            </w:r>
          </w:p>
        </w:tc>
      </w:tr>
      <w:tr w:rsidR="00AC5422" w:rsidRPr="00FA3820" w:rsidTr="00AD4BC6">
        <w:trPr>
          <w:trHeight w:hRule="exact" w:val="340"/>
          <w:jc w:val="center"/>
        </w:trPr>
        <w:tc>
          <w:tcPr>
            <w:tcW w:w="2217" w:type="dxa"/>
            <w:shd w:val="clear" w:color="auto" w:fill="auto"/>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Karlovarský</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59,6</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59,0</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59,4</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10,9</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10,8</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8,5</w:t>
            </w:r>
          </w:p>
        </w:tc>
      </w:tr>
      <w:tr w:rsidR="00AC5422" w:rsidRPr="00FA3820" w:rsidTr="00AD4BC6">
        <w:trPr>
          <w:trHeight w:hRule="exact" w:val="340"/>
          <w:jc w:val="center"/>
        </w:trPr>
        <w:tc>
          <w:tcPr>
            <w:tcW w:w="2217" w:type="dxa"/>
            <w:shd w:val="clear" w:color="auto" w:fill="auto"/>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Ústecký</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61,2</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61,7</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59,9</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10,1</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11,2</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9,9</w:t>
            </w:r>
          </w:p>
        </w:tc>
      </w:tr>
      <w:tr w:rsidR="00AC5422" w:rsidRPr="00FA3820" w:rsidTr="00AD4BC6">
        <w:trPr>
          <w:trHeight w:hRule="exact" w:val="340"/>
          <w:jc w:val="center"/>
        </w:trPr>
        <w:tc>
          <w:tcPr>
            <w:tcW w:w="2217" w:type="dxa"/>
            <w:shd w:val="clear" w:color="auto" w:fill="auto"/>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Liberecký</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57,3</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57,5</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57,6</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7,8</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7,0</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7,2</w:t>
            </w:r>
          </w:p>
        </w:tc>
      </w:tr>
      <w:tr w:rsidR="00AC5422" w:rsidRPr="00FA3820" w:rsidTr="00AD4BC6">
        <w:trPr>
          <w:trHeight w:hRule="exact" w:val="340"/>
          <w:jc w:val="center"/>
        </w:trPr>
        <w:tc>
          <w:tcPr>
            <w:tcW w:w="2217"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Královehradecký</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57,3</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58,0</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57,5</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7,7</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6,9</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7,1</w:t>
            </w:r>
          </w:p>
        </w:tc>
      </w:tr>
      <w:tr w:rsidR="00AC5422" w:rsidRPr="00FA3820" w:rsidTr="00AD4BC6">
        <w:trPr>
          <w:trHeight w:hRule="exact" w:val="340"/>
          <w:jc w:val="center"/>
        </w:trPr>
        <w:tc>
          <w:tcPr>
            <w:tcW w:w="2217"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Pardubický</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58,0</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57,5</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57,4</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6,4</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7,2</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5,6</w:t>
            </w:r>
          </w:p>
        </w:tc>
      </w:tr>
      <w:tr w:rsidR="00AC5422" w:rsidRPr="00FA3820" w:rsidTr="00AD4BC6">
        <w:trPr>
          <w:trHeight w:hRule="exact" w:val="340"/>
          <w:jc w:val="center"/>
        </w:trPr>
        <w:tc>
          <w:tcPr>
            <w:tcW w:w="2217"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Vysočina</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57,8</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57,5</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57,5</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6,9</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6,4</w:t>
            </w:r>
          </w:p>
        </w:tc>
      </w:tr>
      <w:tr w:rsidR="00AC5422" w:rsidRPr="00FA3820" w:rsidTr="00AD4BC6">
        <w:trPr>
          <w:trHeight w:hRule="exact" w:val="340"/>
          <w:jc w:val="center"/>
        </w:trPr>
        <w:tc>
          <w:tcPr>
            <w:tcW w:w="2217"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Jihomoravský</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57,9</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58,1</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57,2</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6,8</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7,7</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7,5</w:t>
            </w:r>
          </w:p>
        </w:tc>
      </w:tr>
      <w:tr w:rsidR="00AC5422" w:rsidRPr="00FA3820" w:rsidTr="00AD4BC6">
        <w:trPr>
          <w:trHeight w:hRule="exact" w:val="340"/>
          <w:jc w:val="center"/>
        </w:trPr>
        <w:tc>
          <w:tcPr>
            <w:tcW w:w="2217"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Olomoucký</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57,4</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58,1</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57,8</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7,6</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9,1</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7,6</w:t>
            </w:r>
          </w:p>
        </w:tc>
      </w:tr>
      <w:tr w:rsidR="00AC5422" w:rsidRPr="00FA3820" w:rsidTr="00AD4BC6">
        <w:trPr>
          <w:trHeight w:hRule="exact" w:val="340"/>
          <w:jc w:val="center"/>
        </w:trPr>
        <w:tc>
          <w:tcPr>
            <w:tcW w:w="2217"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Zlínský</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57,4</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55,7</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56,0</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7,3</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8,5</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7,6</w:t>
            </w:r>
          </w:p>
        </w:tc>
      </w:tr>
      <w:tr w:rsidR="00AC5422" w:rsidRPr="00FA3820" w:rsidTr="00AD4BC6">
        <w:trPr>
          <w:trHeight w:hRule="exact" w:val="340"/>
          <w:jc w:val="center"/>
        </w:trPr>
        <w:tc>
          <w:tcPr>
            <w:tcW w:w="2217" w:type="dxa"/>
            <w:vAlign w:val="center"/>
          </w:tcPr>
          <w:p w:rsidR="00AC5422" w:rsidRPr="00C35E3D" w:rsidRDefault="00AC5422" w:rsidP="00423120">
            <w:pPr>
              <w:rPr>
                <w:rFonts w:asciiTheme="minorHAnsi" w:hAnsiTheme="minorHAnsi" w:cstheme="minorHAnsi"/>
                <w:b/>
              </w:rPr>
            </w:pPr>
            <w:r w:rsidRPr="00C35E3D">
              <w:rPr>
                <w:rFonts w:asciiTheme="minorHAnsi" w:hAnsiTheme="minorHAnsi" w:cstheme="minorHAnsi"/>
                <w:b/>
              </w:rPr>
              <w:t>Moravskoslezský</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57,2</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56,8</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57,4</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9,7</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10,2</w:t>
            </w:r>
          </w:p>
        </w:tc>
        <w:tc>
          <w:tcPr>
            <w:tcW w:w="2217" w:type="dxa"/>
            <w:vAlign w:val="center"/>
          </w:tcPr>
          <w:p w:rsidR="00AC5422" w:rsidRPr="00C35E3D" w:rsidRDefault="00AC5422" w:rsidP="00423120">
            <w:pPr>
              <w:jc w:val="center"/>
              <w:rPr>
                <w:rFonts w:asciiTheme="minorHAnsi" w:hAnsiTheme="minorHAnsi" w:cstheme="minorHAnsi"/>
              </w:rPr>
            </w:pPr>
            <w:r w:rsidRPr="00C35E3D">
              <w:rPr>
                <w:rFonts w:asciiTheme="minorHAnsi" w:hAnsiTheme="minorHAnsi" w:cstheme="minorHAnsi"/>
              </w:rPr>
              <w:t>9,3</w:t>
            </w:r>
          </w:p>
        </w:tc>
      </w:tr>
    </w:tbl>
    <w:p w:rsidR="00AC5422" w:rsidRDefault="00AC5422" w:rsidP="00423120">
      <w:pPr>
        <w:ind w:left="1134" w:right="1134"/>
        <w:jc w:val="both"/>
        <w:rPr>
          <w:rFonts w:ascii="Calibri" w:hAnsi="Calibri" w:cs="Calibri"/>
          <w:i/>
        </w:rPr>
      </w:pPr>
      <w:r w:rsidRPr="005855EF">
        <w:rPr>
          <w:rFonts w:ascii="Calibri" w:hAnsi="Calibri" w:cs="Calibri"/>
          <w:i/>
        </w:rPr>
        <w:t>Pramen: Český statistický úřad</w:t>
      </w:r>
      <w:r>
        <w:rPr>
          <w:rFonts w:ascii="Calibri" w:hAnsi="Calibri" w:cs="Calibri"/>
          <w:i/>
        </w:rPr>
        <w:t>,</w:t>
      </w:r>
      <w:r w:rsidRPr="005855EF">
        <w:rPr>
          <w:rFonts w:ascii="Calibri" w:hAnsi="Calibri" w:cs="Calibri"/>
          <w:i/>
        </w:rPr>
        <w:t xml:space="preserve"> </w:t>
      </w:r>
      <w:r>
        <w:rPr>
          <w:rFonts w:ascii="Calibri" w:hAnsi="Calibri" w:cs="Calibri"/>
          <w:i/>
        </w:rPr>
        <w:t>v</w:t>
      </w:r>
      <w:r w:rsidRPr="005855EF">
        <w:rPr>
          <w:rFonts w:ascii="Calibri" w:hAnsi="Calibri" w:cs="Calibri"/>
          <w:i/>
        </w:rPr>
        <w:t>eřejná databáze on-line</w:t>
      </w:r>
      <w:r w:rsidRPr="005855EF">
        <w:rPr>
          <w:rFonts w:ascii="Calibri" w:hAnsi="Calibri" w:cs="Calibri"/>
        </w:rPr>
        <w:t xml:space="preserve"> </w:t>
      </w:r>
      <w:r w:rsidRPr="005855EF">
        <w:rPr>
          <w:rFonts w:ascii="Calibri" w:hAnsi="Calibri" w:cs="Calibri"/>
          <w:i/>
        </w:rPr>
        <w:t>(cit. 15.</w:t>
      </w:r>
      <w:r>
        <w:rPr>
          <w:rFonts w:ascii="Calibri" w:hAnsi="Calibri" w:cs="Calibri"/>
          <w:i/>
        </w:rPr>
        <w:t xml:space="preserve"> </w:t>
      </w:r>
      <w:r w:rsidRPr="005855EF">
        <w:rPr>
          <w:rFonts w:ascii="Calibri" w:hAnsi="Calibri" w:cs="Calibri"/>
          <w:i/>
        </w:rPr>
        <w:t>3.</w:t>
      </w:r>
      <w:r>
        <w:rPr>
          <w:rFonts w:ascii="Calibri" w:hAnsi="Calibri" w:cs="Calibri"/>
          <w:i/>
        </w:rPr>
        <w:t xml:space="preserve"> </w:t>
      </w:r>
      <w:r w:rsidRPr="005855EF">
        <w:rPr>
          <w:rFonts w:ascii="Calibri" w:hAnsi="Calibri" w:cs="Calibri"/>
          <w:i/>
        </w:rPr>
        <w:t>2013)</w:t>
      </w:r>
      <w:r>
        <w:rPr>
          <w:rFonts w:ascii="Calibri" w:hAnsi="Calibri" w:cs="Calibri"/>
          <w:i/>
        </w:rPr>
        <w:t>.</w:t>
      </w:r>
    </w:p>
    <w:p w:rsidR="00A9221E" w:rsidRPr="00A91347" w:rsidRDefault="00A9221E" w:rsidP="00890421">
      <w:pPr>
        <w:pStyle w:val="02-Nadpis2"/>
      </w:pPr>
      <w:bookmarkStart w:id="60" w:name="_Toc382327192"/>
      <w:r w:rsidRPr="00A91347">
        <w:lastRenderedPageBreak/>
        <w:t>2.4. Integrační procesy s důrazem na pracovní interakce obcí</w:t>
      </w:r>
      <w:bookmarkEnd w:id="60"/>
    </w:p>
    <w:p w:rsidR="00A9221E" w:rsidRPr="00A9221E" w:rsidRDefault="00A9221E" w:rsidP="00423120">
      <w:pPr>
        <w:keepNext/>
        <w:widowControl w:val="0"/>
        <w:ind w:firstLine="709"/>
        <w:jc w:val="both"/>
        <w:rPr>
          <w:sz w:val="24"/>
          <w:szCs w:val="24"/>
        </w:rPr>
      </w:pPr>
      <w:r w:rsidRPr="00CD0C13">
        <w:rPr>
          <w:rFonts w:cs="TimesNewRomanPSMT"/>
          <w:sz w:val="24"/>
          <w:szCs w:val="20"/>
        </w:rPr>
        <w:t xml:space="preserve">Regionální integrační procesy umožňují </w:t>
      </w:r>
      <w:r>
        <w:rPr>
          <w:rFonts w:cs="TimesNewRomanPSMT"/>
          <w:sz w:val="24"/>
          <w:szCs w:val="20"/>
        </w:rPr>
        <w:t xml:space="preserve">efektivně </w:t>
      </w:r>
      <w:r w:rsidRPr="00CD0C13">
        <w:rPr>
          <w:sz w:val="24"/>
          <w:szCs w:val="20"/>
        </w:rPr>
        <w:t xml:space="preserve">překonávat rozvojové limity </w:t>
      </w:r>
      <w:r>
        <w:rPr>
          <w:sz w:val="24"/>
          <w:szCs w:val="20"/>
        </w:rPr>
        <w:t xml:space="preserve">generované </w:t>
      </w:r>
      <w:r w:rsidRPr="00CD0C13">
        <w:rPr>
          <w:sz w:val="24"/>
          <w:szCs w:val="20"/>
        </w:rPr>
        <w:t xml:space="preserve">historickým procesem </w:t>
      </w:r>
      <w:r>
        <w:rPr>
          <w:sz w:val="24"/>
          <w:szCs w:val="20"/>
        </w:rPr>
        <w:t xml:space="preserve">přirozené </w:t>
      </w:r>
      <w:r w:rsidRPr="006F0010">
        <w:rPr>
          <w:sz w:val="24"/>
          <w:szCs w:val="20"/>
        </w:rPr>
        <w:t>socioekonomické polarizace území</w:t>
      </w:r>
      <w:r>
        <w:rPr>
          <w:sz w:val="24"/>
          <w:szCs w:val="20"/>
        </w:rPr>
        <w:t>,</w:t>
      </w:r>
      <w:r w:rsidRPr="006F0010">
        <w:rPr>
          <w:sz w:val="24"/>
          <w:szCs w:val="20"/>
        </w:rPr>
        <w:t xml:space="preserve"> </w:t>
      </w:r>
      <w:r>
        <w:rPr>
          <w:sz w:val="24"/>
          <w:szCs w:val="20"/>
        </w:rPr>
        <w:t xml:space="preserve">která výrazně </w:t>
      </w:r>
      <w:r w:rsidRPr="006F0010">
        <w:rPr>
          <w:sz w:val="24"/>
          <w:szCs w:val="20"/>
        </w:rPr>
        <w:t>determinuj</w:t>
      </w:r>
      <w:r>
        <w:rPr>
          <w:sz w:val="24"/>
          <w:szCs w:val="20"/>
        </w:rPr>
        <w:t xml:space="preserve">e </w:t>
      </w:r>
      <w:r w:rsidRPr="006F0010">
        <w:rPr>
          <w:sz w:val="24"/>
          <w:szCs w:val="20"/>
        </w:rPr>
        <w:t>lokální nabídku rozvojových příležitostí</w:t>
      </w:r>
      <w:r w:rsidRPr="0024475A">
        <w:rPr>
          <w:sz w:val="24"/>
          <w:szCs w:val="20"/>
        </w:rPr>
        <w:t xml:space="preserve"> </w:t>
      </w:r>
      <w:r>
        <w:rPr>
          <w:sz w:val="24"/>
          <w:szCs w:val="20"/>
        </w:rPr>
        <w:t>a rovněž další významné jevy</w:t>
      </w:r>
      <w:r w:rsidRPr="006F0010">
        <w:rPr>
          <w:sz w:val="24"/>
          <w:szCs w:val="20"/>
        </w:rPr>
        <w:t xml:space="preserve">. </w:t>
      </w:r>
      <w:r w:rsidRPr="0095658F">
        <w:rPr>
          <w:sz w:val="24"/>
          <w:szCs w:val="24"/>
        </w:rPr>
        <w:t>V souladu s</w:t>
      </w:r>
      <w:r>
        <w:rPr>
          <w:sz w:val="24"/>
          <w:szCs w:val="24"/>
        </w:rPr>
        <w:t xml:space="preserve"> tzv. </w:t>
      </w:r>
      <w:r w:rsidRPr="0095658F">
        <w:rPr>
          <w:sz w:val="24"/>
          <w:szCs w:val="24"/>
        </w:rPr>
        <w:t>funkční</w:t>
      </w:r>
      <w:r>
        <w:rPr>
          <w:sz w:val="24"/>
          <w:szCs w:val="24"/>
        </w:rPr>
        <w:t xml:space="preserve"> komplexitou</w:t>
      </w:r>
      <w:r w:rsidRPr="0095658F">
        <w:rPr>
          <w:sz w:val="24"/>
          <w:szCs w:val="24"/>
        </w:rPr>
        <w:t xml:space="preserve"> společenských systémů j</w:t>
      </w:r>
      <w:r w:rsidR="00C35E3D">
        <w:rPr>
          <w:sz w:val="24"/>
          <w:szCs w:val="24"/>
        </w:rPr>
        <w:t>e potřebné procesy polarizace a </w:t>
      </w:r>
      <w:r>
        <w:rPr>
          <w:sz w:val="24"/>
          <w:szCs w:val="24"/>
        </w:rPr>
        <w:t xml:space="preserve">s ní silně propojené procesy </w:t>
      </w:r>
      <w:r w:rsidRPr="0095658F">
        <w:rPr>
          <w:sz w:val="24"/>
          <w:szCs w:val="24"/>
        </w:rPr>
        <w:t xml:space="preserve">integrace analyzovat podle </w:t>
      </w:r>
      <w:r w:rsidRPr="0003796F">
        <w:rPr>
          <w:sz w:val="24"/>
          <w:szCs w:val="24"/>
        </w:rPr>
        <w:t>jednotlivých hierarchických úrovní</w:t>
      </w:r>
      <w:r w:rsidR="00BA6F21">
        <w:rPr>
          <w:sz w:val="24"/>
          <w:szCs w:val="24"/>
        </w:rPr>
        <w:t>,</w:t>
      </w:r>
      <w:r w:rsidRPr="0003796F">
        <w:rPr>
          <w:sz w:val="24"/>
          <w:szCs w:val="24"/>
        </w:rPr>
        <w:t xml:space="preserve"> </w:t>
      </w:r>
      <w:r>
        <w:rPr>
          <w:sz w:val="24"/>
          <w:szCs w:val="24"/>
        </w:rPr>
        <w:t xml:space="preserve">resp. </w:t>
      </w:r>
      <w:r w:rsidRPr="00D80192">
        <w:rPr>
          <w:sz w:val="24"/>
          <w:szCs w:val="24"/>
        </w:rPr>
        <w:t xml:space="preserve">těmto úrovním odpovídajících profilujících </w:t>
      </w:r>
      <w:r>
        <w:rPr>
          <w:sz w:val="24"/>
          <w:szCs w:val="24"/>
        </w:rPr>
        <w:t xml:space="preserve">(významově převažujících) </w:t>
      </w:r>
      <w:r w:rsidRPr="00D80192">
        <w:rPr>
          <w:sz w:val="24"/>
          <w:szCs w:val="24"/>
        </w:rPr>
        <w:t>typů územních interakcí.</w:t>
      </w:r>
      <w:r w:rsidRPr="00D80192">
        <w:rPr>
          <w:sz w:val="24"/>
          <w:szCs w:val="20"/>
        </w:rPr>
        <w:t xml:space="preserve"> </w:t>
      </w:r>
      <w:r>
        <w:rPr>
          <w:sz w:val="24"/>
          <w:szCs w:val="20"/>
        </w:rPr>
        <w:t xml:space="preserve">V tomto ohledu pak </w:t>
      </w:r>
      <w:r w:rsidRPr="00F90429">
        <w:rPr>
          <w:sz w:val="24"/>
          <w:szCs w:val="20"/>
        </w:rPr>
        <w:t>nejnižší m</w:t>
      </w:r>
      <w:r w:rsidRPr="00F90429">
        <w:rPr>
          <w:sz w:val="24"/>
          <w:szCs w:val="24"/>
        </w:rPr>
        <w:t xml:space="preserve">ikroregionální úroveň, která je podrobněji diskutována v této subkapitole, obecně představují tzv. nodální regiony, pro které je charakteristická polarita typu regionální </w:t>
      </w:r>
      <w:r w:rsidR="00923F83" w:rsidRPr="00F90429">
        <w:rPr>
          <w:sz w:val="24"/>
          <w:szCs w:val="24"/>
        </w:rPr>
        <w:t xml:space="preserve">centrum – </w:t>
      </w:r>
      <w:r w:rsidRPr="00F90429">
        <w:rPr>
          <w:sz w:val="24"/>
          <w:szCs w:val="24"/>
        </w:rPr>
        <w:t xml:space="preserve">zázemí. V rámci těchto regionů jsou prostřednictvím relevantních procesů </w:t>
      </w:r>
      <w:r w:rsidRPr="00F90429">
        <w:rPr>
          <w:sz w:val="24"/>
          <w:szCs w:val="20"/>
        </w:rPr>
        <w:t>řešeny existující územní nerovnováhy primárně vznikající na úrovni jednotlivých obcí</w:t>
      </w:r>
      <w:r w:rsidR="00894E07" w:rsidRPr="00F90429">
        <w:rPr>
          <w:sz w:val="24"/>
          <w:szCs w:val="20"/>
        </w:rPr>
        <w:t>,</w:t>
      </w:r>
      <w:r w:rsidRPr="00F90429">
        <w:rPr>
          <w:sz w:val="24"/>
          <w:szCs w:val="20"/>
        </w:rPr>
        <w:t xml:space="preserve"> </w:t>
      </w:r>
      <w:r w:rsidR="00894E07" w:rsidRPr="00F90429">
        <w:rPr>
          <w:sz w:val="24"/>
          <w:szCs w:val="20"/>
        </w:rPr>
        <w:t>tj. územní dělba sídelních funkcí</w:t>
      </w:r>
      <w:r w:rsidR="00894E07" w:rsidRPr="00F90429">
        <w:rPr>
          <w:sz w:val="24"/>
          <w:szCs w:val="24"/>
        </w:rPr>
        <w:t xml:space="preserve"> </w:t>
      </w:r>
      <w:r w:rsidR="00C35E3D">
        <w:rPr>
          <w:sz w:val="24"/>
          <w:szCs w:val="20"/>
        </w:rPr>
        <w:t>– v první řadě jde o </w:t>
      </w:r>
      <w:r w:rsidRPr="00F90429">
        <w:rPr>
          <w:sz w:val="24"/>
          <w:szCs w:val="20"/>
        </w:rPr>
        <w:t>nerovnováhy mezi obytnými a pracovními funkcemi a dál</w:t>
      </w:r>
      <w:r w:rsidR="00C35E3D">
        <w:rPr>
          <w:sz w:val="24"/>
          <w:szCs w:val="20"/>
        </w:rPr>
        <w:t>e o nerovnováhy mezi obytnými a </w:t>
      </w:r>
      <w:r w:rsidRPr="00F90429">
        <w:rPr>
          <w:sz w:val="24"/>
          <w:szCs w:val="20"/>
        </w:rPr>
        <w:t>obslužnými funkcemi.</w:t>
      </w:r>
      <w:r w:rsidR="00894E07" w:rsidRPr="00F90429">
        <w:rPr>
          <w:sz w:val="24"/>
          <w:szCs w:val="20"/>
        </w:rPr>
        <w:t xml:space="preserve"> </w:t>
      </w:r>
      <w:r w:rsidRPr="00F90429">
        <w:rPr>
          <w:sz w:val="24"/>
          <w:szCs w:val="24"/>
        </w:rPr>
        <w:t>Z odpovídajících nodálních procesů, jejichž prostřednictvím jsou realizovány nejvýznamnější mikroregionální integrační funkce, je potřebné uvést zejména dojížďku do zaměstnání</w:t>
      </w:r>
      <w:r w:rsidR="00F90429" w:rsidRPr="00F90429">
        <w:rPr>
          <w:sz w:val="24"/>
          <w:szCs w:val="24"/>
        </w:rPr>
        <w:t>. E</w:t>
      </w:r>
      <w:r w:rsidRPr="00F90429">
        <w:rPr>
          <w:sz w:val="24"/>
          <w:szCs w:val="24"/>
        </w:rPr>
        <w:t xml:space="preserve">konomická integrace je tedy úzce spojená s tvorbou regionálních pracovních trhů – v souladu s tím ji lze označit jako integraci na bázi pracovních interakcí </w:t>
      </w:r>
      <w:r w:rsidRPr="00F90429">
        <w:rPr>
          <w:rStyle w:val="Znakapoznpodarou"/>
          <w:sz w:val="24"/>
          <w:szCs w:val="24"/>
        </w:rPr>
        <w:footnoteReference w:id="15"/>
      </w:r>
      <w:r w:rsidRPr="00F90429">
        <w:rPr>
          <w:sz w:val="24"/>
          <w:szCs w:val="24"/>
        </w:rPr>
        <w:t>. V následujících kapitolách pak budou diskutovány integrační procesy na vyšších hierarchických úrovních</w:t>
      </w:r>
      <w:r w:rsidR="00275DD2" w:rsidRPr="00F90429">
        <w:rPr>
          <w:sz w:val="24"/>
          <w:szCs w:val="24"/>
        </w:rPr>
        <w:t>,</w:t>
      </w:r>
      <w:r w:rsidRPr="00F90429">
        <w:rPr>
          <w:sz w:val="24"/>
          <w:szCs w:val="24"/>
        </w:rPr>
        <w:t xml:space="preserve"> tj. na mezoregionální – integrace na bázi produkčních</w:t>
      </w:r>
      <w:r w:rsidRPr="00DB6E18">
        <w:rPr>
          <w:sz w:val="24"/>
          <w:szCs w:val="24"/>
        </w:rPr>
        <w:t xml:space="preserve"> </w:t>
      </w:r>
      <w:r w:rsidR="002C5D89" w:rsidRPr="00DB6E18">
        <w:rPr>
          <w:sz w:val="24"/>
          <w:szCs w:val="24"/>
        </w:rPr>
        <w:t xml:space="preserve">(dodavatelsko-odběratelských) </w:t>
      </w:r>
      <w:r w:rsidRPr="00DB6E18">
        <w:rPr>
          <w:sz w:val="24"/>
          <w:szCs w:val="24"/>
        </w:rPr>
        <w:t xml:space="preserve">interakcí, na makroregionální – integraci na bázi řídích </w:t>
      </w:r>
      <w:r w:rsidR="002C5D89" w:rsidRPr="00DB6E18">
        <w:rPr>
          <w:sz w:val="24"/>
          <w:szCs w:val="24"/>
        </w:rPr>
        <w:t xml:space="preserve">(manažerských a správních) </w:t>
      </w:r>
      <w:r w:rsidRPr="00DB6E18">
        <w:rPr>
          <w:sz w:val="24"/>
          <w:szCs w:val="24"/>
        </w:rPr>
        <w:t>interakcí a na nadnárodní</w:t>
      </w:r>
      <w:r w:rsidR="00BA6F21">
        <w:rPr>
          <w:sz w:val="24"/>
          <w:szCs w:val="24"/>
        </w:rPr>
        <w:t>,</w:t>
      </w:r>
      <w:r w:rsidRPr="00DB6E18">
        <w:rPr>
          <w:sz w:val="24"/>
          <w:szCs w:val="24"/>
        </w:rPr>
        <w:t xml:space="preserve"> resp. globální – integrace na bázi obchodních interakcí.</w:t>
      </w:r>
      <w:r w:rsidRPr="00DB6E18">
        <w:rPr>
          <w:sz w:val="24"/>
          <w:szCs w:val="20"/>
        </w:rPr>
        <w:t xml:space="preserve"> Obecně lze konstatovat, že integrační procesy přispívají ke </w:t>
      </w:r>
      <w:r w:rsidRPr="00DB6E18">
        <w:rPr>
          <w:sz w:val="24"/>
          <w:szCs w:val="24"/>
        </w:rPr>
        <w:t>snižování regionálních dis</w:t>
      </w:r>
      <w:r w:rsidRPr="005D2E27">
        <w:rPr>
          <w:sz w:val="24"/>
          <w:szCs w:val="24"/>
        </w:rPr>
        <w:t xml:space="preserve">parit a </w:t>
      </w:r>
      <w:r>
        <w:rPr>
          <w:sz w:val="24"/>
          <w:szCs w:val="24"/>
        </w:rPr>
        <w:t>v</w:t>
      </w:r>
      <w:r>
        <w:rPr>
          <w:sz w:val="24"/>
          <w:szCs w:val="20"/>
        </w:rPr>
        <w:t> </w:t>
      </w:r>
      <w:r w:rsidRPr="005D2E27">
        <w:rPr>
          <w:sz w:val="24"/>
          <w:szCs w:val="20"/>
        </w:rPr>
        <w:t>dlouhodobé</w:t>
      </w:r>
      <w:r>
        <w:rPr>
          <w:sz w:val="24"/>
          <w:szCs w:val="20"/>
        </w:rPr>
        <w:t>m horizontu</w:t>
      </w:r>
      <w:r w:rsidRPr="005D2E27">
        <w:rPr>
          <w:sz w:val="24"/>
          <w:szCs w:val="20"/>
        </w:rPr>
        <w:t xml:space="preserve"> tak </w:t>
      </w:r>
      <w:r w:rsidRPr="005D2E27">
        <w:rPr>
          <w:sz w:val="24"/>
          <w:szCs w:val="24"/>
        </w:rPr>
        <w:t xml:space="preserve">zvyšují </w:t>
      </w:r>
      <w:r>
        <w:rPr>
          <w:sz w:val="24"/>
          <w:szCs w:val="24"/>
        </w:rPr>
        <w:t>regionální</w:t>
      </w:r>
      <w:r w:rsidR="00BA6F21">
        <w:rPr>
          <w:sz w:val="24"/>
          <w:szCs w:val="24"/>
        </w:rPr>
        <w:t>,</w:t>
      </w:r>
      <w:r>
        <w:rPr>
          <w:sz w:val="24"/>
          <w:szCs w:val="24"/>
        </w:rPr>
        <w:t xml:space="preserve"> resp. národní </w:t>
      </w:r>
      <w:r w:rsidRPr="005D2E27">
        <w:rPr>
          <w:sz w:val="24"/>
          <w:szCs w:val="24"/>
        </w:rPr>
        <w:t>konkurenceschopnost.</w:t>
      </w:r>
      <w:bookmarkStart w:id="61" w:name="_Toc349768212"/>
      <w:bookmarkStart w:id="62" w:name="_Toc349824530"/>
    </w:p>
    <w:p w:rsidR="00A9221E" w:rsidRDefault="00A9221E" w:rsidP="000112D6">
      <w:pPr>
        <w:pStyle w:val="0T-Titulek"/>
      </w:pPr>
      <w:bookmarkStart w:id="63" w:name="_Toc382326439"/>
      <w:r w:rsidRPr="00D71B4B">
        <w:t xml:space="preserve">Tabulka </w:t>
      </w:r>
      <w:r>
        <w:t>1</w:t>
      </w:r>
      <w:r w:rsidR="009D2B97">
        <w:t>2</w:t>
      </w:r>
      <w:r w:rsidRPr="00D71B4B">
        <w:t>: Základní determinanty prostorového uspořádání společenských systémů</w:t>
      </w:r>
      <w:bookmarkEnd w:id="61"/>
      <w:bookmarkEnd w:id="62"/>
      <w:bookmarkEnd w:id="63"/>
    </w:p>
    <w:tbl>
      <w:tblPr>
        <w:tblW w:w="91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04"/>
        <w:gridCol w:w="2212"/>
        <w:gridCol w:w="2212"/>
        <w:gridCol w:w="1195"/>
        <w:gridCol w:w="1806"/>
      </w:tblGrid>
      <w:tr w:rsidR="00A9221E" w:rsidRPr="00C47543" w:rsidTr="00610A8C">
        <w:trPr>
          <w:trHeight w:hRule="exact" w:val="567"/>
          <w:jc w:val="center"/>
        </w:trPr>
        <w:tc>
          <w:tcPr>
            <w:tcW w:w="1704" w:type="dxa"/>
            <w:tcBorders>
              <w:top w:val="single" w:sz="12" w:space="0" w:color="auto"/>
              <w:bottom w:val="single" w:sz="12" w:space="0" w:color="auto"/>
            </w:tcBorders>
            <w:vAlign w:val="center"/>
          </w:tcPr>
          <w:p w:rsidR="00A9221E" w:rsidRPr="00C35E3D" w:rsidRDefault="00A9221E" w:rsidP="00423120">
            <w:pPr>
              <w:keepNext/>
              <w:widowControl w:val="0"/>
              <w:ind w:right="-57"/>
              <w:jc w:val="both"/>
              <w:rPr>
                <w:rFonts w:asciiTheme="minorHAnsi" w:hAnsiTheme="minorHAnsi" w:cstheme="minorHAnsi"/>
                <w:b/>
                <w:color w:val="0000FF"/>
                <w:lang w:eastAsia="en-GB"/>
              </w:rPr>
            </w:pPr>
            <w:r w:rsidRPr="00C35E3D">
              <w:rPr>
                <w:rFonts w:asciiTheme="minorHAnsi" w:hAnsiTheme="minorHAnsi" w:cstheme="minorHAnsi"/>
                <w:b/>
                <w:bCs/>
                <w:lang w:eastAsia="en-GB"/>
              </w:rPr>
              <w:t>hierarchická úroveň</w:t>
            </w:r>
          </w:p>
        </w:tc>
        <w:tc>
          <w:tcPr>
            <w:tcW w:w="2212" w:type="dxa"/>
            <w:tcBorders>
              <w:top w:val="single" w:sz="12" w:space="0" w:color="auto"/>
              <w:bottom w:val="single" w:sz="12" w:space="0" w:color="auto"/>
            </w:tcBorders>
            <w:vAlign w:val="center"/>
          </w:tcPr>
          <w:p w:rsidR="00A9221E" w:rsidRPr="00C35E3D" w:rsidRDefault="00A9221E" w:rsidP="00423120">
            <w:pPr>
              <w:keepNext/>
              <w:widowControl w:val="0"/>
              <w:ind w:left="-57" w:right="-57"/>
              <w:rPr>
                <w:rFonts w:asciiTheme="minorHAnsi" w:hAnsiTheme="minorHAnsi" w:cstheme="minorHAnsi"/>
                <w:b/>
                <w:bCs/>
                <w:color w:val="0000FF"/>
                <w:lang w:eastAsia="en-GB"/>
              </w:rPr>
            </w:pPr>
            <w:r w:rsidRPr="00C35E3D">
              <w:rPr>
                <w:rFonts w:asciiTheme="minorHAnsi" w:hAnsiTheme="minorHAnsi" w:cstheme="minorHAnsi"/>
                <w:b/>
                <w:bCs/>
                <w:lang w:eastAsia="en-GB"/>
              </w:rPr>
              <w:t>hlavní nositelé polarizace</w:t>
            </w:r>
          </w:p>
        </w:tc>
        <w:tc>
          <w:tcPr>
            <w:tcW w:w="2212" w:type="dxa"/>
            <w:tcBorders>
              <w:top w:val="single" w:sz="12" w:space="0" w:color="auto"/>
              <w:bottom w:val="single" w:sz="12" w:space="0" w:color="auto"/>
            </w:tcBorders>
            <w:vAlign w:val="center"/>
          </w:tcPr>
          <w:p w:rsidR="00A9221E" w:rsidRPr="00C35E3D" w:rsidRDefault="00A9221E" w:rsidP="00423120">
            <w:pPr>
              <w:keepNext/>
              <w:widowControl w:val="0"/>
              <w:ind w:left="-57" w:right="-57"/>
              <w:rPr>
                <w:rFonts w:asciiTheme="minorHAnsi" w:hAnsiTheme="minorHAnsi" w:cstheme="minorHAnsi"/>
                <w:b/>
                <w:bCs/>
                <w:lang w:eastAsia="en-GB"/>
              </w:rPr>
            </w:pPr>
            <w:r w:rsidRPr="00C35E3D">
              <w:rPr>
                <w:rFonts w:asciiTheme="minorHAnsi" w:hAnsiTheme="minorHAnsi" w:cstheme="minorHAnsi"/>
                <w:b/>
                <w:bCs/>
                <w:lang w:eastAsia="en-GB"/>
              </w:rPr>
              <w:t xml:space="preserve">hlavní nositelé </w:t>
            </w:r>
          </w:p>
          <w:p w:rsidR="00A9221E" w:rsidRPr="00C35E3D" w:rsidRDefault="00A9221E" w:rsidP="00423120">
            <w:pPr>
              <w:keepNext/>
              <w:widowControl w:val="0"/>
              <w:ind w:left="-57" w:right="-57"/>
              <w:rPr>
                <w:rFonts w:asciiTheme="minorHAnsi" w:hAnsiTheme="minorHAnsi" w:cstheme="minorHAnsi"/>
                <w:b/>
                <w:color w:val="0000FF"/>
                <w:lang w:eastAsia="en-GB"/>
              </w:rPr>
            </w:pPr>
            <w:r w:rsidRPr="00C35E3D">
              <w:rPr>
                <w:rFonts w:asciiTheme="minorHAnsi" w:hAnsiTheme="minorHAnsi" w:cstheme="minorHAnsi"/>
                <w:b/>
                <w:bCs/>
                <w:lang w:eastAsia="en-GB"/>
              </w:rPr>
              <w:t>integrace</w:t>
            </w:r>
          </w:p>
        </w:tc>
        <w:tc>
          <w:tcPr>
            <w:tcW w:w="1195" w:type="dxa"/>
            <w:tcBorders>
              <w:top w:val="single" w:sz="12" w:space="0" w:color="auto"/>
              <w:bottom w:val="single" w:sz="12" w:space="0" w:color="auto"/>
            </w:tcBorders>
            <w:vAlign w:val="center"/>
          </w:tcPr>
          <w:p w:rsidR="00A9221E" w:rsidRPr="00C35E3D" w:rsidRDefault="00A9221E" w:rsidP="00423120">
            <w:pPr>
              <w:keepNext/>
              <w:widowControl w:val="0"/>
              <w:ind w:left="-57" w:right="-57"/>
              <w:rPr>
                <w:rFonts w:asciiTheme="minorHAnsi" w:hAnsiTheme="minorHAnsi" w:cstheme="minorHAnsi"/>
                <w:b/>
                <w:bCs/>
                <w:color w:val="0000FF"/>
                <w:lang w:eastAsia="en-GB"/>
              </w:rPr>
            </w:pPr>
            <w:r w:rsidRPr="00C35E3D">
              <w:rPr>
                <w:rFonts w:asciiTheme="minorHAnsi" w:hAnsiTheme="minorHAnsi" w:cstheme="minorHAnsi"/>
                <w:b/>
                <w:bCs/>
                <w:lang w:eastAsia="en-GB"/>
              </w:rPr>
              <w:t>hlavní typy interakcí</w:t>
            </w:r>
          </w:p>
        </w:tc>
        <w:tc>
          <w:tcPr>
            <w:tcW w:w="1806" w:type="dxa"/>
            <w:tcBorders>
              <w:top w:val="single" w:sz="12" w:space="0" w:color="auto"/>
              <w:bottom w:val="single" w:sz="12" w:space="0" w:color="auto"/>
            </w:tcBorders>
            <w:vAlign w:val="center"/>
          </w:tcPr>
          <w:p w:rsidR="00A9221E" w:rsidRPr="00C35E3D" w:rsidRDefault="00A9221E" w:rsidP="00423120">
            <w:pPr>
              <w:keepNext/>
              <w:widowControl w:val="0"/>
              <w:ind w:left="-57" w:right="-57"/>
              <w:rPr>
                <w:rFonts w:asciiTheme="minorHAnsi" w:hAnsiTheme="minorHAnsi" w:cstheme="minorHAnsi"/>
                <w:b/>
                <w:bCs/>
                <w:color w:val="0000FF"/>
                <w:lang w:eastAsia="en-GB"/>
              </w:rPr>
            </w:pPr>
            <w:r w:rsidRPr="00C35E3D">
              <w:rPr>
                <w:rFonts w:asciiTheme="minorHAnsi" w:hAnsiTheme="minorHAnsi" w:cstheme="minorHAnsi"/>
                <w:b/>
                <w:bCs/>
                <w:lang w:eastAsia="en-GB"/>
              </w:rPr>
              <w:t>klíčové struktury</w:t>
            </w:r>
          </w:p>
        </w:tc>
      </w:tr>
      <w:tr w:rsidR="00A9221E" w:rsidRPr="00C47543" w:rsidTr="00610A8C">
        <w:trPr>
          <w:trHeight w:hRule="exact" w:val="567"/>
          <w:jc w:val="center"/>
        </w:trPr>
        <w:tc>
          <w:tcPr>
            <w:tcW w:w="1704" w:type="dxa"/>
            <w:tcBorders>
              <w:top w:val="single" w:sz="12" w:space="0" w:color="auto"/>
            </w:tcBorders>
            <w:vAlign w:val="center"/>
          </w:tcPr>
          <w:p w:rsidR="00A9221E" w:rsidRPr="00C35E3D" w:rsidRDefault="00A9221E" w:rsidP="00423120">
            <w:pPr>
              <w:keepNext/>
              <w:widowControl w:val="0"/>
              <w:ind w:left="-57" w:right="-57"/>
              <w:jc w:val="both"/>
              <w:rPr>
                <w:rFonts w:asciiTheme="minorHAnsi" w:hAnsiTheme="minorHAnsi" w:cstheme="minorHAnsi"/>
                <w:b/>
                <w:i/>
                <w:color w:val="0000FF"/>
                <w:lang w:eastAsia="en-GB"/>
              </w:rPr>
            </w:pPr>
            <w:r w:rsidRPr="00C35E3D">
              <w:rPr>
                <w:rFonts w:asciiTheme="minorHAnsi" w:hAnsiTheme="minorHAnsi" w:cstheme="minorHAnsi"/>
                <w:b/>
                <w:bCs/>
                <w:i/>
                <w:iCs/>
                <w:lang w:eastAsia="en-GB"/>
              </w:rPr>
              <w:t>mikroregionální</w:t>
            </w:r>
          </w:p>
        </w:tc>
        <w:tc>
          <w:tcPr>
            <w:tcW w:w="2212" w:type="dxa"/>
            <w:tcBorders>
              <w:top w:val="single" w:sz="12" w:space="0" w:color="auto"/>
            </w:tcBorders>
            <w:vAlign w:val="center"/>
          </w:tcPr>
          <w:p w:rsidR="00A9221E" w:rsidRPr="00C35E3D" w:rsidRDefault="00A9221E" w:rsidP="00423120">
            <w:pPr>
              <w:keepNext/>
              <w:widowControl w:val="0"/>
              <w:ind w:left="-57" w:right="-57"/>
              <w:rPr>
                <w:rFonts w:asciiTheme="minorHAnsi" w:hAnsiTheme="minorHAnsi" w:cstheme="minorHAnsi"/>
                <w:color w:val="0000FF"/>
                <w:lang w:eastAsia="en-GB"/>
              </w:rPr>
            </w:pPr>
            <w:r w:rsidRPr="00C35E3D">
              <w:rPr>
                <w:rFonts w:asciiTheme="minorHAnsi" w:hAnsiTheme="minorHAnsi" w:cstheme="minorHAnsi"/>
                <w:lang w:eastAsia="en-GB"/>
              </w:rPr>
              <w:t xml:space="preserve">nodální rozvojová centra </w:t>
            </w:r>
          </w:p>
        </w:tc>
        <w:tc>
          <w:tcPr>
            <w:tcW w:w="2212" w:type="dxa"/>
            <w:tcBorders>
              <w:top w:val="single" w:sz="12" w:space="0" w:color="auto"/>
            </w:tcBorders>
            <w:vAlign w:val="center"/>
          </w:tcPr>
          <w:p w:rsidR="00A9221E" w:rsidRPr="00C35E3D" w:rsidRDefault="00A9221E" w:rsidP="00423120">
            <w:pPr>
              <w:keepNext/>
              <w:widowControl w:val="0"/>
              <w:ind w:left="-57" w:right="-57"/>
              <w:rPr>
                <w:rFonts w:asciiTheme="minorHAnsi" w:hAnsiTheme="minorHAnsi" w:cstheme="minorHAnsi"/>
                <w:lang w:eastAsia="en-GB"/>
              </w:rPr>
            </w:pPr>
            <w:r w:rsidRPr="00C35E3D">
              <w:rPr>
                <w:rFonts w:asciiTheme="minorHAnsi" w:hAnsiTheme="minorHAnsi" w:cstheme="minorHAnsi"/>
                <w:lang w:eastAsia="en-GB"/>
              </w:rPr>
              <w:t xml:space="preserve">nodální procesy </w:t>
            </w:r>
          </w:p>
        </w:tc>
        <w:tc>
          <w:tcPr>
            <w:tcW w:w="1195" w:type="dxa"/>
            <w:tcBorders>
              <w:top w:val="single" w:sz="12" w:space="0" w:color="auto"/>
            </w:tcBorders>
            <w:vAlign w:val="center"/>
          </w:tcPr>
          <w:p w:rsidR="00A9221E" w:rsidRPr="00C35E3D" w:rsidRDefault="00A9221E" w:rsidP="00423120">
            <w:pPr>
              <w:keepNext/>
              <w:widowControl w:val="0"/>
              <w:overflowPunct w:val="0"/>
              <w:autoSpaceDE w:val="0"/>
              <w:autoSpaceDN w:val="0"/>
              <w:adjustRightInd w:val="0"/>
              <w:ind w:left="-57" w:right="-57"/>
              <w:rPr>
                <w:rFonts w:asciiTheme="minorHAnsi" w:hAnsiTheme="minorHAnsi" w:cstheme="minorHAnsi"/>
                <w:lang w:eastAsia="en-GB"/>
              </w:rPr>
            </w:pPr>
            <w:r w:rsidRPr="00C35E3D">
              <w:rPr>
                <w:rFonts w:asciiTheme="minorHAnsi" w:hAnsiTheme="minorHAnsi" w:cstheme="minorHAnsi"/>
                <w:lang w:eastAsia="en-GB"/>
              </w:rPr>
              <w:t xml:space="preserve">pracovní </w:t>
            </w:r>
          </w:p>
        </w:tc>
        <w:tc>
          <w:tcPr>
            <w:tcW w:w="1806" w:type="dxa"/>
            <w:tcBorders>
              <w:top w:val="single" w:sz="12" w:space="0" w:color="auto"/>
            </w:tcBorders>
            <w:vAlign w:val="center"/>
          </w:tcPr>
          <w:p w:rsidR="00A9221E" w:rsidRPr="00C35E3D" w:rsidRDefault="00A9221E" w:rsidP="00423120">
            <w:pPr>
              <w:keepNext/>
              <w:widowControl w:val="0"/>
              <w:overflowPunct w:val="0"/>
              <w:autoSpaceDE w:val="0"/>
              <w:autoSpaceDN w:val="0"/>
              <w:adjustRightInd w:val="0"/>
              <w:ind w:left="-57" w:right="-57"/>
              <w:rPr>
                <w:rFonts w:asciiTheme="minorHAnsi" w:hAnsiTheme="minorHAnsi" w:cstheme="minorHAnsi"/>
                <w:color w:val="0000FF"/>
                <w:lang w:eastAsia="en-GB"/>
              </w:rPr>
            </w:pPr>
            <w:r w:rsidRPr="00C35E3D">
              <w:rPr>
                <w:rFonts w:asciiTheme="minorHAnsi" w:hAnsiTheme="minorHAnsi" w:cstheme="minorHAnsi"/>
                <w:lang w:eastAsia="en-GB"/>
              </w:rPr>
              <w:t xml:space="preserve">zaměstnavatelé, zaměstnanci </w:t>
            </w:r>
          </w:p>
        </w:tc>
      </w:tr>
      <w:tr w:rsidR="00A9221E" w:rsidRPr="00C47543" w:rsidTr="00610A8C">
        <w:trPr>
          <w:trHeight w:hRule="exact" w:val="567"/>
          <w:jc w:val="center"/>
        </w:trPr>
        <w:tc>
          <w:tcPr>
            <w:tcW w:w="1704" w:type="dxa"/>
            <w:vAlign w:val="center"/>
          </w:tcPr>
          <w:p w:rsidR="00A9221E" w:rsidRPr="00C35E3D" w:rsidRDefault="00A9221E" w:rsidP="00423120">
            <w:pPr>
              <w:keepNext/>
              <w:widowControl w:val="0"/>
              <w:ind w:left="-57" w:right="-57"/>
              <w:jc w:val="both"/>
              <w:rPr>
                <w:rFonts w:asciiTheme="minorHAnsi" w:hAnsiTheme="minorHAnsi" w:cstheme="minorHAnsi"/>
                <w:b/>
                <w:i/>
                <w:lang w:eastAsia="en-GB"/>
              </w:rPr>
            </w:pPr>
            <w:r w:rsidRPr="00C35E3D">
              <w:rPr>
                <w:rFonts w:asciiTheme="minorHAnsi" w:hAnsiTheme="minorHAnsi" w:cstheme="minorHAnsi"/>
                <w:b/>
                <w:bCs/>
                <w:i/>
                <w:iCs/>
                <w:lang w:eastAsia="en-GB"/>
              </w:rPr>
              <w:t>mezoregionální</w:t>
            </w:r>
          </w:p>
        </w:tc>
        <w:tc>
          <w:tcPr>
            <w:tcW w:w="2212" w:type="dxa"/>
            <w:vAlign w:val="center"/>
          </w:tcPr>
          <w:p w:rsidR="00A9221E" w:rsidRPr="00C35E3D" w:rsidRDefault="00A9221E" w:rsidP="00423120">
            <w:pPr>
              <w:keepNext/>
              <w:widowControl w:val="0"/>
              <w:ind w:left="-57" w:right="-57"/>
              <w:rPr>
                <w:rFonts w:asciiTheme="minorHAnsi" w:hAnsiTheme="minorHAnsi" w:cstheme="minorHAnsi"/>
                <w:color w:val="0000FF"/>
                <w:lang w:eastAsia="en-GB"/>
              </w:rPr>
            </w:pPr>
            <w:r w:rsidRPr="00C35E3D">
              <w:rPr>
                <w:rFonts w:asciiTheme="minorHAnsi" w:hAnsiTheme="minorHAnsi" w:cstheme="minorHAnsi"/>
                <w:lang w:eastAsia="en-GB"/>
              </w:rPr>
              <w:t>póly rozvoje národního významu</w:t>
            </w:r>
          </w:p>
        </w:tc>
        <w:tc>
          <w:tcPr>
            <w:tcW w:w="2212" w:type="dxa"/>
            <w:vAlign w:val="center"/>
          </w:tcPr>
          <w:p w:rsidR="00A9221E" w:rsidRPr="00C35E3D" w:rsidRDefault="00A9221E" w:rsidP="00423120">
            <w:pPr>
              <w:keepNext/>
              <w:widowControl w:val="0"/>
              <w:ind w:left="-57" w:right="-57"/>
              <w:rPr>
                <w:rFonts w:asciiTheme="minorHAnsi" w:hAnsiTheme="minorHAnsi" w:cstheme="minorHAnsi"/>
                <w:color w:val="0000FF"/>
                <w:lang w:eastAsia="en-GB"/>
              </w:rPr>
            </w:pPr>
            <w:r w:rsidRPr="00C35E3D">
              <w:rPr>
                <w:rFonts w:asciiTheme="minorHAnsi" w:hAnsiTheme="minorHAnsi" w:cstheme="minorHAnsi"/>
                <w:lang w:eastAsia="en-GB"/>
              </w:rPr>
              <w:t xml:space="preserve">rozvojové osy regionálního významu </w:t>
            </w:r>
          </w:p>
        </w:tc>
        <w:tc>
          <w:tcPr>
            <w:tcW w:w="1195" w:type="dxa"/>
            <w:vAlign w:val="center"/>
          </w:tcPr>
          <w:p w:rsidR="00A9221E" w:rsidRPr="00C35E3D" w:rsidRDefault="00A9221E" w:rsidP="00423120">
            <w:pPr>
              <w:keepNext/>
              <w:widowControl w:val="0"/>
              <w:overflowPunct w:val="0"/>
              <w:autoSpaceDE w:val="0"/>
              <w:autoSpaceDN w:val="0"/>
              <w:adjustRightInd w:val="0"/>
              <w:ind w:left="-57" w:right="-57"/>
              <w:rPr>
                <w:rFonts w:asciiTheme="minorHAnsi" w:hAnsiTheme="minorHAnsi" w:cstheme="minorHAnsi"/>
                <w:color w:val="FF0000"/>
                <w:lang w:eastAsia="en-GB"/>
              </w:rPr>
            </w:pPr>
            <w:r w:rsidRPr="00C35E3D">
              <w:rPr>
                <w:rFonts w:asciiTheme="minorHAnsi" w:hAnsiTheme="minorHAnsi" w:cstheme="minorHAnsi"/>
                <w:lang w:eastAsia="en-GB"/>
              </w:rPr>
              <w:t>produkční</w:t>
            </w:r>
          </w:p>
        </w:tc>
        <w:tc>
          <w:tcPr>
            <w:tcW w:w="1806" w:type="dxa"/>
            <w:vAlign w:val="center"/>
          </w:tcPr>
          <w:p w:rsidR="00A9221E" w:rsidRPr="00C35E3D" w:rsidRDefault="009138D4" w:rsidP="00423120">
            <w:pPr>
              <w:keepNext/>
              <w:widowControl w:val="0"/>
              <w:overflowPunct w:val="0"/>
              <w:autoSpaceDE w:val="0"/>
              <w:autoSpaceDN w:val="0"/>
              <w:adjustRightInd w:val="0"/>
              <w:ind w:left="-57" w:right="-57"/>
              <w:rPr>
                <w:rFonts w:asciiTheme="minorHAnsi" w:hAnsiTheme="minorHAnsi" w:cstheme="minorHAnsi"/>
                <w:color w:val="0000FF"/>
                <w:lang w:eastAsia="en-GB"/>
              </w:rPr>
            </w:pPr>
            <w:r w:rsidRPr="00C35E3D">
              <w:rPr>
                <w:rFonts w:asciiTheme="minorHAnsi" w:hAnsiTheme="minorHAnsi" w:cstheme="minorHAnsi"/>
                <w:lang w:eastAsia="en-GB"/>
              </w:rPr>
              <w:t>významné</w:t>
            </w:r>
            <w:r w:rsidR="00A9221E" w:rsidRPr="00C35E3D">
              <w:rPr>
                <w:rFonts w:asciiTheme="minorHAnsi" w:hAnsiTheme="minorHAnsi" w:cstheme="minorHAnsi"/>
                <w:lang w:eastAsia="en-GB"/>
              </w:rPr>
              <w:t xml:space="preserve"> firmy, územní správa </w:t>
            </w:r>
          </w:p>
        </w:tc>
      </w:tr>
      <w:tr w:rsidR="00A9221E" w:rsidRPr="00C47543" w:rsidTr="00610A8C">
        <w:trPr>
          <w:trHeight w:hRule="exact" w:val="567"/>
          <w:jc w:val="center"/>
        </w:trPr>
        <w:tc>
          <w:tcPr>
            <w:tcW w:w="1704" w:type="dxa"/>
            <w:vAlign w:val="center"/>
          </w:tcPr>
          <w:p w:rsidR="00A9221E" w:rsidRPr="00C35E3D" w:rsidRDefault="00A9221E" w:rsidP="00423120">
            <w:pPr>
              <w:keepNext/>
              <w:widowControl w:val="0"/>
              <w:ind w:left="-57" w:right="-57"/>
              <w:jc w:val="both"/>
              <w:rPr>
                <w:rFonts w:asciiTheme="minorHAnsi" w:hAnsiTheme="minorHAnsi" w:cstheme="minorHAnsi"/>
                <w:b/>
                <w:i/>
                <w:lang w:eastAsia="en-GB"/>
              </w:rPr>
            </w:pPr>
            <w:r w:rsidRPr="00C35E3D">
              <w:rPr>
                <w:rFonts w:asciiTheme="minorHAnsi" w:hAnsiTheme="minorHAnsi" w:cstheme="minorHAnsi"/>
                <w:b/>
                <w:bCs/>
                <w:i/>
                <w:iCs/>
                <w:lang w:eastAsia="en-GB"/>
              </w:rPr>
              <w:t>makroregionální</w:t>
            </w:r>
          </w:p>
        </w:tc>
        <w:tc>
          <w:tcPr>
            <w:tcW w:w="2212" w:type="dxa"/>
            <w:vAlign w:val="center"/>
          </w:tcPr>
          <w:p w:rsidR="00A9221E" w:rsidRPr="00C35E3D" w:rsidRDefault="00A9221E" w:rsidP="00423120">
            <w:pPr>
              <w:keepNext/>
              <w:widowControl w:val="0"/>
              <w:ind w:left="-57" w:right="-57"/>
              <w:rPr>
                <w:rFonts w:asciiTheme="minorHAnsi" w:hAnsiTheme="minorHAnsi" w:cstheme="minorHAnsi"/>
                <w:color w:val="0000FF"/>
                <w:lang w:eastAsia="en-GB"/>
              </w:rPr>
            </w:pPr>
            <w:r w:rsidRPr="00C35E3D">
              <w:rPr>
                <w:rFonts w:asciiTheme="minorHAnsi" w:hAnsiTheme="minorHAnsi" w:cstheme="minorHAnsi"/>
                <w:lang w:eastAsia="en-GB"/>
              </w:rPr>
              <w:t>póly rozvoje nadnárodního významu</w:t>
            </w:r>
          </w:p>
        </w:tc>
        <w:tc>
          <w:tcPr>
            <w:tcW w:w="2212" w:type="dxa"/>
            <w:vAlign w:val="center"/>
          </w:tcPr>
          <w:p w:rsidR="00A9221E" w:rsidRPr="00C35E3D" w:rsidRDefault="00A9221E" w:rsidP="00423120">
            <w:pPr>
              <w:keepNext/>
              <w:widowControl w:val="0"/>
              <w:ind w:left="-57" w:right="-57"/>
              <w:rPr>
                <w:rFonts w:asciiTheme="minorHAnsi" w:hAnsiTheme="minorHAnsi" w:cstheme="minorHAnsi"/>
                <w:lang w:eastAsia="en-GB"/>
              </w:rPr>
            </w:pPr>
            <w:r w:rsidRPr="00C35E3D">
              <w:rPr>
                <w:rFonts w:asciiTheme="minorHAnsi" w:hAnsiTheme="minorHAnsi" w:cstheme="minorHAnsi"/>
                <w:lang w:eastAsia="en-GB"/>
              </w:rPr>
              <w:t xml:space="preserve">rozvojové osy národního významu </w:t>
            </w:r>
          </w:p>
        </w:tc>
        <w:tc>
          <w:tcPr>
            <w:tcW w:w="1195" w:type="dxa"/>
            <w:vAlign w:val="center"/>
          </w:tcPr>
          <w:p w:rsidR="00A9221E" w:rsidRPr="00C35E3D" w:rsidRDefault="00A9221E" w:rsidP="00423120">
            <w:pPr>
              <w:keepNext/>
              <w:widowControl w:val="0"/>
              <w:overflowPunct w:val="0"/>
              <w:autoSpaceDE w:val="0"/>
              <w:autoSpaceDN w:val="0"/>
              <w:adjustRightInd w:val="0"/>
              <w:ind w:left="-57" w:right="-57"/>
              <w:rPr>
                <w:rFonts w:asciiTheme="minorHAnsi" w:hAnsiTheme="minorHAnsi" w:cstheme="minorHAnsi"/>
                <w:lang w:eastAsia="en-GB"/>
              </w:rPr>
            </w:pPr>
            <w:r w:rsidRPr="00C35E3D">
              <w:rPr>
                <w:rFonts w:asciiTheme="minorHAnsi" w:hAnsiTheme="minorHAnsi" w:cstheme="minorHAnsi"/>
                <w:lang w:eastAsia="en-GB"/>
              </w:rPr>
              <w:t>řídící</w:t>
            </w:r>
          </w:p>
        </w:tc>
        <w:tc>
          <w:tcPr>
            <w:tcW w:w="1806" w:type="dxa"/>
            <w:vAlign w:val="center"/>
          </w:tcPr>
          <w:p w:rsidR="00A9221E" w:rsidRPr="00C35E3D" w:rsidRDefault="00A9221E" w:rsidP="00423120">
            <w:pPr>
              <w:keepNext/>
              <w:widowControl w:val="0"/>
              <w:overflowPunct w:val="0"/>
              <w:autoSpaceDE w:val="0"/>
              <w:autoSpaceDN w:val="0"/>
              <w:adjustRightInd w:val="0"/>
              <w:ind w:left="-57" w:right="-57"/>
              <w:rPr>
                <w:rFonts w:asciiTheme="minorHAnsi" w:hAnsiTheme="minorHAnsi" w:cstheme="minorHAnsi"/>
                <w:color w:val="0000FF"/>
                <w:lang w:eastAsia="en-GB"/>
              </w:rPr>
            </w:pPr>
            <w:r w:rsidRPr="00C35E3D">
              <w:rPr>
                <w:rFonts w:asciiTheme="minorHAnsi" w:hAnsiTheme="minorHAnsi" w:cstheme="minorHAnsi"/>
                <w:lang w:eastAsia="en-GB"/>
              </w:rPr>
              <w:t xml:space="preserve">ústředí velkých firem, státní správa </w:t>
            </w:r>
          </w:p>
        </w:tc>
      </w:tr>
      <w:tr w:rsidR="00A9221E" w:rsidRPr="00C47543" w:rsidTr="00610A8C">
        <w:trPr>
          <w:trHeight w:hRule="exact" w:val="567"/>
          <w:jc w:val="center"/>
        </w:trPr>
        <w:tc>
          <w:tcPr>
            <w:tcW w:w="1704" w:type="dxa"/>
            <w:tcBorders>
              <w:bottom w:val="single" w:sz="12" w:space="0" w:color="auto"/>
            </w:tcBorders>
            <w:vAlign w:val="center"/>
          </w:tcPr>
          <w:p w:rsidR="00A9221E" w:rsidRPr="00C35E3D" w:rsidRDefault="00A9221E" w:rsidP="00423120">
            <w:pPr>
              <w:keepNext/>
              <w:widowControl w:val="0"/>
              <w:ind w:left="-57" w:right="-57"/>
              <w:jc w:val="both"/>
              <w:rPr>
                <w:rFonts w:asciiTheme="minorHAnsi" w:hAnsiTheme="minorHAnsi" w:cstheme="minorHAnsi"/>
                <w:b/>
                <w:i/>
                <w:lang w:eastAsia="en-GB"/>
              </w:rPr>
            </w:pPr>
            <w:r w:rsidRPr="00C35E3D">
              <w:rPr>
                <w:rFonts w:asciiTheme="minorHAnsi" w:hAnsiTheme="minorHAnsi" w:cstheme="minorHAnsi"/>
                <w:b/>
                <w:bCs/>
                <w:i/>
                <w:iCs/>
                <w:lang w:eastAsia="en-GB"/>
              </w:rPr>
              <w:t>globální</w:t>
            </w:r>
          </w:p>
        </w:tc>
        <w:tc>
          <w:tcPr>
            <w:tcW w:w="2212" w:type="dxa"/>
            <w:tcBorders>
              <w:bottom w:val="single" w:sz="12" w:space="0" w:color="auto"/>
            </w:tcBorders>
            <w:vAlign w:val="center"/>
          </w:tcPr>
          <w:p w:rsidR="00A9221E" w:rsidRPr="00C35E3D" w:rsidRDefault="00A9221E" w:rsidP="00423120">
            <w:pPr>
              <w:keepNext/>
              <w:widowControl w:val="0"/>
              <w:ind w:left="-57" w:right="-57"/>
              <w:rPr>
                <w:rFonts w:asciiTheme="minorHAnsi" w:hAnsiTheme="minorHAnsi" w:cstheme="minorHAnsi"/>
                <w:color w:val="0000FF"/>
                <w:lang w:eastAsia="en-GB"/>
              </w:rPr>
            </w:pPr>
            <w:r w:rsidRPr="00C35E3D">
              <w:rPr>
                <w:rFonts w:asciiTheme="minorHAnsi" w:hAnsiTheme="minorHAnsi" w:cstheme="minorHAnsi"/>
                <w:lang w:eastAsia="en-GB"/>
              </w:rPr>
              <w:t>póly rozvoje globálního významu</w:t>
            </w:r>
          </w:p>
        </w:tc>
        <w:tc>
          <w:tcPr>
            <w:tcW w:w="2212" w:type="dxa"/>
            <w:tcBorders>
              <w:bottom w:val="single" w:sz="12" w:space="0" w:color="auto"/>
            </w:tcBorders>
            <w:vAlign w:val="center"/>
          </w:tcPr>
          <w:p w:rsidR="00A9221E" w:rsidRPr="00C35E3D" w:rsidRDefault="00A9221E" w:rsidP="00423120">
            <w:pPr>
              <w:keepNext/>
              <w:widowControl w:val="0"/>
              <w:ind w:left="-57" w:right="-57"/>
              <w:rPr>
                <w:rFonts w:asciiTheme="minorHAnsi" w:hAnsiTheme="minorHAnsi" w:cstheme="minorHAnsi"/>
                <w:color w:val="0000FF"/>
                <w:lang w:eastAsia="en-GB"/>
              </w:rPr>
            </w:pPr>
            <w:r w:rsidRPr="00C35E3D">
              <w:rPr>
                <w:rFonts w:asciiTheme="minorHAnsi" w:hAnsiTheme="minorHAnsi" w:cstheme="minorHAnsi"/>
                <w:lang w:eastAsia="en-GB"/>
              </w:rPr>
              <w:t>rozvojové osy nadnárodního významu</w:t>
            </w:r>
          </w:p>
        </w:tc>
        <w:tc>
          <w:tcPr>
            <w:tcW w:w="1195" w:type="dxa"/>
            <w:tcBorders>
              <w:bottom w:val="single" w:sz="12" w:space="0" w:color="auto"/>
            </w:tcBorders>
            <w:vAlign w:val="center"/>
          </w:tcPr>
          <w:p w:rsidR="00A9221E" w:rsidRPr="00C35E3D" w:rsidRDefault="00A9221E" w:rsidP="00423120">
            <w:pPr>
              <w:keepNext/>
              <w:widowControl w:val="0"/>
              <w:ind w:left="-57" w:right="-57"/>
              <w:rPr>
                <w:rFonts w:asciiTheme="minorHAnsi" w:hAnsiTheme="minorHAnsi" w:cstheme="minorHAnsi"/>
                <w:color w:val="FF0000"/>
                <w:lang w:eastAsia="en-GB"/>
              </w:rPr>
            </w:pPr>
            <w:r w:rsidRPr="00C35E3D">
              <w:rPr>
                <w:rFonts w:asciiTheme="minorHAnsi" w:hAnsiTheme="minorHAnsi" w:cstheme="minorHAnsi"/>
                <w:lang w:eastAsia="en-GB"/>
              </w:rPr>
              <w:t xml:space="preserve">obchodní </w:t>
            </w:r>
          </w:p>
        </w:tc>
        <w:tc>
          <w:tcPr>
            <w:tcW w:w="1806" w:type="dxa"/>
            <w:tcBorders>
              <w:bottom w:val="single" w:sz="12" w:space="0" w:color="auto"/>
            </w:tcBorders>
            <w:vAlign w:val="center"/>
          </w:tcPr>
          <w:p w:rsidR="00A9221E" w:rsidRPr="00C35E3D" w:rsidRDefault="00A9221E" w:rsidP="00423120">
            <w:pPr>
              <w:keepNext/>
              <w:widowControl w:val="0"/>
              <w:ind w:left="-57" w:right="-57"/>
              <w:rPr>
                <w:rFonts w:asciiTheme="minorHAnsi" w:hAnsiTheme="minorHAnsi" w:cstheme="minorHAnsi"/>
                <w:color w:val="0000FF"/>
                <w:lang w:eastAsia="en-GB"/>
              </w:rPr>
            </w:pPr>
            <w:r w:rsidRPr="00C35E3D">
              <w:rPr>
                <w:rFonts w:asciiTheme="minorHAnsi" w:hAnsiTheme="minorHAnsi" w:cstheme="minorHAnsi"/>
                <w:lang w:eastAsia="en-GB"/>
              </w:rPr>
              <w:t xml:space="preserve">TNC, mezinárodní společenství  </w:t>
            </w:r>
          </w:p>
        </w:tc>
      </w:tr>
    </w:tbl>
    <w:p w:rsidR="00A9221E" w:rsidRPr="000112D6" w:rsidRDefault="00A9221E" w:rsidP="000112D6">
      <w:pPr>
        <w:pStyle w:val="0T-Pramen"/>
        <w:jc w:val="left"/>
        <w:rPr>
          <w:sz w:val="20"/>
          <w:szCs w:val="20"/>
        </w:rPr>
      </w:pPr>
      <w:r w:rsidRPr="000112D6">
        <w:rPr>
          <w:sz w:val="20"/>
          <w:szCs w:val="20"/>
        </w:rPr>
        <w:t>Poznámka: TNC = nadnárodní firmy (transnational corporations).</w:t>
      </w:r>
    </w:p>
    <w:p w:rsidR="00A9221E" w:rsidRPr="00D71B4B" w:rsidRDefault="00A9221E" w:rsidP="000112D6">
      <w:pPr>
        <w:pStyle w:val="0T-Pramen"/>
        <w:spacing w:after="200"/>
      </w:pPr>
      <w:r w:rsidRPr="00D71B4B">
        <w:t>Pramen: vlastní výzkum.</w:t>
      </w:r>
    </w:p>
    <w:p w:rsidR="00F325EF" w:rsidRDefault="00F325EF">
      <w:pPr>
        <w:spacing w:after="0" w:line="240" w:lineRule="auto"/>
        <w:rPr>
          <w:sz w:val="24"/>
          <w:szCs w:val="24"/>
        </w:rPr>
      </w:pPr>
      <w:r>
        <w:rPr>
          <w:sz w:val="24"/>
          <w:szCs w:val="24"/>
        </w:rPr>
        <w:br w:type="page"/>
      </w:r>
    </w:p>
    <w:p w:rsidR="00A9221E" w:rsidRDefault="00A9221E" w:rsidP="00423120">
      <w:pPr>
        <w:keepNext/>
        <w:widowControl w:val="0"/>
        <w:ind w:firstLine="709"/>
        <w:jc w:val="both"/>
        <w:rPr>
          <w:sz w:val="24"/>
          <w:szCs w:val="24"/>
        </w:rPr>
      </w:pPr>
      <w:r w:rsidRPr="008A596E">
        <w:rPr>
          <w:sz w:val="24"/>
          <w:szCs w:val="24"/>
        </w:rPr>
        <w:lastRenderedPageBreak/>
        <w:t>Jak již bylo naznačeno výše</w:t>
      </w:r>
      <w:r w:rsidR="00F33042">
        <w:rPr>
          <w:sz w:val="24"/>
          <w:szCs w:val="24"/>
        </w:rPr>
        <w:t>,</w:t>
      </w:r>
      <w:r w:rsidRPr="008A596E">
        <w:rPr>
          <w:sz w:val="24"/>
          <w:szCs w:val="24"/>
        </w:rPr>
        <w:t xml:space="preserve"> v případě České republiky lze nodální regiony podmíněně ztotožnit s regiony ORP. Z tohoto pohledu je ovšem potřebné poznamenat, že některé ORP (nodální centra) mohou během vývoje </w:t>
      </w:r>
      <w:r w:rsidRPr="00425258">
        <w:rPr>
          <w:sz w:val="24"/>
          <w:szCs w:val="24"/>
        </w:rPr>
        <w:t>postupně ztr</w:t>
      </w:r>
      <w:r>
        <w:rPr>
          <w:sz w:val="24"/>
          <w:szCs w:val="24"/>
        </w:rPr>
        <w:t>ácet své centrální funkce, a to</w:t>
      </w:r>
      <w:r w:rsidRPr="00425258">
        <w:rPr>
          <w:sz w:val="24"/>
          <w:szCs w:val="24"/>
        </w:rPr>
        <w:t xml:space="preserve"> </w:t>
      </w:r>
      <w:r>
        <w:rPr>
          <w:sz w:val="24"/>
          <w:szCs w:val="24"/>
        </w:rPr>
        <w:t xml:space="preserve">zejména </w:t>
      </w:r>
      <w:r w:rsidRPr="00425258">
        <w:rPr>
          <w:sz w:val="24"/>
          <w:szCs w:val="24"/>
        </w:rPr>
        <w:t xml:space="preserve">z důvodu konkurence </w:t>
      </w:r>
      <w:r w:rsidRPr="00A85F94">
        <w:rPr>
          <w:sz w:val="24"/>
          <w:szCs w:val="24"/>
        </w:rPr>
        <w:t>silnějších center nacházejících se v jejich </w:t>
      </w:r>
      <w:r>
        <w:rPr>
          <w:sz w:val="24"/>
          <w:szCs w:val="24"/>
        </w:rPr>
        <w:t xml:space="preserve">přímém </w:t>
      </w:r>
      <w:r w:rsidRPr="00A85F94">
        <w:rPr>
          <w:sz w:val="24"/>
          <w:szCs w:val="24"/>
        </w:rPr>
        <w:t>sousedství (</w:t>
      </w:r>
      <w:r w:rsidR="000856B7">
        <w:rPr>
          <w:sz w:val="24"/>
          <w:szCs w:val="24"/>
        </w:rPr>
        <w:t>v </w:t>
      </w:r>
      <w:r>
        <w:rPr>
          <w:sz w:val="24"/>
          <w:szCs w:val="24"/>
        </w:rPr>
        <w:t xml:space="preserve">našem případě pak </w:t>
      </w:r>
      <w:r w:rsidRPr="00AB21AE">
        <w:rPr>
          <w:sz w:val="24"/>
          <w:szCs w:val="24"/>
        </w:rPr>
        <w:t>byla</w:t>
      </w:r>
      <w:r>
        <w:rPr>
          <w:sz w:val="24"/>
          <w:szCs w:val="24"/>
        </w:rPr>
        <w:t xml:space="preserve"> některá </w:t>
      </w:r>
      <w:r w:rsidRPr="00AB21AE">
        <w:rPr>
          <w:sz w:val="24"/>
          <w:szCs w:val="24"/>
        </w:rPr>
        <w:t xml:space="preserve">vybraná ORP pro výkon </w:t>
      </w:r>
      <w:r>
        <w:rPr>
          <w:sz w:val="24"/>
          <w:szCs w:val="24"/>
        </w:rPr>
        <w:t xml:space="preserve">řady </w:t>
      </w:r>
      <w:r w:rsidRPr="00AB21AE">
        <w:rPr>
          <w:sz w:val="24"/>
          <w:szCs w:val="24"/>
        </w:rPr>
        <w:t xml:space="preserve">centrálních funkcí předem diskvalifikována jejich nedostatečnou velikostí). </w:t>
      </w:r>
      <w:r>
        <w:rPr>
          <w:sz w:val="24"/>
          <w:szCs w:val="24"/>
        </w:rPr>
        <w:t>Ekonomicky nejvýznamnější</w:t>
      </w:r>
      <w:r w:rsidR="00275DD2">
        <w:rPr>
          <w:sz w:val="24"/>
          <w:szCs w:val="24"/>
        </w:rPr>
        <w:t>,</w:t>
      </w:r>
      <w:r w:rsidR="00F33042">
        <w:rPr>
          <w:sz w:val="24"/>
          <w:szCs w:val="24"/>
        </w:rPr>
        <w:t xml:space="preserve"> </w:t>
      </w:r>
      <w:r>
        <w:rPr>
          <w:sz w:val="24"/>
          <w:szCs w:val="24"/>
        </w:rPr>
        <w:t xml:space="preserve">tj. </w:t>
      </w:r>
      <w:r w:rsidRPr="00AB21AE">
        <w:rPr>
          <w:sz w:val="24"/>
          <w:szCs w:val="24"/>
        </w:rPr>
        <w:t>centrální pracovní</w:t>
      </w:r>
      <w:r w:rsidR="005862FC">
        <w:rPr>
          <w:sz w:val="24"/>
          <w:szCs w:val="24"/>
        </w:rPr>
        <w:t>,</w:t>
      </w:r>
      <w:r w:rsidRPr="00AB21AE">
        <w:rPr>
          <w:sz w:val="24"/>
          <w:szCs w:val="24"/>
        </w:rPr>
        <w:t xml:space="preserve"> funkc</w:t>
      </w:r>
      <w:r>
        <w:rPr>
          <w:sz w:val="24"/>
          <w:szCs w:val="24"/>
        </w:rPr>
        <w:t>e</w:t>
      </w:r>
      <w:r w:rsidR="00F33042">
        <w:rPr>
          <w:sz w:val="24"/>
          <w:szCs w:val="24"/>
        </w:rPr>
        <w:t xml:space="preserve"> </w:t>
      </w:r>
      <w:r>
        <w:rPr>
          <w:sz w:val="24"/>
          <w:szCs w:val="24"/>
        </w:rPr>
        <w:t xml:space="preserve">tak </w:t>
      </w:r>
      <w:r w:rsidRPr="00AB21AE">
        <w:rPr>
          <w:sz w:val="24"/>
          <w:szCs w:val="24"/>
        </w:rPr>
        <w:t>dosud ztratila přibližně jedna třetina ORP (podobný podíl za</w:t>
      </w:r>
      <w:r w:rsidR="000856B7">
        <w:rPr>
          <w:sz w:val="24"/>
          <w:szCs w:val="24"/>
        </w:rPr>
        <w:t>ujímají i </w:t>
      </w:r>
      <w:r w:rsidRPr="00AB21AE">
        <w:rPr>
          <w:sz w:val="24"/>
          <w:szCs w:val="24"/>
        </w:rPr>
        <w:t xml:space="preserve">ORP </w:t>
      </w:r>
      <w:r>
        <w:rPr>
          <w:sz w:val="24"/>
          <w:szCs w:val="24"/>
        </w:rPr>
        <w:t xml:space="preserve">ztrácející </w:t>
      </w:r>
      <w:r w:rsidRPr="002F1FFF">
        <w:rPr>
          <w:sz w:val="24"/>
          <w:szCs w:val="24"/>
        </w:rPr>
        <w:t xml:space="preserve">relevantní centrální vzdělávací funkce z důvodu nedostatečně rozvinuté infrastruktury středních škol – jde pochopitelně z převážné části o shodná nodální centra jako v předchozím případě). V tomto směru ztrácejí centrální pracovní funkce především nodální centra nacházející se v blízkém zázemí největších měst, tedy </w:t>
      </w:r>
      <w:r w:rsidR="000856B7">
        <w:rPr>
          <w:sz w:val="24"/>
          <w:szCs w:val="24"/>
        </w:rPr>
        <w:t>Prahy, Plzně, Brna a Ostravy (v </w:t>
      </w:r>
      <w:r w:rsidRPr="002F1FFF">
        <w:rPr>
          <w:sz w:val="24"/>
          <w:szCs w:val="24"/>
        </w:rPr>
        <w:t>tomto případě se mezi nimi nacházejí i větší satelitní centra)</w:t>
      </w:r>
      <w:r w:rsidR="002F1FFF" w:rsidRPr="002F1FFF">
        <w:rPr>
          <w:sz w:val="24"/>
          <w:szCs w:val="24"/>
        </w:rPr>
        <w:t>.</w:t>
      </w:r>
      <w:r w:rsidRPr="002F1FFF">
        <w:rPr>
          <w:sz w:val="24"/>
          <w:szCs w:val="24"/>
        </w:rPr>
        <w:t xml:space="preserve"> </w:t>
      </w:r>
      <w:r w:rsidR="002F1FFF" w:rsidRPr="002F1FFF">
        <w:rPr>
          <w:sz w:val="24"/>
          <w:szCs w:val="24"/>
        </w:rPr>
        <w:t>N</w:t>
      </w:r>
      <w:r w:rsidRPr="002F1FFF">
        <w:rPr>
          <w:sz w:val="24"/>
          <w:szCs w:val="24"/>
        </w:rPr>
        <w:t>ásled</w:t>
      </w:r>
      <w:r w:rsidR="002F1FFF" w:rsidRPr="002F1FFF">
        <w:rPr>
          <w:sz w:val="24"/>
          <w:szCs w:val="24"/>
        </w:rPr>
        <w:t>uje</w:t>
      </w:r>
      <w:r w:rsidRPr="002F1FFF">
        <w:rPr>
          <w:sz w:val="24"/>
          <w:szCs w:val="24"/>
        </w:rPr>
        <w:t xml:space="preserve"> skupin</w:t>
      </w:r>
      <w:r w:rsidR="002F1FFF" w:rsidRPr="002F1FFF">
        <w:rPr>
          <w:sz w:val="24"/>
          <w:szCs w:val="24"/>
        </w:rPr>
        <w:t>a</w:t>
      </w:r>
      <w:r w:rsidRPr="002F1FFF">
        <w:rPr>
          <w:sz w:val="24"/>
          <w:szCs w:val="24"/>
        </w:rPr>
        <w:t xml:space="preserve"> nejmenších center, ustanovených v rámci provedené reformy územní správy především z důvodu praktické potřebnosti rovnoměrnějšího pokrytí málo urbanizovaných venkovských oblastí nově zavedenou mikroregionální úrovní územní správy. Z uvedených informací nicméně vyplývá, že většina ORP plní své centrální pracovní funkce, což potvrzuje jejich reálný význam pro ekonomický rozvoj jim příslušných mikroregionů. V tomto kontextu jde zejména o pozitivní vlivy na úroveň příjmů obyvatelstva bydlícího v pracovně závislých</w:t>
      </w:r>
      <w:r w:rsidRPr="00C550CE">
        <w:rPr>
          <w:sz w:val="24"/>
          <w:szCs w:val="24"/>
        </w:rPr>
        <w:t xml:space="preserve"> obcí</w:t>
      </w:r>
      <w:r>
        <w:rPr>
          <w:sz w:val="24"/>
          <w:szCs w:val="24"/>
        </w:rPr>
        <w:t>ch</w:t>
      </w:r>
      <w:r w:rsidRPr="00C550CE">
        <w:rPr>
          <w:sz w:val="24"/>
          <w:szCs w:val="24"/>
        </w:rPr>
        <w:t xml:space="preserve"> a dále na udržení </w:t>
      </w:r>
      <w:r>
        <w:rPr>
          <w:sz w:val="24"/>
          <w:szCs w:val="24"/>
        </w:rPr>
        <w:t xml:space="preserve">jeho </w:t>
      </w:r>
      <w:r w:rsidRPr="00C550CE">
        <w:rPr>
          <w:sz w:val="24"/>
          <w:szCs w:val="24"/>
        </w:rPr>
        <w:t xml:space="preserve">pracovních návyků (včetně </w:t>
      </w:r>
      <w:r>
        <w:rPr>
          <w:sz w:val="24"/>
          <w:szCs w:val="24"/>
        </w:rPr>
        <w:t>eventuálního</w:t>
      </w:r>
      <w:r w:rsidRPr="00C550CE">
        <w:rPr>
          <w:sz w:val="24"/>
          <w:szCs w:val="24"/>
        </w:rPr>
        <w:t xml:space="preserve"> </w:t>
      </w:r>
      <w:r>
        <w:rPr>
          <w:sz w:val="24"/>
          <w:szCs w:val="24"/>
        </w:rPr>
        <w:t xml:space="preserve">využití </w:t>
      </w:r>
      <w:r w:rsidR="000856B7">
        <w:rPr>
          <w:sz w:val="24"/>
          <w:szCs w:val="24"/>
        </w:rPr>
        <w:t>dovedností a </w:t>
      </w:r>
      <w:r w:rsidRPr="00C550CE">
        <w:rPr>
          <w:sz w:val="24"/>
          <w:szCs w:val="24"/>
        </w:rPr>
        <w:t xml:space="preserve">znalosti získaných v místě pracoviště </w:t>
      </w:r>
      <w:r>
        <w:rPr>
          <w:sz w:val="24"/>
          <w:szCs w:val="24"/>
        </w:rPr>
        <w:t>pro</w:t>
      </w:r>
      <w:r w:rsidRPr="00C550CE">
        <w:rPr>
          <w:sz w:val="24"/>
          <w:szCs w:val="24"/>
        </w:rPr>
        <w:t xml:space="preserve"> </w:t>
      </w:r>
      <w:r w:rsidRPr="00AE5AE5">
        <w:rPr>
          <w:sz w:val="24"/>
          <w:szCs w:val="24"/>
        </w:rPr>
        <w:t>zvýšení podnikatelské aktivity v</w:t>
      </w:r>
      <w:r>
        <w:rPr>
          <w:sz w:val="24"/>
          <w:szCs w:val="24"/>
        </w:rPr>
        <w:t> </w:t>
      </w:r>
      <w:r w:rsidRPr="00AE5AE5">
        <w:rPr>
          <w:sz w:val="24"/>
          <w:szCs w:val="24"/>
        </w:rPr>
        <w:t>míst</w:t>
      </w:r>
      <w:r>
        <w:rPr>
          <w:sz w:val="24"/>
          <w:szCs w:val="24"/>
        </w:rPr>
        <w:t xml:space="preserve">ě trvalého </w:t>
      </w:r>
      <w:r w:rsidRPr="00AE5AE5">
        <w:rPr>
          <w:sz w:val="24"/>
          <w:szCs w:val="24"/>
        </w:rPr>
        <w:t>bydliště).</w:t>
      </w:r>
    </w:p>
    <w:p w:rsidR="00A9221E" w:rsidRPr="00D02C89" w:rsidRDefault="00A9221E" w:rsidP="00423120">
      <w:pPr>
        <w:keepNext/>
        <w:widowControl w:val="0"/>
        <w:ind w:firstLine="720"/>
        <w:jc w:val="both"/>
        <w:rPr>
          <w:sz w:val="24"/>
          <w:szCs w:val="24"/>
        </w:rPr>
      </w:pPr>
      <w:r w:rsidRPr="006A7DDC">
        <w:rPr>
          <w:sz w:val="24"/>
          <w:szCs w:val="24"/>
        </w:rPr>
        <w:t xml:space="preserve">Diskutované </w:t>
      </w:r>
      <w:r w:rsidRPr="005026AA">
        <w:rPr>
          <w:sz w:val="24"/>
          <w:szCs w:val="24"/>
        </w:rPr>
        <w:t xml:space="preserve">integrační </w:t>
      </w:r>
      <w:r w:rsidRPr="005A0CCD">
        <w:rPr>
          <w:sz w:val="24"/>
          <w:szCs w:val="24"/>
        </w:rPr>
        <w:t xml:space="preserve">procesy založené na pracovních interakcích potvrzují zvyšující se závislost menších sídel na významnějších městech, počínaje plnohodnotnými centry nodálních regionů. Obecně lze rovněž konstatovat, že i ve venkovských oblastech je zaměstnanost ve stále větší míře závislá na externí poptávce po zboží a službách. V této souvislosti je pak důležité připomenout, že z pohledu exportně </w:t>
      </w:r>
      <w:r w:rsidRPr="005026AA">
        <w:rPr>
          <w:sz w:val="24"/>
          <w:szCs w:val="24"/>
        </w:rPr>
        <w:t xml:space="preserve">orientovaných bazických odvětví má úroveň mezd v místě produkce pouze malý vliv na celkový odbyt a jejich případný negativní vývoj tak spíše zvyšuje atraktivitu </w:t>
      </w:r>
      <w:r>
        <w:rPr>
          <w:sz w:val="24"/>
          <w:szCs w:val="24"/>
        </w:rPr>
        <w:t>těchto sídel</w:t>
      </w:r>
      <w:r w:rsidR="00CC693B">
        <w:rPr>
          <w:sz w:val="24"/>
          <w:szCs w:val="24"/>
        </w:rPr>
        <w:t>,</w:t>
      </w:r>
      <w:r>
        <w:rPr>
          <w:sz w:val="24"/>
          <w:szCs w:val="24"/>
        </w:rPr>
        <w:t xml:space="preserve"> resp. celého</w:t>
      </w:r>
      <w:r w:rsidRPr="00077BFD">
        <w:rPr>
          <w:sz w:val="24"/>
          <w:szCs w:val="24"/>
        </w:rPr>
        <w:t xml:space="preserve"> regionu </w:t>
      </w:r>
      <w:r w:rsidR="000856B7">
        <w:rPr>
          <w:sz w:val="24"/>
          <w:szCs w:val="24"/>
        </w:rPr>
        <w:t>ve </w:t>
      </w:r>
      <w:r>
        <w:rPr>
          <w:sz w:val="24"/>
          <w:szCs w:val="24"/>
        </w:rPr>
        <w:t xml:space="preserve">srovnání s konkurenčními regiony </w:t>
      </w:r>
      <w:r w:rsidRPr="00D657AF">
        <w:rPr>
          <w:sz w:val="24"/>
          <w:szCs w:val="24"/>
        </w:rPr>
        <w:t>s pozitivními vlivy na zaměstnanost (v případě neb</w:t>
      </w:r>
      <w:r>
        <w:rPr>
          <w:sz w:val="24"/>
          <w:szCs w:val="24"/>
        </w:rPr>
        <w:t>a</w:t>
      </w:r>
      <w:r w:rsidRPr="00D657AF">
        <w:rPr>
          <w:sz w:val="24"/>
          <w:szCs w:val="24"/>
        </w:rPr>
        <w:t xml:space="preserve">zických odvětví má </w:t>
      </w:r>
      <w:r>
        <w:rPr>
          <w:sz w:val="24"/>
          <w:szCs w:val="24"/>
        </w:rPr>
        <w:t xml:space="preserve">ovšem tento </w:t>
      </w:r>
      <w:r w:rsidRPr="00D657AF">
        <w:rPr>
          <w:sz w:val="24"/>
          <w:szCs w:val="24"/>
        </w:rPr>
        <w:t xml:space="preserve">vývoj opačné dopady). </w:t>
      </w:r>
      <w:r>
        <w:rPr>
          <w:sz w:val="24"/>
          <w:szCs w:val="24"/>
        </w:rPr>
        <w:t>P</w:t>
      </w:r>
      <w:r w:rsidRPr="00D657AF">
        <w:rPr>
          <w:sz w:val="24"/>
          <w:szCs w:val="24"/>
        </w:rPr>
        <w:t xml:space="preserve">otřebné </w:t>
      </w:r>
      <w:r>
        <w:rPr>
          <w:sz w:val="24"/>
          <w:szCs w:val="24"/>
        </w:rPr>
        <w:t xml:space="preserve">je </w:t>
      </w:r>
      <w:r w:rsidR="000856B7">
        <w:rPr>
          <w:sz w:val="24"/>
          <w:szCs w:val="24"/>
        </w:rPr>
        <w:t>připomenout i </w:t>
      </w:r>
      <w:r w:rsidRPr="00D657AF">
        <w:rPr>
          <w:sz w:val="24"/>
          <w:szCs w:val="24"/>
        </w:rPr>
        <w:t xml:space="preserve">skutečnost, </w:t>
      </w:r>
      <w:r>
        <w:rPr>
          <w:sz w:val="24"/>
          <w:szCs w:val="24"/>
        </w:rPr>
        <w:t xml:space="preserve">že </w:t>
      </w:r>
      <w:r w:rsidRPr="00D657AF">
        <w:rPr>
          <w:sz w:val="24"/>
          <w:szCs w:val="24"/>
        </w:rPr>
        <w:t>výrobky s nižší přidanou hodnotou</w:t>
      </w:r>
      <w:r>
        <w:rPr>
          <w:sz w:val="24"/>
          <w:szCs w:val="24"/>
        </w:rPr>
        <w:t xml:space="preserve">, které jsou </w:t>
      </w:r>
      <w:r w:rsidRPr="00D657AF">
        <w:rPr>
          <w:sz w:val="24"/>
          <w:szCs w:val="24"/>
        </w:rPr>
        <w:t>charakteristické pro venkovské oblasti</w:t>
      </w:r>
      <w:r>
        <w:rPr>
          <w:sz w:val="24"/>
          <w:szCs w:val="24"/>
        </w:rPr>
        <w:t>,</w:t>
      </w:r>
      <w:r w:rsidRPr="00D657AF">
        <w:rPr>
          <w:sz w:val="24"/>
          <w:szCs w:val="24"/>
        </w:rPr>
        <w:t xml:space="preserve"> jsou více citlivé na </w:t>
      </w:r>
      <w:r w:rsidRPr="00EB7AC8">
        <w:rPr>
          <w:sz w:val="24"/>
          <w:szCs w:val="24"/>
        </w:rPr>
        <w:t>rozdíly v ceně práce než výrobky s vyšší přidanou hodnotou</w:t>
      </w:r>
      <w:r>
        <w:rPr>
          <w:sz w:val="24"/>
          <w:szCs w:val="24"/>
        </w:rPr>
        <w:t>, které jsou</w:t>
      </w:r>
      <w:r w:rsidRPr="00EB7AC8">
        <w:rPr>
          <w:sz w:val="24"/>
          <w:szCs w:val="24"/>
        </w:rPr>
        <w:t xml:space="preserve"> charakteristické pro městské regiony  </w:t>
      </w:r>
      <w:r>
        <w:rPr>
          <w:sz w:val="24"/>
          <w:szCs w:val="24"/>
        </w:rPr>
        <w:t xml:space="preserve">disponující </w:t>
      </w:r>
      <w:r w:rsidRPr="00EB7AC8">
        <w:rPr>
          <w:sz w:val="24"/>
          <w:szCs w:val="24"/>
        </w:rPr>
        <w:t>odpovídající nabídkou kvalitní pracovní síly</w:t>
      </w:r>
      <w:r>
        <w:rPr>
          <w:sz w:val="24"/>
          <w:szCs w:val="24"/>
        </w:rPr>
        <w:t xml:space="preserve"> (městské regiony mají i</w:t>
      </w:r>
      <w:r w:rsidRPr="00EB7AC8">
        <w:rPr>
          <w:sz w:val="24"/>
          <w:szCs w:val="24"/>
        </w:rPr>
        <w:t xml:space="preserve"> </w:t>
      </w:r>
      <w:r w:rsidRPr="00DB6E18">
        <w:rPr>
          <w:sz w:val="24"/>
          <w:szCs w:val="24"/>
        </w:rPr>
        <w:t xml:space="preserve">diverzifikovanější strukturu ekonomiky </w:t>
      </w:r>
      <w:r w:rsidRPr="00EB7AC8">
        <w:rPr>
          <w:sz w:val="24"/>
          <w:szCs w:val="24"/>
        </w:rPr>
        <w:t xml:space="preserve">a jsou </w:t>
      </w:r>
      <w:r>
        <w:rPr>
          <w:sz w:val="24"/>
          <w:szCs w:val="24"/>
        </w:rPr>
        <w:t xml:space="preserve">tedy </w:t>
      </w:r>
      <w:r w:rsidRPr="00EB7AC8">
        <w:rPr>
          <w:sz w:val="24"/>
          <w:szCs w:val="24"/>
        </w:rPr>
        <w:t>odolnější vůči negativním vlivům spojeným s</w:t>
      </w:r>
      <w:r>
        <w:rPr>
          <w:sz w:val="24"/>
          <w:szCs w:val="24"/>
        </w:rPr>
        <w:t xml:space="preserve"> rostoucí</w:t>
      </w:r>
      <w:r w:rsidRPr="00EB7AC8">
        <w:rPr>
          <w:sz w:val="24"/>
          <w:szCs w:val="24"/>
        </w:rPr>
        <w:t> globalizací ekonomiky</w:t>
      </w:r>
      <w:r>
        <w:rPr>
          <w:sz w:val="24"/>
          <w:szCs w:val="24"/>
        </w:rPr>
        <w:t>)</w:t>
      </w:r>
      <w:r w:rsidRPr="00EB7AC8">
        <w:rPr>
          <w:sz w:val="24"/>
          <w:szCs w:val="24"/>
        </w:rPr>
        <w:t xml:space="preserve">. </w:t>
      </w:r>
      <w:r>
        <w:rPr>
          <w:sz w:val="24"/>
          <w:szCs w:val="24"/>
        </w:rPr>
        <w:t>Postavení jednotl</w:t>
      </w:r>
      <w:r w:rsidR="00F33042">
        <w:rPr>
          <w:sz w:val="24"/>
          <w:szCs w:val="24"/>
        </w:rPr>
        <w:t>ivých sídel v rámci územní dělby</w:t>
      </w:r>
      <w:r>
        <w:rPr>
          <w:sz w:val="24"/>
          <w:szCs w:val="24"/>
        </w:rPr>
        <w:t xml:space="preserve"> práce na mikroregionální úrovni </w:t>
      </w:r>
      <w:r w:rsidRPr="00D02C89">
        <w:rPr>
          <w:sz w:val="24"/>
          <w:szCs w:val="24"/>
        </w:rPr>
        <w:t>má významn</w:t>
      </w:r>
      <w:r>
        <w:rPr>
          <w:sz w:val="24"/>
          <w:szCs w:val="24"/>
        </w:rPr>
        <w:t>é</w:t>
      </w:r>
      <w:r w:rsidRPr="00D02C89">
        <w:rPr>
          <w:sz w:val="24"/>
          <w:szCs w:val="24"/>
        </w:rPr>
        <w:t xml:space="preserve"> vliv</w:t>
      </w:r>
      <w:r>
        <w:rPr>
          <w:sz w:val="24"/>
          <w:szCs w:val="24"/>
        </w:rPr>
        <w:t>y</w:t>
      </w:r>
      <w:r w:rsidRPr="00D02C89">
        <w:rPr>
          <w:sz w:val="24"/>
          <w:szCs w:val="24"/>
        </w:rPr>
        <w:t xml:space="preserve"> nejen na </w:t>
      </w:r>
      <w:r>
        <w:rPr>
          <w:sz w:val="24"/>
          <w:szCs w:val="24"/>
        </w:rPr>
        <w:t xml:space="preserve">jejich </w:t>
      </w:r>
      <w:r w:rsidRPr="00D02C89">
        <w:rPr>
          <w:sz w:val="24"/>
          <w:szCs w:val="24"/>
        </w:rPr>
        <w:t>ekonomický</w:t>
      </w:r>
      <w:r>
        <w:rPr>
          <w:sz w:val="24"/>
          <w:szCs w:val="24"/>
        </w:rPr>
        <w:t xml:space="preserve"> rozvoj</w:t>
      </w:r>
      <w:r w:rsidRPr="00D02C89">
        <w:rPr>
          <w:sz w:val="24"/>
          <w:szCs w:val="24"/>
        </w:rPr>
        <w:t xml:space="preserve">, ale i </w:t>
      </w:r>
      <w:r>
        <w:rPr>
          <w:sz w:val="24"/>
          <w:szCs w:val="24"/>
        </w:rPr>
        <w:t xml:space="preserve">na jejich </w:t>
      </w:r>
      <w:r w:rsidRPr="00D02C89">
        <w:rPr>
          <w:sz w:val="24"/>
          <w:szCs w:val="24"/>
        </w:rPr>
        <w:t>sociální</w:t>
      </w:r>
      <w:r>
        <w:rPr>
          <w:sz w:val="24"/>
          <w:szCs w:val="24"/>
        </w:rPr>
        <w:t xml:space="preserve"> rozvoj včetně jeho d</w:t>
      </w:r>
      <w:r w:rsidRPr="00D02C89">
        <w:rPr>
          <w:sz w:val="24"/>
          <w:szCs w:val="24"/>
        </w:rPr>
        <w:t>emografick</w:t>
      </w:r>
      <w:r>
        <w:rPr>
          <w:sz w:val="24"/>
          <w:szCs w:val="24"/>
        </w:rPr>
        <w:t xml:space="preserve">ých charakteristik </w:t>
      </w:r>
      <w:r w:rsidRPr="00D02C89">
        <w:rPr>
          <w:sz w:val="24"/>
          <w:szCs w:val="24"/>
        </w:rPr>
        <w:t>(</w:t>
      </w:r>
      <w:r>
        <w:rPr>
          <w:sz w:val="24"/>
          <w:szCs w:val="24"/>
        </w:rPr>
        <w:t>zejména</w:t>
      </w:r>
      <w:r w:rsidRPr="00D02C89">
        <w:rPr>
          <w:sz w:val="24"/>
          <w:szCs w:val="24"/>
        </w:rPr>
        <w:t xml:space="preserve"> periferní poloha </w:t>
      </w:r>
      <w:r>
        <w:rPr>
          <w:sz w:val="24"/>
          <w:szCs w:val="24"/>
        </w:rPr>
        <w:t xml:space="preserve">vede menších </w:t>
      </w:r>
      <w:r w:rsidR="000856B7">
        <w:rPr>
          <w:sz w:val="24"/>
          <w:szCs w:val="24"/>
        </w:rPr>
        <w:t>obcí k emigraci mladšího a </w:t>
      </w:r>
      <w:r w:rsidRPr="00D02C89">
        <w:rPr>
          <w:sz w:val="24"/>
          <w:szCs w:val="24"/>
        </w:rPr>
        <w:t xml:space="preserve">vzdělanějšího obyvatelstva, což </w:t>
      </w:r>
      <w:r>
        <w:rPr>
          <w:sz w:val="24"/>
          <w:szCs w:val="24"/>
        </w:rPr>
        <w:t xml:space="preserve">pochopitelně výrazně </w:t>
      </w:r>
      <w:r w:rsidRPr="00D02C89">
        <w:rPr>
          <w:sz w:val="24"/>
          <w:szCs w:val="24"/>
        </w:rPr>
        <w:t>podvazuje perspektivní</w:t>
      </w:r>
      <w:r>
        <w:rPr>
          <w:sz w:val="24"/>
          <w:szCs w:val="24"/>
        </w:rPr>
        <w:t xml:space="preserve">ho </w:t>
      </w:r>
      <w:r w:rsidRPr="00D02C89">
        <w:rPr>
          <w:sz w:val="24"/>
          <w:szCs w:val="24"/>
        </w:rPr>
        <w:t>možnost</w:t>
      </w:r>
      <w:r>
        <w:rPr>
          <w:sz w:val="24"/>
          <w:szCs w:val="24"/>
        </w:rPr>
        <w:t>i</w:t>
      </w:r>
      <w:r w:rsidRPr="00D02C89">
        <w:rPr>
          <w:sz w:val="24"/>
          <w:szCs w:val="24"/>
        </w:rPr>
        <w:t xml:space="preserve"> jejich </w:t>
      </w:r>
      <w:r>
        <w:rPr>
          <w:sz w:val="24"/>
          <w:szCs w:val="24"/>
        </w:rPr>
        <w:t>r</w:t>
      </w:r>
      <w:r w:rsidRPr="00D02C89">
        <w:rPr>
          <w:sz w:val="24"/>
          <w:szCs w:val="24"/>
        </w:rPr>
        <w:t xml:space="preserve">ozvoje). </w:t>
      </w:r>
    </w:p>
    <w:p w:rsidR="00A9221E" w:rsidRPr="00CD184C" w:rsidRDefault="00A9221E" w:rsidP="00F325EF">
      <w:pPr>
        <w:pStyle w:val="05-Text"/>
        <w:spacing w:after="120"/>
      </w:pPr>
      <w:r w:rsidRPr="00CD184C">
        <w:t xml:space="preserve">Výše uvedené empiricky podložené závěry jsou v další části testovány z pohledu teoretického konceptu mezní míry mobility výrobních zdrojů, jejíž působení lze výstižně </w:t>
      </w:r>
      <w:r w:rsidR="00FB1317" w:rsidRPr="00CD184C">
        <w:lastRenderedPageBreak/>
        <w:t>ilustrovat na příkladu do</w:t>
      </w:r>
      <w:r w:rsidRPr="00CD184C">
        <w:t xml:space="preserve">jížďky do zaměstnání. </w:t>
      </w:r>
      <w:r w:rsidR="00610A8C" w:rsidRPr="00CD184C">
        <w:t>V tomto případě</w:t>
      </w:r>
      <w:r w:rsidRPr="00CD184C">
        <w:t xml:space="preserve"> tato mezní míra </w:t>
      </w:r>
      <w:r w:rsidR="00FB1317" w:rsidRPr="00CD184C">
        <w:t>mobility, resp. do</w:t>
      </w:r>
      <w:r w:rsidRPr="00CD184C">
        <w:t>jížďková vzdálenost</w:t>
      </w:r>
      <w:r w:rsidR="00610A8C" w:rsidRPr="00CD184C">
        <w:t>,</w:t>
      </w:r>
      <w:r w:rsidRPr="00CD184C">
        <w:t xml:space="preserve"> je určována vztahem, který lze zapsat následujícím způsobem:</w:t>
      </w:r>
      <w:r w:rsidRPr="00CD184C">
        <w:rPr>
          <w:rFonts w:cs="TimesNewRomanPSMT"/>
        </w:rPr>
        <w:t xml:space="preserve"> </w:t>
      </w:r>
    </w:p>
    <w:p w:rsidR="00A9221E" w:rsidRPr="00CD184C" w:rsidRDefault="00A9221E" w:rsidP="00EE3D8E">
      <w:pPr>
        <w:keepNext/>
        <w:widowControl w:val="0"/>
        <w:spacing w:after="120"/>
        <w:jc w:val="center"/>
        <w:rPr>
          <w:sz w:val="24"/>
          <w:szCs w:val="24"/>
        </w:rPr>
      </w:pPr>
      <w:r w:rsidRPr="00CD184C">
        <w:rPr>
          <w:position w:val="-24"/>
          <w:sz w:val="24"/>
          <w:szCs w:val="24"/>
          <w:vertAlign w:val="subscript"/>
          <w:lang w:eastAsia="en-US"/>
        </w:rPr>
        <w:object w:dxaOrig="1020" w:dyaOrig="620">
          <v:shape id="_x0000_i1029" type="#_x0000_t75" style="width:52.5pt;height:30.75pt" o:ole="">
            <v:imagedata r:id="rId34" o:title=""/>
          </v:shape>
          <o:OLEObject Type="Embed" ProgID="Equation.3" ShapeID="_x0000_i1029" DrawAspect="Content" ObjectID="_1456295317" r:id="rId35"/>
        </w:object>
      </w:r>
      <w:r w:rsidRPr="00CD184C">
        <w:rPr>
          <w:sz w:val="24"/>
          <w:szCs w:val="24"/>
        </w:rPr>
        <w:t>,</w:t>
      </w:r>
    </w:p>
    <w:p w:rsidR="00A90299" w:rsidRDefault="00A9221E" w:rsidP="00F325EF">
      <w:pPr>
        <w:keepNext/>
        <w:widowControl w:val="0"/>
        <w:spacing w:after="120"/>
        <w:jc w:val="both"/>
        <w:rPr>
          <w:sz w:val="24"/>
          <w:szCs w:val="24"/>
          <w:vertAlign w:val="subscript"/>
          <w:lang w:eastAsia="en-US"/>
        </w:rPr>
      </w:pPr>
      <w:r w:rsidRPr="00CD184C">
        <w:rPr>
          <w:sz w:val="24"/>
          <w:szCs w:val="24"/>
        </w:rPr>
        <w:t>kde Mm = mezní míra mobility, Pp = přírůstek příjmů, Pn = přírůstek nákladů, který lze dále definovat následujícím vztahem:</w:t>
      </w:r>
    </w:p>
    <w:p w:rsidR="00A9221E" w:rsidRPr="00A90299" w:rsidRDefault="00A9221E" w:rsidP="00F325EF">
      <w:pPr>
        <w:keepNext/>
        <w:widowControl w:val="0"/>
        <w:tabs>
          <w:tab w:val="left" w:pos="2580"/>
        </w:tabs>
        <w:spacing w:after="120"/>
        <w:jc w:val="center"/>
        <w:rPr>
          <w:sz w:val="24"/>
          <w:szCs w:val="24"/>
          <w:vertAlign w:val="subscript"/>
          <w:lang w:eastAsia="en-US"/>
        </w:rPr>
      </w:pPr>
      <w:r w:rsidRPr="00CD184C">
        <w:rPr>
          <w:position w:val="-24"/>
          <w:sz w:val="24"/>
          <w:szCs w:val="24"/>
          <w:vertAlign w:val="subscript"/>
          <w:lang w:eastAsia="en-US"/>
        </w:rPr>
        <w:object w:dxaOrig="2200" w:dyaOrig="620">
          <v:shape id="_x0000_i1030" type="#_x0000_t75" style="width:108.75pt;height:30.75pt" o:ole="">
            <v:imagedata r:id="rId36" o:title=""/>
          </v:shape>
          <o:OLEObject Type="Embed" ProgID="Equation.3" ShapeID="_x0000_i1030" DrawAspect="Content" ObjectID="_1456295318" r:id="rId37"/>
        </w:object>
      </w:r>
      <w:r w:rsidRPr="00CD184C">
        <w:rPr>
          <w:sz w:val="24"/>
          <w:szCs w:val="24"/>
        </w:rPr>
        <w:t>,</w:t>
      </w:r>
    </w:p>
    <w:p w:rsidR="001B0288" w:rsidRPr="00CD184C" w:rsidRDefault="00A9221E" w:rsidP="00423120">
      <w:pPr>
        <w:pStyle w:val="05-Text"/>
        <w:ind w:firstLine="0"/>
      </w:pPr>
      <w:r w:rsidRPr="00CD184C">
        <w:t>kde Nv = průměrný přírůstek nákladů na veřejnou dopravu, Zv = podíl veřejné dopravy v příslušné zóně, Ni = průměrný přírůstek nákladů na individ</w:t>
      </w:r>
      <w:r w:rsidR="000856B7">
        <w:t>uální automobilovou dopravu. Zi </w:t>
      </w:r>
      <w:r w:rsidRPr="00CD184C">
        <w:t xml:space="preserve">= podíl </w:t>
      </w:r>
      <w:r w:rsidRPr="00CD184C">
        <w:rPr>
          <w:rStyle w:val="05-TextChar"/>
        </w:rPr>
        <w:t>individuální</w:t>
      </w:r>
      <w:r w:rsidRPr="00CD184C">
        <w:t xml:space="preserve"> automobilové dopravy v příslušné zóně.</w:t>
      </w:r>
    </w:p>
    <w:p w:rsidR="00A9221E" w:rsidRPr="00CD184C" w:rsidRDefault="00A9221E" w:rsidP="00423120">
      <w:pPr>
        <w:keepNext/>
        <w:widowControl w:val="0"/>
        <w:ind w:firstLine="720"/>
        <w:jc w:val="both"/>
        <w:rPr>
          <w:sz w:val="24"/>
          <w:szCs w:val="24"/>
        </w:rPr>
      </w:pPr>
      <w:r w:rsidRPr="00CD184C">
        <w:rPr>
          <w:sz w:val="24"/>
          <w:szCs w:val="24"/>
        </w:rPr>
        <w:t>V</w:t>
      </w:r>
      <w:r w:rsidR="00F573F5" w:rsidRPr="00CD184C">
        <w:rPr>
          <w:sz w:val="24"/>
          <w:szCs w:val="24"/>
        </w:rPr>
        <w:t> modelovém</w:t>
      </w:r>
      <w:r w:rsidRPr="00CD184C">
        <w:rPr>
          <w:sz w:val="24"/>
          <w:szCs w:val="24"/>
        </w:rPr>
        <w:t xml:space="preserve"> případě byla mezní míra mobility pracovních sil testována na příkladu oblasti geograficky vymezené pokrytím integrovaného dopravního systému Jihomoravského kraje (IDS JMK), kde byla uvažována potenciální dojížďka </w:t>
      </w:r>
      <w:r w:rsidR="00FB1317" w:rsidRPr="00CD184C">
        <w:rPr>
          <w:sz w:val="24"/>
          <w:szCs w:val="24"/>
        </w:rPr>
        <w:t>zaměstnanců</w:t>
      </w:r>
      <w:r w:rsidRPr="00CD184C">
        <w:rPr>
          <w:sz w:val="24"/>
          <w:szCs w:val="24"/>
        </w:rPr>
        <w:t xml:space="preserve"> do Brna buď prostřednictvím kombinace autobus/vlak/MHD</w:t>
      </w:r>
      <w:r w:rsidR="00610A8C" w:rsidRPr="00CD184C">
        <w:rPr>
          <w:sz w:val="24"/>
          <w:szCs w:val="24"/>
        </w:rPr>
        <w:t>,</w:t>
      </w:r>
      <w:r w:rsidRPr="00CD184C">
        <w:rPr>
          <w:sz w:val="24"/>
          <w:szCs w:val="24"/>
        </w:rPr>
        <w:t xml:space="preserve"> nebo osobní automobilovou doprav</w:t>
      </w:r>
      <w:r w:rsidR="00610A8C" w:rsidRPr="00CD184C">
        <w:rPr>
          <w:sz w:val="24"/>
          <w:szCs w:val="24"/>
        </w:rPr>
        <w:t>ou</w:t>
      </w:r>
      <w:r w:rsidRPr="00CD184C">
        <w:rPr>
          <w:sz w:val="24"/>
          <w:szCs w:val="24"/>
        </w:rPr>
        <w:t xml:space="preserve"> (její podíl </w:t>
      </w:r>
      <w:r w:rsidR="003B3ED7" w:rsidRPr="00CD184C">
        <w:rPr>
          <w:sz w:val="24"/>
          <w:szCs w:val="24"/>
        </w:rPr>
        <w:t>je</w:t>
      </w:r>
      <w:r w:rsidRPr="00CD184C">
        <w:rPr>
          <w:sz w:val="24"/>
          <w:szCs w:val="24"/>
        </w:rPr>
        <w:t xml:space="preserve"> uvažován v rozmezí 19 až 30 %</w:t>
      </w:r>
      <w:r w:rsidR="003B3ED7" w:rsidRPr="00CD184C">
        <w:rPr>
          <w:sz w:val="24"/>
          <w:szCs w:val="24"/>
        </w:rPr>
        <w:t xml:space="preserve">, přičemž tento podíl </w:t>
      </w:r>
      <w:r w:rsidR="000856B7">
        <w:rPr>
          <w:sz w:val="24"/>
          <w:szCs w:val="24"/>
        </w:rPr>
        <w:t>je u kratších vzdáleností do 10 </w:t>
      </w:r>
      <w:r w:rsidR="003B3ED7" w:rsidRPr="00CD184C">
        <w:rPr>
          <w:sz w:val="24"/>
          <w:szCs w:val="24"/>
        </w:rPr>
        <w:t>km nižší a s rostoucí vzdáleností nejprve roste až k mírnému poklesu ve vzdálenosti okolo 30 km, od kterého má pak stagnující charakter</w:t>
      </w:r>
      <w:r w:rsidRPr="00CD184C">
        <w:rPr>
          <w:sz w:val="24"/>
          <w:szCs w:val="24"/>
        </w:rPr>
        <w:t xml:space="preserve">). </w:t>
      </w:r>
      <w:r w:rsidR="003B3ED7" w:rsidRPr="00CD184C">
        <w:rPr>
          <w:sz w:val="24"/>
          <w:szCs w:val="24"/>
        </w:rPr>
        <w:t xml:space="preserve">Do vymezené oblasti nebyly zahrnuty některé obce z vybraných geograficky odlehlých správních obvodů především v okolí Znojma a Hodonína. </w:t>
      </w:r>
      <w:r w:rsidRPr="00CD184C">
        <w:rPr>
          <w:sz w:val="24"/>
          <w:szCs w:val="24"/>
        </w:rPr>
        <w:t>P</w:t>
      </w:r>
      <w:r w:rsidR="00610A8C" w:rsidRPr="00CD184C">
        <w:rPr>
          <w:sz w:val="24"/>
          <w:szCs w:val="24"/>
        </w:rPr>
        <w:t>r</w:t>
      </w:r>
      <w:r w:rsidRPr="00CD184C">
        <w:rPr>
          <w:sz w:val="24"/>
          <w:szCs w:val="24"/>
        </w:rPr>
        <w:t>o výpočet nákladů byl využit ceník IDS</w:t>
      </w:r>
      <w:r w:rsidR="00FB1317" w:rsidRPr="00CD184C">
        <w:rPr>
          <w:sz w:val="24"/>
          <w:szCs w:val="24"/>
        </w:rPr>
        <w:t xml:space="preserve"> v případě veřejné dopravy</w:t>
      </w:r>
      <w:r w:rsidRPr="00CD184C">
        <w:rPr>
          <w:sz w:val="24"/>
          <w:szCs w:val="24"/>
        </w:rPr>
        <w:t xml:space="preserve"> a v případě individuální dopravy pak </w:t>
      </w:r>
      <w:r w:rsidR="00FB1317" w:rsidRPr="00CD184C">
        <w:rPr>
          <w:sz w:val="24"/>
          <w:szCs w:val="24"/>
        </w:rPr>
        <w:t xml:space="preserve">byly využity </w:t>
      </w:r>
      <w:r w:rsidRPr="00CD184C">
        <w:rPr>
          <w:sz w:val="24"/>
          <w:szCs w:val="24"/>
        </w:rPr>
        <w:t xml:space="preserve">kvalifikované odhady nákladů. Následující tabulka uvádí přehled mezní míry pracovní mobility pro jednotlivé zóny vzdálenosti bydliště dojíždějících </w:t>
      </w:r>
      <w:r w:rsidRPr="002F1FFF">
        <w:rPr>
          <w:sz w:val="24"/>
          <w:szCs w:val="24"/>
        </w:rPr>
        <w:t>pracovníků do centra</w:t>
      </w:r>
      <w:r w:rsidRPr="00CD184C">
        <w:rPr>
          <w:sz w:val="24"/>
          <w:szCs w:val="24"/>
        </w:rPr>
        <w:t xml:space="preserve"> Brna. V tabulce je kalk</w:t>
      </w:r>
      <w:r w:rsidR="000856B7">
        <w:rPr>
          <w:sz w:val="24"/>
          <w:szCs w:val="24"/>
        </w:rPr>
        <w:t>ulována mezní míra mobility pro </w:t>
      </w:r>
      <w:r w:rsidRPr="00CD184C">
        <w:rPr>
          <w:sz w:val="24"/>
          <w:szCs w:val="24"/>
        </w:rPr>
        <w:t>pět odlišných situací podle potenciálního přírůstku příjmu vyjíždějícího pracovníka (hodnota 3 600 Kč představuje hrubý rozdíl mezi mzdovým průměrem</w:t>
      </w:r>
      <w:r w:rsidR="00275DD2">
        <w:rPr>
          <w:sz w:val="24"/>
          <w:szCs w:val="24"/>
        </w:rPr>
        <w:t>,</w:t>
      </w:r>
      <w:r w:rsidRPr="00CD184C">
        <w:rPr>
          <w:sz w:val="24"/>
          <w:szCs w:val="24"/>
        </w:rPr>
        <w:t xml:space="preserve"> tj. 24,3 tis. Kč a mediánem</w:t>
      </w:r>
      <w:r w:rsidR="00275DD2">
        <w:rPr>
          <w:sz w:val="24"/>
          <w:szCs w:val="24"/>
        </w:rPr>
        <w:t>,</w:t>
      </w:r>
      <w:r w:rsidRPr="00CD184C">
        <w:rPr>
          <w:sz w:val="24"/>
          <w:szCs w:val="24"/>
        </w:rPr>
        <w:t xml:space="preserve"> tj. 20,7 tis. Kč</w:t>
      </w:r>
      <w:r w:rsidR="00610A8C" w:rsidRPr="00CD184C">
        <w:rPr>
          <w:sz w:val="24"/>
          <w:szCs w:val="24"/>
        </w:rPr>
        <w:t>,</w:t>
      </w:r>
      <w:r w:rsidRPr="00CD184C">
        <w:rPr>
          <w:sz w:val="24"/>
          <w:szCs w:val="24"/>
        </w:rPr>
        <w:t xml:space="preserve"> </w:t>
      </w:r>
      <w:r w:rsidR="00610A8C" w:rsidRPr="00CD184C">
        <w:rPr>
          <w:sz w:val="24"/>
          <w:szCs w:val="24"/>
        </w:rPr>
        <w:t>dosaženým</w:t>
      </w:r>
      <w:r w:rsidRPr="00CD184C">
        <w:rPr>
          <w:sz w:val="24"/>
          <w:szCs w:val="24"/>
        </w:rPr>
        <w:t xml:space="preserve"> v Jihomoravském kraji v roce 2011).</w:t>
      </w:r>
    </w:p>
    <w:p w:rsidR="00A9221E" w:rsidRPr="00CD184C" w:rsidRDefault="00A9221E" w:rsidP="000112D6">
      <w:pPr>
        <w:pStyle w:val="0T-Titulek"/>
      </w:pPr>
      <w:bookmarkStart w:id="64" w:name="_Toc382326440"/>
      <w:r w:rsidRPr="00CD184C">
        <w:t>Tabulka 1</w:t>
      </w:r>
      <w:r w:rsidR="009D2B97">
        <w:t>3</w:t>
      </w:r>
      <w:r w:rsidRPr="00CD184C">
        <w:t xml:space="preserve">: </w:t>
      </w:r>
      <w:r w:rsidR="00FB1317" w:rsidRPr="00CD184C">
        <w:t>Mezní míra mobility dle dojížďkových zón a potenciálního přírůstku příjmů</w:t>
      </w:r>
      <w:bookmarkEnd w:id="64"/>
    </w:p>
    <w:tbl>
      <w:tblPr>
        <w:tblW w:w="8040" w:type="dxa"/>
        <w:tblInd w:w="523" w:type="dxa"/>
        <w:tblCellMar>
          <w:left w:w="70" w:type="dxa"/>
          <w:right w:w="70" w:type="dxa"/>
        </w:tblCellMar>
        <w:tblLook w:val="00A0" w:firstRow="1" w:lastRow="0" w:firstColumn="1" w:lastColumn="0" w:noHBand="0" w:noVBand="0"/>
      </w:tblPr>
      <w:tblGrid>
        <w:gridCol w:w="2382"/>
        <w:gridCol w:w="1134"/>
        <w:gridCol w:w="1134"/>
        <w:gridCol w:w="1134"/>
        <w:gridCol w:w="1134"/>
        <w:gridCol w:w="1122"/>
      </w:tblGrid>
      <w:tr w:rsidR="00CD184C" w:rsidRPr="00CD184C" w:rsidTr="00F325EF">
        <w:trPr>
          <w:trHeight w:hRule="exact" w:val="301"/>
        </w:trPr>
        <w:tc>
          <w:tcPr>
            <w:tcW w:w="2382" w:type="dxa"/>
            <w:tcBorders>
              <w:top w:val="single" w:sz="4" w:space="0" w:color="auto"/>
              <w:left w:val="single" w:sz="4" w:space="0" w:color="auto"/>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b/>
                <w:lang w:eastAsia="en-US"/>
              </w:rPr>
            </w:pPr>
            <w:r w:rsidRPr="000856B7">
              <w:rPr>
                <w:rFonts w:asciiTheme="minorHAnsi" w:hAnsiTheme="minorHAnsi" w:cstheme="minorHAnsi"/>
                <w:b/>
                <w:lang w:eastAsia="en-US"/>
              </w:rPr>
              <w:t>Zóna</w:t>
            </w:r>
            <w:r w:rsidR="008B56BF" w:rsidRPr="000856B7">
              <w:rPr>
                <w:rFonts w:asciiTheme="minorHAnsi" w:hAnsiTheme="minorHAnsi" w:cstheme="minorHAnsi"/>
                <w:b/>
                <w:lang w:eastAsia="en-US"/>
              </w:rPr>
              <w:t xml:space="preserve"> (v km)</w:t>
            </w:r>
            <w:r w:rsidRPr="000856B7">
              <w:rPr>
                <w:rFonts w:asciiTheme="minorHAnsi" w:hAnsiTheme="minorHAnsi" w:cstheme="minorHAnsi"/>
                <w:b/>
                <w:lang w:eastAsia="en-US"/>
              </w:rPr>
              <w:t>/Pp</w:t>
            </w:r>
            <w:r w:rsidR="008B56BF" w:rsidRPr="000856B7">
              <w:rPr>
                <w:rFonts w:asciiTheme="minorHAnsi" w:hAnsiTheme="minorHAnsi" w:cstheme="minorHAnsi"/>
                <w:b/>
                <w:lang w:eastAsia="en-US"/>
              </w:rPr>
              <w:t xml:space="preserve"> (v Kč)</w:t>
            </w:r>
          </w:p>
        </w:tc>
        <w:tc>
          <w:tcPr>
            <w:tcW w:w="1134" w:type="dxa"/>
            <w:tcBorders>
              <w:top w:val="single" w:sz="4" w:space="0" w:color="auto"/>
              <w:left w:val="nil"/>
              <w:bottom w:val="single" w:sz="4" w:space="0" w:color="auto"/>
              <w:right w:val="single" w:sz="4" w:space="0" w:color="auto"/>
            </w:tcBorders>
            <w:noWrap/>
            <w:vAlign w:val="bottom"/>
          </w:tcPr>
          <w:p w:rsidR="00A9221E" w:rsidRDefault="00A9221E" w:rsidP="00423120">
            <w:pPr>
              <w:keepNext/>
              <w:widowControl w:val="0"/>
              <w:suppressLineNumbers/>
              <w:jc w:val="center"/>
              <w:rPr>
                <w:rFonts w:asciiTheme="minorHAnsi" w:hAnsiTheme="minorHAnsi" w:cstheme="minorHAnsi"/>
                <w:b/>
                <w:lang w:eastAsia="en-US"/>
              </w:rPr>
            </w:pPr>
            <w:r w:rsidRPr="000856B7">
              <w:rPr>
                <w:rFonts w:asciiTheme="minorHAnsi" w:hAnsiTheme="minorHAnsi" w:cstheme="minorHAnsi"/>
                <w:b/>
                <w:lang w:eastAsia="en-US"/>
              </w:rPr>
              <w:t>1 250</w:t>
            </w:r>
          </w:p>
          <w:p w:rsidR="00A75E48" w:rsidRPr="000856B7" w:rsidRDefault="00A75E48" w:rsidP="00423120">
            <w:pPr>
              <w:keepNext/>
              <w:widowControl w:val="0"/>
              <w:suppressLineNumbers/>
              <w:jc w:val="center"/>
              <w:rPr>
                <w:rFonts w:asciiTheme="minorHAnsi" w:hAnsiTheme="minorHAnsi" w:cstheme="minorHAnsi"/>
                <w:b/>
                <w:lang w:eastAsia="en-US"/>
              </w:rPr>
            </w:pPr>
          </w:p>
        </w:tc>
        <w:tc>
          <w:tcPr>
            <w:tcW w:w="1134" w:type="dxa"/>
            <w:tcBorders>
              <w:top w:val="single" w:sz="4" w:space="0" w:color="auto"/>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b/>
                <w:lang w:eastAsia="en-US"/>
              </w:rPr>
            </w:pPr>
            <w:r w:rsidRPr="000856B7">
              <w:rPr>
                <w:rFonts w:asciiTheme="minorHAnsi" w:hAnsiTheme="minorHAnsi" w:cstheme="minorHAnsi"/>
                <w:b/>
                <w:lang w:eastAsia="en-US"/>
              </w:rPr>
              <w:t>2 500</w:t>
            </w:r>
          </w:p>
        </w:tc>
        <w:tc>
          <w:tcPr>
            <w:tcW w:w="1134" w:type="dxa"/>
            <w:tcBorders>
              <w:top w:val="single" w:sz="4" w:space="0" w:color="auto"/>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b/>
                <w:lang w:eastAsia="en-US"/>
              </w:rPr>
            </w:pPr>
            <w:r w:rsidRPr="000856B7">
              <w:rPr>
                <w:rFonts w:asciiTheme="minorHAnsi" w:hAnsiTheme="minorHAnsi" w:cstheme="minorHAnsi"/>
                <w:b/>
                <w:lang w:eastAsia="en-US"/>
              </w:rPr>
              <w:t>3 600</w:t>
            </w:r>
          </w:p>
        </w:tc>
        <w:tc>
          <w:tcPr>
            <w:tcW w:w="1134" w:type="dxa"/>
            <w:tcBorders>
              <w:top w:val="single" w:sz="4" w:space="0" w:color="auto"/>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b/>
                <w:lang w:eastAsia="en-US"/>
              </w:rPr>
            </w:pPr>
            <w:r w:rsidRPr="000856B7">
              <w:rPr>
                <w:rFonts w:asciiTheme="minorHAnsi" w:hAnsiTheme="minorHAnsi" w:cstheme="minorHAnsi"/>
                <w:b/>
                <w:lang w:eastAsia="en-US"/>
              </w:rPr>
              <w:t>5 000</w:t>
            </w:r>
          </w:p>
        </w:tc>
        <w:tc>
          <w:tcPr>
            <w:tcW w:w="1122" w:type="dxa"/>
            <w:tcBorders>
              <w:top w:val="single" w:sz="4" w:space="0" w:color="auto"/>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b/>
                <w:lang w:eastAsia="en-US"/>
              </w:rPr>
            </w:pPr>
            <w:r w:rsidRPr="000856B7">
              <w:rPr>
                <w:rFonts w:asciiTheme="minorHAnsi" w:hAnsiTheme="minorHAnsi" w:cstheme="minorHAnsi"/>
                <w:b/>
                <w:lang w:eastAsia="en-US"/>
              </w:rPr>
              <w:t>10 000</w:t>
            </w:r>
          </w:p>
        </w:tc>
      </w:tr>
      <w:tr w:rsidR="00CD184C" w:rsidRPr="00CD184C" w:rsidTr="00F325EF">
        <w:trPr>
          <w:trHeight w:hRule="exact" w:val="301"/>
        </w:trPr>
        <w:tc>
          <w:tcPr>
            <w:tcW w:w="2382" w:type="dxa"/>
            <w:tcBorders>
              <w:top w:val="nil"/>
              <w:left w:val="single" w:sz="4" w:space="0" w:color="auto"/>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b/>
                <w:lang w:eastAsia="en-US"/>
              </w:rPr>
            </w:pPr>
            <w:r w:rsidRPr="000856B7">
              <w:rPr>
                <w:rFonts w:asciiTheme="minorHAnsi" w:hAnsiTheme="minorHAnsi" w:cstheme="minorHAnsi"/>
                <w:b/>
                <w:lang w:eastAsia="en-US"/>
              </w:rPr>
              <w:t>0 až 10,0</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1,30</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2,61</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3,75</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5,21</w:t>
            </w:r>
          </w:p>
        </w:tc>
        <w:tc>
          <w:tcPr>
            <w:tcW w:w="1122"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10,42</w:t>
            </w:r>
          </w:p>
        </w:tc>
      </w:tr>
      <w:tr w:rsidR="00CD184C" w:rsidRPr="00CD184C" w:rsidTr="00F325EF">
        <w:trPr>
          <w:trHeight w:hRule="exact" w:val="301"/>
        </w:trPr>
        <w:tc>
          <w:tcPr>
            <w:tcW w:w="2382" w:type="dxa"/>
            <w:tcBorders>
              <w:top w:val="nil"/>
              <w:left w:val="single" w:sz="4" w:space="0" w:color="auto"/>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b/>
                <w:lang w:eastAsia="en-US"/>
              </w:rPr>
            </w:pPr>
            <w:r w:rsidRPr="000856B7">
              <w:rPr>
                <w:rFonts w:asciiTheme="minorHAnsi" w:hAnsiTheme="minorHAnsi" w:cstheme="minorHAnsi"/>
                <w:b/>
                <w:lang w:eastAsia="en-US"/>
              </w:rPr>
              <w:t>10,1 až 20,0</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0,62</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1,25</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1,80</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2,49</w:t>
            </w:r>
          </w:p>
        </w:tc>
        <w:tc>
          <w:tcPr>
            <w:tcW w:w="1122"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4,99</w:t>
            </w:r>
          </w:p>
        </w:tc>
      </w:tr>
      <w:tr w:rsidR="00CD184C" w:rsidRPr="00CD184C" w:rsidTr="00F325EF">
        <w:trPr>
          <w:trHeight w:hRule="exact" w:val="301"/>
        </w:trPr>
        <w:tc>
          <w:tcPr>
            <w:tcW w:w="2382" w:type="dxa"/>
            <w:tcBorders>
              <w:top w:val="nil"/>
              <w:left w:val="single" w:sz="4" w:space="0" w:color="auto"/>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b/>
                <w:lang w:eastAsia="en-US"/>
              </w:rPr>
            </w:pPr>
            <w:r w:rsidRPr="000856B7">
              <w:rPr>
                <w:rFonts w:asciiTheme="minorHAnsi" w:hAnsiTheme="minorHAnsi" w:cstheme="minorHAnsi"/>
                <w:b/>
                <w:lang w:eastAsia="en-US"/>
              </w:rPr>
              <w:t>20,1 až 30,0</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0,39</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0,78</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1,12</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1,55</w:t>
            </w:r>
          </w:p>
        </w:tc>
        <w:tc>
          <w:tcPr>
            <w:tcW w:w="1122"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3,10</w:t>
            </w:r>
          </w:p>
        </w:tc>
      </w:tr>
      <w:tr w:rsidR="00CD184C" w:rsidRPr="00CD184C" w:rsidTr="00F325EF">
        <w:trPr>
          <w:trHeight w:hRule="exact" w:val="301"/>
        </w:trPr>
        <w:tc>
          <w:tcPr>
            <w:tcW w:w="2382" w:type="dxa"/>
            <w:tcBorders>
              <w:top w:val="nil"/>
              <w:left w:val="single" w:sz="4" w:space="0" w:color="auto"/>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b/>
                <w:lang w:eastAsia="en-US"/>
              </w:rPr>
            </w:pPr>
            <w:r w:rsidRPr="000856B7">
              <w:rPr>
                <w:rFonts w:asciiTheme="minorHAnsi" w:hAnsiTheme="minorHAnsi" w:cstheme="minorHAnsi"/>
                <w:b/>
                <w:lang w:eastAsia="en-US"/>
              </w:rPr>
              <w:t>30,1 až 40,0</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0,34</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0,68</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0,98</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1,36</w:t>
            </w:r>
          </w:p>
        </w:tc>
        <w:tc>
          <w:tcPr>
            <w:tcW w:w="1122"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2,72</w:t>
            </w:r>
          </w:p>
        </w:tc>
      </w:tr>
      <w:tr w:rsidR="00CD184C" w:rsidRPr="00CD184C" w:rsidTr="00F325EF">
        <w:trPr>
          <w:trHeight w:hRule="exact" w:val="301"/>
        </w:trPr>
        <w:tc>
          <w:tcPr>
            <w:tcW w:w="2382" w:type="dxa"/>
            <w:tcBorders>
              <w:top w:val="nil"/>
              <w:left w:val="single" w:sz="4" w:space="0" w:color="auto"/>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b/>
                <w:lang w:eastAsia="en-US"/>
              </w:rPr>
            </w:pPr>
            <w:r w:rsidRPr="000856B7">
              <w:rPr>
                <w:rFonts w:asciiTheme="minorHAnsi" w:hAnsiTheme="minorHAnsi" w:cstheme="minorHAnsi"/>
                <w:b/>
                <w:lang w:eastAsia="en-US"/>
              </w:rPr>
              <w:t>40,1 až 50,0</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0,27</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0,55</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0,79</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1,10</w:t>
            </w:r>
          </w:p>
        </w:tc>
        <w:tc>
          <w:tcPr>
            <w:tcW w:w="1122"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2,19</w:t>
            </w:r>
          </w:p>
        </w:tc>
      </w:tr>
      <w:tr w:rsidR="00CD184C" w:rsidRPr="00CD184C" w:rsidTr="00F325EF">
        <w:trPr>
          <w:trHeight w:hRule="exact" w:val="301"/>
        </w:trPr>
        <w:tc>
          <w:tcPr>
            <w:tcW w:w="2382" w:type="dxa"/>
            <w:tcBorders>
              <w:top w:val="nil"/>
              <w:left w:val="single" w:sz="4" w:space="0" w:color="auto"/>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b/>
                <w:lang w:eastAsia="en-US"/>
              </w:rPr>
            </w:pPr>
            <w:r w:rsidRPr="000856B7">
              <w:rPr>
                <w:rFonts w:asciiTheme="minorHAnsi" w:hAnsiTheme="minorHAnsi" w:cstheme="minorHAnsi"/>
                <w:b/>
                <w:lang w:eastAsia="en-US"/>
              </w:rPr>
              <w:t>50,1 až 60,0</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0,23</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0,46</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0,66</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0,92</w:t>
            </w:r>
          </w:p>
        </w:tc>
        <w:tc>
          <w:tcPr>
            <w:tcW w:w="1122"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1,84</w:t>
            </w:r>
          </w:p>
        </w:tc>
      </w:tr>
      <w:tr w:rsidR="00CD184C" w:rsidRPr="00CD184C" w:rsidTr="00F325EF">
        <w:trPr>
          <w:trHeight w:hRule="exact" w:val="301"/>
        </w:trPr>
        <w:tc>
          <w:tcPr>
            <w:tcW w:w="2382" w:type="dxa"/>
            <w:tcBorders>
              <w:top w:val="nil"/>
              <w:left w:val="single" w:sz="4" w:space="0" w:color="auto"/>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b/>
                <w:lang w:eastAsia="en-US"/>
              </w:rPr>
            </w:pPr>
            <w:r w:rsidRPr="000856B7">
              <w:rPr>
                <w:rFonts w:asciiTheme="minorHAnsi" w:hAnsiTheme="minorHAnsi" w:cstheme="minorHAnsi"/>
                <w:b/>
                <w:lang w:eastAsia="en-US"/>
              </w:rPr>
              <w:t>60,1 a více</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0,20</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0,41</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0,59</w:t>
            </w:r>
          </w:p>
        </w:tc>
        <w:tc>
          <w:tcPr>
            <w:tcW w:w="1134"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0,81</w:t>
            </w:r>
          </w:p>
        </w:tc>
        <w:tc>
          <w:tcPr>
            <w:tcW w:w="1122" w:type="dxa"/>
            <w:tcBorders>
              <w:top w:val="nil"/>
              <w:left w:val="nil"/>
              <w:bottom w:val="single" w:sz="4" w:space="0" w:color="auto"/>
              <w:right w:val="single" w:sz="4" w:space="0" w:color="auto"/>
            </w:tcBorders>
            <w:noWrap/>
            <w:vAlign w:val="bottom"/>
          </w:tcPr>
          <w:p w:rsidR="00A9221E" w:rsidRPr="000856B7" w:rsidRDefault="00A9221E" w:rsidP="00423120">
            <w:pPr>
              <w:keepNext/>
              <w:widowControl w:val="0"/>
              <w:suppressLineNumbers/>
              <w:jc w:val="center"/>
              <w:rPr>
                <w:rFonts w:asciiTheme="minorHAnsi" w:hAnsiTheme="minorHAnsi" w:cstheme="minorHAnsi"/>
                <w:lang w:eastAsia="en-US"/>
              </w:rPr>
            </w:pPr>
            <w:r w:rsidRPr="000856B7">
              <w:rPr>
                <w:rFonts w:asciiTheme="minorHAnsi" w:hAnsiTheme="minorHAnsi" w:cstheme="minorHAnsi"/>
                <w:lang w:eastAsia="en-US"/>
              </w:rPr>
              <w:t>1,63</w:t>
            </w:r>
          </w:p>
        </w:tc>
      </w:tr>
    </w:tbl>
    <w:p w:rsidR="00A9221E" w:rsidRPr="00A90299" w:rsidRDefault="00A9221E" w:rsidP="000112D6">
      <w:pPr>
        <w:keepNext/>
        <w:widowControl w:val="0"/>
        <w:spacing w:after="0" w:line="240" w:lineRule="auto"/>
        <w:ind w:right="1077" w:firstLine="454"/>
        <w:jc w:val="both"/>
        <w:rPr>
          <w:rFonts w:asciiTheme="minorHAnsi" w:hAnsiTheme="minorHAnsi" w:cs="Arial"/>
          <w:i/>
          <w:sz w:val="20"/>
          <w:szCs w:val="20"/>
        </w:rPr>
      </w:pPr>
      <w:r w:rsidRPr="00A90299">
        <w:rPr>
          <w:rFonts w:asciiTheme="minorHAnsi" w:hAnsiTheme="minorHAnsi" w:cs="Arial"/>
          <w:i/>
          <w:sz w:val="20"/>
          <w:szCs w:val="20"/>
        </w:rPr>
        <w:t xml:space="preserve">Poznámka:  Neuvažována hodnota času </w:t>
      </w:r>
      <w:r w:rsidR="00FB1317" w:rsidRPr="00A90299">
        <w:rPr>
          <w:rFonts w:asciiTheme="minorHAnsi" w:hAnsiTheme="minorHAnsi" w:cs="Arial"/>
          <w:i/>
          <w:sz w:val="20"/>
          <w:szCs w:val="20"/>
        </w:rPr>
        <w:t>stráveného</w:t>
      </w:r>
      <w:r w:rsidRPr="00A90299">
        <w:rPr>
          <w:rFonts w:asciiTheme="minorHAnsi" w:hAnsiTheme="minorHAnsi" w:cs="Arial"/>
          <w:i/>
          <w:sz w:val="20"/>
          <w:szCs w:val="20"/>
        </w:rPr>
        <w:t xml:space="preserve"> </w:t>
      </w:r>
      <w:r w:rsidR="00FB1317" w:rsidRPr="00A90299">
        <w:rPr>
          <w:rFonts w:asciiTheme="minorHAnsi" w:hAnsiTheme="minorHAnsi" w:cs="Arial"/>
          <w:i/>
          <w:sz w:val="20"/>
          <w:szCs w:val="20"/>
        </w:rPr>
        <w:t>přepravou</w:t>
      </w:r>
      <w:r w:rsidRPr="00A90299">
        <w:rPr>
          <w:rFonts w:asciiTheme="minorHAnsi" w:hAnsiTheme="minorHAnsi" w:cs="Arial"/>
          <w:i/>
          <w:sz w:val="20"/>
          <w:szCs w:val="20"/>
        </w:rPr>
        <w:t>.</w:t>
      </w:r>
    </w:p>
    <w:p w:rsidR="00A9221E" w:rsidRPr="00A90299" w:rsidRDefault="00A9221E" w:rsidP="00423120">
      <w:pPr>
        <w:keepNext/>
        <w:widowControl w:val="0"/>
        <w:spacing w:line="240" w:lineRule="auto"/>
        <w:ind w:left="454" w:right="567"/>
        <w:jc w:val="center"/>
        <w:rPr>
          <w:rFonts w:asciiTheme="minorHAnsi" w:hAnsiTheme="minorHAnsi" w:cs="Arial"/>
          <w:i/>
        </w:rPr>
      </w:pPr>
      <w:r w:rsidRPr="00A90299">
        <w:rPr>
          <w:rFonts w:asciiTheme="minorHAnsi" w:hAnsiTheme="minorHAnsi" w:cs="Arial"/>
          <w:i/>
        </w:rPr>
        <w:t>Pramen: vlastní výzkum</w:t>
      </w:r>
      <w:r w:rsidR="00A90299" w:rsidRPr="00A90299">
        <w:rPr>
          <w:rFonts w:asciiTheme="minorHAnsi" w:hAnsiTheme="minorHAnsi" w:cs="Arial"/>
          <w:i/>
        </w:rPr>
        <w:t>.</w:t>
      </w:r>
    </w:p>
    <w:p w:rsidR="00882A21" w:rsidRPr="00CD184C" w:rsidRDefault="00882A21" w:rsidP="00423120">
      <w:pPr>
        <w:keepNext/>
        <w:widowControl w:val="0"/>
        <w:ind w:firstLine="720"/>
        <w:jc w:val="both"/>
        <w:rPr>
          <w:sz w:val="24"/>
          <w:szCs w:val="24"/>
        </w:rPr>
      </w:pPr>
      <w:r w:rsidRPr="00CD184C">
        <w:rPr>
          <w:sz w:val="24"/>
          <w:szCs w:val="24"/>
        </w:rPr>
        <w:t xml:space="preserve">Z kombinací vzdálenostních pásem a potenciálních přírůstků příjmů lze v podstatě identifikovat tři základní situace. Těmito situacemi jsou jednoznačná ekonomická výhodnost vyjížďky za prací do </w:t>
      </w:r>
      <w:r w:rsidR="000B7B6B" w:rsidRPr="00CD184C">
        <w:rPr>
          <w:sz w:val="24"/>
          <w:szCs w:val="24"/>
        </w:rPr>
        <w:t>spádového centra</w:t>
      </w:r>
      <w:r w:rsidRPr="00CD184C">
        <w:rPr>
          <w:sz w:val="24"/>
          <w:szCs w:val="24"/>
        </w:rPr>
        <w:t xml:space="preserve">, </w:t>
      </w:r>
      <w:r w:rsidR="000B7B6B" w:rsidRPr="00CD184C">
        <w:rPr>
          <w:sz w:val="24"/>
          <w:szCs w:val="24"/>
        </w:rPr>
        <w:t xml:space="preserve">dále určité hraniční pásmo, kdy do rozhodování subjektů mohou vstupovat další určující faktory </w:t>
      </w:r>
      <w:r w:rsidRPr="00CD184C">
        <w:rPr>
          <w:sz w:val="24"/>
          <w:szCs w:val="24"/>
        </w:rPr>
        <w:t xml:space="preserve">a posledním </w:t>
      </w:r>
      <w:r w:rsidR="000B7B6B" w:rsidRPr="00CD184C">
        <w:rPr>
          <w:sz w:val="24"/>
          <w:szCs w:val="24"/>
        </w:rPr>
        <w:t xml:space="preserve">jednoznačná ekonomická </w:t>
      </w:r>
      <w:r w:rsidR="000B7B6B" w:rsidRPr="00CD184C">
        <w:rPr>
          <w:sz w:val="24"/>
          <w:szCs w:val="24"/>
        </w:rPr>
        <w:lastRenderedPageBreak/>
        <w:t>nevýhodnost vyjížďky za prací do spádového centra</w:t>
      </w:r>
      <w:r w:rsidRPr="00CD184C">
        <w:rPr>
          <w:sz w:val="24"/>
          <w:szCs w:val="24"/>
        </w:rPr>
        <w:t>. Pro první situaci platí, že Mm je větší než</w:t>
      </w:r>
      <w:r w:rsidR="00652AD8" w:rsidRPr="00CD184C">
        <w:rPr>
          <w:sz w:val="24"/>
          <w:szCs w:val="24"/>
        </w:rPr>
        <w:t xml:space="preserve"> 1</w:t>
      </w:r>
      <w:r w:rsidRPr="00CD184C">
        <w:rPr>
          <w:sz w:val="24"/>
          <w:szCs w:val="24"/>
        </w:rPr>
        <w:t>, existuje zde tedy předpoklad pro dosažení ekonomické motivace obyvatel z určité vzdálenosti k dojíždění do spádového centra, neboť přírůstek jejich příjmů získaných prostřednictvím zaměstn</w:t>
      </w:r>
      <w:r w:rsidR="00A90299">
        <w:rPr>
          <w:sz w:val="24"/>
          <w:szCs w:val="24"/>
        </w:rPr>
        <w:t>ání ve spádovém centru je vyšší</w:t>
      </w:r>
      <w:r w:rsidRPr="00CD184C">
        <w:rPr>
          <w:sz w:val="24"/>
          <w:szCs w:val="24"/>
        </w:rPr>
        <w:t xml:space="preserve"> </w:t>
      </w:r>
      <w:r w:rsidR="000856B7">
        <w:rPr>
          <w:sz w:val="24"/>
          <w:szCs w:val="24"/>
        </w:rPr>
        <w:t>než mezní náklady vynaložené na </w:t>
      </w:r>
      <w:r w:rsidRPr="00CD184C">
        <w:rPr>
          <w:sz w:val="24"/>
          <w:szCs w:val="24"/>
        </w:rPr>
        <w:t xml:space="preserve">dojíždění do práce mimo místo svého bydliště či v jeho bezprostředním okolí. </w:t>
      </w:r>
      <w:r w:rsidR="000B7B6B" w:rsidRPr="00CD184C">
        <w:rPr>
          <w:sz w:val="24"/>
          <w:szCs w:val="24"/>
        </w:rPr>
        <w:t>Druhá</w:t>
      </w:r>
      <w:r w:rsidR="00652AD8" w:rsidRPr="00CD184C">
        <w:rPr>
          <w:sz w:val="24"/>
          <w:szCs w:val="24"/>
        </w:rPr>
        <w:t xml:space="preserve"> modelová situace nastává v případech, kdy Mm se pohybuje v intervalu hodnot</w:t>
      </w:r>
      <w:r w:rsidR="000856B7">
        <w:rPr>
          <w:sz w:val="24"/>
          <w:szCs w:val="24"/>
        </w:rPr>
        <w:t xml:space="preserve"> od 0,90 do </w:t>
      </w:r>
      <w:r w:rsidRPr="00CD184C">
        <w:rPr>
          <w:sz w:val="24"/>
          <w:szCs w:val="24"/>
        </w:rPr>
        <w:t>1,00</w:t>
      </w:r>
      <w:r w:rsidR="00652AD8" w:rsidRPr="00CD184C">
        <w:rPr>
          <w:sz w:val="24"/>
          <w:szCs w:val="24"/>
        </w:rPr>
        <w:t>.</w:t>
      </w:r>
      <w:r w:rsidRPr="00CD184C">
        <w:rPr>
          <w:sz w:val="24"/>
          <w:szCs w:val="24"/>
        </w:rPr>
        <w:t xml:space="preserve"> </w:t>
      </w:r>
      <w:r w:rsidR="00652AD8" w:rsidRPr="00CD184C">
        <w:rPr>
          <w:sz w:val="24"/>
          <w:szCs w:val="24"/>
        </w:rPr>
        <w:t>Tyto případy</w:t>
      </w:r>
      <w:r w:rsidRPr="00CD184C">
        <w:rPr>
          <w:sz w:val="24"/>
          <w:szCs w:val="24"/>
        </w:rPr>
        <w:t xml:space="preserve"> </w:t>
      </w:r>
      <w:r w:rsidR="00652AD8" w:rsidRPr="00CD184C">
        <w:rPr>
          <w:sz w:val="24"/>
          <w:szCs w:val="24"/>
        </w:rPr>
        <w:t xml:space="preserve">jsou </w:t>
      </w:r>
      <w:r w:rsidRPr="00CD184C">
        <w:rPr>
          <w:sz w:val="24"/>
          <w:szCs w:val="24"/>
        </w:rPr>
        <w:t xml:space="preserve">považovány za určité hraniční pásmo, ve kterém nelze jednoznačně prokázat čistě ekonomickou výhodnost charakteristik zahrnutých v tomto modelu, ale mohou zde do rozhodování </w:t>
      </w:r>
      <w:r w:rsidR="00652AD8" w:rsidRPr="00CD184C">
        <w:rPr>
          <w:sz w:val="24"/>
          <w:szCs w:val="24"/>
        </w:rPr>
        <w:t>o vy</w:t>
      </w:r>
      <w:r w:rsidRPr="00CD184C">
        <w:rPr>
          <w:sz w:val="24"/>
          <w:szCs w:val="24"/>
        </w:rPr>
        <w:t>j</w:t>
      </w:r>
      <w:r w:rsidR="00652AD8" w:rsidRPr="00CD184C">
        <w:rPr>
          <w:sz w:val="24"/>
          <w:szCs w:val="24"/>
        </w:rPr>
        <w:t>í</w:t>
      </w:r>
      <w:r w:rsidRPr="00CD184C">
        <w:rPr>
          <w:sz w:val="24"/>
          <w:szCs w:val="24"/>
        </w:rPr>
        <w:t xml:space="preserve">žďce jednotlivých zaměstnanců vstupovat další </w:t>
      </w:r>
      <w:r w:rsidR="00652AD8" w:rsidRPr="00CD184C">
        <w:rPr>
          <w:sz w:val="24"/>
          <w:szCs w:val="24"/>
        </w:rPr>
        <w:t xml:space="preserve">sociálně-ekonomické </w:t>
      </w:r>
      <w:r w:rsidRPr="00CD184C">
        <w:rPr>
          <w:sz w:val="24"/>
          <w:szCs w:val="24"/>
        </w:rPr>
        <w:t>faktory</w:t>
      </w:r>
      <w:r w:rsidR="00652AD8" w:rsidRPr="00CD184C">
        <w:rPr>
          <w:sz w:val="24"/>
          <w:szCs w:val="24"/>
        </w:rPr>
        <w:t xml:space="preserve"> formou</w:t>
      </w:r>
      <w:r w:rsidRPr="00CD184C">
        <w:rPr>
          <w:sz w:val="24"/>
          <w:szCs w:val="24"/>
        </w:rPr>
        <w:t xml:space="preserve"> pozitivní</w:t>
      </w:r>
      <w:r w:rsidR="00652AD8" w:rsidRPr="00CD184C">
        <w:rPr>
          <w:sz w:val="24"/>
          <w:szCs w:val="24"/>
        </w:rPr>
        <w:t>ch</w:t>
      </w:r>
      <w:r w:rsidRPr="00CD184C">
        <w:rPr>
          <w:sz w:val="24"/>
          <w:szCs w:val="24"/>
        </w:rPr>
        <w:t xml:space="preserve"> externalit</w:t>
      </w:r>
      <w:r w:rsidR="00652AD8" w:rsidRPr="00CD184C">
        <w:rPr>
          <w:sz w:val="24"/>
          <w:szCs w:val="24"/>
        </w:rPr>
        <w:t>. J</w:t>
      </w:r>
      <w:r w:rsidRPr="00CD184C">
        <w:rPr>
          <w:sz w:val="24"/>
          <w:szCs w:val="24"/>
        </w:rPr>
        <w:t xml:space="preserve">ako </w:t>
      </w:r>
      <w:r w:rsidR="00652AD8" w:rsidRPr="00CD184C">
        <w:rPr>
          <w:sz w:val="24"/>
          <w:szCs w:val="24"/>
        </w:rPr>
        <w:t>příklad těchto dodatečných rozhodovacích faktorů je možné uvést např. možnost</w:t>
      </w:r>
      <w:r w:rsidRPr="00CD184C">
        <w:rPr>
          <w:sz w:val="24"/>
          <w:szCs w:val="24"/>
        </w:rPr>
        <w:t xml:space="preserve"> využití roční jízdenky o víkend</w:t>
      </w:r>
      <w:r w:rsidR="00652AD8" w:rsidRPr="00CD184C">
        <w:rPr>
          <w:sz w:val="24"/>
          <w:szCs w:val="24"/>
        </w:rPr>
        <w:t>ech</w:t>
      </w:r>
      <w:r w:rsidR="000856B7">
        <w:rPr>
          <w:sz w:val="24"/>
          <w:szCs w:val="24"/>
        </w:rPr>
        <w:t xml:space="preserve"> i </w:t>
      </w:r>
      <w:r w:rsidRPr="00CD184C">
        <w:rPr>
          <w:sz w:val="24"/>
          <w:szCs w:val="24"/>
        </w:rPr>
        <w:t>s</w:t>
      </w:r>
      <w:r w:rsidR="00652AD8" w:rsidRPr="00CD184C">
        <w:rPr>
          <w:sz w:val="24"/>
          <w:szCs w:val="24"/>
        </w:rPr>
        <w:t xml:space="preserve"> celou </w:t>
      </w:r>
      <w:r w:rsidRPr="00CD184C">
        <w:rPr>
          <w:sz w:val="24"/>
          <w:szCs w:val="24"/>
        </w:rPr>
        <w:t xml:space="preserve">rodinou nebo </w:t>
      </w:r>
      <w:r w:rsidR="00652AD8" w:rsidRPr="00CD184C">
        <w:rPr>
          <w:sz w:val="24"/>
          <w:szCs w:val="24"/>
        </w:rPr>
        <w:t xml:space="preserve">dosažené </w:t>
      </w:r>
      <w:r w:rsidRPr="00CD184C">
        <w:rPr>
          <w:sz w:val="24"/>
          <w:szCs w:val="24"/>
        </w:rPr>
        <w:t xml:space="preserve">pracovní </w:t>
      </w:r>
      <w:r w:rsidRPr="00407137">
        <w:rPr>
          <w:sz w:val="24"/>
          <w:szCs w:val="24"/>
        </w:rPr>
        <w:t>zařazení a s</w:t>
      </w:r>
      <w:r w:rsidR="007D2DA1" w:rsidRPr="00407137">
        <w:rPr>
          <w:sz w:val="24"/>
          <w:szCs w:val="24"/>
        </w:rPr>
        <w:t xml:space="preserve"> </w:t>
      </w:r>
      <w:r w:rsidRPr="00407137">
        <w:rPr>
          <w:sz w:val="24"/>
          <w:szCs w:val="24"/>
        </w:rPr>
        <w:t xml:space="preserve">ním související </w:t>
      </w:r>
      <w:r w:rsidRPr="00CD184C">
        <w:rPr>
          <w:sz w:val="24"/>
          <w:szCs w:val="24"/>
        </w:rPr>
        <w:t>sociální status v</w:t>
      </w:r>
      <w:r w:rsidR="00652AD8" w:rsidRPr="00CD184C">
        <w:rPr>
          <w:sz w:val="24"/>
          <w:szCs w:val="24"/>
        </w:rPr>
        <w:t>e</w:t>
      </w:r>
      <w:r w:rsidR="000856B7">
        <w:rPr>
          <w:sz w:val="24"/>
          <w:szCs w:val="24"/>
        </w:rPr>
        <w:t> </w:t>
      </w:r>
      <w:r w:rsidR="00652AD8" w:rsidRPr="00CD184C">
        <w:rPr>
          <w:sz w:val="24"/>
          <w:szCs w:val="24"/>
        </w:rPr>
        <w:t>spádovém centru</w:t>
      </w:r>
      <w:r w:rsidRPr="00CD184C">
        <w:rPr>
          <w:sz w:val="24"/>
          <w:szCs w:val="24"/>
        </w:rPr>
        <w:t xml:space="preserve"> ve srovnání s pracovním zařazením v místě bydliště apod. </w:t>
      </w:r>
      <w:r w:rsidR="00F40390" w:rsidRPr="00CD184C">
        <w:rPr>
          <w:sz w:val="24"/>
          <w:szCs w:val="24"/>
        </w:rPr>
        <w:t xml:space="preserve">V poslední modelové situaci pak nabývá Mm hodnot nižších než 0,90 (ve výše uvedeném příkladu dokonce hodnot </w:t>
      </w:r>
      <w:r w:rsidR="00ED23F7" w:rsidRPr="00CD184C">
        <w:rPr>
          <w:sz w:val="24"/>
          <w:szCs w:val="24"/>
        </w:rPr>
        <w:t xml:space="preserve">rovných nebo </w:t>
      </w:r>
      <w:r w:rsidR="00F40390" w:rsidRPr="00CD184C">
        <w:rPr>
          <w:sz w:val="24"/>
          <w:szCs w:val="24"/>
        </w:rPr>
        <w:t>nižších než 0,81</w:t>
      </w:r>
      <w:r w:rsidR="00ED23F7" w:rsidRPr="00CD184C">
        <w:rPr>
          <w:sz w:val="24"/>
          <w:szCs w:val="24"/>
        </w:rPr>
        <w:t>), což v podstatě vylučuje ekonomickou motivaci obyvatel k vyjížďce za prací do spádového centra, protože náklady na dosažení daného pracovního místa jsou jednoznačně vyšší než potenciální přírůstek příjmů.</w:t>
      </w:r>
      <w:r w:rsidR="00200073" w:rsidRPr="00CD184C">
        <w:rPr>
          <w:sz w:val="24"/>
          <w:szCs w:val="24"/>
        </w:rPr>
        <w:t xml:space="preserve"> K tomuto je samozřejmě nutné poznamenat, že hraniční pásmo nelze zcela přesně objektivně stanovit, neboť právě v těchto hraničních situacích do rozhodování vstupuje řada dalších výše zmíněných charakteristik, které jsou výrazně subjektivního charakteru.</w:t>
      </w:r>
    </w:p>
    <w:p w:rsidR="00200073" w:rsidRPr="00CD184C" w:rsidRDefault="006C6ABB" w:rsidP="00423120">
      <w:pPr>
        <w:keepNext/>
        <w:widowControl w:val="0"/>
        <w:ind w:firstLine="720"/>
        <w:jc w:val="both"/>
        <w:rPr>
          <w:sz w:val="24"/>
          <w:szCs w:val="24"/>
        </w:rPr>
      </w:pPr>
      <w:r w:rsidRPr="00CD184C">
        <w:rPr>
          <w:sz w:val="24"/>
          <w:szCs w:val="24"/>
        </w:rPr>
        <w:t>Zajímavým úhlem pohledu na tuto problematiku je zajisté srovnání jednotlivých pěti modelových situací z hlediska potenciálního přírůstku příjmů</w:t>
      </w:r>
      <w:r w:rsidR="005A2FCF" w:rsidRPr="00CD184C">
        <w:rPr>
          <w:sz w:val="24"/>
          <w:szCs w:val="24"/>
        </w:rPr>
        <w:t xml:space="preserve"> v procentuálním vyjádření</w:t>
      </w:r>
      <w:r w:rsidRPr="00CD184C">
        <w:rPr>
          <w:sz w:val="24"/>
          <w:szCs w:val="24"/>
        </w:rPr>
        <w:t>. Pokud se tedy absolutní hodnoty v tabulce 14 nahradí pro</w:t>
      </w:r>
      <w:r w:rsidR="005A2FCF" w:rsidRPr="00CD184C">
        <w:rPr>
          <w:sz w:val="24"/>
          <w:szCs w:val="24"/>
        </w:rPr>
        <w:t>centy</w:t>
      </w:r>
      <w:r w:rsidRPr="00CD184C">
        <w:rPr>
          <w:sz w:val="24"/>
          <w:szCs w:val="24"/>
        </w:rPr>
        <w:t>, pak při potenciálním 6 % přírůstku mzdy je ekonomicky výhodné</w:t>
      </w:r>
      <w:r w:rsidR="005A2FCF" w:rsidRPr="00CD184C">
        <w:rPr>
          <w:sz w:val="24"/>
          <w:szCs w:val="24"/>
        </w:rPr>
        <w:t xml:space="preserve"> do</w:t>
      </w:r>
      <w:r w:rsidRPr="00CD184C">
        <w:rPr>
          <w:sz w:val="24"/>
          <w:szCs w:val="24"/>
        </w:rPr>
        <w:t>jíždět za pra</w:t>
      </w:r>
      <w:r w:rsidR="000856B7">
        <w:rPr>
          <w:sz w:val="24"/>
          <w:szCs w:val="24"/>
        </w:rPr>
        <w:t>cí do spádového centra pouze do </w:t>
      </w:r>
      <w:r w:rsidRPr="00CD184C">
        <w:rPr>
          <w:sz w:val="24"/>
          <w:szCs w:val="24"/>
        </w:rPr>
        <w:t xml:space="preserve">vzdálenosti zhruba </w:t>
      </w:r>
      <w:r w:rsidR="00760C73">
        <w:rPr>
          <w:sz w:val="24"/>
          <w:szCs w:val="24"/>
        </w:rPr>
        <w:t>10 km od místa bydliště, při 12</w:t>
      </w:r>
      <w:r w:rsidRPr="00CD184C">
        <w:rPr>
          <w:sz w:val="24"/>
          <w:szCs w:val="24"/>
        </w:rPr>
        <w:t xml:space="preserve">% nárůstu se tato vzdálenost zvyšuje až </w:t>
      </w:r>
      <w:r w:rsidR="005A2FCF" w:rsidRPr="00CD184C">
        <w:rPr>
          <w:sz w:val="24"/>
          <w:szCs w:val="24"/>
        </w:rPr>
        <w:t>na 20 km,</w:t>
      </w:r>
      <w:r w:rsidRPr="00CD184C">
        <w:rPr>
          <w:sz w:val="24"/>
          <w:szCs w:val="24"/>
        </w:rPr>
        <w:t xml:space="preserve"> </w:t>
      </w:r>
      <w:r w:rsidR="005A2FCF" w:rsidRPr="00CD184C">
        <w:rPr>
          <w:sz w:val="24"/>
          <w:szCs w:val="24"/>
        </w:rPr>
        <w:t>p</w:t>
      </w:r>
      <w:r w:rsidR="00760C73">
        <w:rPr>
          <w:sz w:val="24"/>
          <w:szCs w:val="24"/>
        </w:rPr>
        <w:t>ři 17</w:t>
      </w:r>
      <w:r w:rsidRPr="00CD184C">
        <w:rPr>
          <w:sz w:val="24"/>
          <w:szCs w:val="24"/>
        </w:rPr>
        <w:t>% přírůstku příjmu se pak ekonomicky výhodné pásmo pohybuje v rozmezí od 30 do 40 km</w:t>
      </w:r>
      <w:r w:rsidR="005A2FCF" w:rsidRPr="00CD184C">
        <w:rPr>
          <w:sz w:val="24"/>
          <w:szCs w:val="24"/>
        </w:rPr>
        <w:t>,</w:t>
      </w:r>
      <w:r w:rsidRPr="00CD184C">
        <w:rPr>
          <w:sz w:val="24"/>
          <w:szCs w:val="24"/>
        </w:rPr>
        <w:t xml:space="preserve"> při </w:t>
      </w:r>
      <w:r w:rsidR="00261143" w:rsidRPr="00CD184C">
        <w:rPr>
          <w:sz w:val="24"/>
          <w:szCs w:val="24"/>
        </w:rPr>
        <w:t>čtvrtinovém</w:t>
      </w:r>
      <w:r w:rsidRPr="00CD184C">
        <w:rPr>
          <w:sz w:val="24"/>
          <w:szCs w:val="24"/>
        </w:rPr>
        <w:t xml:space="preserve"> přírůstku příjmů se toto pásmo dále ro</w:t>
      </w:r>
      <w:r w:rsidR="00261143" w:rsidRPr="00CD184C">
        <w:rPr>
          <w:sz w:val="24"/>
          <w:szCs w:val="24"/>
        </w:rPr>
        <w:t>zšiřuje a při zvýšení přírůstku příjmů o zhruba polovinu (v tomto příkladu 48 %) je</w:t>
      </w:r>
      <w:r w:rsidR="000856B7">
        <w:rPr>
          <w:sz w:val="24"/>
          <w:szCs w:val="24"/>
        </w:rPr>
        <w:t xml:space="preserve"> v podstatě výhodné dojíždět za </w:t>
      </w:r>
      <w:r w:rsidR="00261143" w:rsidRPr="00CD184C">
        <w:rPr>
          <w:sz w:val="24"/>
          <w:szCs w:val="24"/>
        </w:rPr>
        <w:t>prací do centra z celé jeho spádové oblasti.</w:t>
      </w:r>
    </w:p>
    <w:p w:rsidR="00AC5422" w:rsidRPr="00CD184C" w:rsidRDefault="00FB1317" w:rsidP="00423120">
      <w:pPr>
        <w:keepNext/>
        <w:widowControl w:val="0"/>
        <w:ind w:firstLine="720"/>
        <w:jc w:val="both"/>
        <w:rPr>
          <w:sz w:val="24"/>
          <w:szCs w:val="24"/>
        </w:rPr>
      </w:pPr>
      <w:r w:rsidRPr="00CD184C">
        <w:rPr>
          <w:rFonts w:cs="TimesNewRomanPSMT"/>
          <w:sz w:val="24"/>
          <w:szCs w:val="24"/>
        </w:rPr>
        <w:t xml:space="preserve">Jestliže jsou </w:t>
      </w:r>
      <w:r w:rsidR="00200073" w:rsidRPr="00CD184C">
        <w:rPr>
          <w:rFonts w:cs="TimesNewRomanPSMT"/>
          <w:sz w:val="24"/>
          <w:szCs w:val="24"/>
        </w:rPr>
        <w:t xml:space="preserve">tedy </w:t>
      </w:r>
      <w:r w:rsidRPr="00CD184C">
        <w:rPr>
          <w:rFonts w:cs="TimesNewRomanPSMT"/>
          <w:sz w:val="24"/>
          <w:szCs w:val="24"/>
        </w:rPr>
        <w:t>náklady na do</w:t>
      </w:r>
      <w:r w:rsidR="00A9221E" w:rsidRPr="00CD184C">
        <w:rPr>
          <w:rFonts w:cs="TimesNewRomanPSMT"/>
          <w:sz w:val="24"/>
          <w:szCs w:val="24"/>
        </w:rPr>
        <w:t>jíždění vyšší než výnosy, je možným řešením situace migrace nezaměstnaného práceschopného obyvatelstva do relevantního dojížďkového centra</w:t>
      </w:r>
      <w:r w:rsidR="00DB5897">
        <w:rPr>
          <w:rFonts w:cs="TimesNewRomanPSMT"/>
          <w:sz w:val="24"/>
          <w:szCs w:val="24"/>
        </w:rPr>
        <w:t>.</w:t>
      </w:r>
      <w:r w:rsidR="00A9221E" w:rsidRPr="00CD184C">
        <w:rPr>
          <w:rFonts w:cs="TimesNewRomanPSMT"/>
          <w:sz w:val="24"/>
          <w:szCs w:val="24"/>
        </w:rPr>
        <w:t xml:space="preserve"> Tato migrace pak podle neoklasické teorie vyrovnává mezní míru produktivity pracovní síly v regionu se snižující se poptávkou s mezní mírou </w:t>
      </w:r>
      <w:r w:rsidR="00A9221E" w:rsidRPr="00DB6E18">
        <w:rPr>
          <w:rFonts w:cs="TimesNewRomanPSMT"/>
          <w:sz w:val="24"/>
          <w:szCs w:val="24"/>
        </w:rPr>
        <w:t xml:space="preserve">produktivity pracovní síly </w:t>
      </w:r>
      <w:r w:rsidR="00A9221E" w:rsidRPr="00CD184C">
        <w:rPr>
          <w:rFonts w:cs="TimesNewRomanPSMT"/>
          <w:sz w:val="24"/>
          <w:szCs w:val="24"/>
        </w:rPr>
        <w:t>v regionu se zvyšující se poptávkou a následně tak dochází k obnov</w:t>
      </w:r>
      <w:r w:rsidR="000856B7">
        <w:rPr>
          <w:rFonts w:cs="TimesNewRomanPSMT"/>
          <w:sz w:val="24"/>
          <w:szCs w:val="24"/>
        </w:rPr>
        <w:t>ování rovnováhy mezd (ovšem při </w:t>
      </w:r>
      <w:r w:rsidR="00A9221E" w:rsidRPr="00CD184C">
        <w:rPr>
          <w:rFonts w:cs="TimesNewRomanPSMT"/>
          <w:sz w:val="24"/>
          <w:szCs w:val="24"/>
        </w:rPr>
        <w:t>vzrůstu počt</w:t>
      </w:r>
      <w:r w:rsidR="00200073" w:rsidRPr="00CD184C">
        <w:rPr>
          <w:rFonts w:cs="TimesNewRomanPSMT"/>
          <w:sz w:val="24"/>
          <w:szCs w:val="24"/>
        </w:rPr>
        <w:t>u</w:t>
      </w:r>
      <w:r w:rsidR="00A9221E" w:rsidRPr="00CD184C">
        <w:rPr>
          <w:rFonts w:cs="TimesNewRomanPSMT"/>
          <w:sz w:val="24"/>
          <w:szCs w:val="24"/>
        </w:rPr>
        <w:t xml:space="preserve"> obyvatelstva v regionu s předchozím nárůstem poptávky po pracovní síle).</w:t>
      </w:r>
      <w:r w:rsidR="00A9221E" w:rsidRPr="00CD184C">
        <w:rPr>
          <w:sz w:val="24"/>
          <w:szCs w:val="24"/>
        </w:rPr>
        <w:t xml:space="preserve"> Z provedených analýz mobility pracovních sil vyplývá, že mezní míra této mobility nabývá v závislosti na potenciálním zvýšení odpovídajících výnosů různých hodnot (z pohledu vyjíždějícího jde v podstatě o řešení otázky jaký by měl být přírůstek </w:t>
      </w:r>
      <w:proofErr w:type="gramStart"/>
      <w:r w:rsidR="00A9221E" w:rsidRPr="00CD184C">
        <w:rPr>
          <w:sz w:val="24"/>
          <w:szCs w:val="24"/>
        </w:rPr>
        <w:t>mzdy aby</w:t>
      </w:r>
      <w:proofErr w:type="gramEnd"/>
      <w:r w:rsidR="00A9221E" w:rsidRPr="00CD184C">
        <w:rPr>
          <w:sz w:val="24"/>
          <w:szCs w:val="24"/>
        </w:rPr>
        <w:t xml:space="preserve"> byla vyjížďka do práce při daných dopravních nákladech ekonomicky výhodná). V případě Jihomoravského kraje je možné formulovat tezi, že mezní míra mobility se nachází ve vzdálenosti 30 až 40 km od Brna</w:t>
      </w:r>
      <w:r w:rsidR="00261143" w:rsidRPr="00CD184C">
        <w:rPr>
          <w:sz w:val="24"/>
          <w:szCs w:val="24"/>
        </w:rPr>
        <w:t xml:space="preserve"> (dle potenciálního dosažitelného přírůstku příjmů determinovaného rozdílem mediánové a průměrné mzdy).</w:t>
      </w:r>
      <w:r w:rsidR="00A9221E" w:rsidRPr="00CD184C">
        <w:rPr>
          <w:sz w:val="24"/>
          <w:szCs w:val="24"/>
        </w:rPr>
        <w:t xml:space="preserve"> </w:t>
      </w:r>
      <w:r w:rsidR="00261143" w:rsidRPr="00CD184C">
        <w:rPr>
          <w:sz w:val="24"/>
          <w:szCs w:val="24"/>
        </w:rPr>
        <w:t>T</w:t>
      </w:r>
      <w:r w:rsidR="00A9221E" w:rsidRPr="00CD184C">
        <w:rPr>
          <w:sz w:val="24"/>
          <w:szCs w:val="24"/>
        </w:rPr>
        <w:t xml:space="preserve">ato vzdálenost </w:t>
      </w:r>
      <w:r w:rsidR="00261143" w:rsidRPr="00CD184C">
        <w:rPr>
          <w:sz w:val="24"/>
          <w:szCs w:val="24"/>
        </w:rPr>
        <w:t xml:space="preserve">zároveň </w:t>
      </w:r>
      <w:r w:rsidR="00A9221E" w:rsidRPr="00CD184C">
        <w:rPr>
          <w:sz w:val="24"/>
          <w:szCs w:val="24"/>
        </w:rPr>
        <w:t>koresponduje s příměstskou oblast</w:t>
      </w:r>
      <w:r w:rsidR="00C72373" w:rsidRPr="00CD184C">
        <w:rPr>
          <w:sz w:val="24"/>
          <w:szCs w:val="24"/>
        </w:rPr>
        <w:t xml:space="preserve">í </w:t>
      </w:r>
      <w:r w:rsidR="00C72373" w:rsidRPr="00CD184C">
        <w:rPr>
          <w:sz w:val="24"/>
          <w:szCs w:val="24"/>
        </w:rPr>
        <w:lastRenderedPageBreak/>
        <w:t xml:space="preserve">Brna vymezenou </w:t>
      </w:r>
      <w:r w:rsidR="00261143" w:rsidRPr="00CD184C">
        <w:rPr>
          <w:sz w:val="24"/>
          <w:szCs w:val="24"/>
        </w:rPr>
        <w:t>nejméně</w:t>
      </w:r>
      <w:r w:rsidR="00760C73">
        <w:rPr>
          <w:sz w:val="24"/>
          <w:szCs w:val="24"/>
        </w:rPr>
        <w:t xml:space="preserve"> 25</w:t>
      </w:r>
      <w:r w:rsidR="00C72373" w:rsidRPr="00CD184C">
        <w:rPr>
          <w:sz w:val="24"/>
          <w:szCs w:val="24"/>
        </w:rPr>
        <w:t xml:space="preserve">% </w:t>
      </w:r>
      <w:r w:rsidR="0036558D" w:rsidRPr="00CD184C">
        <w:rPr>
          <w:sz w:val="24"/>
          <w:szCs w:val="24"/>
        </w:rPr>
        <w:t>vy</w:t>
      </w:r>
      <w:r w:rsidR="00A9221E" w:rsidRPr="00CD184C">
        <w:rPr>
          <w:sz w:val="24"/>
          <w:szCs w:val="24"/>
        </w:rPr>
        <w:t>jížďkou ekonomicky aktivních obyvatel za prací do Brna</w:t>
      </w:r>
      <w:r w:rsidR="00200073" w:rsidRPr="00CD184C">
        <w:rPr>
          <w:sz w:val="24"/>
          <w:szCs w:val="24"/>
        </w:rPr>
        <w:t xml:space="preserve"> (</w:t>
      </w:r>
      <w:r w:rsidR="00200073" w:rsidRPr="00CD184C">
        <w:rPr>
          <w:rStyle w:val="05-TextChar"/>
        </w:rPr>
        <w:t>Kunc, Synková, 2010</w:t>
      </w:r>
      <w:r w:rsidR="00A9221E" w:rsidRPr="00CD184C">
        <w:rPr>
          <w:sz w:val="24"/>
          <w:szCs w:val="24"/>
        </w:rPr>
        <w:t>).</w:t>
      </w:r>
    </w:p>
    <w:p w:rsidR="00AC5422" w:rsidRPr="00A91347" w:rsidRDefault="00AC5422" w:rsidP="00890421">
      <w:pPr>
        <w:pStyle w:val="02-Nadpis2"/>
      </w:pPr>
      <w:bookmarkStart w:id="65" w:name="_Toc349824651"/>
      <w:bookmarkStart w:id="66" w:name="_Toc382327193"/>
      <w:r w:rsidRPr="00A91347">
        <w:t>2.5. Rozvojově významné souvislosti</w:t>
      </w:r>
      <w:bookmarkEnd w:id="65"/>
      <w:r w:rsidRPr="00A91347">
        <w:t xml:space="preserve"> migrace</w:t>
      </w:r>
      <w:bookmarkEnd w:id="66"/>
      <w:r w:rsidRPr="00A91347">
        <w:t xml:space="preserve"> </w:t>
      </w:r>
    </w:p>
    <w:p w:rsidR="00AC5422" w:rsidRDefault="00AC5422" w:rsidP="00423120">
      <w:pPr>
        <w:keepNext/>
        <w:ind w:firstLine="720"/>
        <w:jc w:val="both"/>
        <w:rPr>
          <w:sz w:val="24"/>
          <w:szCs w:val="24"/>
        </w:rPr>
      </w:pPr>
      <w:r w:rsidRPr="00230837">
        <w:rPr>
          <w:sz w:val="24"/>
          <w:szCs w:val="24"/>
        </w:rPr>
        <w:t>V této části je uveden stručný komentář k</w:t>
      </w:r>
      <w:r>
        <w:rPr>
          <w:sz w:val="24"/>
          <w:szCs w:val="24"/>
        </w:rPr>
        <w:t xml:space="preserve"> účelové </w:t>
      </w:r>
      <w:r w:rsidRPr="00230837">
        <w:rPr>
          <w:sz w:val="24"/>
          <w:szCs w:val="24"/>
        </w:rPr>
        <w:t xml:space="preserve">aplikaci neoklasického modelu migrace v České </w:t>
      </w:r>
      <w:r w:rsidRPr="005B553F">
        <w:rPr>
          <w:sz w:val="24"/>
          <w:szCs w:val="24"/>
        </w:rPr>
        <w:t>republice</w:t>
      </w:r>
      <w:r>
        <w:rPr>
          <w:sz w:val="24"/>
          <w:szCs w:val="24"/>
        </w:rPr>
        <w:t xml:space="preserve"> (v tomto ohledu je potřebné poznamenat, že aplikace </w:t>
      </w:r>
      <w:r w:rsidRPr="005B553F">
        <w:rPr>
          <w:sz w:val="24"/>
          <w:szCs w:val="24"/>
        </w:rPr>
        <w:t xml:space="preserve">silně redukcionistických neoklasických modelů </w:t>
      </w:r>
      <w:r>
        <w:rPr>
          <w:sz w:val="24"/>
          <w:szCs w:val="24"/>
        </w:rPr>
        <w:t xml:space="preserve">vyžaduje </w:t>
      </w:r>
      <w:r w:rsidRPr="005B553F">
        <w:rPr>
          <w:sz w:val="24"/>
          <w:szCs w:val="24"/>
        </w:rPr>
        <w:t xml:space="preserve">přijetí </w:t>
      </w:r>
      <w:r>
        <w:rPr>
          <w:sz w:val="24"/>
          <w:szCs w:val="24"/>
        </w:rPr>
        <w:t>poměrně silných</w:t>
      </w:r>
      <w:r w:rsidRPr="005B553F">
        <w:rPr>
          <w:sz w:val="24"/>
          <w:szCs w:val="24"/>
        </w:rPr>
        <w:t xml:space="preserve"> </w:t>
      </w:r>
      <w:r>
        <w:rPr>
          <w:sz w:val="24"/>
          <w:szCs w:val="24"/>
        </w:rPr>
        <w:t>zjednodušení)</w:t>
      </w:r>
      <w:r w:rsidRPr="005B553F">
        <w:rPr>
          <w:sz w:val="24"/>
          <w:szCs w:val="24"/>
        </w:rPr>
        <w:t xml:space="preserve">. </w:t>
      </w:r>
      <w:r>
        <w:rPr>
          <w:sz w:val="24"/>
          <w:szCs w:val="24"/>
        </w:rPr>
        <w:t>Tato aplikace je cílena na to, zda lze na</w:t>
      </w:r>
      <w:r w:rsidRPr="005B553F">
        <w:rPr>
          <w:sz w:val="24"/>
          <w:szCs w:val="24"/>
        </w:rPr>
        <w:t xml:space="preserve"> datech za </w:t>
      </w:r>
      <w:r>
        <w:rPr>
          <w:sz w:val="24"/>
          <w:szCs w:val="24"/>
        </w:rPr>
        <w:t xml:space="preserve">české </w:t>
      </w:r>
      <w:r w:rsidRPr="005B553F">
        <w:rPr>
          <w:sz w:val="24"/>
          <w:szCs w:val="24"/>
        </w:rPr>
        <w:t xml:space="preserve">kraje </w:t>
      </w:r>
      <w:r>
        <w:rPr>
          <w:sz w:val="24"/>
          <w:szCs w:val="24"/>
        </w:rPr>
        <w:t>prokázat</w:t>
      </w:r>
      <w:r w:rsidRPr="005B553F">
        <w:rPr>
          <w:sz w:val="24"/>
          <w:szCs w:val="24"/>
        </w:rPr>
        <w:t xml:space="preserve"> spojitost mezi saldem migrace </w:t>
      </w:r>
      <w:r w:rsidRPr="00230837">
        <w:rPr>
          <w:sz w:val="24"/>
          <w:szCs w:val="24"/>
        </w:rPr>
        <w:t xml:space="preserve">a výší průměrné hrubé mzdy. </w:t>
      </w:r>
      <w:r>
        <w:rPr>
          <w:sz w:val="24"/>
          <w:szCs w:val="24"/>
        </w:rPr>
        <w:t>V této souvislosti je ovšem zásadním problémem</w:t>
      </w:r>
      <w:r w:rsidRPr="00230837">
        <w:rPr>
          <w:sz w:val="24"/>
          <w:szCs w:val="24"/>
        </w:rPr>
        <w:t xml:space="preserve"> odliš</w:t>
      </w:r>
      <w:r>
        <w:rPr>
          <w:sz w:val="24"/>
          <w:szCs w:val="24"/>
        </w:rPr>
        <w:t>ení</w:t>
      </w:r>
      <w:r w:rsidRPr="00230837">
        <w:rPr>
          <w:sz w:val="24"/>
          <w:szCs w:val="24"/>
        </w:rPr>
        <w:t xml:space="preserve"> migraci za prací od ostatní</w:t>
      </w:r>
      <w:r>
        <w:rPr>
          <w:sz w:val="24"/>
          <w:szCs w:val="24"/>
        </w:rPr>
        <w:t>ch typů migrace a v souladu s tím je zaveden modelový předpoklad, že veškerá migrace je migrací za prací (příklad uplatnění konceptu „homo economicus“) – jinými slovy pokud se lidé se stěhují, pak se stěhují do regionů s vyššími mzdami. Jako vhodné období pro ověření výše dané spoji</w:t>
      </w:r>
      <w:r w:rsidR="00923F83">
        <w:rPr>
          <w:sz w:val="24"/>
          <w:szCs w:val="24"/>
        </w:rPr>
        <w:t>tosti se jeví období let 2007–</w:t>
      </w:r>
      <w:r>
        <w:rPr>
          <w:sz w:val="24"/>
          <w:szCs w:val="24"/>
        </w:rPr>
        <w:t>2009, kdy bylo v České republice dosaženo absolutního vrcholu v růstu ekonomické výkonnosti (s bezprostředně navazujícím nástupem hospodářská kriz</w:t>
      </w:r>
      <w:r w:rsidR="000856B7">
        <w:rPr>
          <w:sz w:val="24"/>
          <w:szCs w:val="24"/>
        </w:rPr>
        <w:t>e) a současně bylo dosahováno i </w:t>
      </w:r>
      <w:r>
        <w:rPr>
          <w:sz w:val="24"/>
          <w:szCs w:val="24"/>
        </w:rPr>
        <w:t xml:space="preserve">vysokého kladného salda migrace. Hodnotu salda migrace v roce t porovnáváme s výší průměrné </w:t>
      </w:r>
      <w:r w:rsidR="00BF44B7">
        <w:rPr>
          <w:sz w:val="24"/>
          <w:szCs w:val="24"/>
        </w:rPr>
        <w:t>hrubé mzdy v krajích v </w:t>
      </w:r>
      <w:proofErr w:type="gramStart"/>
      <w:r w:rsidR="00BF44B7">
        <w:rPr>
          <w:sz w:val="24"/>
          <w:szCs w:val="24"/>
        </w:rPr>
        <w:t>období t–</w:t>
      </w:r>
      <w:r>
        <w:rPr>
          <w:sz w:val="24"/>
          <w:szCs w:val="24"/>
        </w:rPr>
        <w:t>1,</w:t>
      </w:r>
      <w:r w:rsidR="00923F83">
        <w:rPr>
          <w:sz w:val="24"/>
          <w:szCs w:val="24"/>
        </w:rPr>
        <w:t xml:space="preserve"> tedy</w:t>
      </w:r>
      <w:proofErr w:type="gramEnd"/>
      <w:r w:rsidR="00923F83">
        <w:rPr>
          <w:sz w:val="24"/>
          <w:szCs w:val="24"/>
        </w:rPr>
        <w:t xml:space="preserve"> v letech 2006–</w:t>
      </w:r>
      <w:r>
        <w:rPr>
          <w:sz w:val="24"/>
          <w:szCs w:val="24"/>
        </w:rPr>
        <w:t>2008 (pokud se má totiž člověk rozhodnout racionálně, musí tak činit na základě dostupných informací).</w:t>
      </w:r>
    </w:p>
    <w:p w:rsidR="00AC5422" w:rsidRPr="00A80932" w:rsidRDefault="00AC5422" w:rsidP="00423120">
      <w:pPr>
        <w:pStyle w:val="0T-Titulek"/>
        <w:spacing w:after="200"/>
      </w:pPr>
      <w:bookmarkStart w:id="67" w:name="_Toc382326441"/>
      <w:r w:rsidRPr="00407137">
        <w:t>Tabulka 1</w:t>
      </w:r>
      <w:r w:rsidR="009D2B97" w:rsidRPr="00407137">
        <w:t>4</w:t>
      </w:r>
      <w:r w:rsidRPr="00407137">
        <w:t xml:space="preserve">: </w:t>
      </w:r>
      <w:r w:rsidRPr="00A80932">
        <w:t>Průměrná hrubá mzda a saldo migrace v českých krajích</w:t>
      </w:r>
      <w:bookmarkEnd w:id="67"/>
      <w:r w:rsidRPr="00A80932">
        <w:t xml:space="preserve"> </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1"/>
        <w:gridCol w:w="957"/>
        <w:gridCol w:w="956"/>
        <w:gridCol w:w="956"/>
        <w:gridCol w:w="956"/>
        <w:gridCol w:w="956"/>
        <w:gridCol w:w="956"/>
      </w:tblGrid>
      <w:tr w:rsidR="00AC5422" w:rsidRPr="00FA3820" w:rsidTr="000D1BF2">
        <w:trPr>
          <w:trHeight w:hRule="exact" w:val="284"/>
          <w:jc w:val="center"/>
        </w:trPr>
        <w:tc>
          <w:tcPr>
            <w:tcW w:w="1701" w:type="dxa"/>
            <w:vMerge w:val="restart"/>
            <w:vAlign w:val="center"/>
          </w:tcPr>
          <w:p w:rsidR="00AC5422" w:rsidRPr="000856B7" w:rsidRDefault="00AC5422" w:rsidP="00423120">
            <w:pPr>
              <w:keepNext/>
              <w:jc w:val="center"/>
              <w:rPr>
                <w:rFonts w:asciiTheme="minorHAnsi" w:hAnsiTheme="minorHAnsi" w:cstheme="minorHAnsi"/>
                <w:b/>
              </w:rPr>
            </w:pPr>
          </w:p>
        </w:tc>
        <w:tc>
          <w:tcPr>
            <w:tcW w:w="2304" w:type="dxa"/>
            <w:gridSpan w:val="3"/>
            <w:vAlign w:val="center"/>
          </w:tcPr>
          <w:p w:rsidR="00AC5422" w:rsidRPr="000856B7" w:rsidRDefault="002F1FFF" w:rsidP="002F1FFF">
            <w:pPr>
              <w:keepNext/>
              <w:jc w:val="center"/>
              <w:rPr>
                <w:rFonts w:asciiTheme="minorHAnsi" w:hAnsiTheme="minorHAnsi" w:cstheme="minorHAnsi"/>
                <w:b/>
              </w:rPr>
            </w:pPr>
            <w:r w:rsidRPr="000856B7">
              <w:rPr>
                <w:rFonts w:asciiTheme="minorHAnsi" w:hAnsiTheme="minorHAnsi" w:cstheme="minorHAnsi"/>
                <w:b/>
              </w:rPr>
              <w:t>p</w:t>
            </w:r>
            <w:r w:rsidR="00AC5422" w:rsidRPr="000856B7">
              <w:rPr>
                <w:rFonts w:asciiTheme="minorHAnsi" w:hAnsiTheme="minorHAnsi" w:cstheme="minorHAnsi"/>
                <w:b/>
              </w:rPr>
              <w:t>rům</w:t>
            </w:r>
            <w:r w:rsidRPr="000856B7">
              <w:rPr>
                <w:rFonts w:asciiTheme="minorHAnsi" w:hAnsiTheme="minorHAnsi" w:cstheme="minorHAnsi"/>
                <w:b/>
              </w:rPr>
              <w:t>.</w:t>
            </w:r>
            <w:r w:rsidR="00AC5422" w:rsidRPr="000856B7">
              <w:rPr>
                <w:rFonts w:asciiTheme="minorHAnsi" w:hAnsiTheme="minorHAnsi" w:cstheme="minorHAnsi"/>
                <w:b/>
              </w:rPr>
              <w:t xml:space="preserve"> hrubá</w:t>
            </w:r>
            <w:r w:rsidR="004027C4" w:rsidRPr="000856B7">
              <w:rPr>
                <w:rFonts w:asciiTheme="minorHAnsi" w:hAnsiTheme="minorHAnsi" w:cstheme="minorHAnsi"/>
                <w:b/>
              </w:rPr>
              <w:t xml:space="preserve"> </w:t>
            </w:r>
            <w:r w:rsidR="00AC5422" w:rsidRPr="000856B7">
              <w:rPr>
                <w:rFonts w:asciiTheme="minorHAnsi" w:hAnsiTheme="minorHAnsi" w:cstheme="minorHAnsi"/>
                <w:b/>
              </w:rPr>
              <w:t>mzda</w:t>
            </w:r>
            <w:r w:rsidR="004027C4" w:rsidRPr="000856B7">
              <w:rPr>
                <w:rFonts w:asciiTheme="minorHAnsi" w:hAnsiTheme="minorHAnsi" w:cstheme="minorHAnsi"/>
                <w:b/>
              </w:rPr>
              <w:t xml:space="preserve"> v Kč</w:t>
            </w:r>
          </w:p>
        </w:tc>
        <w:tc>
          <w:tcPr>
            <w:tcW w:w="2304" w:type="dxa"/>
            <w:gridSpan w:val="3"/>
            <w:vAlign w:val="center"/>
          </w:tcPr>
          <w:p w:rsidR="00AC5422" w:rsidRPr="000856B7" w:rsidRDefault="00AC5422" w:rsidP="00423120">
            <w:pPr>
              <w:keepNext/>
              <w:jc w:val="center"/>
              <w:rPr>
                <w:rFonts w:asciiTheme="minorHAnsi" w:hAnsiTheme="minorHAnsi" w:cstheme="minorHAnsi"/>
                <w:b/>
              </w:rPr>
            </w:pPr>
            <w:r w:rsidRPr="000856B7">
              <w:rPr>
                <w:rFonts w:asciiTheme="minorHAnsi" w:hAnsiTheme="minorHAnsi" w:cstheme="minorHAnsi"/>
                <w:b/>
              </w:rPr>
              <w:t>saldo migrace</w:t>
            </w:r>
          </w:p>
        </w:tc>
      </w:tr>
      <w:tr w:rsidR="00AC5422" w:rsidRPr="00FA3820" w:rsidTr="000D1BF2">
        <w:trPr>
          <w:trHeight w:hRule="exact" w:val="284"/>
          <w:jc w:val="center"/>
        </w:trPr>
        <w:tc>
          <w:tcPr>
            <w:tcW w:w="1701" w:type="dxa"/>
            <w:vMerge/>
            <w:vAlign w:val="center"/>
          </w:tcPr>
          <w:p w:rsidR="00AC5422" w:rsidRPr="000856B7" w:rsidRDefault="00AC5422" w:rsidP="00423120">
            <w:pPr>
              <w:keepNext/>
              <w:jc w:val="center"/>
              <w:rPr>
                <w:rFonts w:asciiTheme="minorHAnsi" w:hAnsiTheme="minorHAnsi" w:cstheme="minorHAnsi"/>
                <w:b/>
              </w:rPr>
            </w:pPr>
          </w:p>
        </w:tc>
        <w:tc>
          <w:tcPr>
            <w:tcW w:w="768" w:type="dxa"/>
            <w:vAlign w:val="center"/>
          </w:tcPr>
          <w:p w:rsidR="00AC5422" w:rsidRPr="000856B7" w:rsidRDefault="00AC5422" w:rsidP="00423120">
            <w:pPr>
              <w:keepNext/>
              <w:jc w:val="center"/>
              <w:rPr>
                <w:rFonts w:asciiTheme="minorHAnsi" w:hAnsiTheme="minorHAnsi" w:cstheme="minorHAnsi"/>
                <w:b/>
              </w:rPr>
            </w:pPr>
            <w:r w:rsidRPr="000856B7">
              <w:rPr>
                <w:rFonts w:asciiTheme="minorHAnsi" w:hAnsiTheme="minorHAnsi" w:cstheme="minorHAnsi"/>
                <w:b/>
              </w:rPr>
              <w:t>2006</w:t>
            </w:r>
          </w:p>
        </w:tc>
        <w:tc>
          <w:tcPr>
            <w:tcW w:w="768" w:type="dxa"/>
            <w:vAlign w:val="center"/>
          </w:tcPr>
          <w:p w:rsidR="00AC5422" w:rsidRPr="000856B7" w:rsidRDefault="00AC5422" w:rsidP="00423120">
            <w:pPr>
              <w:keepNext/>
              <w:jc w:val="center"/>
              <w:rPr>
                <w:rFonts w:asciiTheme="minorHAnsi" w:hAnsiTheme="minorHAnsi" w:cstheme="minorHAnsi"/>
                <w:b/>
              </w:rPr>
            </w:pPr>
            <w:r w:rsidRPr="000856B7">
              <w:rPr>
                <w:rFonts w:asciiTheme="minorHAnsi" w:hAnsiTheme="minorHAnsi" w:cstheme="minorHAnsi"/>
                <w:b/>
              </w:rPr>
              <w:t>2007</w:t>
            </w:r>
          </w:p>
        </w:tc>
        <w:tc>
          <w:tcPr>
            <w:tcW w:w="768" w:type="dxa"/>
            <w:vAlign w:val="center"/>
          </w:tcPr>
          <w:p w:rsidR="00AC5422" w:rsidRPr="000856B7" w:rsidRDefault="00AC5422" w:rsidP="00423120">
            <w:pPr>
              <w:keepNext/>
              <w:jc w:val="center"/>
              <w:rPr>
                <w:rFonts w:asciiTheme="minorHAnsi" w:hAnsiTheme="minorHAnsi" w:cstheme="minorHAnsi"/>
                <w:b/>
              </w:rPr>
            </w:pPr>
            <w:r w:rsidRPr="000856B7">
              <w:rPr>
                <w:rFonts w:asciiTheme="minorHAnsi" w:hAnsiTheme="minorHAnsi" w:cstheme="minorHAnsi"/>
                <w:b/>
              </w:rPr>
              <w:t>2008</w:t>
            </w:r>
          </w:p>
        </w:tc>
        <w:tc>
          <w:tcPr>
            <w:tcW w:w="768" w:type="dxa"/>
            <w:vAlign w:val="center"/>
          </w:tcPr>
          <w:p w:rsidR="00AC5422" w:rsidRPr="000856B7" w:rsidRDefault="00AC5422" w:rsidP="00423120">
            <w:pPr>
              <w:keepNext/>
              <w:jc w:val="center"/>
              <w:rPr>
                <w:rFonts w:asciiTheme="minorHAnsi" w:hAnsiTheme="minorHAnsi" w:cstheme="minorHAnsi"/>
                <w:b/>
              </w:rPr>
            </w:pPr>
            <w:r w:rsidRPr="000856B7">
              <w:rPr>
                <w:rFonts w:asciiTheme="minorHAnsi" w:hAnsiTheme="minorHAnsi" w:cstheme="minorHAnsi"/>
                <w:b/>
              </w:rPr>
              <w:t>2007</w:t>
            </w:r>
          </w:p>
        </w:tc>
        <w:tc>
          <w:tcPr>
            <w:tcW w:w="768" w:type="dxa"/>
            <w:vAlign w:val="center"/>
          </w:tcPr>
          <w:p w:rsidR="00AC5422" w:rsidRPr="000856B7" w:rsidRDefault="00AC5422" w:rsidP="00423120">
            <w:pPr>
              <w:keepNext/>
              <w:jc w:val="center"/>
              <w:rPr>
                <w:rFonts w:asciiTheme="minorHAnsi" w:hAnsiTheme="minorHAnsi" w:cstheme="minorHAnsi"/>
                <w:b/>
              </w:rPr>
            </w:pPr>
            <w:r w:rsidRPr="000856B7">
              <w:rPr>
                <w:rFonts w:asciiTheme="minorHAnsi" w:hAnsiTheme="minorHAnsi" w:cstheme="minorHAnsi"/>
                <w:b/>
              </w:rPr>
              <w:t>2008</w:t>
            </w:r>
          </w:p>
        </w:tc>
        <w:tc>
          <w:tcPr>
            <w:tcW w:w="768" w:type="dxa"/>
            <w:vAlign w:val="center"/>
          </w:tcPr>
          <w:p w:rsidR="00AC5422" w:rsidRPr="000856B7" w:rsidRDefault="00AC5422" w:rsidP="00423120">
            <w:pPr>
              <w:keepNext/>
              <w:jc w:val="center"/>
              <w:rPr>
                <w:rFonts w:asciiTheme="minorHAnsi" w:hAnsiTheme="minorHAnsi" w:cstheme="minorHAnsi"/>
                <w:b/>
              </w:rPr>
            </w:pPr>
            <w:r w:rsidRPr="000856B7">
              <w:rPr>
                <w:rFonts w:asciiTheme="minorHAnsi" w:hAnsiTheme="minorHAnsi" w:cstheme="minorHAnsi"/>
                <w:b/>
              </w:rPr>
              <w:t>2009</w:t>
            </w:r>
          </w:p>
        </w:tc>
      </w:tr>
      <w:tr w:rsidR="00AC5422" w:rsidRPr="00FA3820" w:rsidTr="000D1BF2">
        <w:trPr>
          <w:trHeight w:hRule="exact" w:val="284"/>
          <w:jc w:val="center"/>
        </w:trPr>
        <w:tc>
          <w:tcPr>
            <w:tcW w:w="1701" w:type="dxa"/>
            <w:vAlign w:val="center"/>
          </w:tcPr>
          <w:p w:rsidR="00AC5422" w:rsidRPr="000856B7" w:rsidRDefault="00AC5422" w:rsidP="00423120">
            <w:pPr>
              <w:keepNext/>
              <w:rPr>
                <w:rFonts w:asciiTheme="minorHAnsi" w:hAnsiTheme="minorHAnsi" w:cstheme="minorHAnsi"/>
                <w:b/>
              </w:rPr>
            </w:pPr>
            <w:r w:rsidRPr="000856B7">
              <w:rPr>
                <w:rFonts w:asciiTheme="minorHAnsi" w:hAnsiTheme="minorHAnsi" w:cstheme="minorHAnsi"/>
                <w:b/>
              </w:rPr>
              <w:t>Praha</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25 912</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26 896</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28 830</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22 984</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19 044</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13 692</w:t>
            </w:r>
          </w:p>
        </w:tc>
      </w:tr>
      <w:tr w:rsidR="00AC5422" w:rsidRPr="00FA3820" w:rsidTr="000D1BF2">
        <w:trPr>
          <w:trHeight w:hRule="exact" w:val="284"/>
          <w:jc w:val="center"/>
        </w:trPr>
        <w:tc>
          <w:tcPr>
            <w:tcW w:w="1701" w:type="dxa"/>
            <w:vAlign w:val="center"/>
          </w:tcPr>
          <w:p w:rsidR="00AC5422" w:rsidRPr="000856B7" w:rsidRDefault="00AC5422" w:rsidP="00423120">
            <w:pPr>
              <w:keepNext/>
              <w:rPr>
                <w:rFonts w:asciiTheme="minorHAnsi" w:hAnsiTheme="minorHAnsi" w:cstheme="minorHAnsi"/>
                <w:b/>
              </w:rPr>
            </w:pPr>
            <w:r w:rsidRPr="000856B7">
              <w:rPr>
                <w:rFonts w:asciiTheme="minorHAnsi" w:hAnsiTheme="minorHAnsi" w:cstheme="minorHAnsi"/>
                <w:b/>
              </w:rPr>
              <w:t>Středočeský</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18 535</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20 013</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21 510</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24 504</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25 873</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14 345</w:t>
            </w:r>
          </w:p>
        </w:tc>
      </w:tr>
      <w:tr w:rsidR="00AC5422" w:rsidRPr="00FA3820" w:rsidTr="000D1BF2">
        <w:trPr>
          <w:trHeight w:hRule="exact" w:val="284"/>
          <w:jc w:val="center"/>
        </w:trPr>
        <w:tc>
          <w:tcPr>
            <w:tcW w:w="1701" w:type="dxa"/>
            <w:vAlign w:val="center"/>
          </w:tcPr>
          <w:p w:rsidR="00AC5422" w:rsidRPr="000856B7" w:rsidRDefault="00AC5422" w:rsidP="00423120">
            <w:pPr>
              <w:keepNext/>
              <w:rPr>
                <w:rFonts w:asciiTheme="minorHAnsi" w:hAnsiTheme="minorHAnsi" w:cstheme="minorHAnsi"/>
                <w:b/>
              </w:rPr>
            </w:pPr>
            <w:r w:rsidRPr="000856B7">
              <w:rPr>
                <w:rFonts w:asciiTheme="minorHAnsi" w:hAnsiTheme="minorHAnsi" w:cstheme="minorHAnsi"/>
                <w:b/>
              </w:rPr>
              <w:t>Jihočeský</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17 202</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18 431</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19 637</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2 582</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2 256</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755</w:t>
            </w:r>
          </w:p>
        </w:tc>
      </w:tr>
      <w:tr w:rsidR="00AC5422" w:rsidRPr="00FA3820" w:rsidTr="000D1BF2">
        <w:trPr>
          <w:trHeight w:hRule="exact" w:val="284"/>
          <w:jc w:val="center"/>
        </w:trPr>
        <w:tc>
          <w:tcPr>
            <w:tcW w:w="1701" w:type="dxa"/>
            <w:vAlign w:val="center"/>
          </w:tcPr>
          <w:p w:rsidR="00AC5422" w:rsidRPr="000856B7" w:rsidRDefault="00AC5422" w:rsidP="00423120">
            <w:pPr>
              <w:keepNext/>
              <w:rPr>
                <w:rFonts w:asciiTheme="minorHAnsi" w:hAnsiTheme="minorHAnsi" w:cstheme="minorHAnsi"/>
                <w:b/>
              </w:rPr>
            </w:pPr>
            <w:r w:rsidRPr="000856B7">
              <w:rPr>
                <w:rFonts w:asciiTheme="minorHAnsi" w:hAnsiTheme="minorHAnsi" w:cstheme="minorHAnsi"/>
                <w:b/>
              </w:rPr>
              <w:t>Plzeňský</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18 159</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19 376</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20 767</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6 090</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7 953</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1 683</w:t>
            </w:r>
          </w:p>
        </w:tc>
      </w:tr>
      <w:tr w:rsidR="00AC5422" w:rsidRPr="00FA3820" w:rsidTr="000D1BF2">
        <w:trPr>
          <w:trHeight w:hRule="exact" w:val="284"/>
          <w:jc w:val="center"/>
        </w:trPr>
        <w:tc>
          <w:tcPr>
            <w:tcW w:w="1701" w:type="dxa"/>
            <w:vAlign w:val="center"/>
          </w:tcPr>
          <w:p w:rsidR="00AC5422" w:rsidRPr="000856B7" w:rsidRDefault="00AC5422" w:rsidP="00423120">
            <w:pPr>
              <w:keepNext/>
              <w:rPr>
                <w:rFonts w:asciiTheme="minorHAnsi" w:hAnsiTheme="minorHAnsi" w:cstheme="minorHAnsi"/>
                <w:b/>
              </w:rPr>
            </w:pPr>
            <w:r w:rsidRPr="000856B7">
              <w:rPr>
                <w:rFonts w:asciiTheme="minorHAnsi" w:hAnsiTheme="minorHAnsi" w:cstheme="minorHAnsi"/>
                <w:b/>
              </w:rPr>
              <w:t>Karlovarský</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16 367</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17 448</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18 621</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2 329</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415</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-1 042</w:t>
            </w:r>
          </w:p>
        </w:tc>
      </w:tr>
      <w:tr w:rsidR="00AC5422" w:rsidRPr="00FA3820" w:rsidTr="000D1BF2">
        <w:trPr>
          <w:trHeight w:hRule="exact" w:val="284"/>
          <w:jc w:val="center"/>
        </w:trPr>
        <w:tc>
          <w:tcPr>
            <w:tcW w:w="1701" w:type="dxa"/>
            <w:vAlign w:val="center"/>
          </w:tcPr>
          <w:p w:rsidR="00AC5422" w:rsidRPr="000856B7" w:rsidRDefault="00AC5422" w:rsidP="00423120">
            <w:pPr>
              <w:keepNext/>
              <w:rPr>
                <w:rFonts w:asciiTheme="minorHAnsi" w:hAnsiTheme="minorHAnsi" w:cstheme="minorHAnsi"/>
                <w:b/>
              </w:rPr>
            </w:pPr>
            <w:r w:rsidRPr="000856B7">
              <w:rPr>
                <w:rFonts w:asciiTheme="minorHAnsi" w:hAnsiTheme="minorHAnsi" w:cstheme="minorHAnsi"/>
                <w:b/>
              </w:rPr>
              <w:t>Ústecký</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17 506</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18 703</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19 957</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6 941</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3 489</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-422</w:t>
            </w:r>
          </w:p>
        </w:tc>
      </w:tr>
      <w:tr w:rsidR="00AC5422" w:rsidRPr="00FA3820" w:rsidTr="000D1BF2">
        <w:trPr>
          <w:trHeight w:hRule="exact" w:val="284"/>
          <w:jc w:val="center"/>
        </w:trPr>
        <w:tc>
          <w:tcPr>
            <w:tcW w:w="1701" w:type="dxa"/>
            <w:vAlign w:val="center"/>
          </w:tcPr>
          <w:p w:rsidR="00AC5422" w:rsidRPr="000856B7" w:rsidRDefault="00AC5422" w:rsidP="00423120">
            <w:pPr>
              <w:keepNext/>
              <w:rPr>
                <w:rFonts w:asciiTheme="minorHAnsi" w:hAnsiTheme="minorHAnsi" w:cstheme="minorHAnsi"/>
                <w:b/>
              </w:rPr>
            </w:pPr>
            <w:r w:rsidRPr="000856B7">
              <w:rPr>
                <w:rFonts w:asciiTheme="minorHAnsi" w:hAnsiTheme="minorHAnsi" w:cstheme="minorHAnsi"/>
                <w:b/>
              </w:rPr>
              <w:t>Liberecký</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17 198</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18 398</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19 807</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2 418</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2 452</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809</w:t>
            </w:r>
          </w:p>
        </w:tc>
      </w:tr>
      <w:tr w:rsidR="00AC5422" w:rsidRPr="00FA3820" w:rsidTr="000D1BF2">
        <w:trPr>
          <w:trHeight w:hRule="exact" w:val="284"/>
          <w:jc w:val="center"/>
        </w:trPr>
        <w:tc>
          <w:tcPr>
            <w:tcW w:w="1701" w:type="dxa"/>
            <w:vAlign w:val="center"/>
          </w:tcPr>
          <w:p w:rsidR="00AC5422" w:rsidRPr="000856B7" w:rsidRDefault="00AC5422" w:rsidP="00423120">
            <w:pPr>
              <w:keepNext/>
              <w:rPr>
                <w:rFonts w:asciiTheme="minorHAnsi" w:hAnsiTheme="minorHAnsi" w:cstheme="minorHAnsi"/>
                <w:b/>
              </w:rPr>
            </w:pPr>
            <w:r w:rsidRPr="000856B7">
              <w:rPr>
                <w:rFonts w:asciiTheme="minorHAnsi" w:hAnsiTheme="minorHAnsi" w:cstheme="minorHAnsi"/>
                <w:b/>
              </w:rPr>
              <w:t>Královehradecký</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17 162</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18 280</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19 929</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2 033</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1 580</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-468</w:t>
            </w:r>
          </w:p>
        </w:tc>
      </w:tr>
      <w:tr w:rsidR="00AC5422" w:rsidRPr="00FA3820" w:rsidTr="000D1BF2">
        <w:trPr>
          <w:trHeight w:hRule="exact" w:val="284"/>
          <w:jc w:val="center"/>
        </w:trPr>
        <w:tc>
          <w:tcPr>
            <w:tcW w:w="1701" w:type="dxa"/>
            <w:vAlign w:val="center"/>
          </w:tcPr>
          <w:p w:rsidR="00AC5422" w:rsidRPr="000856B7" w:rsidRDefault="00AC5422" w:rsidP="00423120">
            <w:pPr>
              <w:keepNext/>
              <w:rPr>
                <w:rFonts w:asciiTheme="minorHAnsi" w:hAnsiTheme="minorHAnsi" w:cstheme="minorHAnsi"/>
                <w:b/>
              </w:rPr>
            </w:pPr>
            <w:r w:rsidRPr="000856B7">
              <w:rPr>
                <w:rFonts w:asciiTheme="minorHAnsi" w:hAnsiTheme="minorHAnsi" w:cstheme="minorHAnsi"/>
                <w:b/>
              </w:rPr>
              <w:t>Pardubický</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16 852</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18 191</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19 388</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3 074</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3 120</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503</w:t>
            </w:r>
          </w:p>
        </w:tc>
      </w:tr>
      <w:tr w:rsidR="00AC5422" w:rsidRPr="00FA3820" w:rsidTr="000D1BF2">
        <w:trPr>
          <w:trHeight w:hRule="exact" w:val="284"/>
          <w:jc w:val="center"/>
        </w:trPr>
        <w:tc>
          <w:tcPr>
            <w:tcW w:w="1701" w:type="dxa"/>
            <w:vAlign w:val="center"/>
          </w:tcPr>
          <w:p w:rsidR="00AC5422" w:rsidRPr="000856B7" w:rsidRDefault="00AC5422" w:rsidP="00423120">
            <w:pPr>
              <w:keepNext/>
              <w:rPr>
                <w:rFonts w:asciiTheme="minorHAnsi" w:hAnsiTheme="minorHAnsi" w:cstheme="minorHAnsi"/>
                <w:b/>
              </w:rPr>
            </w:pPr>
            <w:r w:rsidRPr="000856B7">
              <w:rPr>
                <w:rFonts w:asciiTheme="minorHAnsi" w:hAnsiTheme="minorHAnsi" w:cstheme="minorHAnsi"/>
                <w:b/>
              </w:rPr>
              <w:t>Vysočina</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16 948</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18 398</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19 844</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1 539</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966</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-772</w:t>
            </w:r>
          </w:p>
        </w:tc>
      </w:tr>
      <w:tr w:rsidR="00AC5422" w:rsidRPr="00FA3820" w:rsidTr="000D1BF2">
        <w:trPr>
          <w:trHeight w:hRule="exact" w:val="284"/>
          <w:jc w:val="center"/>
        </w:trPr>
        <w:tc>
          <w:tcPr>
            <w:tcW w:w="1701" w:type="dxa"/>
            <w:vAlign w:val="center"/>
          </w:tcPr>
          <w:p w:rsidR="00AC5422" w:rsidRPr="000856B7" w:rsidRDefault="00AC5422" w:rsidP="00423120">
            <w:pPr>
              <w:keepNext/>
              <w:rPr>
                <w:rFonts w:asciiTheme="minorHAnsi" w:hAnsiTheme="minorHAnsi" w:cstheme="minorHAnsi"/>
                <w:b/>
              </w:rPr>
            </w:pPr>
            <w:r w:rsidRPr="000856B7">
              <w:rPr>
                <w:rFonts w:asciiTheme="minorHAnsi" w:hAnsiTheme="minorHAnsi" w:cstheme="minorHAnsi"/>
                <w:b/>
              </w:rPr>
              <w:t>Jihomoravský</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17 494</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19 252</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20 763</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7 374</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4 678</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2 998</w:t>
            </w:r>
          </w:p>
        </w:tc>
      </w:tr>
      <w:tr w:rsidR="00AC5422" w:rsidRPr="00FA3820" w:rsidTr="000D1BF2">
        <w:trPr>
          <w:trHeight w:hRule="exact" w:val="284"/>
          <w:jc w:val="center"/>
        </w:trPr>
        <w:tc>
          <w:tcPr>
            <w:tcW w:w="1701" w:type="dxa"/>
            <w:vAlign w:val="center"/>
          </w:tcPr>
          <w:p w:rsidR="00AC5422" w:rsidRPr="000856B7" w:rsidRDefault="00AC5422" w:rsidP="00423120">
            <w:pPr>
              <w:keepNext/>
              <w:rPr>
                <w:rFonts w:asciiTheme="minorHAnsi" w:hAnsiTheme="minorHAnsi" w:cstheme="minorHAnsi"/>
                <w:b/>
              </w:rPr>
            </w:pPr>
            <w:r w:rsidRPr="000856B7">
              <w:rPr>
                <w:rFonts w:asciiTheme="minorHAnsi" w:hAnsiTheme="minorHAnsi" w:cstheme="minorHAnsi"/>
                <w:b/>
              </w:rPr>
              <w:t>Olomoucký</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16 729</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18 080</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19 292</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1 424</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-339</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-525</w:t>
            </w:r>
          </w:p>
        </w:tc>
      </w:tr>
      <w:tr w:rsidR="00AC5422" w:rsidRPr="00FA3820" w:rsidTr="000D1BF2">
        <w:trPr>
          <w:trHeight w:hRule="exact" w:val="284"/>
          <w:jc w:val="center"/>
        </w:trPr>
        <w:tc>
          <w:tcPr>
            <w:tcW w:w="1701" w:type="dxa"/>
            <w:vAlign w:val="center"/>
          </w:tcPr>
          <w:p w:rsidR="00AC5422" w:rsidRPr="000856B7" w:rsidRDefault="00AC5422" w:rsidP="00423120">
            <w:pPr>
              <w:keepNext/>
              <w:rPr>
                <w:rFonts w:asciiTheme="minorHAnsi" w:hAnsiTheme="minorHAnsi" w:cstheme="minorHAnsi"/>
                <w:b/>
              </w:rPr>
            </w:pPr>
            <w:r w:rsidRPr="000856B7">
              <w:rPr>
                <w:rFonts w:asciiTheme="minorHAnsi" w:hAnsiTheme="minorHAnsi" w:cstheme="minorHAnsi"/>
                <w:b/>
              </w:rPr>
              <w:t>Zlínský</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16 692</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17 995</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19 219</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751</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373</w:t>
            </w:r>
          </w:p>
        </w:tc>
        <w:tc>
          <w:tcPr>
            <w:tcW w:w="768" w:type="dxa"/>
            <w:vAlign w:val="center"/>
          </w:tcPr>
          <w:p w:rsidR="00AC5422" w:rsidRPr="000856B7" w:rsidRDefault="00BF44B7" w:rsidP="00423120">
            <w:pPr>
              <w:keepNext/>
              <w:jc w:val="center"/>
              <w:rPr>
                <w:rFonts w:asciiTheme="minorHAnsi" w:hAnsiTheme="minorHAnsi" w:cstheme="minorHAnsi"/>
              </w:rPr>
            </w:pPr>
            <w:r w:rsidRPr="000856B7">
              <w:rPr>
                <w:rFonts w:asciiTheme="minorHAnsi" w:hAnsiTheme="minorHAnsi" w:cstheme="minorHAnsi"/>
              </w:rPr>
              <w:t>-</w:t>
            </w:r>
            <w:r w:rsidR="00AC5422" w:rsidRPr="000856B7">
              <w:rPr>
                <w:rFonts w:asciiTheme="minorHAnsi" w:hAnsiTheme="minorHAnsi" w:cstheme="minorHAnsi"/>
              </w:rPr>
              <w:t>337</w:t>
            </w:r>
          </w:p>
        </w:tc>
      </w:tr>
      <w:tr w:rsidR="00AC5422" w:rsidRPr="00FA3820" w:rsidTr="000D1BF2">
        <w:trPr>
          <w:trHeight w:hRule="exact" w:val="284"/>
          <w:jc w:val="center"/>
        </w:trPr>
        <w:tc>
          <w:tcPr>
            <w:tcW w:w="1701" w:type="dxa"/>
            <w:vAlign w:val="center"/>
          </w:tcPr>
          <w:p w:rsidR="00AC5422" w:rsidRPr="000856B7" w:rsidRDefault="00AC5422" w:rsidP="00423120">
            <w:pPr>
              <w:keepNext/>
              <w:rPr>
                <w:rFonts w:asciiTheme="minorHAnsi" w:hAnsiTheme="minorHAnsi" w:cstheme="minorHAnsi"/>
                <w:b/>
              </w:rPr>
            </w:pPr>
            <w:r w:rsidRPr="000856B7">
              <w:rPr>
                <w:rFonts w:asciiTheme="minorHAnsi" w:hAnsiTheme="minorHAnsi" w:cstheme="minorHAnsi"/>
                <w:b/>
              </w:rPr>
              <w:t>Moravskoslezský</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17 852</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19 263</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20 730</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-98</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-70</w:t>
            </w:r>
          </w:p>
        </w:tc>
        <w:tc>
          <w:tcPr>
            <w:tcW w:w="768" w:type="dxa"/>
            <w:vAlign w:val="center"/>
          </w:tcPr>
          <w:p w:rsidR="00AC5422" w:rsidRPr="000856B7" w:rsidRDefault="00AC5422" w:rsidP="00423120">
            <w:pPr>
              <w:keepNext/>
              <w:jc w:val="center"/>
              <w:rPr>
                <w:rFonts w:asciiTheme="minorHAnsi" w:hAnsiTheme="minorHAnsi" w:cstheme="minorHAnsi"/>
              </w:rPr>
            </w:pPr>
            <w:r w:rsidRPr="000856B7">
              <w:rPr>
                <w:rFonts w:asciiTheme="minorHAnsi" w:hAnsiTheme="minorHAnsi" w:cstheme="minorHAnsi"/>
              </w:rPr>
              <w:t>-2 875</w:t>
            </w:r>
          </w:p>
        </w:tc>
      </w:tr>
    </w:tbl>
    <w:p w:rsidR="00AC5422" w:rsidRDefault="00AC5422" w:rsidP="00423120">
      <w:pPr>
        <w:keepNext/>
        <w:ind w:left="1134" w:right="1134"/>
        <w:jc w:val="both"/>
        <w:rPr>
          <w:rFonts w:ascii="Calibri" w:hAnsi="Calibri" w:cs="Calibri"/>
          <w:i/>
        </w:rPr>
      </w:pPr>
      <w:r w:rsidRPr="005855EF">
        <w:rPr>
          <w:rFonts w:ascii="Calibri" w:hAnsi="Calibri" w:cs="Calibri"/>
          <w:i/>
        </w:rPr>
        <w:t>Pramen: Český statistický úřad</w:t>
      </w:r>
      <w:r>
        <w:rPr>
          <w:rFonts w:ascii="Calibri" w:hAnsi="Calibri" w:cs="Calibri"/>
          <w:i/>
        </w:rPr>
        <w:t>,</w:t>
      </w:r>
      <w:r w:rsidRPr="005855EF">
        <w:rPr>
          <w:rFonts w:ascii="Calibri" w:hAnsi="Calibri" w:cs="Calibri"/>
          <w:i/>
        </w:rPr>
        <w:t xml:space="preserve"> </w:t>
      </w:r>
      <w:r>
        <w:rPr>
          <w:rFonts w:ascii="Calibri" w:hAnsi="Calibri" w:cs="Calibri"/>
          <w:i/>
        </w:rPr>
        <w:t>v</w:t>
      </w:r>
      <w:r w:rsidRPr="005855EF">
        <w:rPr>
          <w:rFonts w:ascii="Calibri" w:hAnsi="Calibri" w:cs="Calibri"/>
          <w:i/>
        </w:rPr>
        <w:t>eřejná databáze on-line</w:t>
      </w:r>
      <w:r w:rsidRPr="005855EF">
        <w:rPr>
          <w:rFonts w:ascii="Calibri" w:hAnsi="Calibri" w:cs="Calibri"/>
        </w:rPr>
        <w:t xml:space="preserve"> </w:t>
      </w:r>
      <w:r w:rsidRPr="005855EF">
        <w:rPr>
          <w:rFonts w:ascii="Calibri" w:hAnsi="Calibri" w:cs="Calibri"/>
          <w:i/>
        </w:rPr>
        <w:t>(cit. 15.</w:t>
      </w:r>
      <w:r>
        <w:rPr>
          <w:rFonts w:ascii="Calibri" w:hAnsi="Calibri" w:cs="Calibri"/>
          <w:i/>
        </w:rPr>
        <w:t xml:space="preserve"> </w:t>
      </w:r>
      <w:r w:rsidRPr="005855EF">
        <w:rPr>
          <w:rFonts w:ascii="Calibri" w:hAnsi="Calibri" w:cs="Calibri"/>
          <w:i/>
        </w:rPr>
        <w:t>3.</w:t>
      </w:r>
      <w:r>
        <w:rPr>
          <w:rFonts w:ascii="Calibri" w:hAnsi="Calibri" w:cs="Calibri"/>
          <w:i/>
        </w:rPr>
        <w:t xml:space="preserve"> </w:t>
      </w:r>
      <w:r w:rsidRPr="005855EF">
        <w:rPr>
          <w:rFonts w:ascii="Calibri" w:hAnsi="Calibri" w:cs="Calibri"/>
          <w:i/>
        </w:rPr>
        <w:t>2013)</w:t>
      </w:r>
      <w:r>
        <w:rPr>
          <w:rFonts w:ascii="Calibri" w:hAnsi="Calibri" w:cs="Calibri"/>
          <w:i/>
        </w:rPr>
        <w:t>.</w:t>
      </w:r>
    </w:p>
    <w:p w:rsidR="00A9221E" w:rsidRDefault="00AC5422" w:rsidP="00423120">
      <w:pPr>
        <w:keepNext/>
        <w:ind w:firstLine="709"/>
        <w:jc w:val="both"/>
        <w:rPr>
          <w:sz w:val="24"/>
          <w:szCs w:val="24"/>
        </w:rPr>
      </w:pPr>
      <w:r>
        <w:rPr>
          <w:sz w:val="24"/>
          <w:szCs w:val="24"/>
        </w:rPr>
        <w:t xml:space="preserve">Na první pohled je patrné, že jednoznačná spojitost </w:t>
      </w:r>
      <w:r w:rsidR="000856B7">
        <w:rPr>
          <w:sz w:val="24"/>
          <w:szCs w:val="24"/>
        </w:rPr>
        <w:t>mezi výší průměrné hrubé mzdy a </w:t>
      </w:r>
      <w:r>
        <w:rPr>
          <w:sz w:val="24"/>
          <w:szCs w:val="24"/>
        </w:rPr>
        <w:t>saldem migrace nebyla prokázána, nicméně korespondující tendence je zřejmá – z korelační analýzy vyplývá, že odpovídající koeficient dosahuje hodnoty od 0,68 do 0,76. Vzhledem k výše uvedené diskuzi by ovšem vyšší hodnota korelačního koeficientu byla spíše překvapivá, neboť jak již bylo řečeno, mzda není a nemůže být jediným kritériem rozhodování o migraci.</w:t>
      </w:r>
    </w:p>
    <w:p w:rsidR="00A9221E" w:rsidRDefault="00AC5422" w:rsidP="00423120">
      <w:pPr>
        <w:keepNext/>
        <w:ind w:firstLine="709"/>
        <w:jc w:val="both"/>
        <w:rPr>
          <w:sz w:val="24"/>
          <w:szCs w:val="24"/>
        </w:rPr>
      </w:pPr>
      <w:r w:rsidRPr="00A9221E">
        <w:rPr>
          <w:sz w:val="24"/>
          <w:szCs w:val="24"/>
        </w:rPr>
        <w:lastRenderedPageBreak/>
        <w:t>Obecně lze konstatovat, že migrační modely v neoklasickém i poptávkovém přístupu předpokládají, že výsledkem migračních procesů je vyrovnání, resp. sblížení mezd. Ověření platnosti tohoto předpokladu bylo provedeno na příkladu čtyř českých krajů, které vykazují nejvyšší absolutní hodnoty migrace – jde o kraje Stř</w:t>
      </w:r>
      <w:r w:rsidR="000856B7">
        <w:rPr>
          <w:sz w:val="24"/>
          <w:szCs w:val="24"/>
        </w:rPr>
        <w:t>edočeský, Praha, Jihomoravský a </w:t>
      </w:r>
      <w:r w:rsidRPr="00A9221E">
        <w:rPr>
          <w:sz w:val="24"/>
          <w:szCs w:val="24"/>
        </w:rPr>
        <w:t>Plzeňský, což jsou současně také kraje s nejvyšší průměrnou hrubou mzdou. Výpočet mzdových diferencí v jednotlivých letech dokládá, že k takovému jevu obecně nedochází. Jedinou výjimkou je v našem případě Středočeský kraj, u kterého dochází k mírnému sblížení mezd v roce 2007 s krajem Jihomoravským, v roce 2008 pak se dvěma a v roce 2009 již dokonce s devíti dalšími kraji. K těmto analýzám je ov</w:t>
      </w:r>
      <w:r w:rsidR="000856B7">
        <w:rPr>
          <w:sz w:val="24"/>
          <w:szCs w:val="24"/>
        </w:rPr>
        <w:t>šem nezbytné poznamenat, že pro </w:t>
      </w:r>
      <w:r w:rsidRPr="00A9221E">
        <w:rPr>
          <w:sz w:val="24"/>
          <w:szCs w:val="24"/>
        </w:rPr>
        <w:t>objektivní ověření modelových předpokladů by bylo potřebné minimálně desetileté období při současném splnění podmínky stabilního ekonomického růstu.</w:t>
      </w:r>
    </w:p>
    <w:p w:rsidR="00A9221E" w:rsidRPr="00A91347" w:rsidRDefault="00D84BEB" w:rsidP="00890421">
      <w:pPr>
        <w:pStyle w:val="02-Nadpis2"/>
      </w:pPr>
      <w:bookmarkStart w:id="68" w:name="_Toc382327194"/>
      <w:r w:rsidRPr="00A91347">
        <w:t>2.6. Praktické příklady</w:t>
      </w:r>
      <w:bookmarkEnd w:id="68"/>
    </w:p>
    <w:p w:rsidR="00A9221E" w:rsidRPr="00A91347" w:rsidRDefault="00D84BEB" w:rsidP="00890421">
      <w:pPr>
        <w:pStyle w:val="03-Nadpis3"/>
      </w:pPr>
      <w:bookmarkStart w:id="69" w:name="_Toc382327195"/>
      <w:r w:rsidRPr="00A91347">
        <w:t>2.6.1. Demografické projekce</w:t>
      </w:r>
      <w:r w:rsidR="00DB5EAD" w:rsidRPr="00A91347">
        <w:t xml:space="preserve"> a prognózy</w:t>
      </w:r>
      <w:bookmarkEnd w:id="69"/>
    </w:p>
    <w:p w:rsidR="00AE5C2B" w:rsidRDefault="00C06AEF" w:rsidP="00423120">
      <w:pPr>
        <w:keepNext/>
        <w:ind w:firstLine="720"/>
        <w:jc w:val="both"/>
        <w:rPr>
          <w:rFonts w:eastAsia="Calibri"/>
          <w:sz w:val="24"/>
          <w:szCs w:val="24"/>
          <w:lang w:eastAsia="en-US"/>
        </w:rPr>
      </w:pPr>
      <w:r w:rsidRPr="00C06AEF">
        <w:rPr>
          <w:rFonts w:eastAsia="Calibri"/>
          <w:sz w:val="24"/>
          <w:szCs w:val="24"/>
          <w:lang w:eastAsia="en-US"/>
        </w:rPr>
        <w:t xml:space="preserve">Počet a struktura obyvatel je klíčovým faktorem pro rozvoj států a regionů. Mají-li být očekávání racionální a nastavení veřejných politik dlouhodobě efektivní, je třeba mít alespoň rámcovou představu o tom, jak se bude měnit počet obyvatel na daném území. Pro české regiony existují dvě komplexní studie, které předkládají rozdílný pohled na demografický vývoj. Těmito studiemi jsou Projekce obyvatelstva v krajích a oblastech </w:t>
      </w:r>
      <w:r w:rsidR="00AE5C2B" w:rsidRPr="00C06AEF">
        <w:rPr>
          <w:rFonts w:eastAsia="Calibri"/>
          <w:sz w:val="24"/>
          <w:szCs w:val="24"/>
          <w:lang w:eastAsia="en-US"/>
        </w:rPr>
        <w:t>České republiky</w:t>
      </w:r>
      <w:r w:rsidR="000856B7">
        <w:rPr>
          <w:rFonts w:eastAsia="Calibri"/>
          <w:sz w:val="24"/>
          <w:szCs w:val="24"/>
          <w:lang w:eastAsia="en-US"/>
        </w:rPr>
        <w:t xml:space="preserve"> do </w:t>
      </w:r>
      <w:r w:rsidRPr="00C06AEF">
        <w:rPr>
          <w:rFonts w:eastAsia="Calibri"/>
          <w:sz w:val="24"/>
          <w:szCs w:val="24"/>
          <w:lang w:eastAsia="en-US"/>
        </w:rPr>
        <w:t>roku 2065, zpracovaná Českým statistickým úřadem, aktualizovaná v roce 2010 (ČSÚ</w:t>
      </w:r>
      <w:r w:rsidR="00AE5C2B">
        <w:rPr>
          <w:rFonts w:eastAsia="Calibri"/>
          <w:sz w:val="24"/>
          <w:szCs w:val="24"/>
          <w:lang w:eastAsia="en-US"/>
        </w:rPr>
        <w:t>,</w:t>
      </w:r>
      <w:r w:rsidRPr="00C06AEF">
        <w:rPr>
          <w:rFonts w:eastAsia="Calibri"/>
          <w:sz w:val="24"/>
          <w:szCs w:val="24"/>
          <w:lang w:eastAsia="en-US"/>
        </w:rPr>
        <w:t xml:space="preserve"> 2010) a Prognóza lidského kapitálu obyvatelstva České republiky do roku 2050, zpracovaná demografy z Vysoké školy ekonomické, aktualizovaná v roce 2009 (Langhamrová a kol.</w:t>
      </w:r>
      <w:r w:rsidR="00AE5C2B">
        <w:rPr>
          <w:rFonts w:eastAsia="Calibri"/>
          <w:sz w:val="24"/>
          <w:szCs w:val="24"/>
          <w:lang w:eastAsia="en-US"/>
        </w:rPr>
        <w:t>,</w:t>
      </w:r>
      <w:r w:rsidRPr="00C06AEF">
        <w:rPr>
          <w:rFonts w:eastAsia="Calibri"/>
          <w:sz w:val="24"/>
          <w:szCs w:val="24"/>
          <w:lang w:eastAsia="en-US"/>
        </w:rPr>
        <w:t xml:space="preserve"> 2009</w:t>
      </w:r>
      <w:r w:rsidR="00AE5C2B">
        <w:rPr>
          <w:rFonts w:eastAsia="Calibri"/>
          <w:sz w:val="24"/>
          <w:szCs w:val="24"/>
          <w:lang w:eastAsia="en-US"/>
        </w:rPr>
        <w:sym w:font="Symbol" w:char="F03B"/>
      </w:r>
      <w:r w:rsidR="00AE5C2B" w:rsidRPr="00AE5C2B">
        <w:rPr>
          <w:rFonts w:eastAsia="Calibri"/>
          <w:sz w:val="24"/>
          <w:szCs w:val="24"/>
          <w:lang w:eastAsia="en-US"/>
        </w:rPr>
        <w:t xml:space="preserve"> </w:t>
      </w:r>
      <w:r w:rsidR="00AE5C2B" w:rsidRPr="00C06AEF">
        <w:rPr>
          <w:rFonts w:eastAsia="Calibri"/>
          <w:sz w:val="24"/>
          <w:szCs w:val="24"/>
          <w:lang w:eastAsia="en-US"/>
        </w:rPr>
        <w:t>Fiala, Langhamrová, Hulík</w:t>
      </w:r>
      <w:r w:rsidR="00AE5C2B">
        <w:rPr>
          <w:rFonts w:eastAsia="Calibri"/>
          <w:sz w:val="24"/>
          <w:szCs w:val="24"/>
          <w:lang w:eastAsia="en-US"/>
        </w:rPr>
        <w:t>, 2009</w:t>
      </w:r>
      <w:r w:rsidRPr="00C06AEF">
        <w:rPr>
          <w:rFonts w:eastAsia="Calibri"/>
          <w:sz w:val="24"/>
          <w:szCs w:val="24"/>
          <w:lang w:eastAsia="en-US"/>
        </w:rPr>
        <w:t xml:space="preserve">). </w:t>
      </w:r>
    </w:p>
    <w:p w:rsidR="00C06AEF" w:rsidRPr="00C06AEF" w:rsidRDefault="00C06AEF" w:rsidP="00423120">
      <w:pPr>
        <w:keepNext/>
        <w:ind w:firstLine="720"/>
        <w:jc w:val="both"/>
        <w:rPr>
          <w:rFonts w:eastAsia="Calibri"/>
          <w:sz w:val="24"/>
          <w:szCs w:val="24"/>
          <w:lang w:eastAsia="en-US"/>
        </w:rPr>
      </w:pPr>
      <w:r w:rsidRPr="00C06AEF">
        <w:rPr>
          <w:rFonts w:eastAsia="Calibri"/>
          <w:sz w:val="24"/>
          <w:szCs w:val="24"/>
          <w:lang w:eastAsia="en-US"/>
        </w:rPr>
        <w:t xml:space="preserve">Obě studie vychází z demografické struktury </w:t>
      </w:r>
      <w:r w:rsidR="002F61DF" w:rsidRPr="00C06AEF">
        <w:rPr>
          <w:rFonts w:eastAsia="Calibri"/>
          <w:sz w:val="24"/>
          <w:szCs w:val="24"/>
          <w:lang w:eastAsia="en-US"/>
        </w:rPr>
        <w:t>České republiky</w:t>
      </w:r>
      <w:r w:rsidRPr="00C06AEF">
        <w:rPr>
          <w:rFonts w:eastAsia="Calibri"/>
          <w:sz w:val="24"/>
          <w:szCs w:val="24"/>
          <w:lang w:eastAsia="en-US"/>
        </w:rPr>
        <w:t xml:space="preserve"> k 1.</w:t>
      </w:r>
      <w:r w:rsidR="002F61DF">
        <w:rPr>
          <w:rFonts w:eastAsia="Calibri"/>
          <w:sz w:val="24"/>
          <w:szCs w:val="24"/>
          <w:lang w:eastAsia="en-US"/>
        </w:rPr>
        <w:t xml:space="preserve"> </w:t>
      </w:r>
      <w:r w:rsidRPr="00C06AEF">
        <w:rPr>
          <w:rFonts w:eastAsia="Calibri"/>
          <w:sz w:val="24"/>
          <w:szCs w:val="24"/>
          <w:lang w:eastAsia="en-US"/>
        </w:rPr>
        <w:t>1.</w:t>
      </w:r>
      <w:r w:rsidR="002F61DF">
        <w:rPr>
          <w:rFonts w:eastAsia="Calibri"/>
          <w:sz w:val="24"/>
          <w:szCs w:val="24"/>
          <w:lang w:eastAsia="en-US"/>
        </w:rPr>
        <w:t xml:space="preserve"> </w:t>
      </w:r>
      <w:r w:rsidRPr="00C06AEF">
        <w:rPr>
          <w:rFonts w:eastAsia="Calibri"/>
          <w:sz w:val="24"/>
          <w:szCs w:val="24"/>
          <w:lang w:eastAsia="en-US"/>
        </w:rPr>
        <w:t>2009. Zásadním rozdílem obou studií je nezahrnutí (ČSÚ), resp. zahrnutí (Langhamrová a kol.</w:t>
      </w:r>
      <w:r w:rsidR="002F61DF">
        <w:rPr>
          <w:rFonts w:eastAsia="Calibri"/>
          <w:sz w:val="24"/>
          <w:szCs w:val="24"/>
          <w:lang w:eastAsia="en-US"/>
        </w:rPr>
        <w:t>)</w:t>
      </w:r>
      <w:r w:rsidRPr="00C06AEF">
        <w:rPr>
          <w:rFonts w:eastAsia="Calibri"/>
          <w:sz w:val="24"/>
          <w:szCs w:val="24"/>
          <w:lang w:eastAsia="en-US"/>
        </w:rPr>
        <w:t xml:space="preserve"> migrace, což logicky zásadně odlišuje výsledky i vypovídací schopnost obou studií. Langhamrová a kol. (2009) navíc předkládají svoji prognózu ve dvou variantách, a to variant</w:t>
      </w:r>
      <w:r w:rsidR="002F61DF">
        <w:rPr>
          <w:rFonts w:eastAsia="Calibri"/>
          <w:sz w:val="24"/>
          <w:szCs w:val="24"/>
          <w:lang w:eastAsia="en-US"/>
        </w:rPr>
        <w:t>ě</w:t>
      </w:r>
      <w:r w:rsidR="000856B7">
        <w:rPr>
          <w:rFonts w:eastAsia="Calibri"/>
          <w:sz w:val="24"/>
          <w:szCs w:val="24"/>
          <w:lang w:eastAsia="en-US"/>
        </w:rPr>
        <w:t xml:space="preserve"> vycházející ze </w:t>
      </w:r>
      <w:r w:rsidRPr="00C06AEF">
        <w:rPr>
          <w:rFonts w:eastAsia="Calibri"/>
          <w:sz w:val="24"/>
          <w:szCs w:val="24"/>
          <w:lang w:eastAsia="en-US"/>
        </w:rPr>
        <w:t>střední varianty projekce ČSÚ a variant</w:t>
      </w:r>
      <w:r w:rsidR="002F61DF">
        <w:rPr>
          <w:rFonts w:eastAsia="Calibri"/>
          <w:sz w:val="24"/>
          <w:szCs w:val="24"/>
          <w:lang w:eastAsia="en-US"/>
        </w:rPr>
        <w:t>ě</w:t>
      </w:r>
      <w:r w:rsidRPr="00C06AEF">
        <w:rPr>
          <w:rFonts w:eastAsia="Calibri"/>
          <w:sz w:val="24"/>
          <w:szCs w:val="24"/>
          <w:lang w:eastAsia="en-US"/>
        </w:rPr>
        <w:t xml:space="preserve"> vycházející z předpokladu, že demografické chování české populace (zejména plodnost žen) bude se zpožděním kopírovat demografické chování nizozemské populace.</w:t>
      </w:r>
    </w:p>
    <w:p w:rsidR="00B875AB" w:rsidRDefault="00C06AEF" w:rsidP="00B875AB">
      <w:pPr>
        <w:keepNext/>
        <w:ind w:firstLine="720"/>
        <w:jc w:val="both"/>
        <w:rPr>
          <w:rFonts w:eastAsia="Calibri"/>
          <w:sz w:val="24"/>
          <w:szCs w:val="24"/>
          <w:lang w:eastAsia="en-US"/>
        </w:rPr>
      </w:pPr>
      <w:r w:rsidRPr="00C06AEF">
        <w:rPr>
          <w:rFonts w:eastAsia="Calibri"/>
          <w:sz w:val="24"/>
          <w:szCs w:val="24"/>
          <w:lang w:eastAsia="en-US"/>
        </w:rPr>
        <w:t xml:space="preserve">Dříve než mohou být prezentovány závěry obou uvedených materiálů, je třeba upozornit na pojmovou rozdílnost v jejich názvu. Jaký je tedy rozdíl mezi pojmy demografická prognóza a demografická projekce? A je pro interpretaci výsledků důležité mezi těmito pojmy rozlišovat, nebo je to spíše marginální a </w:t>
      </w:r>
      <w:proofErr w:type="gramStart"/>
      <w:r w:rsidRPr="00C06AEF">
        <w:rPr>
          <w:rFonts w:eastAsia="Calibri"/>
          <w:sz w:val="24"/>
          <w:szCs w:val="24"/>
          <w:lang w:eastAsia="en-US"/>
        </w:rPr>
        <w:t xml:space="preserve">pro </w:t>
      </w:r>
      <w:r w:rsidR="003F725A">
        <w:rPr>
          <w:rFonts w:eastAsia="Calibri"/>
          <w:sz w:val="24"/>
          <w:szCs w:val="24"/>
          <w:lang w:eastAsia="en-US"/>
        </w:rPr>
        <w:t>,,</w:t>
      </w:r>
      <w:r w:rsidRPr="00C06AEF">
        <w:rPr>
          <w:rFonts w:eastAsia="Calibri"/>
          <w:sz w:val="24"/>
          <w:szCs w:val="24"/>
          <w:lang w:eastAsia="en-US"/>
        </w:rPr>
        <w:t>nedemografy</w:t>
      </w:r>
      <w:proofErr w:type="gramEnd"/>
      <w:r w:rsidR="003F725A">
        <w:rPr>
          <w:rFonts w:eastAsia="Calibri"/>
          <w:sz w:val="24"/>
          <w:szCs w:val="24"/>
          <w:lang w:eastAsia="en-US"/>
        </w:rPr>
        <w:t>“</w:t>
      </w:r>
      <w:r w:rsidRPr="00C06AEF">
        <w:rPr>
          <w:rFonts w:eastAsia="Calibri"/>
          <w:sz w:val="24"/>
          <w:szCs w:val="24"/>
          <w:lang w:eastAsia="en-US"/>
        </w:rPr>
        <w:t xml:space="preserve"> pouze form</w:t>
      </w:r>
      <w:r w:rsidR="00B875AB">
        <w:rPr>
          <w:rFonts w:eastAsia="Calibri"/>
          <w:sz w:val="24"/>
          <w:szCs w:val="24"/>
          <w:lang w:eastAsia="en-US"/>
        </w:rPr>
        <w:t>ální problém?</w:t>
      </w:r>
    </w:p>
    <w:p w:rsidR="00C06AEF" w:rsidRPr="00B875AB" w:rsidRDefault="00C06AEF" w:rsidP="00B875AB">
      <w:pPr>
        <w:keepNext/>
        <w:jc w:val="both"/>
        <w:rPr>
          <w:rFonts w:eastAsia="Calibri"/>
          <w:sz w:val="24"/>
          <w:szCs w:val="24"/>
          <w:lang w:eastAsia="en-US"/>
        </w:rPr>
      </w:pPr>
      <w:r w:rsidRPr="004F2007">
        <w:rPr>
          <w:rFonts w:eastAsia="Calibri"/>
          <w:b/>
          <w:sz w:val="24"/>
          <w:szCs w:val="24"/>
          <w:lang w:eastAsia="en-US"/>
        </w:rPr>
        <w:t>De</w:t>
      </w:r>
      <w:r w:rsidR="00DB5EAD">
        <w:rPr>
          <w:rFonts w:eastAsia="Calibri"/>
          <w:b/>
          <w:sz w:val="24"/>
          <w:szCs w:val="24"/>
          <w:lang w:eastAsia="en-US"/>
        </w:rPr>
        <w:t>finice</w:t>
      </w:r>
    </w:p>
    <w:p w:rsidR="00C06AEF" w:rsidRPr="00C06AEF" w:rsidRDefault="002F61DF" w:rsidP="00423120">
      <w:pPr>
        <w:keepNext/>
        <w:ind w:firstLine="720"/>
        <w:jc w:val="both"/>
        <w:rPr>
          <w:rFonts w:eastAsia="Calibri"/>
          <w:sz w:val="24"/>
          <w:szCs w:val="24"/>
          <w:lang w:eastAsia="en-US"/>
        </w:rPr>
      </w:pPr>
      <w:r>
        <w:rPr>
          <w:rFonts w:eastAsia="Calibri"/>
          <w:sz w:val="24"/>
          <w:szCs w:val="24"/>
          <w:lang w:eastAsia="en-US"/>
        </w:rPr>
        <w:t xml:space="preserve">Demografové </w:t>
      </w:r>
      <w:r w:rsidR="00C06AEF" w:rsidRPr="00C06AEF">
        <w:rPr>
          <w:rFonts w:eastAsia="Calibri"/>
          <w:sz w:val="24"/>
          <w:szCs w:val="24"/>
          <w:lang w:eastAsia="en-US"/>
        </w:rPr>
        <w:t>Burcin, Kučera (In Burcin, Fialová, Rychtaříková a kol.</w:t>
      </w:r>
      <w:r w:rsidR="006C2794">
        <w:rPr>
          <w:rFonts w:eastAsia="Calibri"/>
          <w:sz w:val="24"/>
          <w:szCs w:val="24"/>
          <w:lang w:eastAsia="en-US"/>
        </w:rPr>
        <w:t>,</w:t>
      </w:r>
      <w:r w:rsidR="00C06AEF" w:rsidRPr="00C06AEF">
        <w:rPr>
          <w:rFonts w:eastAsia="Calibri"/>
          <w:sz w:val="24"/>
          <w:szCs w:val="24"/>
          <w:lang w:eastAsia="en-US"/>
        </w:rPr>
        <w:t xml:space="preserve"> 2010) uvádějí, že populační prognózy jsou prognózami očekávaného populačního vývoje, zahrnují odhad budoucího vývoje početního stavu a pohlavně</w:t>
      </w:r>
      <w:r w:rsidR="006C2794">
        <w:rPr>
          <w:rFonts w:eastAsia="Calibri"/>
          <w:sz w:val="24"/>
          <w:szCs w:val="24"/>
          <w:lang w:eastAsia="en-US"/>
        </w:rPr>
        <w:t>-</w:t>
      </w:r>
      <w:r w:rsidR="00C06AEF" w:rsidRPr="00C06AEF">
        <w:rPr>
          <w:rFonts w:eastAsia="Calibri"/>
          <w:sz w:val="24"/>
          <w:szCs w:val="24"/>
          <w:lang w:eastAsia="en-US"/>
        </w:rPr>
        <w:t>věkové struktury lidských populací.</w:t>
      </w:r>
    </w:p>
    <w:p w:rsidR="00C06AEF" w:rsidRPr="00C06AEF" w:rsidRDefault="00C06AEF" w:rsidP="00423120">
      <w:pPr>
        <w:keepNext/>
        <w:ind w:firstLine="720"/>
        <w:jc w:val="both"/>
        <w:rPr>
          <w:rFonts w:eastAsia="Calibri"/>
          <w:sz w:val="24"/>
          <w:szCs w:val="24"/>
          <w:lang w:eastAsia="en-US"/>
        </w:rPr>
      </w:pPr>
      <w:r w:rsidRPr="00C06AEF">
        <w:rPr>
          <w:rFonts w:eastAsia="Calibri"/>
          <w:sz w:val="24"/>
          <w:szCs w:val="24"/>
          <w:lang w:eastAsia="en-US"/>
        </w:rPr>
        <w:lastRenderedPageBreak/>
        <w:t>Klufová</w:t>
      </w:r>
      <w:r w:rsidR="0032493F">
        <w:rPr>
          <w:rFonts w:eastAsia="Calibri"/>
          <w:sz w:val="24"/>
          <w:szCs w:val="24"/>
          <w:lang w:eastAsia="en-US"/>
        </w:rPr>
        <w:t xml:space="preserve"> a</w:t>
      </w:r>
      <w:r w:rsidRPr="00C06AEF">
        <w:rPr>
          <w:rFonts w:eastAsia="Calibri"/>
          <w:sz w:val="24"/>
          <w:szCs w:val="24"/>
          <w:lang w:eastAsia="en-US"/>
        </w:rPr>
        <w:t xml:space="preserve"> Poláková (2010) píší o projekcích ja</w:t>
      </w:r>
      <w:r w:rsidR="000856B7">
        <w:rPr>
          <w:rFonts w:eastAsia="Calibri"/>
          <w:sz w:val="24"/>
          <w:szCs w:val="24"/>
          <w:lang w:eastAsia="en-US"/>
        </w:rPr>
        <w:t>ko modelech budoucího vývoje na </w:t>
      </w:r>
      <w:r w:rsidRPr="00C06AEF">
        <w:rPr>
          <w:rFonts w:eastAsia="Calibri"/>
          <w:sz w:val="24"/>
          <w:szCs w:val="24"/>
          <w:lang w:eastAsia="en-US"/>
        </w:rPr>
        <w:t xml:space="preserve">základě jednoduché extrapolace dosavadního vývoje. </w:t>
      </w:r>
      <w:r w:rsidR="008636FC">
        <w:rPr>
          <w:rFonts w:eastAsia="Calibri"/>
          <w:sz w:val="24"/>
          <w:szCs w:val="24"/>
          <w:lang w:eastAsia="en-US"/>
        </w:rPr>
        <w:t>V p</w:t>
      </w:r>
      <w:r w:rsidRPr="00C06AEF">
        <w:rPr>
          <w:rFonts w:eastAsia="Calibri"/>
          <w:sz w:val="24"/>
          <w:szCs w:val="24"/>
          <w:lang w:eastAsia="en-US"/>
        </w:rPr>
        <w:t>rognóz</w:t>
      </w:r>
      <w:r w:rsidR="008636FC">
        <w:rPr>
          <w:rFonts w:eastAsia="Calibri"/>
          <w:sz w:val="24"/>
          <w:szCs w:val="24"/>
          <w:lang w:eastAsia="en-US"/>
        </w:rPr>
        <w:t>e</w:t>
      </w:r>
      <w:r w:rsidRPr="00C06AEF">
        <w:rPr>
          <w:rFonts w:eastAsia="Calibri"/>
          <w:sz w:val="24"/>
          <w:szCs w:val="24"/>
          <w:lang w:eastAsia="en-US"/>
        </w:rPr>
        <w:t xml:space="preserve"> pak demograf </w:t>
      </w:r>
      <w:r w:rsidR="008636FC">
        <w:rPr>
          <w:rFonts w:eastAsia="Calibri"/>
          <w:sz w:val="24"/>
          <w:szCs w:val="24"/>
          <w:lang w:eastAsia="en-US"/>
        </w:rPr>
        <w:t>zohledňuje</w:t>
      </w:r>
      <w:r w:rsidR="001C1300">
        <w:rPr>
          <w:rFonts w:eastAsia="Calibri"/>
          <w:sz w:val="24"/>
          <w:szCs w:val="24"/>
          <w:lang w:eastAsia="en-US"/>
        </w:rPr>
        <w:t xml:space="preserve"> </w:t>
      </w:r>
      <w:r w:rsidR="008636FC">
        <w:rPr>
          <w:rFonts w:eastAsia="Calibri"/>
          <w:sz w:val="24"/>
          <w:szCs w:val="24"/>
          <w:lang w:eastAsia="en-US"/>
        </w:rPr>
        <w:t xml:space="preserve">odhady </w:t>
      </w:r>
      <w:r w:rsidR="001C1300">
        <w:rPr>
          <w:rFonts w:eastAsia="Calibri"/>
          <w:sz w:val="24"/>
          <w:szCs w:val="24"/>
          <w:lang w:eastAsia="en-US"/>
        </w:rPr>
        <w:t>specifických</w:t>
      </w:r>
      <w:r w:rsidR="008636FC">
        <w:rPr>
          <w:rFonts w:eastAsia="Calibri"/>
          <w:sz w:val="24"/>
          <w:szCs w:val="24"/>
          <w:lang w:eastAsia="en-US"/>
        </w:rPr>
        <w:t xml:space="preserve"> parametrů</w:t>
      </w:r>
      <w:r w:rsidRPr="00C06AEF">
        <w:rPr>
          <w:rFonts w:eastAsia="Calibri"/>
          <w:sz w:val="24"/>
          <w:szCs w:val="24"/>
          <w:lang w:eastAsia="en-US"/>
        </w:rPr>
        <w:t xml:space="preserve"> budoucího vývoje, kter</w:t>
      </w:r>
      <w:r w:rsidR="008636FC">
        <w:rPr>
          <w:rFonts w:eastAsia="Calibri"/>
          <w:sz w:val="24"/>
          <w:szCs w:val="24"/>
          <w:lang w:eastAsia="en-US"/>
        </w:rPr>
        <w:t>é</w:t>
      </w:r>
      <w:r w:rsidRPr="00C06AEF">
        <w:rPr>
          <w:rFonts w:eastAsia="Calibri"/>
          <w:sz w:val="24"/>
          <w:szCs w:val="24"/>
          <w:lang w:eastAsia="en-US"/>
        </w:rPr>
        <w:t xml:space="preserve"> považuje v daném okamžiku za nejdůvěryhodnější. </w:t>
      </w:r>
    </w:p>
    <w:p w:rsidR="00C06AEF" w:rsidRPr="00C06AEF" w:rsidRDefault="00C06AEF" w:rsidP="00423120">
      <w:pPr>
        <w:keepNext/>
        <w:ind w:firstLine="720"/>
        <w:jc w:val="both"/>
        <w:rPr>
          <w:rFonts w:eastAsia="Calibri"/>
          <w:sz w:val="24"/>
          <w:szCs w:val="24"/>
          <w:lang w:eastAsia="en-US"/>
        </w:rPr>
      </w:pPr>
      <w:r w:rsidRPr="00C06AEF">
        <w:rPr>
          <w:rFonts w:eastAsia="Calibri"/>
          <w:sz w:val="24"/>
          <w:szCs w:val="24"/>
          <w:lang w:eastAsia="en-US"/>
        </w:rPr>
        <w:t>Podle Kalibov</w:t>
      </w:r>
      <w:r w:rsidR="001C1300">
        <w:rPr>
          <w:rFonts w:eastAsia="Calibri"/>
          <w:sz w:val="24"/>
          <w:szCs w:val="24"/>
          <w:lang w:eastAsia="en-US"/>
        </w:rPr>
        <w:t>é</w:t>
      </w:r>
      <w:r w:rsidRPr="00C06AEF">
        <w:rPr>
          <w:rFonts w:eastAsia="Calibri"/>
          <w:sz w:val="24"/>
          <w:szCs w:val="24"/>
          <w:lang w:eastAsia="en-US"/>
        </w:rPr>
        <w:t>, Pavlík</w:t>
      </w:r>
      <w:r w:rsidR="001C1300">
        <w:rPr>
          <w:rFonts w:eastAsia="Calibri"/>
          <w:sz w:val="24"/>
          <w:szCs w:val="24"/>
          <w:lang w:eastAsia="en-US"/>
        </w:rPr>
        <w:t>a a</w:t>
      </w:r>
      <w:r w:rsidRPr="00C06AEF">
        <w:rPr>
          <w:rFonts w:eastAsia="Calibri"/>
          <w:sz w:val="24"/>
          <w:szCs w:val="24"/>
          <w:lang w:eastAsia="en-US"/>
        </w:rPr>
        <w:t xml:space="preserve"> Vodákov</w:t>
      </w:r>
      <w:r w:rsidR="001C1300">
        <w:rPr>
          <w:rFonts w:eastAsia="Calibri"/>
          <w:sz w:val="24"/>
          <w:szCs w:val="24"/>
          <w:lang w:eastAsia="en-US"/>
        </w:rPr>
        <w:t>é</w:t>
      </w:r>
      <w:r w:rsidRPr="00C06AEF">
        <w:rPr>
          <w:rFonts w:eastAsia="Calibri"/>
          <w:sz w:val="24"/>
          <w:szCs w:val="24"/>
          <w:lang w:eastAsia="en-US"/>
        </w:rPr>
        <w:t xml:space="preserve"> (2009) jsou populační prognózy složitějším případem populačních projekcí. </w:t>
      </w:r>
      <w:r w:rsidR="001C1300">
        <w:rPr>
          <w:rFonts w:eastAsia="Calibri"/>
          <w:sz w:val="24"/>
          <w:szCs w:val="24"/>
          <w:lang w:eastAsia="en-US"/>
        </w:rPr>
        <w:t>P</w:t>
      </w:r>
      <w:r w:rsidRPr="00C06AEF">
        <w:rPr>
          <w:rFonts w:eastAsia="Calibri"/>
          <w:sz w:val="24"/>
          <w:szCs w:val="24"/>
          <w:lang w:eastAsia="en-US"/>
        </w:rPr>
        <w:t>rognóz</w:t>
      </w:r>
      <w:r w:rsidR="001C1300">
        <w:rPr>
          <w:rFonts w:eastAsia="Calibri"/>
          <w:sz w:val="24"/>
          <w:szCs w:val="24"/>
          <w:lang w:eastAsia="en-US"/>
        </w:rPr>
        <w:t>y</w:t>
      </w:r>
      <w:r w:rsidRPr="00C06AEF">
        <w:rPr>
          <w:rFonts w:eastAsia="Calibri"/>
          <w:sz w:val="24"/>
          <w:szCs w:val="24"/>
          <w:lang w:eastAsia="en-US"/>
        </w:rPr>
        <w:t xml:space="preserve"> formulují hyp</w:t>
      </w:r>
      <w:r w:rsidR="000856B7">
        <w:rPr>
          <w:rFonts w:eastAsia="Calibri"/>
          <w:sz w:val="24"/>
          <w:szCs w:val="24"/>
          <w:lang w:eastAsia="en-US"/>
        </w:rPr>
        <w:t>otézy budoucího vývoje nejen na </w:t>
      </w:r>
      <w:r w:rsidRPr="00C06AEF">
        <w:rPr>
          <w:rFonts w:eastAsia="Calibri"/>
          <w:sz w:val="24"/>
          <w:szCs w:val="24"/>
          <w:lang w:eastAsia="en-US"/>
        </w:rPr>
        <w:t xml:space="preserve">základě současných populačních trendů, ale též obecných zákonitostí vývoje populačních systémů. Projekce </w:t>
      </w:r>
      <w:r w:rsidR="001C1300">
        <w:rPr>
          <w:rFonts w:eastAsia="Calibri"/>
          <w:sz w:val="24"/>
          <w:szCs w:val="24"/>
          <w:lang w:eastAsia="en-US"/>
        </w:rPr>
        <w:t>pak jsou chápány jako</w:t>
      </w:r>
      <w:r w:rsidRPr="00C06AEF">
        <w:rPr>
          <w:rFonts w:eastAsia="Calibri"/>
          <w:sz w:val="24"/>
          <w:szCs w:val="24"/>
          <w:lang w:eastAsia="en-US"/>
        </w:rPr>
        <w:t xml:space="preserve"> výpočty, jejichž metody jsou voleny </w:t>
      </w:r>
      <w:r w:rsidR="001C1300">
        <w:rPr>
          <w:rFonts w:eastAsia="Calibri"/>
          <w:sz w:val="24"/>
          <w:szCs w:val="24"/>
          <w:lang w:eastAsia="en-US"/>
        </w:rPr>
        <w:t>po</w:t>
      </w:r>
      <w:r w:rsidRPr="00C06AEF">
        <w:rPr>
          <w:rFonts w:eastAsia="Calibri"/>
          <w:sz w:val="24"/>
          <w:szCs w:val="24"/>
          <w:lang w:eastAsia="en-US"/>
        </w:rPr>
        <w:t xml:space="preserve">dle </w:t>
      </w:r>
      <w:r w:rsidR="001C1300">
        <w:rPr>
          <w:rFonts w:eastAsia="Calibri"/>
          <w:sz w:val="24"/>
          <w:szCs w:val="24"/>
          <w:lang w:eastAsia="en-US"/>
        </w:rPr>
        <w:t xml:space="preserve">druhu </w:t>
      </w:r>
      <w:r w:rsidRPr="00C06AEF">
        <w:rPr>
          <w:rFonts w:eastAsia="Calibri"/>
          <w:sz w:val="24"/>
          <w:szCs w:val="24"/>
          <w:lang w:eastAsia="en-US"/>
        </w:rPr>
        <w:t>výchozích dat.</w:t>
      </w:r>
    </w:p>
    <w:p w:rsidR="00254CE5" w:rsidRDefault="001C1300" w:rsidP="00423120">
      <w:pPr>
        <w:keepNext/>
        <w:ind w:firstLine="720"/>
        <w:jc w:val="both"/>
        <w:rPr>
          <w:rFonts w:eastAsia="Calibri"/>
          <w:sz w:val="24"/>
          <w:szCs w:val="24"/>
          <w:lang w:eastAsia="en-US"/>
        </w:rPr>
      </w:pPr>
      <w:r>
        <w:rPr>
          <w:rFonts w:eastAsia="Calibri"/>
          <w:sz w:val="24"/>
          <w:szCs w:val="24"/>
          <w:lang w:eastAsia="en-US"/>
        </w:rPr>
        <w:t>Podobné</w:t>
      </w:r>
      <w:r w:rsidR="00C06AEF" w:rsidRPr="00C06AEF">
        <w:rPr>
          <w:rFonts w:eastAsia="Calibri"/>
          <w:sz w:val="24"/>
          <w:szCs w:val="24"/>
          <w:lang w:eastAsia="en-US"/>
        </w:rPr>
        <w:t xml:space="preserve"> vysvětlení nabízí také Pavlík</w:t>
      </w:r>
      <w:r>
        <w:rPr>
          <w:rFonts w:eastAsia="Calibri"/>
          <w:sz w:val="24"/>
          <w:szCs w:val="24"/>
          <w:lang w:eastAsia="en-US"/>
        </w:rPr>
        <w:t xml:space="preserve"> a</w:t>
      </w:r>
      <w:r w:rsidR="00C06AEF" w:rsidRPr="00C06AEF">
        <w:rPr>
          <w:rFonts w:eastAsia="Calibri"/>
          <w:sz w:val="24"/>
          <w:szCs w:val="24"/>
          <w:lang w:eastAsia="en-US"/>
        </w:rPr>
        <w:t xml:space="preserve"> Kalibová (2005). </w:t>
      </w:r>
      <w:r w:rsidRPr="00C06AEF">
        <w:rPr>
          <w:rFonts w:eastAsia="Calibri"/>
          <w:sz w:val="24"/>
          <w:szCs w:val="24"/>
          <w:lang w:eastAsia="en-US"/>
        </w:rPr>
        <w:t xml:space="preserve">Populační prognózy jsou odhady budoucího vývoje, které </w:t>
      </w:r>
      <w:r w:rsidR="00254CE5">
        <w:rPr>
          <w:rFonts w:eastAsia="Calibri"/>
          <w:sz w:val="24"/>
          <w:szCs w:val="24"/>
          <w:lang w:eastAsia="en-US"/>
        </w:rPr>
        <w:t xml:space="preserve">co </w:t>
      </w:r>
      <w:r w:rsidRPr="00C06AEF">
        <w:rPr>
          <w:rFonts w:eastAsia="Calibri"/>
          <w:sz w:val="24"/>
          <w:szCs w:val="24"/>
          <w:lang w:eastAsia="en-US"/>
        </w:rPr>
        <w:t>nejlépe vystihují předpokládané budoucí trendy.</w:t>
      </w:r>
      <w:r>
        <w:rPr>
          <w:rFonts w:eastAsia="Calibri"/>
          <w:sz w:val="24"/>
          <w:szCs w:val="24"/>
          <w:lang w:eastAsia="en-US"/>
        </w:rPr>
        <w:t xml:space="preserve"> </w:t>
      </w:r>
      <w:r w:rsidR="00C06AEF" w:rsidRPr="00C06AEF">
        <w:rPr>
          <w:rFonts w:eastAsia="Calibri"/>
          <w:sz w:val="24"/>
          <w:szCs w:val="24"/>
          <w:lang w:eastAsia="en-US"/>
        </w:rPr>
        <w:t>Populační projekce vycházejí z</w:t>
      </w:r>
      <w:r w:rsidR="00254CE5">
        <w:rPr>
          <w:rFonts w:eastAsia="Calibri"/>
          <w:sz w:val="24"/>
          <w:szCs w:val="24"/>
          <w:lang w:eastAsia="en-US"/>
        </w:rPr>
        <w:t> </w:t>
      </w:r>
      <w:r w:rsidR="00C06AEF" w:rsidRPr="00C06AEF">
        <w:rPr>
          <w:rFonts w:eastAsia="Calibri"/>
          <w:sz w:val="24"/>
          <w:szCs w:val="24"/>
          <w:lang w:eastAsia="en-US"/>
        </w:rPr>
        <w:t>předpokládan</w:t>
      </w:r>
      <w:r w:rsidR="00254CE5">
        <w:rPr>
          <w:rFonts w:eastAsia="Calibri"/>
          <w:sz w:val="24"/>
          <w:szCs w:val="24"/>
          <w:lang w:eastAsia="en-US"/>
        </w:rPr>
        <w:t xml:space="preserve">ého vývoje </w:t>
      </w:r>
      <w:r w:rsidR="00C06AEF" w:rsidRPr="00C06AEF">
        <w:rPr>
          <w:rFonts w:eastAsia="Calibri"/>
          <w:sz w:val="24"/>
          <w:szCs w:val="24"/>
          <w:lang w:eastAsia="en-US"/>
        </w:rPr>
        <w:t xml:space="preserve">jednotlivých demografických procesů. Jsou </w:t>
      </w:r>
      <w:r w:rsidR="00254CE5">
        <w:rPr>
          <w:rFonts w:eastAsia="Calibri"/>
          <w:sz w:val="24"/>
          <w:szCs w:val="24"/>
          <w:lang w:eastAsia="en-US"/>
        </w:rPr>
        <w:t xml:space="preserve">tedy </w:t>
      </w:r>
      <w:r w:rsidR="00C06AEF" w:rsidRPr="00C06AEF">
        <w:rPr>
          <w:rFonts w:eastAsia="Calibri"/>
          <w:sz w:val="24"/>
          <w:szCs w:val="24"/>
          <w:lang w:eastAsia="en-US"/>
        </w:rPr>
        <w:t>nástrojem analýzy založené na formálních výpočtech</w:t>
      </w:r>
      <w:r w:rsidR="00254CE5">
        <w:rPr>
          <w:rFonts w:eastAsia="Calibri"/>
          <w:sz w:val="24"/>
          <w:szCs w:val="24"/>
          <w:lang w:eastAsia="en-US"/>
        </w:rPr>
        <w:t>.</w:t>
      </w:r>
      <w:r w:rsidR="00C06AEF" w:rsidRPr="00C06AEF">
        <w:rPr>
          <w:rFonts w:eastAsia="Calibri"/>
          <w:sz w:val="24"/>
          <w:szCs w:val="24"/>
          <w:lang w:eastAsia="en-US"/>
        </w:rPr>
        <w:t xml:space="preserve"> </w:t>
      </w:r>
    </w:p>
    <w:p w:rsidR="00C06AEF" w:rsidRPr="00C06AEF" w:rsidRDefault="00C06AEF" w:rsidP="00423120">
      <w:pPr>
        <w:keepNext/>
        <w:ind w:firstLine="720"/>
        <w:jc w:val="both"/>
        <w:rPr>
          <w:rFonts w:eastAsia="Calibri"/>
          <w:sz w:val="24"/>
          <w:szCs w:val="24"/>
          <w:lang w:eastAsia="en-US"/>
        </w:rPr>
      </w:pPr>
      <w:r w:rsidRPr="00C06AEF">
        <w:rPr>
          <w:rFonts w:eastAsia="Calibri"/>
          <w:sz w:val="24"/>
          <w:szCs w:val="24"/>
          <w:lang w:eastAsia="en-US"/>
        </w:rPr>
        <w:t xml:space="preserve">Je tedy zřejmé, že rozlišení má svůj význam </w:t>
      </w:r>
      <w:r w:rsidR="00254CE5">
        <w:rPr>
          <w:rFonts w:eastAsia="Calibri"/>
          <w:sz w:val="24"/>
          <w:szCs w:val="24"/>
          <w:lang w:eastAsia="en-US"/>
        </w:rPr>
        <w:t>zejména</w:t>
      </w:r>
      <w:r w:rsidRPr="00C06AEF">
        <w:rPr>
          <w:rFonts w:eastAsia="Calibri"/>
          <w:sz w:val="24"/>
          <w:szCs w:val="24"/>
          <w:lang w:eastAsia="en-US"/>
        </w:rPr>
        <w:t xml:space="preserve"> z interpretačního hlediska. </w:t>
      </w:r>
      <w:r w:rsidR="00254CE5">
        <w:rPr>
          <w:rFonts w:eastAsia="Calibri"/>
          <w:sz w:val="24"/>
          <w:szCs w:val="24"/>
          <w:lang w:eastAsia="en-US"/>
        </w:rPr>
        <w:t>Jejich</w:t>
      </w:r>
      <w:r w:rsidR="00254CE5" w:rsidRPr="00C06AEF">
        <w:rPr>
          <w:rFonts w:eastAsia="Calibri"/>
          <w:sz w:val="24"/>
          <w:szCs w:val="24"/>
          <w:lang w:eastAsia="en-US"/>
        </w:rPr>
        <w:t xml:space="preserve"> spolehlivost </w:t>
      </w:r>
      <w:r w:rsidRPr="00C06AEF">
        <w:rPr>
          <w:rFonts w:eastAsia="Calibri"/>
          <w:sz w:val="24"/>
          <w:szCs w:val="24"/>
          <w:lang w:eastAsia="en-US"/>
        </w:rPr>
        <w:t>ne</w:t>
      </w:r>
      <w:r w:rsidR="00254CE5">
        <w:rPr>
          <w:rFonts w:eastAsia="Calibri"/>
          <w:sz w:val="24"/>
          <w:szCs w:val="24"/>
          <w:lang w:eastAsia="en-US"/>
        </w:rPr>
        <w:t>lze věrohodně porovnat</w:t>
      </w:r>
      <w:r w:rsidRPr="00C06AEF">
        <w:rPr>
          <w:rFonts w:eastAsia="Calibri"/>
          <w:sz w:val="24"/>
          <w:szCs w:val="24"/>
          <w:lang w:eastAsia="en-US"/>
        </w:rPr>
        <w:t xml:space="preserve">, zejména </w:t>
      </w:r>
      <w:r w:rsidR="00254CE5">
        <w:rPr>
          <w:rFonts w:eastAsia="Calibri"/>
          <w:sz w:val="24"/>
          <w:szCs w:val="24"/>
          <w:lang w:eastAsia="en-US"/>
        </w:rPr>
        <w:t xml:space="preserve">pokud jde o </w:t>
      </w:r>
      <w:r w:rsidRPr="00C06AEF">
        <w:rPr>
          <w:rFonts w:eastAsia="Calibri"/>
          <w:sz w:val="24"/>
          <w:szCs w:val="24"/>
          <w:lang w:eastAsia="en-US"/>
        </w:rPr>
        <w:t>dlouhodobý</w:t>
      </w:r>
      <w:r w:rsidR="00254CE5">
        <w:rPr>
          <w:rFonts w:eastAsia="Calibri"/>
          <w:sz w:val="24"/>
          <w:szCs w:val="24"/>
          <w:lang w:eastAsia="en-US"/>
        </w:rPr>
        <w:t xml:space="preserve"> časový horizont (p</w:t>
      </w:r>
      <w:r w:rsidRPr="00C06AEF">
        <w:rPr>
          <w:rFonts w:eastAsia="Calibri"/>
          <w:sz w:val="24"/>
          <w:szCs w:val="24"/>
          <w:lang w:eastAsia="en-US"/>
        </w:rPr>
        <w:t xml:space="preserve">očet neznámých je v horizontu let přesahujícím jednu generaci příliš velký a </w:t>
      </w:r>
      <w:r w:rsidR="00254CE5">
        <w:rPr>
          <w:rFonts w:eastAsia="Calibri"/>
          <w:sz w:val="24"/>
          <w:szCs w:val="24"/>
          <w:lang w:eastAsia="en-US"/>
        </w:rPr>
        <w:t xml:space="preserve">z tohoto důvodu </w:t>
      </w:r>
      <w:r w:rsidRPr="00C06AEF">
        <w:rPr>
          <w:rFonts w:eastAsia="Calibri"/>
          <w:sz w:val="24"/>
          <w:szCs w:val="24"/>
          <w:lang w:eastAsia="en-US"/>
        </w:rPr>
        <w:t>bývají populační předpovědi budoucího vývoje velmi často aktualizovány</w:t>
      </w:r>
      <w:r w:rsidR="00BA6F21">
        <w:rPr>
          <w:rFonts w:eastAsia="Calibri"/>
          <w:sz w:val="24"/>
          <w:szCs w:val="24"/>
          <w:lang w:eastAsia="en-US"/>
        </w:rPr>
        <w:t>,</w:t>
      </w:r>
      <w:r w:rsidRPr="00C06AEF">
        <w:rPr>
          <w:rFonts w:eastAsia="Calibri"/>
          <w:sz w:val="24"/>
          <w:szCs w:val="24"/>
          <w:lang w:eastAsia="en-US"/>
        </w:rPr>
        <w:t xml:space="preserve"> </w:t>
      </w:r>
      <w:r w:rsidR="00254CE5">
        <w:rPr>
          <w:rFonts w:eastAsia="Calibri"/>
          <w:sz w:val="24"/>
          <w:szCs w:val="24"/>
          <w:lang w:eastAsia="en-US"/>
        </w:rPr>
        <w:t xml:space="preserve">resp. </w:t>
      </w:r>
      <w:r w:rsidRPr="00C06AEF">
        <w:rPr>
          <w:rFonts w:eastAsia="Calibri"/>
          <w:sz w:val="24"/>
          <w:szCs w:val="24"/>
          <w:lang w:eastAsia="en-US"/>
        </w:rPr>
        <w:t>korigovány</w:t>
      </w:r>
      <w:r w:rsidR="00254CE5">
        <w:rPr>
          <w:rFonts w:eastAsia="Calibri"/>
          <w:sz w:val="24"/>
          <w:szCs w:val="24"/>
          <w:lang w:eastAsia="en-US"/>
        </w:rPr>
        <w:t>)</w:t>
      </w:r>
      <w:r w:rsidRPr="00C06AEF">
        <w:rPr>
          <w:rFonts w:eastAsia="Calibri"/>
          <w:sz w:val="24"/>
          <w:szCs w:val="24"/>
          <w:lang w:eastAsia="en-US"/>
        </w:rPr>
        <w:t>.</w:t>
      </w:r>
    </w:p>
    <w:p w:rsidR="00C06AEF" w:rsidRDefault="00C06AEF" w:rsidP="00F325EF">
      <w:pPr>
        <w:keepNext/>
        <w:contextualSpacing/>
        <w:jc w:val="both"/>
        <w:rPr>
          <w:rFonts w:eastAsia="Calibri"/>
          <w:b/>
          <w:sz w:val="24"/>
          <w:szCs w:val="24"/>
          <w:lang w:eastAsia="en-US"/>
        </w:rPr>
      </w:pPr>
      <w:r w:rsidRPr="00C06AEF">
        <w:rPr>
          <w:rFonts w:eastAsia="Calibri"/>
          <w:b/>
          <w:sz w:val="24"/>
          <w:szCs w:val="24"/>
          <w:lang w:eastAsia="en-US"/>
        </w:rPr>
        <w:t>Projekce obyvatelstva v krajích a oblastech ČR do roku 2065</w:t>
      </w:r>
    </w:p>
    <w:p w:rsidR="000112D6" w:rsidRDefault="000112D6" w:rsidP="000112D6">
      <w:pPr>
        <w:keepNext/>
        <w:contextualSpacing/>
        <w:jc w:val="both"/>
        <w:rPr>
          <w:rFonts w:eastAsia="Calibri"/>
          <w:b/>
          <w:sz w:val="24"/>
          <w:szCs w:val="24"/>
          <w:lang w:eastAsia="en-US"/>
        </w:rPr>
      </w:pPr>
    </w:p>
    <w:p w:rsidR="00C06AEF" w:rsidRPr="00C06AEF" w:rsidRDefault="00C06AEF" w:rsidP="00423120">
      <w:pPr>
        <w:keepNext/>
        <w:ind w:firstLine="720"/>
        <w:jc w:val="both"/>
        <w:rPr>
          <w:rFonts w:eastAsia="Calibri"/>
          <w:sz w:val="24"/>
          <w:szCs w:val="24"/>
          <w:lang w:eastAsia="en-US"/>
        </w:rPr>
      </w:pPr>
      <w:r w:rsidRPr="00C06AEF">
        <w:rPr>
          <w:rFonts w:eastAsia="Calibri"/>
          <w:sz w:val="24"/>
          <w:szCs w:val="24"/>
          <w:lang w:eastAsia="en-US"/>
        </w:rPr>
        <w:t>Český statistický úřad (2009) vytvořil svoji projekci za celou Č</w:t>
      </w:r>
      <w:r w:rsidR="008F713F">
        <w:rPr>
          <w:rFonts w:eastAsia="Calibri"/>
          <w:sz w:val="24"/>
          <w:szCs w:val="24"/>
          <w:lang w:eastAsia="en-US"/>
        </w:rPr>
        <w:t>eskou republiku</w:t>
      </w:r>
      <w:r w:rsidRPr="00C06AEF">
        <w:rPr>
          <w:rFonts w:eastAsia="Calibri"/>
          <w:sz w:val="24"/>
          <w:szCs w:val="24"/>
          <w:lang w:eastAsia="en-US"/>
        </w:rPr>
        <w:t xml:space="preserve"> tradičně ve třech variantách, a to nízké, střední a vysoké. Pro regionální projekce za jednotlivé regiony soudržnosti NUTS</w:t>
      </w:r>
      <w:r w:rsidR="008F713F">
        <w:rPr>
          <w:rFonts w:eastAsia="Calibri"/>
          <w:sz w:val="24"/>
          <w:szCs w:val="24"/>
          <w:lang w:eastAsia="en-US"/>
        </w:rPr>
        <w:t xml:space="preserve"> </w:t>
      </w:r>
      <w:r w:rsidRPr="00C06AEF">
        <w:rPr>
          <w:rFonts w:eastAsia="Calibri"/>
          <w:sz w:val="24"/>
          <w:szCs w:val="24"/>
          <w:lang w:eastAsia="en-US"/>
        </w:rPr>
        <w:t>2 a kraje</w:t>
      </w:r>
      <w:r w:rsidR="00275DD2">
        <w:rPr>
          <w:rFonts w:eastAsia="Calibri"/>
          <w:sz w:val="24"/>
          <w:szCs w:val="24"/>
          <w:lang w:eastAsia="en-US"/>
        </w:rPr>
        <w:t>,</w:t>
      </w:r>
      <w:r w:rsidRPr="00C06AEF">
        <w:rPr>
          <w:rFonts w:eastAsia="Calibri"/>
          <w:sz w:val="24"/>
          <w:szCs w:val="24"/>
          <w:lang w:eastAsia="en-US"/>
        </w:rPr>
        <w:t xml:space="preserve"> </w:t>
      </w:r>
      <w:r w:rsidR="008F713F">
        <w:rPr>
          <w:rFonts w:eastAsia="Calibri"/>
          <w:sz w:val="24"/>
          <w:szCs w:val="24"/>
          <w:lang w:eastAsia="en-US"/>
        </w:rPr>
        <w:t xml:space="preserve">tj. regiony </w:t>
      </w:r>
      <w:r w:rsidRPr="00C06AEF">
        <w:rPr>
          <w:rFonts w:eastAsia="Calibri"/>
          <w:sz w:val="24"/>
          <w:szCs w:val="24"/>
          <w:lang w:eastAsia="en-US"/>
        </w:rPr>
        <w:t>NUTS</w:t>
      </w:r>
      <w:r w:rsidR="008F713F">
        <w:rPr>
          <w:rFonts w:eastAsia="Calibri"/>
          <w:sz w:val="24"/>
          <w:szCs w:val="24"/>
          <w:lang w:eastAsia="en-US"/>
        </w:rPr>
        <w:t xml:space="preserve"> </w:t>
      </w:r>
      <w:r w:rsidRPr="00C06AEF">
        <w:rPr>
          <w:rFonts w:eastAsia="Calibri"/>
          <w:sz w:val="24"/>
          <w:szCs w:val="24"/>
          <w:lang w:eastAsia="en-US"/>
        </w:rPr>
        <w:t>3</w:t>
      </w:r>
      <w:r w:rsidR="00275DD2">
        <w:rPr>
          <w:rFonts w:eastAsia="Calibri"/>
          <w:sz w:val="24"/>
          <w:szCs w:val="24"/>
          <w:lang w:eastAsia="en-US"/>
        </w:rPr>
        <w:t>,</w:t>
      </w:r>
      <w:r w:rsidRPr="00C06AEF">
        <w:rPr>
          <w:rFonts w:eastAsia="Calibri"/>
          <w:sz w:val="24"/>
          <w:szCs w:val="24"/>
          <w:lang w:eastAsia="en-US"/>
        </w:rPr>
        <w:t xml:space="preserve"> pak použil střední variantu. Nastavení střední varianty spočívá především v těchto předpokladech:</w:t>
      </w:r>
    </w:p>
    <w:p w:rsidR="00C06AEF" w:rsidRPr="00C06AEF" w:rsidRDefault="00C06AEF" w:rsidP="00423120">
      <w:pPr>
        <w:keepNext/>
        <w:numPr>
          <w:ilvl w:val="0"/>
          <w:numId w:val="16"/>
        </w:numPr>
        <w:ind w:left="284" w:hanging="284"/>
        <w:contextualSpacing/>
        <w:jc w:val="both"/>
        <w:rPr>
          <w:rFonts w:eastAsia="Calibri"/>
          <w:sz w:val="24"/>
          <w:szCs w:val="24"/>
          <w:lang w:eastAsia="en-US"/>
        </w:rPr>
      </w:pPr>
      <w:r w:rsidRPr="00C06AEF">
        <w:rPr>
          <w:rFonts w:eastAsia="Calibri"/>
          <w:sz w:val="24"/>
          <w:szCs w:val="24"/>
          <w:lang w:eastAsia="en-US"/>
        </w:rPr>
        <w:t xml:space="preserve">stagnace úhrnné plodnosti na 1,50 v nejbližších 2 letech, </w:t>
      </w:r>
      <w:r w:rsidR="000856B7">
        <w:rPr>
          <w:rFonts w:eastAsia="Calibri"/>
          <w:sz w:val="24"/>
          <w:szCs w:val="24"/>
          <w:lang w:eastAsia="en-US"/>
        </w:rPr>
        <w:t>pak růst do roku 2025 na 1,65 a </w:t>
      </w:r>
      <w:r w:rsidRPr="00C06AEF">
        <w:rPr>
          <w:rFonts w:eastAsia="Calibri"/>
          <w:sz w:val="24"/>
          <w:szCs w:val="24"/>
          <w:lang w:eastAsia="en-US"/>
        </w:rPr>
        <w:t>dále na 1,72 v roce 2050 s následnou stagnací do roku 2065,</w:t>
      </w:r>
    </w:p>
    <w:p w:rsidR="00C06AEF" w:rsidRPr="00C06AEF" w:rsidRDefault="009D2A97" w:rsidP="00423120">
      <w:pPr>
        <w:keepNext/>
        <w:numPr>
          <w:ilvl w:val="0"/>
          <w:numId w:val="16"/>
        </w:numPr>
        <w:ind w:left="284" w:hanging="284"/>
        <w:contextualSpacing/>
        <w:jc w:val="both"/>
        <w:rPr>
          <w:rFonts w:eastAsia="Calibri"/>
          <w:sz w:val="24"/>
          <w:szCs w:val="24"/>
          <w:lang w:eastAsia="en-US"/>
        </w:rPr>
      </w:pPr>
      <w:r>
        <w:rPr>
          <w:rFonts w:eastAsia="Calibri"/>
          <w:sz w:val="24"/>
          <w:szCs w:val="24"/>
          <w:lang w:eastAsia="en-US"/>
        </w:rPr>
        <w:t>ná</w:t>
      </w:r>
      <w:r w:rsidR="00C06AEF" w:rsidRPr="00C06AEF">
        <w:rPr>
          <w:rFonts w:eastAsia="Calibri"/>
          <w:sz w:val="24"/>
          <w:szCs w:val="24"/>
          <w:lang w:eastAsia="en-US"/>
        </w:rPr>
        <w:t xml:space="preserve">růst střední délky života na 79,5 let u mužů a 85,1 let u žen </w:t>
      </w:r>
      <w:r>
        <w:rPr>
          <w:rFonts w:eastAsia="Calibri"/>
          <w:sz w:val="24"/>
          <w:szCs w:val="24"/>
          <w:lang w:eastAsia="en-US"/>
        </w:rPr>
        <w:t>do</w:t>
      </w:r>
      <w:r w:rsidR="00C06AEF" w:rsidRPr="00C06AEF">
        <w:rPr>
          <w:rFonts w:eastAsia="Calibri"/>
          <w:sz w:val="24"/>
          <w:szCs w:val="24"/>
          <w:lang w:eastAsia="en-US"/>
        </w:rPr>
        <w:t> ro</w:t>
      </w:r>
      <w:r>
        <w:rPr>
          <w:rFonts w:eastAsia="Calibri"/>
          <w:sz w:val="24"/>
          <w:szCs w:val="24"/>
          <w:lang w:eastAsia="en-US"/>
        </w:rPr>
        <w:t>ku</w:t>
      </w:r>
      <w:r w:rsidR="00C06AEF" w:rsidRPr="00C06AEF">
        <w:rPr>
          <w:rFonts w:eastAsia="Calibri"/>
          <w:sz w:val="24"/>
          <w:szCs w:val="24"/>
          <w:lang w:eastAsia="en-US"/>
        </w:rPr>
        <w:t xml:space="preserve"> 2030, následný pozvolnější růst posune střední délku na 86,5 let, resp. 91,0 let v roce 2065,</w:t>
      </w:r>
    </w:p>
    <w:p w:rsidR="00C06AEF" w:rsidRDefault="00C06AEF" w:rsidP="00423120">
      <w:pPr>
        <w:keepNext/>
        <w:numPr>
          <w:ilvl w:val="0"/>
          <w:numId w:val="16"/>
        </w:numPr>
        <w:ind w:left="284" w:hanging="284"/>
        <w:contextualSpacing/>
        <w:jc w:val="both"/>
        <w:rPr>
          <w:rFonts w:eastAsia="Calibri"/>
          <w:sz w:val="24"/>
          <w:szCs w:val="24"/>
          <w:lang w:eastAsia="en-US"/>
        </w:rPr>
      </w:pPr>
      <w:r w:rsidRPr="00C06AEF">
        <w:rPr>
          <w:rFonts w:eastAsia="Calibri"/>
          <w:sz w:val="24"/>
          <w:szCs w:val="24"/>
          <w:lang w:eastAsia="en-US"/>
        </w:rPr>
        <w:t>zahraniční migrace bude vykazovat konstantní kladné saldo na úrovni 25 </w:t>
      </w:r>
      <w:r w:rsidR="009D2A97">
        <w:rPr>
          <w:rFonts w:eastAsia="Calibri"/>
          <w:sz w:val="24"/>
          <w:szCs w:val="24"/>
          <w:lang w:eastAsia="en-US"/>
        </w:rPr>
        <w:t>tis.</w:t>
      </w:r>
      <w:r w:rsidRPr="00C06AEF">
        <w:rPr>
          <w:rFonts w:eastAsia="Calibri"/>
          <w:sz w:val="24"/>
          <w:szCs w:val="24"/>
          <w:lang w:eastAsia="en-US"/>
        </w:rPr>
        <w:t xml:space="preserve"> obyvatel ročně (s mírným zvýšením ročního migračního salda okolo roku 2050).</w:t>
      </w:r>
    </w:p>
    <w:p w:rsidR="000112D6" w:rsidRPr="00C06AEF" w:rsidRDefault="000112D6" w:rsidP="000112D6">
      <w:pPr>
        <w:keepNext/>
        <w:ind w:left="284"/>
        <w:contextualSpacing/>
        <w:jc w:val="both"/>
        <w:rPr>
          <w:rFonts w:eastAsia="Calibri"/>
          <w:sz w:val="24"/>
          <w:szCs w:val="24"/>
          <w:lang w:eastAsia="en-US"/>
        </w:rPr>
      </w:pPr>
    </w:p>
    <w:p w:rsidR="00C06AEF" w:rsidRPr="00C06AEF" w:rsidRDefault="00C06AEF" w:rsidP="00423120">
      <w:pPr>
        <w:keepNext/>
        <w:ind w:firstLine="720"/>
        <w:jc w:val="both"/>
        <w:rPr>
          <w:rFonts w:eastAsia="Calibri"/>
          <w:sz w:val="24"/>
          <w:szCs w:val="24"/>
          <w:lang w:eastAsia="en-US"/>
        </w:rPr>
      </w:pPr>
      <w:r w:rsidRPr="00C06AEF">
        <w:rPr>
          <w:rFonts w:eastAsia="Calibri"/>
          <w:sz w:val="24"/>
          <w:szCs w:val="24"/>
          <w:lang w:eastAsia="en-US"/>
        </w:rPr>
        <w:t xml:space="preserve">Výsledkem uvedeného nastavení demografické projekce </w:t>
      </w:r>
      <w:r w:rsidR="009D2A97">
        <w:rPr>
          <w:rFonts w:eastAsia="Calibri"/>
          <w:sz w:val="24"/>
          <w:szCs w:val="24"/>
          <w:lang w:eastAsia="en-US"/>
        </w:rPr>
        <w:t>by byl</w:t>
      </w:r>
      <w:r w:rsidRPr="00C06AEF">
        <w:rPr>
          <w:rFonts w:eastAsia="Calibri"/>
          <w:sz w:val="24"/>
          <w:szCs w:val="24"/>
          <w:lang w:eastAsia="en-US"/>
        </w:rPr>
        <w:t xml:space="preserve"> přírůstek počtu obyvatel v </w:t>
      </w:r>
      <w:r w:rsidR="00BF44B7">
        <w:rPr>
          <w:rFonts w:eastAsia="Calibri"/>
          <w:sz w:val="24"/>
          <w:szCs w:val="24"/>
          <w:lang w:eastAsia="en-US"/>
        </w:rPr>
        <w:t>nejbližších letech na úrovni 34–</w:t>
      </w:r>
      <w:r w:rsidRPr="00C06AEF">
        <w:rPr>
          <w:rFonts w:eastAsia="Calibri"/>
          <w:sz w:val="24"/>
          <w:szCs w:val="24"/>
          <w:lang w:eastAsia="en-US"/>
        </w:rPr>
        <w:t>35 tis</w:t>
      </w:r>
      <w:r w:rsidR="009D2A97">
        <w:rPr>
          <w:rFonts w:eastAsia="Calibri"/>
          <w:sz w:val="24"/>
          <w:szCs w:val="24"/>
          <w:lang w:eastAsia="en-US"/>
        </w:rPr>
        <w:t>.</w:t>
      </w:r>
      <w:r w:rsidRPr="00C06AEF">
        <w:rPr>
          <w:rFonts w:eastAsia="Calibri"/>
          <w:sz w:val="24"/>
          <w:szCs w:val="24"/>
          <w:lang w:eastAsia="en-US"/>
        </w:rPr>
        <w:t xml:space="preserve"> ročně, následně </w:t>
      </w:r>
      <w:r w:rsidR="009D2A97">
        <w:rPr>
          <w:rFonts w:eastAsia="Calibri"/>
          <w:sz w:val="24"/>
          <w:szCs w:val="24"/>
          <w:lang w:eastAsia="en-US"/>
        </w:rPr>
        <w:t>by došlo</w:t>
      </w:r>
      <w:r w:rsidRPr="00C06AEF">
        <w:rPr>
          <w:rFonts w:eastAsia="Calibri"/>
          <w:sz w:val="24"/>
          <w:szCs w:val="24"/>
          <w:lang w:eastAsia="en-US"/>
        </w:rPr>
        <w:t xml:space="preserve"> k jeho postupnému poklesu a od roku 2030 k jeho posunu do záporných čísel</w:t>
      </w:r>
      <w:r w:rsidR="009D2A97">
        <w:rPr>
          <w:rFonts w:eastAsia="Calibri"/>
          <w:sz w:val="24"/>
          <w:szCs w:val="24"/>
          <w:lang w:eastAsia="en-US"/>
        </w:rPr>
        <w:t xml:space="preserve"> (</w:t>
      </w:r>
      <w:r w:rsidR="00BF44B7">
        <w:rPr>
          <w:rFonts w:eastAsia="Calibri"/>
          <w:sz w:val="24"/>
          <w:szCs w:val="24"/>
          <w:lang w:eastAsia="en-US"/>
        </w:rPr>
        <w:t>v období 2035–2050 na úrovni 3–</w:t>
      </w:r>
      <w:r w:rsidRPr="00C06AEF">
        <w:rPr>
          <w:rFonts w:eastAsia="Calibri"/>
          <w:sz w:val="24"/>
          <w:szCs w:val="24"/>
          <w:lang w:eastAsia="en-US"/>
        </w:rPr>
        <w:t>5 tis., později až 23,7 tis. v roce 2065</w:t>
      </w:r>
      <w:r w:rsidR="009D2A97">
        <w:rPr>
          <w:rFonts w:eastAsia="Calibri"/>
          <w:sz w:val="24"/>
          <w:szCs w:val="24"/>
          <w:lang w:eastAsia="en-US"/>
        </w:rPr>
        <w:t>)</w:t>
      </w:r>
      <w:r w:rsidRPr="00C06AEF">
        <w:rPr>
          <w:rFonts w:eastAsia="Calibri"/>
          <w:sz w:val="24"/>
          <w:szCs w:val="24"/>
          <w:lang w:eastAsia="en-US"/>
        </w:rPr>
        <w:t xml:space="preserve">. Celkový počet obyvatel </w:t>
      </w:r>
      <w:r w:rsidR="009D2A97">
        <w:rPr>
          <w:rFonts w:eastAsia="Calibri"/>
          <w:sz w:val="24"/>
          <w:szCs w:val="24"/>
          <w:lang w:eastAsia="en-US"/>
        </w:rPr>
        <w:t>vz</w:t>
      </w:r>
      <w:r w:rsidRPr="00C06AEF">
        <w:rPr>
          <w:rFonts w:eastAsia="Calibri"/>
          <w:sz w:val="24"/>
          <w:szCs w:val="24"/>
          <w:lang w:eastAsia="en-US"/>
        </w:rPr>
        <w:t xml:space="preserve">roste do roku 2030 </w:t>
      </w:r>
      <w:r w:rsidR="009D2A97">
        <w:rPr>
          <w:rFonts w:eastAsia="Calibri"/>
          <w:sz w:val="24"/>
          <w:szCs w:val="24"/>
          <w:lang w:eastAsia="en-US"/>
        </w:rPr>
        <w:t>na</w:t>
      </w:r>
      <w:r w:rsidRPr="00C06AEF">
        <w:rPr>
          <w:rFonts w:eastAsia="Calibri"/>
          <w:sz w:val="24"/>
          <w:szCs w:val="24"/>
          <w:lang w:eastAsia="en-US"/>
        </w:rPr>
        <w:t> úrov</w:t>
      </w:r>
      <w:r w:rsidR="009D2A97">
        <w:rPr>
          <w:rFonts w:eastAsia="Calibri"/>
          <w:sz w:val="24"/>
          <w:szCs w:val="24"/>
          <w:lang w:eastAsia="en-US"/>
        </w:rPr>
        <w:t>eň</w:t>
      </w:r>
      <w:r w:rsidRPr="00C06AEF">
        <w:rPr>
          <w:rFonts w:eastAsia="Calibri"/>
          <w:sz w:val="24"/>
          <w:szCs w:val="24"/>
          <w:lang w:eastAsia="en-US"/>
        </w:rPr>
        <w:t xml:space="preserve"> 10,91 mil.</w:t>
      </w:r>
      <w:r w:rsidR="009D2A97">
        <w:rPr>
          <w:rFonts w:eastAsia="Calibri"/>
          <w:sz w:val="24"/>
          <w:szCs w:val="24"/>
          <w:lang w:eastAsia="en-US"/>
        </w:rPr>
        <w:t xml:space="preserve"> a </w:t>
      </w:r>
      <w:r w:rsidRPr="00C06AEF">
        <w:rPr>
          <w:rFonts w:eastAsia="Calibri"/>
          <w:sz w:val="24"/>
          <w:szCs w:val="24"/>
          <w:lang w:eastAsia="en-US"/>
        </w:rPr>
        <w:t xml:space="preserve">následně začne klesat až na úroveň 10,67 mil. obyvatel v roce 2065. </w:t>
      </w:r>
    </w:p>
    <w:p w:rsidR="00C06AEF" w:rsidRPr="00C06AEF" w:rsidRDefault="00C06AEF" w:rsidP="00423120">
      <w:pPr>
        <w:keepNext/>
        <w:ind w:firstLine="720"/>
        <w:jc w:val="both"/>
        <w:rPr>
          <w:rFonts w:eastAsia="Calibri"/>
          <w:sz w:val="24"/>
          <w:szCs w:val="24"/>
          <w:lang w:eastAsia="en-US"/>
        </w:rPr>
      </w:pPr>
      <w:r w:rsidRPr="00C06AEF">
        <w:rPr>
          <w:rFonts w:eastAsia="Calibri"/>
          <w:sz w:val="24"/>
          <w:szCs w:val="24"/>
          <w:lang w:eastAsia="en-US"/>
        </w:rPr>
        <w:t xml:space="preserve">Regionálně zaměřená projekce (ČSÚ 2010) se, jak již bylo uvedeno, odlišuje především tím, že neuvažuje migraci, jejíž vývoj ČSÚ </w:t>
      </w:r>
      <w:r w:rsidR="00821F4C" w:rsidRPr="00C06AEF">
        <w:rPr>
          <w:rFonts w:eastAsia="Calibri"/>
          <w:sz w:val="24"/>
          <w:szCs w:val="24"/>
          <w:lang w:eastAsia="en-US"/>
        </w:rPr>
        <w:t xml:space="preserve">považuje </w:t>
      </w:r>
      <w:r w:rsidRPr="00C06AEF">
        <w:rPr>
          <w:rFonts w:eastAsia="Calibri"/>
          <w:sz w:val="24"/>
          <w:szCs w:val="24"/>
          <w:lang w:eastAsia="en-US"/>
        </w:rPr>
        <w:t xml:space="preserve">za „prakticky nepředvídatelný“. </w:t>
      </w:r>
      <w:r w:rsidR="00821F4C">
        <w:rPr>
          <w:rFonts w:eastAsia="Calibri"/>
          <w:sz w:val="24"/>
          <w:szCs w:val="24"/>
          <w:lang w:eastAsia="en-US"/>
        </w:rPr>
        <w:t>Jejím h</w:t>
      </w:r>
      <w:r w:rsidRPr="00C06AEF">
        <w:rPr>
          <w:rFonts w:eastAsia="Calibri"/>
          <w:sz w:val="24"/>
          <w:szCs w:val="24"/>
          <w:lang w:eastAsia="en-US"/>
        </w:rPr>
        <w:t xml:space="preserve">orizontem je rok 2065. Za uvedených předpokladů </w:t>
      </w:r>
      <w:r w:rsidR="00821F4C">
        <w:rPr>
          <w:rFonts w:eastAsia="Calibri"/>
          <w:sz w:val="24"/>
          <w:szCs w:val="24"/>
          <w:lang w:eastAsia="en-US"/>
        </w:rPr>
        <w:t xml:space="preserve">by </w:t>
      </w:r>
      <w:r w:rsidRPr="00C06AEF">
        <w:rPr>
          <w:rFonts w:eastAsia="Calibri"/>
          <w:sz w:val="24"/>
          <w:szCs w:val="24"/>
          <w:lang w:eastAsia="en-US"/>
        </w:rPr>
        <w:t xml:space="preserve">se počet </w:t>
      </w:r>
      <w:r w:rsidRPr="00C06AEF">
        <w:rPr>
          <w:rFonts w:eastAsia="Calibri"/>
          <w:sz w:val="24"/>
          <w:szCs w:val="24"/>
          <w:lang w:eastAsia="en-US"/>
        </w:rPr>
        <w:lastRenderedPageBreak/>
        <w:t xml:space="preserve">obyvatel ve </w:t>
      </w:r>
      <w:r w:rsidR="00BF44B7">
        <w:rPr>
          <w:rFonts w:eastAsia="Calibri"/>
          <w:sz w:val="24"/>
          <w:szCs w:val="24"/>
          <w:lang w:eastAsia="en-US"/>
        </w:rPr>
        <w:t>všech krajích snížil, a to o 13–</w:t>
      </w:r>
      <w:r w:rsidRPr="00C06AEF">
        <w:rPr>
          <w:rFonts w:eastAsia="Calibri"/>
          <w:sz w:val="24"/>
          <w:szCs w:val="24"/>
          <w:lang w:eastAsia="en-US"/>
        </w:rPr>
        <w:t xml:space="preserve">23 %. Největší pokles </w:t>
      </w:r>
      <w:r w:rsidR="00821F4C">
        <w:rPr>
          <w:rFonts w:eastAsia="Calibri"/>
          <w:sz w:val="24"/>
          <w:szCs w:val="24"/>
          <w:lang w:eastAsia="en-US"/>
        </w:rPr>
        <w:t xml:space="preserve">by vykázala </w:t>
      </w:r>
      <w:r w:rsidRPr="00C06AEF">
        <w:rPr>
          <w:rFonts w:eastAsia="Calibri"/>
          <w:sz w:val="24"/>
          <w:szCs w:val="24"/>
          <w:lang w:eastAsia="en-US"/>
        </w:rPr>
        <w:t>Praha</w:t>
      </w:r>
      <w:r w:rsidR="00821F4C">
        <w:rPr>
          <w:rFonts w:eastAsia="Calibri"/>
          <w:sz w:val="24"/>
          <w:szCs w:val="24"/>
          <w:lang w:eastAsia="en-US"/>
        </w:rPr>
        <w:t xml:space="preserve"> a</w:t>
      </w:r>
      <w:r w:rsidR="000856B7">
        <w:rPr>
          <w:rFonts w:eastAsia="Calibri"/>
          <w:sz w:val="24"/>
          <w:szCs w:val="24"/>
          <w:lang w:eastAsia="en-US"/>
        </w:rPr>
        <w:t> </w:t>
      </w:r>
      <w:r w:rsidRPr="00C06AEF">
        <w:rPr>
          <w:rFonts w:eastAsia="Calibri"/>
          <w:sz w:val="24"/>
          <w:szCs w:val="24"/>
          <w:lang w:eastAsia="en-US"/>
        </w:rPr>
        <w:t xml:space="preserve">nejmenší pak </w:t>
      </w:r>
      <w:r w:rsidR="00821F4C" w:rsidRPr="00C06AEF">
        <w:rPr>
          <w:rFonts w:eastAsia="Calibri"/>
          <w:sz w:val="24"/>
          <w:szCs w:val="24"/>
          <w:lang w:eastAsia="en-US"/>
        </w:rPr>
        <w:t>kraj</w:t>
      </w:r>
      <w:r w:rsidR="00821F4C">
        <w:rPr>
          <w:rFonts w:eastAsia="Calibri"/>
          <w:sz w:val="24"/>
          <w:szCs w:val="24"/>
          <w:lang w:eastAsia="en-US"/>
        </w:rPr>
        <w:t>e</w:t>
      </w:r>
      <w:r w:rsidR="00821F4C" w:rsidRPr="00C06AEF">
        <w:rPr>
          <w:rFonts w:eastAsia="Calibri"/>
          <w:sz w:val="24"/>
          <w:szCs w:val="24"/>
          <w:lang w:eastAsia="en-US"/>
        </w:rPr>
        <w:t xml:space="preserve"> </w:t>
      </w:r>
      <w:r w:rsidRPr="00C06AEF">
        <w:rPr>
          <w:rFonts w:eastAsia="Calibri"/>
          <w:sz w:val="24"/>
          <w:szCs w:val="24"/>
          <w:lang w:eastAsia="en-US"/>
        </w:rPr>
        <w:t>Liberecký a Vysočina.</w:t>
      </w:r>
    </w:p>
    <w:p w:rsidR="00C06AEF" w:rsidRPr="00A80932" w:rsidRDefault="00C06AEF" w:rsidP="000112D6">
      <w:pPr>
        <w:pStyle w:val="0T-Titulek"/>
      </w:pPr>
      <w:bookmarkStart w:id="70" w:name="_Toc382326442"/>
      <w:r w:rsidRPr="00407137">
        <w:t>Tabulka 1</w:t>
      </w:r>
      <w:r w:rsidR="009D2B97" w:rsidRPr="00407137">
        <w:t>5</w:t>
      </w:r>
      <w:r w:rsidRPr="00407137">
        <w:t xml:space="preserve">: Počet </w:t>
      </w:r>
      <w:r w:rsidRPr="00A80932">
        <w:t xml:space="preserve">obyvatel v českých krajích </w:t>
      </w:r>
      <w:r w:rsidR="00703DBA" w:rsidRPr="00A80932">
        <w:t>v tis (</w:t>
      </w:r>
      <w:r w:rsidRPr="00A80932">
        <w:t>k 1. 1.)</w:t>
      </w:r>
      <w:bookmarkEnd w:id="70"/>
    </w:p>
    <w:tbl>
      <w:tblPr>
        <w:tblW w:w="6827" w:type="dxa"/>
        <w:jc w:val="center"/>
        <w:tblLook w:val="01E0" w:firstRow="1" w:lastRow="1" w:firstColumn="1" w:lastColumn="1" w:noHBand="0" w:noVBand="0"/>
      </w:tblPr>
      <w:tblGrid>
        <w:gridCol w:w="1994"/>
        <w:gridCol w:w="805"/>
        <w:gridCol w:w="806"/>
        <w:gridCol w:w="805"/>
        <w:gridCol w:w="806"/>
        <w:gridCol w:w="805"/>
        <w:gridCol w:w="806"/>
      </w:tblGrid>
      <w:tr w:rsidR="00C06AEF" w:rsidRPr="00C06AEF" w:rsidTr="00B875AB">
        <w:trPr>
          <w:trHeight w:hRule="exact" w:val="284"/>
          <w:jc w:val="center"/>
        </w:trPr>
        <w:tc>
          <w:tcPr>
            <w:tcW w:w="1994" w:type="dxa"/>
            <w:tcBorders>
              <w:top w:val="single" w:sz="4" w:space="0" w:color="auto"/>
              <w:left w:val="single" w:sz="4" w:space="0" w:color="auto"/>
              <w:bottom w:val="single" w:sz="4" w:space="0" w:color="auto"/>
              <w:right w:val="single" w:sz="4" w:space="0" w:color="auto"/>
            </w:tcBorders>
          </w:tcPr>
          <w:p w:rsidR="00C06AEF" w:rsidRPr="000856B7" w:rsidRDefault="00C06AEF" w:rsidP="00423120">
            <w:pPr>
              <w:keepNext/>
              <w:spacing w:line="240" w:lineRule="auto"/>
              <w:rPr>
                <w:rFonts w:asciiTheme="minorHAnsi" w:eastAsia="Calibri" w:hAnsiTheme="minorHAnsi" w:cstheme="minorHAnsi"/>
                <w:b/>
              </w:rPr>
            </w:pP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b/>
                <w:color w:val="000000"/>
              </w:rPr>
            </w:pPr>
            <w:r w:rsidRPr="000856B7">
              <w:rPr>
                <w:rFonts w:asciiTheme="minorHAnsi" w:eastAsia="Calibri" w:hAnsiTheme="minorHAnsi" w:cstheme="minorHAnsi"/>
                <w:b/>
                <w:color w:val="000000"/>
                <w:lang w:eastAsia="en-US"/>
              </w:rPr>
              <w:t>2009</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b/>
                <w:color w:val="000000"/>
              </w:rPr>
            </w:pPr>
            <w:r w:rsidRPr="000856B7">
              <w:rPr>
                <w:rFonts w:asciiTheme="minorHAnsi" w:eastAsia="Calibri" w:hAnsiTheme="minorHAnsi" w:cstheme="minorHAnsi"/>
                <w:b/>
                <w:color w:val="000000"/>
                <w:lang w:eastAsia="en-US"/>
              </w:rPr>
              <w:t>2020</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b/>
                <w:color w:val="000000"/>
              </w:rPr>
            </w:pPr>
            <w:r w:rsidRPr="000856B7">
              <w:rPr>
                <w:rFonts w:asciiTheme="minorHAnsi" w:eastAsia="Calibri" w:hAnsiTheme="minorHAnsi" w:cstheme="minorHAnsi"/>
                <w:b/>
                <w:color w:val="000000"/>
                <w:lang w:eastAsia="en-US"/>
              </w:rPr>
              <w:t>2030</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b/>
                <w:color w:val="000000"/>
              </w:rPr>
            </w:pPr>
            <w:r w:rsidRPr="000856B7">
              <w:rPr>
                <w:rFonts w:asciiTheme="minorHAnsi" w:eastAsia="Calibri" w:hAnsiTheme="minorHAnsi" w:cstheme="minorHAnsi"/>
                <w:b/>
                <w:color w:val="000000"/>
                <w:lang w:eastAsia="en-US"/>
              </w:rPr>
              <w:t>2040</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b/>
                <w:color w:val="000000"/>
              </w:rPr>
            </w:pPr>
            <w:r w:rsidRPr="000856B7">
              <w:rPr>
                <w:rFonts w:asciiTheme="minorHAnsi" w:eastAsia="Calibri" w:hAnsiTheme="minorHAnsi" w:cstheme="minorHAnsi"/>
                <w:b/>
                <w:color w:val="000000"/>
                <w:lang w:eastAsia="en-US"/>
              </w:rPr>
              <w:t>2050</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b/>
                <w:color w:val="000000"/>
              </w:rPr>
            </w:pPr>
            <w:r w:rsidRPr="000856B7">
              <w:rPr>
                <w:rFonts w:asciiTheme="minorHAnsi" w:eastAsia="Calibri" w:hAnsiTheme="minorHAnsi" w:cstheme="minorHAnsi"/>
                <w:b/>
                <w:color w:val="000000"/>
                <w:lang w:eastAsia="en-US"/>
              </w:rPr>
              <w:t>2066</w:t>
            </w:r>
          </w:p>
        </w:tc>
      </w:tr>
      <w:tr w:rsidR="00C06AEF" w:rsidRPr="00C06AEF" w:rsidTr="00B875AB">
        <w:trPr>
          <w:trHeight w:hRule="exact" w:val="284"/>
          <w:jc w:val="center"/>
        </w:trPr>
        <w:tc>
          <w:tcPr>
            <w:tcW w:w="1994" w:type="dxa"/>
            <w:tcBorders>
              <w:top w:val="single" w:sz="4" w:space="0" w:color="auto"/>
              <w:left w:val="single" w:sz="4" w:space="0" w:color="auto"/>
              <w:bottom w:val="single" w:sz="4" w:space="0" w:color="auto"/>
              <w:right w:val="single" w:sz="4" w:space="0" w:color="auto"/>
            </w:tcBorders>
            <w:hideMark/>
          </w:tcPr>
          <w:p w:rsidR="00C06AEF" w:rsidRPr="000856B7" w:rsidRDefault="00C06AEF" w:rsidP="00423120">
            <w:pPr>
              <w:keepNext/>
              <w:spacing w:line="240" w:lineRule="auto"/>
              <w:rPr>
                <w:rFonts w:asciiTheme="minorHAnsi" w:eastAsia="Calibri" w:hAnsiTheme="minorHAnsi" w:cstheme="minorHAnsi"/>
                <w:b/>
              </w:rPr>
            </w:pPr>
            <w:r w:rsidRPr="000856B7">
              <w:rPr>
                <w:rFonts w:asciiTheme="minorHAnsi" w:eastAsia="Calibri" w:hAnsiTheme="minorHAnsi" w:cstheme="minorHAnsi"/>
                <w:b/>
                <w:lang w:eastAsia="en-US"/>
              </w:rPr>
              <w:t>Praha</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1 233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1 236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1 194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1 132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1 078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952 </w:t>
            </w:r>
          </w:p>
        </w:tc>
      </w:tr>
      <w:tr w:rsidR="00C06AEF" w:rsidRPr="00C06AEF" w:rsidTr="00B875AB">
        <w:trPr>
          <w:trHeight w:hRule="exact" w:val="284"/>
          <w:jc w:val="center"/>
        </w:trPr>
        <w:tc>
          <w:tcPr>
            <w:tcW w:w="1994" w:type="dxa"/>
            <w:tcBorders>
              <w:top w:val="single" w:sz="4" w:space="0" w:color="auto"/>
              <w:left w:val="single" w:sz="4" w:space="0" w:color="auto"/>
              <w:bottom w:val="single" w:sz="4" w:space="0" w:color="auto"/>
              <w:right w:val="single" w:sz="4" w:space="0" w:color="auto"/>
            </w:tcBorders>
            <w:hideMark/>
          </w:tcPr>
          <w:p w:rsidR="00C06AEF" w:rsidRPr="000856B7" w:rsidRDefault="00C06AEF" w:rsidP="00423120">
            <w:pPr>
              <w:keepNext/>
              <w:spacing w:line="240" w:lineRule="auto"/>
              <w:rPr>
                <w:rFonts w:asciiTheme="minorHAnsi" w:eastAsia="Calibri" w:hAnsiTheme="minorHAnsi" w:cstheme="minorHAnsi"/>
                <w:b/>
              </w:rPr>
            </w:pPr>
            <w:r w:rsidRPr="000856B7">
              <w:rPr>
                <w:rFonts w:asciiTheme="minorHAnsi" w:eastAsia="Calibri" w:hAnsiTheme="minorHAnsi" w:cstheme="minorHAnsi"/>
                <w:b/>
                <w:lang w:eastAsia="en-US"/>
              </w:rPr>
              <w:t>Středočeský</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1 230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1 240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1 217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1 181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1 142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1 047 </w:t>
            </w:r>
          </w:p>
        </w:tc>
      </w:tr>
      <w:tr w:rsidR="00C06AEF" w:rsidRPr="00C06AEF" w:rsidTr="00B875AB">
        <w:trPr>
          <w:trHeight w:hRule="exact" w:val="284"/>
          <w:jc w:val="center"/>
        </w:trPr>
        <w:tc>
          <w:tcPr>
            <w:tcW w:w="1994" w:type="dxa"/>
            <w:tcBorders>
              <w:top w:val="single" w:sz="4" w:space="0" w:color="auto"/>
              <w:left w:val="single" w:sz="4" w:space="0" w:color="auto"/>
              <w:bottom w:val="single" w:sz="4" w:space="0" w:color="auto"/>
              <w:right w:val="single" w:sz="4" w:space="0" w:color="auto"/>
            </w:tcBorders>
            <w:hideMark/>
          </w:tcPr>
          <w:p w:rsidR="00C06AEF" w:rsidRPr="000856B7" w:rsidRDefault="00C06AEF" w:rsidP="00423120">
            <w:pPr>
              <w:keepNext/>
              <w:spacing w:line="240" w:lineRule="auto"/>
              <w:rPr>
                <w:rFonts w:asciiTheme="minorHAnsi" w:eastAsia="Calibri" w:hAnsiTheme="minorHAnsi" w:cstheme="minorHAnsi"/>
                <w:b/>
              </w:rPr>
            </w:pPr>
            <w:r w:rsidRPr="000856B7">
              <w:rPr>
                <w:rFonts w:asciiTheme="minorHAnsi" w:eastAsia="Calibri" w:hAnsiTheme="minorHAnsi" w:cstheme="minorHAnsi"/>
                <w:b/>
                <w:lang w:eastAsia="en-US"/>
              </w:rPr>
              <w:t>Jihočeský</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636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637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624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602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576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524 </w:t>
            </w:r>
          </w:p>
        </w:tc>
      </w:tr>
      <w:tr w:rsidR="00C06AEF" w:rsidRPr="00C06AEF" w:rsidTr="00B875AB">
        <w:trPr>
          <w:trHeight w:hRule="exact" w:val="284"/>
          <w:jc w:val="center"/>
        </w:trPr>
        <w:tc>
          <w:tcPr>
            <w:tcW w:w="1994" w:type="dxa"/>
            <w:tcBorders>
              <w:top w:val="single" w:sz="4" w:space="0" w:color="auto"/>
              <w:left w:val="single" w:sz="4" w:space="0" w:color="auto"/>
              <w:bottom w:val="single" w:sz="4" w:space="0" w:color="auto"/>
              <w:right w:val="single" w:sz="4" w:space="0" w:color="auto"/>
            </w:tcBorders>
            <w:hideMark/>
          </w:tcPr>
          <w:p w:rsidR="00C06AEF" w:rsidRPr="000856B7" w:rsidRDefault="00C06AEF" w:rsidP="00423120">
            <w:pPr>
              <w:keepNext/>
              <w:spacing w:line="240" w:lineRule="auto"/>
              <w:rPr>
                <w:rFonts w:asciiTheme="minorHAnsi" w:eastAsia="Calibri" w:hAnsiTheme="minorHAnsi" w:cstheme="minorHAnsi"/>
                <w:b/>
              </w:rPr>
            </w:pPr>
            <w:r w:rsidRPr="000856B7">
              <w:rPr>
                <w:rFonts w:asciiTheme="minorHAnsi" w:eastAsia="Calibri" w:hAnsiTheme="minorHAnsi" w:cstheme="minorHAnsi"/>
                <w:b/>
                <w:lang w:eastAsia="en-US"/>
              </w:rPr>
              <w:t>Plzeňský</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569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568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553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531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507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459 </w:t>
            </w:r>
          </w:p>
        </w:tc>
      </w:tr>
      <w:tr w:rsidR="00C06AEF" w:rsidRPr="00C06AEF" w:rsidTr="00B875AB">
        <w:trPr>
          <w:trHeight w:hRule="exact" w:val="284"/>
          <w:jc w:val="center"/>
        </w:trPr>
        <w:tc>
          <w:tcPr>
            <w:tcW w:w="1994" w:type="dxa"/>
            <w:tcBorders>
              <w:top w:val="single" w:sz="4" w:space="0" w:color="auto"/>
              <w:left w:val="single" w:sz="4" w:space="0" w:color="auto"/>
              <w:bottom w:val="single" w:sz="4" w:space="0" w:color="auto"/>
              <w:right w:val="single" w:sz="4" w:space="0" w:color="auto"/>
            </w:tcBorders>
            <w:hideMark/>
          </w:tcPr>
          <w:p w:rsidR="00C06AEF" w:rsidRPr="000856B7" w:rsidRDefault="00C06AEF" w:rsidP="00423120">
            <w:pPr>
              <w:keepNext/>
              <w:spacing w:line="240" w:lineRule="auto"/>
              <w:rPr>
                <w:rFonts w:asciiTheme="minorHAnsi" w:eastAsia="Calibri" w:hAnsiTheme="minorHAnsi" w:cstheme="minorHAnsi"/>
                <w:b/>
              </w:rPr>
            </w:pPr>
            <w:r w:rsidRPr="000856B7">
              <w:rPr>
                <w:rFonts w:asciiTheme="minorHAnsi" w:eastAsia="Calibri" w:hAnsiTheme="minorHAnsi" w:cstheme="minorHAnsi"/>
                <w:b/>
                <w:lang w:eastAsia="en-US"/>
              </w:rPr>
              <w:t>Karlovarský</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308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310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304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292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279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253 </w:t>
            </w:r>
          </w:p>
        </w:tc>
      </w:tr>
      <w:tr w:rsidR="00C06AEF" w:rsidRPr="00C06AEF" w:rsidTr="00B875AB">
        <w:trPr>
          <w:trHeight w:hRule="exact" w:val="284"/>
          <w:jc w:val="center"/>
        </w:trPr>
        <w:tc>
          <w:tcPr>
            <w:tcW w:w="1994" w:type="dxa"/>
            <w:tcBorders>
              <w:top w:val="single" w:sz="4" w:space="0" w:color="auto"/>
              <w:left w:val="single" w:sz="4" w:space="0" w:color="auto"/>
              <w:bottom w:val="single" w:sz="4" w:space="0" w:color="auto"/>
              <w:right w:val="single" w:sz="4" w:space="0" w:color="auto"/>
            </w:tcBorders>
            <w:hideMark/>
          </w:tcPr>
          <w:p w:rsidR="00C06AEF" w:rsidRPr="000856B7" w:rsidRDefault="00C06AEF" w:rsidP="00423120">
            <w:pPr>
              <w:keepNext/>
              <w:spacing w:line="240" w:lineRule="auto"/>
              <w:rPr>
                <w:rFonts w:asciiTheme="minorHAnsi" w:eastAsia="Calibri" w:hAnsiTheme="minorHAnsi" w:cstheme="minorHAnsi"/>
                <w:b/>
              </w:rPr>
            </w:pPr>
            <w:r w:rsidRPr="000856B7">
              <w:rPr>
                <w:rFonts w:asciiTheme="minorHAnsi" w:eastAsia="Calibri" w:hAnsiTheme="minorHAnsi" w:cstheme="minorHAnsi"/>
                <w:b/>
                <w:lang w:eastAsia="en-US"/>
              </w:rPr>
              <w:t>Ústecký</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835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839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825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799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769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708 </w:t>
            </w:r>
          </w:p>
        </w:tc>
      </w:tr>
      <w:tr w:rsidR="00C06AEF" w:rsidRPr="00C06AEF" w:rsidTr="00B875AB">
        <w:trPr>
          <w:trHeight w:hRule="exact" w:val="284"/>
          <w:jc w:val="center"/>
        </w:trPr>
        <w:tc>
          <w:tcPr>
            <w:tcW w:w="1994" w:type="dxa"/>
            <w:tcBorders>
              <w:top w:val="single" w:sz="4" w:space="0" w:color="auto"/>
              <w:left w:val="single" w:sz="4" w:space="0" w:color="auto"/>
              <w:bottom w:val="single" w:sz="4" w:space="0" w:color="auto"/>
              <w:right w:val="single" w:sz="4" w:space="0" w:color="auto"/>
            </w:tcBorders>
            <w:hideMark/>
          </w:tcPr>
          <w:p w:rsidR="00C06AEF" w:rsidRPr="000856B7" w:rsidRDefault="00C06AEF" w:rsidP="00423120">
            <w:pPr>
              <w:keepNext/>
              <w:spacing w:line="240" w:lineRule="auto"/>
              <w:rPr>
                <w:rFonts w:asciiTheme="minorHAnsi" w:eastAsia="Calibri" w:hAnsiTheme="minorHAnsi" w:cstheme="minorHAnsi"/>
                <w:b/>
              </w:rPr>
            </w:pPr>
            <w:r w:rsidRPr="000856B7">
              <w:rPr>
                <w:rFonts w:asciiTheme="minorHAnsi" w:eastAsia="Calibri" w:hAnsiTheme="minorHAnsi" w:cstheme="minorHAnsi"/>
                <w:b/>
                <w:lang w:eastAsia="en-US"/>
              </w:rPr>
              <w:t>Liberecký</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437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441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436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423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409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379 </w:t>
            </w:r>
          </w:p>
        </w:tc>
      </w:tr>
      <w:tr w:rsidR="00C06AEF" w:rsidRPr="00C06AEF" w:rsidTr="00B875AB">
        <w:trPr>
          <w:trHeight w:hRule="exact" w:val="284"/>
          <w:jc w:val="center"/>
        </w:trPr>
        <w:tc>
          <w:tcPr>
            <w:tcW w:w="1994" w:type="dxa"/>
            <w:tcBorders>
              <w:top w:val="single" w:sz="4" w:space="0" w:color="auto"/>
              <w:left w:val="single" w:sz="4" w:space="0" w:color="auto"/>
              <w:bottom w:val="single" w:sz="4" w:space="0" w:color="auto"/>
              <w:right w:val="single" w:sz="4" w:space="0" w:color="auto"/>
            </w:tcBorders>
            <w:hideMark/>
          </w:tcPr>
          <w:p w:rsidR="00C06AEF" w:rsidRPr="000856B7" w:rsidRDefault="00C06AEF" w:rsidP="00423120">
            <w:pPr>
              <w:keepNext/>
              <w:spacing w:line="240" w:lineRule="auto"/>
              <w:rPr>
                <w:rFonts w:asciiTheme="minorHAnsi" w:eastAsia="Calibri" w:hAnsiTheme="minorHAnsi" w:cstheme="minorHAnsi"/>
                <w:b/>
              </w:rPr>
            </w:pPr>
            <w:r w:rsidRPr="000856B7">
              <w:rPr>
                <w:rFonts w:asciiTheme="minorHAnsi" w:eastAsia="Calibri" w:hAnsiTheme="minorHAnsi" w:cstheme="minorHAnsi"/>
                <w:b/>
                <w:lang w:eastAsia="en-US"/>
              </w:rPr>
              <w:t>Královehradecký</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554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554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545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526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507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467 </w:t>
            </w:r>
          </w:p>
        </w:tc>
      </w:tr>
      <w:tr w:rsidR="00C06AEF" w:rsidRPr="00C06AEF" w:rsidTr="00B875AB">
        <w:trPr>
          <w:trHeight w:hRule="exact" w:val="284"/>
          <w:jc w:val="center"/>
        </w:trPr>
        <w:tc>
          <w:tcPr>
            <w:tcW w:w="1994" w:type="dxa"/>
            <w:tcBorders>
              <w:top w:val="single" w:sz="4" w:space="0" w:color="auto"/>
              <w:left w:val="single" w:sz="4" w:space="0" w:color="auto"/>
              <w:bottom w:val="single" w:sz="4" w:space="0" w:color="auto"/>
              <w:right w:val="single" w:sz="4" w:space="0" w:color="auto"/>
            </w:tcBorders>
            <w:hideMark/>
          </w:tcPr>
          <w:p w:rsidR="00C06AEF" w:rsidRPr="000856B7" w:rsidRDefault="00C06AEF" w:rsidP="00423120">
            <w:pPr>
              <w:keepNext/>
              <w:spacing w:line="240" w:lineRule="auto"/>
              <w:rPr>
                <w:rFonts w:asciiTheme="minorHAnsi" w:eastAsia="Calibri" w:hAnsiTheme="minorHAnsi" w:cstheme="minorHAnsi"/>
                <w:b/>
              </w:rPr>
            </w:pPr>
            <w:r w:rsidRPr="000856B7">
              <w:rPr>
                <w:rFonts w:asciiTheme="minorHAnsi" w:eastAsia="Calibri" w:hAnsiTheme="minorHAnsi" w:cstheme="minorHAnsi"/>
                <w:b/>
                <w:lang w:eastAsia="en-US"/>
              </w:rPr>
              <w:t>Pardubický</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515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516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508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492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474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438 </w:t>
            </w:r>
          </w:p>
        </w:tc>
      </w:tr>
      <w:tr w:rsidR="00C06AEF" w:rsidRPr="00C06AEF" w:rsidTr="00B875AB">
        <w:trPr>
          <w:trHeight w:hRule="exact" w:val="284"/>
          <w:jc w:val="center"/>
        </w:trPr>
        <w:tc>
          <w:tcPr>
            <w:tcW w:w="1994" w:type="dxa"/>
            <w:tcBorders>
              <w:top w:val="single" w:sz="4" w:space="0" w:color="auto"/>
              <w:left w:val="single" w:sz="4" w:space="0" w:color="auto"/>
              <w:bottom w:val="single" w:sz="4" w:space="0" w:color="auto"/>
              <w:right w:val="single" w:sz="4" w:space="0" w:color="auto"/>
            </w:tcBorders>
            <w:hideMark/>
          </w:tcPr>
          <w:p w:rsidR="00C06AEF" w:rsidRPr="000856B7" w:rsidRDefault="00C06AEF" w:rsidP="00423120">
            <w:pPr>
              <w:keepNext/>
              <w:spacing w:line="240" w:lineRule="auto"/>
              <w:rPr>
                <w:rFonts w:asciiTheme="minorHAnsi" w:eastAsia="Calibri" w:hAnsiTheme="minorHAnsi" w:cstheme="minorHAnsi"/>
                <w:b/>
              </w:rPr>
            </w:pPr>
            <w:r w:rsidRPr="000856B7">
              <w:rPr>
                <w:rFonts w:asciiTheme="minorHAnsi" w:eastAsia="Calibri" w:hAnsiTheme="minorHAnsi" w:cstheme="minorHAnsi"/>
                <w:b/>
                <w:lang w:eastAsia="en-US"/>
              </w:rPr>
              <w:t>Vysočina</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515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518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513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498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481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444 </w:t>
            </w:r>
          </w:p>
        </w:tc>
      </w:tr>
      <w:tr w:rsidR="00C06AEF" w:rsidRPr="00C06AEF" w:rsidTr="00B875AB">
        <w:trPr>
          <w:trHeight w:hRule="exact" w:val="284"/>
          <w:jc w:val="center"/>
        </w:trPr>
        <w:tc>
          <w:tcPr>
            <w:tcW w:w="1994" w:type="dxa"/>
            <w:tcBorders>
              <w:top w:val="single" w:sz="4" w:space="0" w:color="auto"/>
              <w:left w:val="single" w:sz="4" w:space="0" w:color="auto"/>
              <w:bottom w:val="single" w:sz="4" w:space="0" w:color="auto"/>
              <w:right w:val="single" w:sz="4" w:space="0" w:color="auto"/>
            </w:tcBorders>
            <w:hideMark/>
          </w:tcPr>
          <w:p w:rsidR="00C06AEF" w:rsidRPr="000856B7" w:rsidRDefault="00C06AEF" w:rsidP="00423120">
            <w:pPr>
              <w:keepNext/>
              <w:spacing w:line="240" w:lineRule="auto"/>
              <w:rPr>
                <w:rFonts w:asciiTheme="minorHAnsi" w:eastAsia="Calibri" w:hAnsiTheme="minorHAnsi" w:cstheme="minorHAnsi"/>
                <w:b/>
              </w:rPr>
            </w:pPr>
            <w:r w:rsidRPr="000856B7">
              <w:rPr>
                <w:rFonts w:asciiTheme="minorHAnsi" w:eastAsia="Calibri" w:hAnsiTheme="minorHAnsi" w:cstheme="minorHAnsi"/>
                <w:b/>
                <w:lang w:eastAsia="en-US"/>
              </w:rPr>
              <w:t>Jihomoravský</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1 147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1 149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1 127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1 088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1 048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961 </w:t>
            </w:r>
          </w:p>
        </w:tc>
      </w:tr>
      <w:tr w:rsidR="00C06AEF" w:rsidRPr="00C06AEF" w:rsidTr="00B875AB">
        <w:trPr>
          <w:trHeight w:hRule="exact" w:val="284"/>
          <w:jc w:val="center"/>
        </w:trPr>
        <w:tc>
          <w:tcPr>
            <w:tcW w:w="1994" w:type="dxa"/>
            <w:tcBorders>
              <w:top w:val="single" w:sz="4" w:space="0" w:color="auto"/>
              <w:left w:val="single" w:sz="4" w:space="0" w:color="auto"/>
              <w:bottom w:val="single" w:sz="4" w:space="0" w:color="auto"/>
              <w:right w:val="single" w:sz="4" w:space="0" w:color="auto"/>
            </w:tcBorders>
            <w:hideMark/>
          </w:tcPr>
          <w:p w:rsidR="00C06AEF" w:rsidRPr="000856B7" w:rsidRDefault="00C06AEF" w:rsidP="00423120">
            <w:pPr>
              <w:keepNext/>
              <w:spacing w:line="240" w:lineRule="auto"/>
              <w:rPr>
                <w:rFonts w:asciiTheme="minorHAnsi" w:eastAsia="Calibri" w:hAnsiTheme="minorHAnsi" w:cstheme="minorHAnsi"/>
                <w:b/>
              </w:rPr>
            </w:pPr>
            <w:r w:rsidRPr="000856B7">
              <w:rPr>
                <w:rFonts w:asciiTheme="minorHAnsi" w:eastAsia="Calibri" w:hAnsiTheme="minorHAnsi" w:cstheme="minorHAnsi"/>
                <w:b/>
                <w:lang w:eastAsia="en-US"/>
              </w:rPr>
              <w:t>Olomoucký</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642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641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628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604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578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525 </w:t>
            </w:r>
          </w:p>
        </w:tc>
      </w:tr>
      <w:tr w:rsidR="00C06AEF" w:rsidRPr="00C06AEF" w:rsidTr="00B875AB">
        <w:trPr>
          <w:trHeight w:hRule="exact" w:val="284"/>
          <w:jc w:val="center"/>
        </w:trPr>
        <w:tc>
          <w:tcPr>
            <w:tcW w:w="1994" w:type="dxa"/>
            <w:tcBorders>
              <w:top w:val="single" w:sz="4" w:space="0" w:color="auto"/>
              <w:left w:val="single" w:sz="4" w:space="0" w:color="auto"/>
              <w:bottom w:val="single" w:sz="4" w:space="0" w:color="auto"/>
              <w:right w:val="single" w:sz="4" w:space="0" w:color="auto"/>
            </w:tcBorders>
            <w:hideMark/>
          </w:tcPr>
          <w:p w:rsidR="00C06AEF" w:rsidRPr="000856B7" w:rsidRDefault="00C06AEF" w:rsidP="00423120">
            <w:pPr>
              <w:keepNext/>
              <w:spacing w:line="240" w:lineRule="auto"/>
              <w:rPr>
                <w:rFonts w:asciiTheme="minorHAnsi" w:eastAsia="Calibri" w:hAnsiTheme="minorHAnsi" w:cstheme="minorHAnsi"/>
                <w:b/>
              </w:rPr>
            </w:pPr>
            <w:r w:rsidRPr="000856B7">
              <w:rPr>
                <w:rFonts w:asciiTheme="minorHAnsi" w:eastAsia="Calibri" w:hAnsiTheme="minorHAnsi" w:cstheme="minorHAnsi"/>
                <w:b/>
                <w:lang w:eastAsia="en-US"/>
              </w:rPr>
              <w:t>Zlínský</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591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587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574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549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523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470 </w:t>
            </w:r>
          </w:p>
        </w:tc>
      </w:tr>
      <w:tr w:rsidR="00C06AEF" w:rsidRPr="00C06AEF" w:rsidTr="00B875AB">
        <w:trPr>
          <w:trHeight w:hRule="exact" w:val="284"/>
          <w:jc w:val="center"/>
        </w:trPr>
        <w:tc>
          <w:tcPr>
            <w:tcW w:w="1994" w:type="dxa"/>
            <w:tcBorders>
              <w:top w:val="single" w:sz="4" w:space="0" w:color="auto"/>
              <w:left w:val="single" w:sz="4" w:space="0" w:color="auto"/>
              <w:bottom w:val="single" w:sz="4" w:space="0" w:color="auto"/>
              <w:right w:val="single" w:sz="4" w:space="0" w:color="auto"/>
            </w:tcBorders>
            <w:hideMark/>
          </w:tcPr>
          <w:p w:rsidR="00C06AEF" w:rsidRPr="000856B7" w:rsidRDefault="00C06AEF" w:rsidP="00423120">
            <w:pPr>
              <w:keepNext/>
              <w:spacing w:line="240" w:lineRule="auto"/>
              <w:rPr>
                <w:rFonts w:asciiTheme="minorHAnsi" w:eastAsia="Calibri" w:hAnsiTheme="minorHAnsi" w:cstheme="minorHAnsi"/>
                <w:b/>
              </w:rPr>
            </w:pPr>
            <w:r w:rsidRPr="000856B7">
              <w:rPr>
                <w:rFonts w:asciiTheme="minorHAnsi" w:eastAsia="Calibri" w:hAnsiTheme="minorHAnsi" w:cstheme="minorHAnsi"/>
                <w:b/>
                <w:lang w:eastAsia="en-US"/>
              </w:rPr>
              <w:t>Moravskoslezský</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1 250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1 246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1 221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1 174 </w:t>
            </w:r>
          </w:p>
        </w:tc>
        <w:tc>
          <w:tcPr>
            <w:tcW w:w="805"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1 120 </w:t>
            </w:r>
          </w:p>
        </w:tc>
        <w:tc>
          <w:tcPr>
            <w:tcW w:w="806" w:type="dxa"/>
            <w:tcBorders>
              <w:top w:val="single" w:sz="4" w:space="0" w:color="auto"/>
              <w:left w:val="single" w:sz="4" w:space="0" w:color="auto"/>
              <w:bottom w:val="single" w:sz="4" w:space="0" w:color="auto"/>
              <w:right w:val="single" w:sz="4" w:space="0" w:color="auto"/>
            </w:tcBorders>
            <w:vAlign w:val="bottom"/>
            <w:hideMark/>
          </w:tcPr>
          <w:p w:rsidR="00C06AEF" w:rsidRPr="000856B7" w:rsidRDefault="00C06AEF" w:rsidP="00423120">
            <w:pPr>
              <w:keepNext/>
              <w:spacing w:line="240" w:lineRule="auto"/>
              <w:jc w:val="right"/>
              <w:rPr>
                <w:rFonts w:asciiTheme="minorHAnsi" w:eastAsia="Calibri" w:hAnsiTheme="minorHAnsi" w:cstheme="minorHAnsi"/>
                <w:color w:val="000000"/>
              </w:rPr>
            </w:pPr>
            <w:r w:rsidRPr="000856B7">
              <w:rPr>
                <w:rFonts w:asciiTheme="minorHAnsi" w:eastAsia="Calibri" w:hAnsiTheme="minorHAnsi" w:cstheme="minorHAnsi"/>
                <w:color w:val="000000"/>
                <w:lang w:eastAsia="en-US"/>
              </w:rPr>
              <w:t xml:space="preserve">1 015 </w:t>
            </w:r>
          </w:p>
        </w:tc>
      </w:tr>
    </w:tbl>
    <w:p w:rsidR="00C06AEF" w:rsidRPr="000112D6" w:rsidRDefault="00C06AEF" w:rsidP="00423120">
      <w:pPr>
        <w:keepNext/>
        <w:ind w:left="1134"/>
        <w:jc w:val="center"/>
        <w:rPr>
          <w:rFonts w:asciiTheme="minorHAnsi" w:eastAsia="Calibri" w:hAnsiTheme="minorHAnsi"/>
          <w:lang w:eastAsia="en-US"/>
        </w:rPr>
      </w:pPr>
      <w:r w:rsidRPr="000112D6">
        <w:rPr>
          <w:rFonts w:asciiTheme="minorHAnsi" w:eastAsia="Calibri" w:hAnsiTheme="minorHAnsi"/>
          <w:i/>
          <w:lang w:eastAsia="en-US"/>
        </w:rPr>
        <w:t>Pramen: ČSÚ (2010)</w:t>
      </w:r>
      <w:r w:rsidR="000E3860" w:rsidRPr="000112D6">
        <w:rPr>
          <w:rFonts w:asciiTheme="minorHAnsi" w:eastAsia="Calibri" w:hAnsiTheme="minorHAnsi"/>
          <w:i/>
          <w:lang w:eastAsia="en-US"/>
        </w:rPr>
        <w:t>.</w:t>
      </w:r>
    </w:p>
    <w:p w:rsidR="00C06AEF" w:rsidRPr="00CF0FCA" w:rsidRDefault="00C06AEF" w:rsidP="00423120">
      <w:pPr>
        <w:keepNext/>
        <w:ind w:firstLine="720"/>
        <w:jc w:val="both"/>
        <w:rPr>
          <w:rFonts w:eastAsia="Calibri"/>
          <w:sz w:val="24"/>
          <w:szCs w:val="24"/>
          <w:lang w:eastAsia="en-US"/>
        </w:rPr>
      </w:pPr>
      <w:r w:rsidRPr="00CF0FCA">
        <w:rPr>
          <w:rFonts w:eastAsia="Calibri"/>
          <w:sz w:val="24"/>
          <w:szCs w:val="24"/>
          <w:lang w:eastAsia="en-US"/>
        </w:rPr>
        <w:t>Demografická projekce ČSÚ předpokládá růst plodnosti ve všech krajích, menší nárůst se očekává v Ústeckém, Karlovarském a Středočeském kraji, na</w:t>
      </w:r>
      <w:r w:rsidR="003E0FF4" w:rsidRPr="00CF0FCA">
        <w:rPr>
          <w:rFonts w:eastAsia="Calibri"/>
          <w:sz w:val="24"/>
          <w:szCs w:val="24"/>
          <w:lang w:eastAsia="en-US"/>
        </w:rPr>
        <w:t xml:space="preserve">opak vyšší v kraji Pardubickém, </w:t>
      </w:r>
      <w:r w:rsidRPr="00CF0FCA">
        <w:rPr>
          <w:rFonts w:eastAsia="Calibri"/>
          <w:sz w:val="24"/>
          <w:szCs w:val="24"/>
          <w:lang w:eastAsia="en-US"/>
        </w:rPr>
        <w:t>Jihomoravském, v Praze a na Vysočině. Dojde také ke změně územního rozložení plodnosti, rozdíly mezi kraji jsou však velmi malé (</w:t>
      </w:r>
      <w:r w:rsidR="000A56F4" w:rsidRPr="00CF0FCA">
        <w:rPr>
          <w:rFonts w:eastAsia="Calibri"/>
          <w:sz w:val="24"/>
          <w:szCs w:val="24"/>
          <w:lang w:eastAsia="en-US"/>
        </w:rPr>
        <w:t xml:space="preserve">od </w:t>
      </w:r>
      <w:r w:rsidRPr="00CF0FCA">
        <w:rPr>
          <w:rFonts w:eastAsia="Calibri"/>
          <w:sz w:val="24"/>
          <w:szCs w:val="24"/>
          <w:lang w:eastAsia="en-US"/>
        </w:rPr>
        <w:t xml:space="preserve">1,61v Praze </w:t>
      </w:r>
      <w:r w:rsidR="000A56F4" w:rsidRPr="00CF0FCA">
        <w:rPr>
          <w:rFonts w:eastAsia="Calibri"/>
          <w:sz w:val="24"/>
          <w:szCs w:val="24"/>
          <w:lang w:eastAsia="en-US"/>
        </w:rPr>
        <w:t>po</w:t>
      </w:r>
      <w:r w:rsidRPr="00CF0FCA">
        <w:rPr>
          <w:rFonts w:eastAsia="Calibri"/>
          <w:sz w:val="24"/>
          <w:szCs w:val="24"/>
          <w:lang w:eastAsia="en-US"/>
        </w:rPr>
        <w:t xml:space="preserve"> 1,75 v Libereckém kraji). Průměrný věk matek při porodu se zvýší na 30,4 (Ústecký kraj) </w:t>
      </w:r>
      <w:r w:rsidR="000A56F4" w:rsidRPr="00CF0FCA">
        <w:rPr>
          <w:rFonts w:eastAsia="Calibri"/>
          <w:sz w:val="24"/>
          <w:szCs w:val="24"/>
          <w:lang w:eastAsia="en-US"/>
        </w:rPr>
        <w:t>až</w:t>
      </w:r>
      <w:r w:rsidRPr="00CF0FCA">
        <w:rPr>
          <w:rFonts w:eastAsia="Calibri"/>
          <w:sz w:val="24"/>
          <w:szCs w:val="24"/>
          <w:lang w:eastAsia="en-US"/>
        </w:rPr>
        <w:t xml:space="preserve"> 32,8 (Praha) let.</w:t>
      </w:r>
    </w:p>
    <w:p w:rsidR="00C06AEF" w:rsidRPr="00CF0FCA" w:rsidRDefault="00C06AEF" w:rsidP="00423120">
      <w:pPr>
        <w:keepNext/>
        <w:ind w:firstLine="720"/>
        <w:jc w:val="both"/>
        <w:rPr>
          <w:rFonts w:eastAsia="Calibri"/>
          <w:sz w:val="24"/>
          <w:szCs w:val="24"/>
          <w:lang w:eastAsia="en-US"/>
        </w:rPr>
      </w:pPr>
      <w:r w:rsidRPr="00CF0FCA">
        <w:rPr>
          <w:rFonts w:eastAsia="Calibri"/>
          <w:sz w:val="24"/>
          <w:szCs w:val="24"/>
          <w:lang w:eastAsia="en-US"/>
        </w:rPr>
        <w:t>Pokud jde o úmrtnost, dojde k dalšímu snižování její intenzity</w:t>
      </w:r>
      <w:r w:rsidR="000A56F4" w:rsidRPr="00CF0FCA">
        <w:rPr>
          <w:rFonts w:eastAsia="Calibri"/>
          <w:sz w:val="24"/>
          <w:szCs w:val="24"/>
          <w:lang w:eastAsia="en-US"/>
        </w:rPr>
        <w:t xml:space="preserve"> a</w:t>
      </w:r>
      <w:r w:rsidRPr="00CF0FCA">
        <w:rPr>
          <w:rFonts w:eastAsia="Calibri"/>
          <w:sz w:val="24"/>
          <w:szCs w:val="24"/>
          <w:lang w:eastAsia="en-US"/>
        </w:rPr>
        <w:t xml:space="preserve"> tedy k prodlužování střední délky života ve všech krajích. Naděje dožití se u mužů zvýší o 12,2 </w:t>
      </w:r>
      <w:r w:rsidR="000A56F4" w:rsidRPr="00CF0FCA">
        <w:rPr>
          <w:rFonts w:eastAsia="Calibri"/>
          <w:sz w:val="24"/>
          <w:szCs w:val="24"/>
          <w:lang w:eastAsia="en-US"/>
        </w:rPr>
        <w:t>až</w:t>
      </w:r>
      <w:r w:rsidR="000856B7">
        <w:rPr>
          <w:rFonts w:eastAsia="Calibri"/>
          <w:sz w:val="24"/>
          <w:szCs w:val="24"/>
          <w:lang w:eastAsia="en-US"/>
        </w:rPr>
        <w:t xml:space="preserve"> 13,1 let, u žen o </w:t>
      </w:r>
      <w:r w:rsidRPr="00CF0FCA">
        <w:rPr>
          <w:rFonts w:eastAsia="Calibri"/>
          <w:sz w:val="24"/>
          <w:szCs w:val="24"/>
          <w:lang w:eastAsia="en-US"/>
        </w:rPr>
        <w:t xml:space="preserve">10,4 </w:t>
      </w:r>
      <w:r w:rsidR="000A56F4" w:rsidRPr="00CF0FCA">
        <w:rPr>
          <w:rFonts w:eastAsia="Calibri"/>
          <w:sz w:val="24"/>
          <w:szCs w:val="24"/>
          <w:lang w:eastAsia="en-US"/>
        </w:rPr>
        <w:t>až</w:t>
      </w:r>
      <w:r w:rsidRPr="00CF0FCA">
        <w:rPr>
          <w:rFonts w:eastAsia="Calibri"/>
          <w:sz w:val="24"/>
          <w:szCs w:val="24"/>
          <w:lang w:eastAsia="en-US"/>
        </w:rPr>
        <w:t xml:space="preserve"> 11,2 let. Nejvyšší bude v</w:t>
      </w:r>
      <w:r w:rsidR="00326F51">
        <w:rPr>
          <w:rFonts w:eastAsia="Calibri"/>
          <w:sz w:val="24"/>
          <w:szCs w:val="24"/>
          <w:lang w:eastAsia="en-US"/>
        </w:rPr>
        <w:t> </w:t>
      </w:r>
      <w:r w:rsidRPr="00326F51">
        <w:rPr>
          <w:rFonts w:eastAsia="Calibri"/>
          <w:sz w:val="24"/>
          <w:szCs w:val="24"/>
          <w:lang w:eastAsia="en-US"/>
        </w:rPr>
        <w:t>Praze</w:t>
      </w:r>
      <w:r w:rsidR="00326F51">
        <w:rPr>
          <w:rFonts w:eastAsia="Calibri"/>
          <w:sz w:val="24"/>
          <w:szCs w:val="24"/>
          <w:lang w:eastAsia="en-US"/>
        </w:rPr>
        <w:t xml:space="preserve"> – </w:t>
      </w:r>
      <w:r w:rsidRPr="00326F51">
        <w:rPr>
          <w:rFonts w:eastAsia="Calibri"/>
          <w:sz w:val="24"/>
          <w:szCs w:val="24"/>
          <w:lang w:eastAsia="en-US"/>
        </w:rPr>
        <w:t>88,1, resp. 91,7 let, nejnižší v Ústeckém kraji</w:t>
      </w:r>
      <w:r w:rsidR="00326F51">
        <w:rPr>
          <w:rFonts w:eastAsia="Calibri"/>
          <w:sz w:val="24"/>
          <w:szCs w:val="24"/>
          <w:lang w:eastAsia="en-US"/>
        </w:rPr>
        <w:t xml:space="preserve"> – </w:t>
      </w:r>
      <w:r w:rsidRPr="00326F51">
        <w:rPr>
          <w:rFonts w:eastAsia="Calibri"/>
          <w:sz w:val="24"/>
          <w:szCs w:val="24"/>
          <w:lang w:eastAsia="en-US"/>
        </w:rPr>
        <w:t>84,6,</w:t>
      </w:r>
      <w:r w:rsidRPr="00CF0FCA">
        <w:rPr>
          <w:rFonts w:eastAsia="Calibri"/>
          <w:sz w:val="24"/>
          <w:szCs w:val="24"/>
          <w:lang w:eastAsia="en-US"/>
        </w:rPr>
        <w:t xml:space="preserve"> resp. 89,6 let. Snížení úmrtnosti bude výraznější u mužů</w:t>
      </w:r>
      <w:r w:rsidR="000A56F4" w:rsidRPr="00CF0FCA">
        <w:rPr>
          <w:rFonts w:eastAsia="Calibri"/>
          <w:sz w:val="24"/>
          <w:szCs w:val="24"/>
          <w:lang w:eastAsia="en-US"/>
        </w:rPr>
        <w:t xml:space="preserve"> (k </w:t>
      </w:r>
      <w:r w:rsidRPr="00CF0FCA">
        <w:rPr>
          <w:rFonts w:eastAsia="Calibri"/>
          <w:sz w:val="24"/>
          <w:szCs w:val="24"/>
          <w:lang w:eastAsia="en-US"/>
        </w:rPr>
        <w:t>největší</w:t>
      </w:r>
      <w:r w:rsidR="000A56F4" w:rsidRPr="00CF0FCA">
        <w:rPr>
          <w:rFonts w:eastAsia="Calibri"/>
          <w:sz w:val="24"/>
          <w:szCs w:val="24"/>
          <w:lang w:eastAsia="en-US"/>
        </w:rPr>
        <w:t>mu</w:t>
      </w:r>
      <w:r w:rsidRPr="00CF0FCA">
        <w:rPr>
          <w:rFonts w:eastAsia="Calibri"/>
          <w:sz w:val="24"/>
          <w:szCs w:val="24"/>
          <w:lang w:eastAsia="en-US"/>
        </w:rPr>
        <w:t xml:space="preserve"> pokles</w:t>
      </w:r>
      <w:r w:rsidR="000A56F4" w:rsidRPr="00CF0FCA">
        <w:rPr>
          <w:rFonts w:eastAsia="Calibri"/>
          <w:sz w:val="24"/>
          <w:szCs w:val="24"/>
          <w:lang w:eastAsia="en-US"/>
        </w:rPr>
        <w:t>u</w:t>
      </w:r>
      <w:r w:rsidRPr="00CF0FCA">
        <w:rPr>
          <w:rFonts w:eastAsia="Calibri"/>
          <w:sz w:val="24"/>
          <w:szCs w:val="24"/>
          <w:lang w:eastAsia="en-US"/>
        </w:rPr>
        <w:t xml:space="preserve"> úmrtnosti mužů i žen </w:t>
      </w:r>
      <w:r w:rsidR="000A56F4" w:rsidRPr="00CF0FCA">
        <w:rPr>
          <w:rFonts w:eastAsia="Calibri"/>
          <w:sz w:val="24"/>
          <w:szCs w:val="24"/>
          <w:lang w:eastAsia="en-US"/>
        </w:rPr>
        <w:t xml:space="preserve">dojde </w:t>
      </w:r>
      <w:r w:rsidRPr="00CF0FCA">
        <w:rPr>
          <w:rFonts w:eastAsia="Calibri"/>
          <w:sz w:val="24"/>
          <w:szCs w:val="24"/>
          <w:lang w:eastAsia="en-US"/>
        </w:rPr>
        <w:t>ve starších věkových skupinách</w:t>
      </w:r>
      <w:r w:rsidR="000A56F4" w:rsidRPr="00CF0FCA">
        <w:rPr>
          <w:rFonts w:eastAsia="Calibri"/>
          <w:sz w:val="24"/>
          <w:szCs w:val="24"/>
          <w:lang w:eastAsia="en-US"/>
        </w:rPr>
        <w:t>)</w:t>
      </w:r>
      <w:r w:rsidRPr="00CF0FCA">
        <w:rPr>
          <w:rFonts w:eastAsia="Calibri"/>
          <w:sz w:val="24"/>
          <w:szCs w:val="24"/>
          <w:lang w:eastAsia="en-US"/>
        </w:rPr>
        <w:t>.</w:t>
      </w:r>
    </w:p>
    <w:p w:rsidR="00C06AEF" w:rsidRPr="00CF0FCA" w:rsidRDefault="00C06AEF" w:rsidP="00423120">
      <w:pPr>
        <w:keepNext/>
        <w:ind w:firstLine="720"/>
        <w:jc w:val="both"/>
        <w:rPr>
          <w:rFonts w:eastAsia="Calibri"/>
          <w:sz w:val="24"/>
          <w:szCs w:val="24"/>
          <w:lang w:eastAsia="en-US"/>
        </w:rPr>
      </w:pPr>
      <w:r w:rsidRPr="00CF0FCA">
        <w:rPr>
          <w:rFonts w:eastAsia="Calibri"/>
          <w:sz w:val="24"/>
          <w:szCs w:val="24"/>
          <w:lang w:eastAsia="en-US"/>
        </w:rPr>
        <w:t xml:space="preserve">Saldo přirozené měny se postupně začne snižovat do záporných hodnot. Za celou ČR to bude v průměru poprvé v roce 2016, za </w:t>
      </w:r>
      <w:r w:rsidR="00BF44B7" w:rsidRPr="00CF0FCA">
        <w:rPr>
          <w:rFonts w:eastAsia="Calibri"/>
          <w:sz w:val="24"/>
          <w:szCs w:val="24"/>
          <w:lang w:eastAsia="en-US"/>
        </w:rPr>
        <w:t>jednotlivé kraje mezi roky 2014–</w:t>
      </w:r>
      <w:r w:rsidR="000856B7">
        <w:rPr>
          <w:rFonts w:eastAsia="Calibri"/>
          <w:sz w:val="24"/>
          <w:szCs w:val="24"/>
          <w:lang w:eastAsia="en-US"/>
        </w:rPr>
        <w:t>2020. Pokud jde o </w:t>
      </w:r>
      <w:r w:rsidRPr="00CF0FCA">
        <w:rPr>
          <w:rFonts w:eastAsia="Calibri"/>
          <w:sz w:val="24"/>
          <w:szCs w:val="24"/>
          <w:lang w:eastAsia="en-US"/>
        </w:rPr>
        <w:t>věkovou strukturu, dle očekávání dochází ve všech krajích ke stárnutí populace, podíl skupiny obyvatel ve věku 65+ se zvýší</w:t>
      </w:r>
      <w:r w:rsidR="003E0FF4" w:rsidRPr="00CF0FCA">
        <w:rPr>
          <w:rFonts w:eastAsia="Calibri"/>
          <w:sz w:val="24"/>
          <w:szCs w:val="24"/>
          <w:lang w:eastAsia="en-US"/>
        </w:rPr>
        <w:t xml:space="preserve"> téměř 2,5 krát</w:t>
      </w:r>
      <w:r w:rsidRPr="00CF0FCA">
        <w:rPr>
          <w:rFonts w:eastAsia="Calibri"/>
          <w:sz w:val="24"/>
          <w:szCs w:val="24"/>
          <w:lang w:eastAsia="en-US"/>
        </w:rPr>
        <w:t xml:space="preserve"> ze současných cca 15 % na cca 35 %.</w:t>
      </w:r>
    </w:p>
    <w:p w:rsidR="00B875AB" w:rsidRPr="00B875AB" w:rsidRDefault="00C06AEF" w:rsidP="00B875AB">
      <w:pPr>
        <w:spacing w:line="240" w:lineRule="auto"/>
        <w:rPr>
          <w:rFonts w:eastAsia="Calibri"/>
          <w:b/>
          <w:lang w:eastAsia="en-US"/>
        </w:rPr>
      </w:pPr>
      <w:r w:rsidRPr="00C06AEF">
        <w:rPr>
          <w:rFonts w:eastAsia="Calibri"/>
          <w:b/>
          <w:lang w:eastAsia="en-US"/>
        </w:rPr>
        <w:t>Prognóza lidského kapitálu obyvatelstva České republiky do roku 2050</w:t>
      </w:r>
    </w:p>
    <w:p w:rsidR="00C06AEF" w:rsidRPr="00CF0FCA" w:rsidRDefault="00C06AEF" w:rsidP="00423120">
      <w:pPr>
        <w:keepNext/>
        <w:ind w:firstLine="720"/>
        <w:jc w:val="both"/>
        <w:rPr>
          <w:rFonts w:eastAsia="Calibri"/>
          <w:sz w:val="24"/>
          <w:szCs w:val="24"/>
          <w:lang w:eastAsia="en-US"/>
        </w:rPr>
      </w:pPr>
      <w:r w:rsidRPr="00CF0FCA">
        <w:rPr>
          <w:rFonts w:eastAsia="Calibri"/>
          <w:sz w:val="24"/>
          <w:szCs w:val="24"/>
          <w:lang w:eastAsia="en-US"/>
        </w:rPr>
        <w:t>Při tvorbě prognóz bývá obvykle používána komponentní metoda, která posouvá současnou věkovou strukturu obyvatelstva (je znám</w:t>
      </w:r>
      <w:r w:rsidR="000856B7">
        <w:rPr>
          <w:rFonts w:eastAsia="Calibri"/>
          <w:sz w:val="24"/>
          <w:szCs w:val="24"/>
          <w:lang w:eastAsia="en-US"/>
        </w:rPr>
        <w:t xml:space="preserve"> její řád rození a vymírání) po </w:t>
      </w:r>
      <w:r w:rsidRPr="00CF0FCA">
        <w:rPr>
          <w:rFonts w:eastAsia="Calibri"/>
          <w:sz w:val="24"/>
          <w:szCs w:val="24"/>
          <w:lang w:eastAsia="en-US"/>
        </w:rPr>
        <w:t xml:space="preserve">jednotlivých věkových skupinách do vyššího věku pomocí pravděpodobností přežití. Dosud nenarozené ročníky jsou </w:t>
      </w:r>
      <w:r w:rsidR="000A56F4" w:rsidRPr="00CF0FCA">
        <w:rPr>
          <w:rFonts w:eastAsia="Calibri"/>
          <w:sz w:val="24"/>
          <w:szCs w:val="24"/>
          <w:lang w:eastAsia="en-US"/>
        </w:rPr>
        <w:t xml:space="preserve">pak </w:t>
      </w:r>
      <w:r w:rsidRPr="00CF0FCA">
        <w:rPr>
          <w:rFonts w:eastAsia="Calibri"/>
          <w:sz w:val="24"/>
          <w:szCs w:val="24"/>
          <w:lang w:eastAsia="en-US"/>
        </w:rPr>
        <w:t>doplňovány dle předpokládaného vývoje měr plodnosti podle věku žen (Pavlík, Kalibová</w:t>
      </w:r>
      <w:r w:rsidR="000A56F4" w:rsidRPr="00CF0FCA">
        <w:rPr>
          <w:rFonts w:eastAsia="Calibri"/>
          <w:sz w:val="24"/>
          <w:szCs w:val="24"/>
          <w:lang w:eastAsia="en-US"/>
        </w:rPr>
        <w:t>,</w:t>
      </w:r>
      <w:r w:rsidRPr="00CF0FCA">
        <w:rPr>
          <w:rFonts w:eastAsia="Calibri"/>
          <w:sz w:val="24"/>
          <w:szCs w:val="24"/>
          <w:lang w:eastAsia="en-US"/>
        </w:rPr>
        <w:t xml:space="preserve"> 2005; Kalibová, Pavlík, Vodáková</w:t>
      </w:r>
      <w:r w:rsidR="000A56F4" w:rsidRPr="00CF0FCA">
        <w:rPr>
          <w:rFonts w:eastAsia="Calibri"/>
          <w:sz w:val="24"/>
          <w:szCs w:val="24"/>
          <w:lang w:eastAsia="en-US"/>
        </w:rPr>
        <w:t>,</w:t>
      </w:r>
      <w:r w:rsidR="000856B7">
        <w:rPr>
          <w:rFonts w:eastAsia="Calibri"/>
          <w:sz w:val="24"/>
          <w:szCs w:val="24"/>
          <w:lang w:eastAsia="en-US"/>
        </w:rPr>
        <w:t xml:space="preserve"> 2009). Tak je tomu i </w:t>
      </w:r>
      <w:r w:rsidRPr="00CF0FCA">
        <w:rPr>
          <w:rFonts w:eastAsia="Calibri"/>
          <w:sz w:val="24"/>
          <w:szCs w:val="24"/>
          <w:lang w:eastAsia="en-US"/>
        </w:rPr>
        <w:t xml:space="preserve">v případě sledované studie. Je použita komponentní metoda se zjednodušeným modelem </w:t>
      </w:r>
      <w:r w:rsidRPr="00CF0FCA">
        <w:rPr>
          <w:rFonts w:eastAsia="Calibri"/>
          <w:sz w:val="24"/>
          <w:szCs w:val="24"/>
          <w:lang w:eastAsia="en-US"/>
        </w:rPr>
        <w:lastRenderedPageBreak/>
        <w:t>migrace, kdy se předpokládá jen imigrace ve výši migračního salda (Fiala, Langhamrová, Hulík, 2009).</w:t>
      </w:r>
    </w:p>
    <w:p w:rsidR="00C06AEF" w:rsidRPr="00C06AEF" w:rsidRDefault="00C06AEF" w:rsidP="00423120">
      <w:pPr>
        <w:keepNext/>
        <w:ind w:firstLine="720"/>
        <w:jc w:val="both"/>
        <w:rPr>
          <w:rFonts w:eastAsia="Calibri"/>
          <w:lang w:eastAsia="en-US"/>
        </w:rPr>
      </w:pPr>
      <w:r w:rsidRPr="00CF0FCA">
        <w:rPr>
          <w:rFonts w:eastAsia="Calibri"/>
          <w:sz w:val="24"/>
          <w:szCs w:val="24"/>
          <w:lang w:eastAsia="en-US"/>
        </w:rPr>
        <w:t xml:space="preserve">Jak již bylo uvedeno, prognóza Langhamrové a kol. (2009) byla vypočtena ve dvou variantách, které lze označovat jako varianta ČSÚ a varianta nizozemská (NL). Jelikož varianta ČSÚ byla již fakticky popsána v předchozím textu, lze pouze zvýraznit hodnoty plodnosti a úmrtnosti v horizontu roku 2050. Úhrnná plodnost dosáhne </w:t>
      </w:r>
      <w:r w:rsidR="000A56F4" w:rsidRPr="00CF0FCA">
        <w:rPr>
          <w:rFonts w:eastAsia="Calibri"/>
          <w:sz w:val="24"/>
          <w:szCs w:val="24"/>
          <w:lang w:eastAsia="en-US"/>
        </w:rPr>
        <w:t xml:space="preserve">podle prognózy </w:t>
      </w:r>
      <w:r w:rsidRPr="00CF0FCA">
        <w:rPr>
          <w:rFonts w:eastAsia="Calibri"/>
          <w:sz w:val="24"/>
          <w:szCs w:val="24"/>
          <w:lang w:eastAsia="en-US"/>
        </w:rPr>
        <w:t>hodnoty 1,72, nejvyšší specifické plod</w:t>
      </w:r>
      <w:r w:rsidR="00BF44B7" w:rsidRPr="00CF0FCA">
        <w:rPr>
          <w:rFonts w:eastAsia="Calibri"/>
          <w:sz w:val="24"/>
          <w:szCs w:val="24"/>
          <w:lang w:eastAsia="en-US"/>
        </w:rPr>
        <w:t>nosti budou mít ženy ve věku 28–</w:t>
      </w:r>
      <w:r w:rsidRPr="00CF0FCA">
        <w:rPr>
          <w:rFonts w:eastAsia="Calibri"/>
          <w:sz w:val="24"/>
          <w:szCs w:val="24"/>
          <w:lang w:eastAsia="en-US"/>
        </w:rPr>
        <w:t xml:space="preserve">30 let a struktura plodnosti se již nebude měnit. Střední délka života mužů dosáhne hodnoty 83,5 let, střední délka života žen hodnoty 88,4 let. Migrační saldo se předpokládá </w:t>
      </w:r>
      <w:r w:rsidR="00A25DBF" w:rsidRPr="00CF0FCA">
        <w:rPr>
          <w:rFonts w:eastAsia="Calibri"/>
          <w:sz w:val="24"/>
          <w:szCs w:val="24"/>
          <w:lang w:eastAsia="en-US"/>
        </w:rPr>
        <w:t xml:space="preserve">na úrovni </w:t>
      </w:r>
      <w:r w:rsidRPr="00CF0FCA">
        <w:rPr>
          <w:rFonts w:eastAsia="Calibri"/>
          <w:sz w:val="24"/>
          <w:szCs w:val="24"/>
          <w:lang w:eastAsia="en-US"/>
        </w:rPr>
        <w:t>25 tis. osob ročně po celé období</w:t>
      </w:r>
      <w:r w:rsidRPr="00C06AEF">
        <w:rPr>
          <w:rFonts w:eastAsia="Calibri"/>
          <w:lang w:eastAsia="en-US"/>
        </w:rPr>
        <w:t>.</w:t>
      </w:r>
    </w:p>
    <w:p w:rsidR="00C06AEF" w:rsidRPr="00CF0FCA" w:rsidRDefault="00C06AEF" w:rsidP="00423120">
      <w:pPr>
        <w:keepNext/>
        <w:ind w:firstLine="720"/>
        <w:jc w:val="both"/>
        <w:rPr>
          <w:rFonts w:eastAsia="Calibri"/>
          <w:sz w:val="24"/>
          <w:szCs w:val="24"/>
          <w:lang w:eastAsia="en-US"/>
        </w:rPr>
      </w:pPr>
      <w:r w:rsidRPr="00CF0FCA">
        <w:rPr>
          <w:rFonts w:eastAsia="Calibri"/>
          <w:sz w:val="24"/>
          <w:szCs w:val="24"/>
          <w:lang w:eastAsia="en-US"/>
        </w:rPr>
        <w:t>Nizozemská varianta předpokládá, že plodnost kohort českých žen bude kopírovat plodnost nizozemských žen, a to s určitým zpožděním. Tímto dojde k postupnému posouvání vrcholu plodnosti pro ročníky 1978 a mladší, a to až na úroveň 31 let (nejvyšší specifické plod</w:t>
      </w:r>
      <w:r w:rsidR="00BF44B7" w:rsidRPr="00CF0FCA">
        <w:rPr>
          <w:rFonts w:eastAsia="Calibri"/>
          <w:sz w:val="24"/>
          <w:szCs w:val="24"/>
          <w:lang w:eastAsia="en-US"/>
        </w:rPr>
        <w:t>nosti budou mít ženy ve věku 30–</w:t>
      </w:r>
      <w:r w:rsidRPr="00CF0FCA">
        <w:rPr>
          <w:rFonts w:eastAsia="Calibri"/>
          <w:sz w:val="24"/>
          <w:szCs w:val="24"/>
          <w:lang w:eastAsia="en-US"/>
        </w:rPr>
        <w:t>32 let). Výsledkem b</w:t>
      </w:r>
      <w:r w:rsidR="000856B7">
        <w:rPr>
          <w:rFonts w:eastAsia="Calibri"/>
          <w:sz w:val="24"/>
          <w:szCs w:val="24"/>
          <w:lang w:eastAsia="en-US"/>
        </w:rPr>
        <w:t>ude růst úhrnné plodnosti až na </w:t>
      </w:r>
      <w:r w:rsidRPr="00CF0FCA">
        <w:rPr>
          <w:rFonts w:eastAsia="Calibri"/>
          <w:sz w:val="24"/>
          <w:szCs w:val="24"/>
          <w:lang w:eastAsia="en-US"/>
        </w:rPr>
        <w:t>hodnotu 1,90 v roce 2050. Pokud jde o úmrtnost, předpokládá nizozemská varianta růst střední délky ž</w:t>
      </w:r>
      <w:r w:rsidR="007B3ADC" w:rsidRPr="00CF0FCA">
        <w:rPr>
          <w:rFonts w:eastAsia="Calibri"/>
          <w:sz w:val="24"/>
          <w:szCs w:val="24"/>
          <w:lang w:eastAsia="en-US"/>
        </w:rPr>
        <w:t xml:space="preserve">ivota stejným tempem, </w:t>
      </w:r>
      <w:r w:rsidR="00BF44B7" w:rsidRPr="00CF0FCA">
        <w:rPr>
          <w:rFonts w:eastAsia="Calibri"/>
          <w:sz w:val="24"/>
          <w:szCs w:val="24"/>
          <w:lang w:eastAsia="en-US"/>
        </w:rPr>
        <w:t>jako tomu bylo v letech 2001–</w:t>
      </w:r>
      <w:r w:rsidRPr="00CF0FCA">
        <w:rPr>
          <w:rFonts w:eastAsia="Calibri"/>
          <w:sz w:val="24"/>
          <w:szCs w:val="24"/>
          <w:lang w:eastAsia="en-US"/>
        </w:rPr>
        <w:t>2008. To bude znamenat, že střední délka života mužů dosáhne hodnoty 87,88 let, střední délka života žen hodnoty 91,92 let. Pokud jde o migraci, varianta předpokládá několik fází vývoje spojených s různým charakterem migrace, od migrace pracovní až po migraci za účelem slučování rodin. Saldo migrace se má postupně zvyšovat až do roku 2022, kdy dosáh</w:t>
      </w:r>
      <w:r w:rsidR="000856B7">
        <w:rPr>
          <w:rFonts w:eastAsia="Calibri"/>
          <w:sz w:val="24"/>
          <w:szCs w:val="24"/>
          <w:lang w:eastAsia="en-US"/>
        </w:rPr>
        <w:t>ne hodnoty 40 tis. osob ročně a </w:t>
      </w:r>
      <w:r w:rsidRPr="00CF0FCA">
        <w:rPr>
          <w:rFonts w:eastAsia="Calibri"/>
          <w:sz w:val="24"/>
          <w:szCs w:val="24"/>
          <w:lang w:eastAsia="en-US"/>
        </w:rPr>
        <w:t>v následujících letech zůstane dále konstantní.</w:t>
      </w:r>
    </w:p>
    <w:p w:rsidR="00C06AEF" w:rsidRPr="00CF0FCA" w:rsidRDefault="00C06AEF" w:rsidP="00423120">
      <w:pPr>
        <w:keepNext/>
        <w:ind w:firstLine="720"/>
        <w:jc w:val="both"/>
        <w:rPr>
          <w:rFonts w:eastAsia="Calibri"/>
          <w:sz w:val="24"/>
          <w:szCs w:val="24"/>
          <w:lang w:eastAsia="en-US"/>
        </w:rPr>
      </w:pPr>
      <w:r w:rsidRPr="00CF0FCA">
        <w:rPr>
          <w:rFonts w:eastAsia="Calibri"/>
          <w:sz w:val="24"/>
          <w:szCs w:val="24"/>
          <w:lang w:eastAsia="en-US"/>
        </w:rPr>
        <w:t>Výsledkem uvedených variant jsou zásadně rozdílné výsledky, a to jak v uvedených demografických charakteristikách, tak v celkovém počtu obyvatel. Dle varianty ČSÚ dosáhne počet obyvatel ČR v roce 2050 více než 10,8 mil., dle varianty nizozemské více než 12,2 mil. Přitom přirozený přírůstek zůstává ve variantě ČSÚ počínaje rokem 2018 trv</w:t>
      </w:r>
      <w:r w:rsidR="000856B7">
        <w:rPr>
          <w:rFonts w:eastAsia="Calibri"/>
          <w:sz w:val="24"/>
          <w:szCs w:val="24"/>
          <w:lang w:eastAsia="en-US"/>
        </w:rPr>
        <w:t>ale záporný, ve </w:t>
      </w:r>
      <w:r w:rsidRPr="00CF0FCA">
        <w:rPr>
          <w:rFonts w:eastAsia="Calibri"/>
          <w:sz w:val="24"/>
          <w:szCs w:val="24"/>
          <w:lang w:eastAsia="en-US"/>
        </w:rPr>
        <w:t>variantě nizozemské pouze dočasn</w:t>
      </w:r>
      <w:r w:rsidR="00BF44B7" w:rsidRPr="00CF0FCA">
        <w:rPr>
          <w:rFonts w:eastAsia="Calibri"/>
          <w:sz w:val="24"/>
          <w:szCs w:val="24"/>
          <w:lang w:eastAsia="en-US"/>
        </w:rPr>
        <w:t>ě, a to přibližně v období 2024–</w:t>
      </w:r>
      <w:r w:rsidRPr="00CF0FCA">
        <w:rPr>
          <w:rFonts w:eastAsia="Calibri"/>
          <w:sz w:val="24"/>
          <w:szCs w:val="24"/>
          <w:lang w:eastAsia="en-US"/>
        </w:rPr>
        <w:t>2040.</w:t>
      </w:r>
    </w:p>
    <w:p w:rsidR="00C06AEF" w:rsidRPr="00CF0FCA" w:rsidRDefault="00C06AEF" w:rsidP="00B875AB">
      <w:pPr>
        <w:keepNext/>
        <w:spacing w:after="120"/>
        <w:ind w:firstLine="720"/>
        <w:jc w:val="both"/>
        <w:rPr>
          <w:rFonts w:eastAsia="Calibri"/>
          <w:sz w:val="24"/>
          <w:szCs w:val="24"/>
          <w:lang w:eastAsia="en-US"/>
        </w:rPr>
      </w:pPr>
      <w:r w:rsidRPr="00CF0FCA">
        <w:rPr>
          <w:rFonts w:eastAsia="Calibri"/>
          <w:sz w:val="24"/>
          <w:szCs w:val="24"/>
          <w:lang w:eastAsia="en-US"/>
        </w:rPr>
        <w:t>Na shodných předpokladech jako studie národní je postavena také regionální projekce zpracovaná za jednotlivé kraje</w:t>
      </w:r>
      <w:r w:rsidR="00A25DBF" w:rsidRPr="00CF0FCA">
        <w:rPr>
          <w:rFonts w:eastAsia="Calibri"/>
          <w:sz w:val="24"/>
          <w:szCs w:val="24"/>
          <w:lang w:eastAsia="en-US"/>
        </w:rPr>
        <w:t xml:space="preserve">, kde lze zdůraznit zejména </w:t>
      </w:r>
      <w:r w:rsidRPr="00CF0FCA">
        <w:rPr>
          <w:rFonts w:eastAsia="Calibri"/>
          <w:sz w:val="24"/>
          <w:szCs w:val="24"/>
          <w:lang w:eastAsia="en-US"/>
        </w:rPr>
        <w:t>následující</w:t>
      </w:r>
      <w:r w:rsidR="00A25DBF" w:rsidRPr="00CF0FCA">
        <w:rPr>
          <w:rFonts w:eastAsia="Calibri"/>
          <w:sz w:val="24"/>
          <w:szCs w:val="24"/>
          <w:lang w:eastAsia="en-US"/>
        </w:rPr>
        <w:t xml:space="preserve"> tendence</w:t>
      </w:r>
      <w:r w:rsidRPr="00CF0FCA">
        <w:rPr>
          <w:rFonts w:eastAsia="Calibri"/>
          <w:sz w:val="24"/>
          <w:szCs w:val="24"/>
          <w:lang w:eastAsia="en-US"/>
        </w:rPr>
        <w:t>:</w:t>
      </w:r>
    </w:p>
    <w:p w:rsidR="00C06AEF" w:rsidRPr="00CF0FCA" w:rsidRDefault="00C06AEF" w:rsidP="00423120">
      <w:pPr>
        <w:keepNext/>
        <w:numPr>
          <w:ilvl w:val="0"/>
          <w:numId w:val="16"/>
        </w:numPr>
        <w:ind w:left="284" w:hanging="284"/>
        <w:contextualSpacing/>
        <w:jc w:val="both"/>
        <w:rPr>
          <w:rFonts w:eastAsia="Calibri"/>
          <w:sz w:val="24"/>
          <w:szCs w:val="24"/>
          <w:lang w:eastAsia="en-US"/>
        </w:rPr>
      </w:pPr>
      <w:r w:rsidRPr="00CF0FCA">
        <w:rPr>
          <w:rFonts w:eastAsia="Calibri"/>
          <w:sz w:val="24"/>
          <w:szCs w:val="24"/>
          <w:lang w:eastAsia="en-US"/>
        </w:rPr>
        <w:t>struktura plodnosti i úmrtnosti je ve všech krajích stejná jako v</w:t>
      </w:r>
      <w:r w:rsidR="00C4761D" w:rsidRPr="00CF0FCA">
        <w:rPr>
          <w:rFonts w:eastAsia="Calibri"/>
          <w:sz w:val="24"/>
          <w:szCs w:val="24"/>
          <w:lang w:eastAsia="en-US"/>
        </w:rPr>
        <w:t> </w:t>
      </w:r>
      <w:r w:rsidRPr="00CF0FCA">
        <w:rPr>
          <w:rFonts w:eastAsia="Calibri"/>
          <w:sz w:val="24"/>
          <w:szCs w:val="24"/>
          <w:lang w:eastAsia="en-US"/>
        </w:rPr>
        <w:t>Č</w:t>
      </w:r>
      <w:r w:rsidR="00C4761D" w:rsidRPr="00CF0FCA">
        <w:rPr>
          <w:rFonts w:eastAsia="Calibri"/>
          <w:sz w:val="24"/>
          <w:szCs w:val="24"/>
          <w:lang w:eastAsia="en-US"/>
        </w:rPr>
        <w:t>eské republice</w:t>
      </w:r>
      <w:r w:rsidRPr="00CF0FCA">
        <w:rPr>
          <w:rFonts w:eastAsia="Calibri"/>
          <w:sz w:val="24"/>
          <w:szCs w:val="24"/>
          <w:lang w:eastAsia="en-US"/>
        </w:rPr>
        <w:t>,</w:t>
      </w:r>
    </w:p>
    <w:p w:rsidR="00C06AEF" w:rsidRPr="00CF0FCA" w:rsidRDefault="00C06AEF" w:rsidP="00423120">
      <w:pPr>
        <w:keepNext/>
        <w:numPr>
          <w:ilvl w:val="0"/>
          <w:numId w:val="16"/>
        </w:numPr>
        <w:ind w:left="284" w:hanging="284"/>
        <w:contextualSpacing/>
        <w:jc w:val="both"/>
        <w:rPr>
          <w:rFonts w:eastAsia="Calibri"/>
          <w:sz w:val="24"/>
          <w:szCs w:val="24"/>
          <w:lang w:eastAsia="en-US"/>
        </w:rPr>
      </w:pPr>
      <w:r w:rsidRPr="00CF0FCA">
        <w:rPr>
          <w:rFonts w:eastAsia="Calibri"/>
          <w:sz w:val="24"/>
          <w:szCs w:val="24"/>
          <w:lang w:eastAsia="en-US"/>
        </w:rPr>
        <w:t>úhrnné plodnosti a střední délky života se v jednotlivých krajích budou lišit</w:t>
      </w:r>
      <w:r w:rsidR="00C4761D" w:rsidRPr="00CF0FCA">
        <w:rPr>
          <w:rFonts w:eastAsia="Calibri"/>
          <w:sz w:val="24"/>
          <w:szCs w:val="24"/>
          <w:lang w:eastAsia="en-US"/>
        </w:rPr>
        <w:t xml:space="preserve"> –</w:t>
      </w:r>
      <w:r w:rsidR="00BF44B7" w:rsidRPr="00CF0FCA">
        <w:rPr>
          <w:rFonts w:eastAsia="Calibri"/>
          <w:sz w:val="24"/>
          <w:szCs w:val="24"/>
          <w:lang w:eastAsia="en-US"/>
        </w:rPr>
        <w:t xml:space="preserve"> vychází z hodnot období 2001–</w:t>
      </w:r>
      <w:r w:rsidRPr="00CF0FCA">
        <w:rPr>
          <w:rFonts w:eastAsia="Calibri"/>
          <w:sz w:val="24"/>
          <w:szCs w:val="24"/>
          <w:lang w:eastAsia="en-US"/>
        </w:rPr>
        <w:t xml:space="preserve">2008, přičemž rozdíly se </w:t>
      </w:r>
      <w:r w:rsidR="00C4761D" w:rsidRPr="00CF0FCA">
        <w:rPr>
          <w:rFonts w:eastAsia="Calibri"/>
          <w:sz w:val="24"/>
          <w:szCs w:val="24"/>
          <w:lang w:eastAsia="en-US"/>
        </w:rPr>
        <w:t xml:space="preserve">budou </w:t>
      </w:r>
      <w:r w:rsidRPr="00CF0FCA">
        <w:rPr>
          <w:rFonts w:eastAsia="Calibri"/>
          <w:sz w:val="24"/>
          <w:szCs w:val="24"/>
          <w:lang w:eastAsia="en-US"/>
        </w:rPr>
        <w:t>postupně sniž</w:t>
      </w:r>
      <w:r w:rsidR="00C4761D" w:rsidRPr="00CF0FCA">
        <w:rPr>
          <w:rFonts w:eastAsia="Calibri"/>
          <w:sz w:val="24"/>
          <w:szCs w:val="24"/>
          <w:lang w:eastAsia="en-US"/>
        </w:rPr>
        <w:t>ovat</w:t>
      </w:r>
      <w:r w:rsidRPr="00CF0FCA">
        <w:rPr>
          <w:rFonts w:eastAsia="Calibri"/>
          <w:sz w:val="24"/>
          <w:szCs w:val="24"/>
          <w:lang w:eastAsia="en-US"/>
        </w:rPr>
        <w:t xml:space="preserve"> tak, že v roce 2050 bude plodnost i úmrtnost ve všech krajích stejná jako v</w:t>
      </w:r>
      <w:r w:rsidR="00C4761D" w:rsidRPr="00CF0FCA">
        <w:rPr>
          <w:rFonts w:eastAsia="Calibri"/>
          <w:sz w:val="24"/>
          <w:szCs w:val="24"/>
          <w:lang w:eastAsia="en-US"/>
        </w:rPr>
        <w:t xml:space="preserve"> celé </w:t>
      </w:r>
      <w:r w:rsidRPr="00CF0FCA">
        <w:rPr>
          <w:rFonts w:eastAsia="Calibri"/>
          <w:sz w:val="24"/>
          <w:szCs w:val="24"/>
          <w:lang w:eastAsia="en-US"/>
        </w:rPr>
        <w:t>Č</w:t>
      </w:r>
      <w:r w:rsidR="00C4761D" w:rsidRPr="00CF0FCA">
        <w:rPr>
          <w:rFonts w:eastAsia="Calibri"/>
          <w:sz w:val="24"/>
          <w:szCs w:val="24"/>
          <w:lang w:eastAsia="en-US"/>
        </w:rPr>
        <w:t>eské republice</w:t>
      </w:r>
      <w:r w:rsidRPr="00CF0FCA">
        <w:rPr>
          <w:rFonts w:eastAsia="Calibri"/>
          <w:sz w:val="24"/>
          <w:szCs w:val="24"/>
          <w:lang w:eastAsia="en-US"/>
        </w:rPr>
        <w:t>,</w:t>
      </w:r>
    </w:p>
    <w:p w:rsidR="00C06AEF" w:rsidRPr="00CF0FCA" w:rsidRDefault="00C06AEF" w:rsidP="00B875AB">
      <w:pPr>
        <w:keepNext/>
        <w:numPr>
          <w:ilvl w:val="0"/>
          <w:numId w:val="16"/>
        </w:numPr>
        <w:ind w:left="284" w:hanging="284"/>
        <w:contextualSpacing/>
        <w:jc w:val="both"/>
        <w:rPr>
          <w:rFonts w:eastAsia="Calibri"/>
          <w:sz w:val="24"/>
          <w:szCs w:val="24"/>
          <w:lang w:eastAsia="en-US"/>
        </w:rPr>
      </w:pPr>
      <w:r w:rsidRPr="00CF0FCA">
        <w:rPr>
          <w:rFonts w:eastAsia="Calibri"/>
          <w:sz w:val="24"/>
          <w:szCs w:val="24"/>
          <w:lang w:eastAsia="en-US"/>
        </w:rPr>
        <w:t>podíl imigrantů do každého kraje bude roven průměrnému podílu migračního salda kraje k migračnímu saldu</w:t>
      </w:r>
      <w:r w:rsidR="00C4761D" w:rsidRPr="00CF0FCA">
        <w:rPr>
          <w:rFonts w:eastAsia="Calibri"/>
          <w:sz w:val="24"/>
          <w:szCs w:val="24"/>
          <w:lang w:eastAsia="en-US"/>
        </w:rPr>
        <w:t xml:space="preserve"> České republiky </w:t>
      </w:r>
      <w:r w:rsidR="00BF44B7" w:rsidRPr="00CF0FCA">
        <w:rPr>
          <w:rFonts w:eastAsia="Calibri"/>
          <w:sz w:val="24"/>
          <w:szCs w:val="24"/>
          <w:lang w:eastAsia="en-US"/>
        </w:rPr>
        <w:t>v období 2002–</w:t>
      </w:r>
      <w:r w:rsidRPr="00CF0FCA">
        <w:rPr>
          <w:rFonts w:eastAsia="Calibri"/>
          <w:sz w:val="24"/>
          <w:szCs w:val="24"/>
          <w:lang w:eastAsia="en-US"/>
        </w:rPr>
        <w:t>2008; během prognózovaného období se očekává změna migračního salda tak, že v ro</w:t>
      </w:r>
      <w:r w:rsidR="000856B7">
        <w:rPr>
          <w:rFonts w:eastAsia="Calibri"/>
          <w:sz w:val="24"/>
          <w:szCs w:val="24"/>
          <w:lang w:eastAsia="en-US"/>
        </w:rPr>
        <w:t>ce 2050 bude podíl imigrantů do </w:t>
      </w:r>
      <w:r w:rsidRPr="00CF0FCA">
        <w:rPr>
          <w:rFonts w:eastAsia="Calibri"/>
          <w:sz w:val="24"/>
          <w:szCs w:val="24"/>
          <w:lang w:eastAsia="en-US"/>
        </w:rPr>
        <w:t xml:space="preserve">jednotlivého kraje zhruba úměrný </w:t>
      </w:r>
      <w:r w:rsidR="00C4761D" w:rsidRPr="00CF0FCA">
        <w:rPr>
          <w:rFonts w:eastAsia="Calibri"/>
          <w:sz w:val="24"/>
          <w:szCs w:val="24"/>
          <w:lang w:eastAsia="en-US"/>
        </w:rPr>
        <w:t xml:space="preserve">jejich </w:t>
      </w:r>
      <w:r w:rsidRPr="00CF0FCA">
        <w:rPr>
          <w:rFonts w:eastAsia="Calibri"/>
          <w:sz w:val="24"/>
          <w:szCs w:val="24"/>
          <w:lang w:eastAsia="en-US"/>
        </w:rPr>
        <w:t>počtu obyvatel.</w:t>
      </w:r>
    </w:p>
    <w:p w:rsidR="000112D6" w:rsidRPr="00CF0FCA" w:rsidRDefault="000112D6" w:rsidP="000112D6">
      <w:pPr>
        <w:keepNext/>
        <w:ind w:left="284"/>
        <w:contextualSpacing/>
        <w:jc w:val="both"/>
        <w:rPr>
          <w:rFonts w:eastAsia="Calibri"/>
          <w:sz w:val="24"/>
          <w:szCs w:val="24"/>
          <w:lang w:eastAsia="en-US"/>
        </w:rPr>
      </w:pPr>
    </w:p>
    <w:p w:rsidR="00C06AEF" w:rsidRPr="00CF0FCA" w:rsidRDefault="00C06AEF" w:rsidP="00423120">
      <w:pPr>
        <w:keepNext/>
        <w:ind w:firstLine="720"/>
        <w:jc w:val="both"/>
        <w:rPr>
          <w:rFonts w:eastAsia="Calibri"/>
          <w:sz w:val="24"/>
          <w:szCs w:val="24"/>
          <w:lang w:eastAsia="en-US"/>
        </w:rPr>
      </w:pPr>
      <w:r w:rsidRPr="00CF0FCA">
        <w:rPr>
          <w:rFonts w:eastAsia="Calibri"/>
          <w:sz w:val="24"/>
          <w:szCs w:val="24"/>
          <w:lang w:eastAsia="en-US"/>
        </w:rPr>
        <w:t xml:space="preserve">Výsledkem regionální projekce je </w:t>
      </w:r>
      <w:r w:rsidR="00553B53" w:rsidRPr="00CF0FCA">
        <w:rPr>
          <w:rFonts w:eastAsia="Calibri"/>
          <w:sz w:val="24"/>
          <w:szCs w:val="24"/>
          <w:lang w:eastAsia="en-US"/>
        </w:rPr>
        <w:t xml:space="preserve">logicky </w:t>
      </w:r>
      <w:r w:rsidRPr="00CF0FCA">
        <w:rPr>
          <w:rFonts w:eastAsia="Calibri"/>
          <w:sz w:val="24"/>
          <w:szCs w:val="24"/>
          <w:lang w:eastAsia="en-US"/>
        </w:rPr>
        <w:t>skutečnost, že ve všech krajích dochází k vyššímu nárůstu počtu obyvatel v nizozemské variantě, než ve variantě ČSÚ. K nejvyššímu zvýšení počtu obyvatel by mělo dojít ve Středočeském kraji a v Praze, vysoký růst se očekává také v Plzeňském, Úst</w:t>
      </w:r>
      <w:r w:rsidR="00BF44B7" w:rsidRPr="00CF0FCA">
        <w:rPr>
          <w:rFonts w:eastAsia="Calibri"/>
          <w:sz w:val="24"/>
          <w:szCs w:val="24"/>
          <w:lang w:eastAsia="en-US"/>
        </w:rPr>
        <w:t>eckém a Libereckém kraji (15–</w:t>
      </w:r>
      <w:r w:rsidR="004D51A1" w:rsidRPr="00CF0FCA">
        <w:rPr>
          <w:rFonts w:eastAsia="Calibri"/>
          <w:sz w:val="24"/>
          <w:szCs w:val="24"/>
          <w:lang w:eastAsia="en-US"/>
        </w:rPr>
        <w:t>20</w:t>
      </w:r>
      <w:r w:rsidR="00760C73" w:rsidRPr="00CF0FCA">
        <w:rPr>
          <w:rFonts w:eastAsia="Calibri"/>
          <w:sz w:val="24"/>
          <w:szCs w:val="24"/>
          <w:lang w:eastAsia="en-US"/>
        </w:rPr>
        <w:t xml:space="preserve"> </w:t>
      </w:r>
      <w:r w:rsidRPr="00CF0FCA">
        <w:rPr>
          <w:rFonts w:eastAsia="Calibri"/>
          <w:sz w:val="24"/>
          <w:szCs w:val="24"/>
          <w:lang w:eastAsia="en-US"/>
        </w:rPr>
        <w:t xml:space="preserve">%). Naopak nejnižšího růstu mají </w:t>
      </w:r>
      <w:r w:rsidRPr="00CF0FCA">
        <w:rPr>
          <w:rFonts w:eastAsia="Calibri"/>
          <w:sz w:val="24"/>
          <w:szCs w:val="24"/>
          <w:lang w:eastAsia="en-US"/>
        </w:rPr>
        <w:lastRenderedPageBreak/>
        <w:t>dle</w:t>
      </w:r>
      <w:r w:rsidR="000856B7">
        <w:rPr>
          <w:rFonts w:eastAsia="Calibri"/>
          <w:sz w:val="24"/>
          <w:szCs w:val="24"/>
          <w:lang w:eastAsia="en-US"/>
        </w:rPr>
        <w:t> </w:t>
      </w:r>
      <w:r w:rsidRPr="00CF0FCA">
        <w:rPr>
          <w:rFonts w:eastAsia="Calibri"/>
          <w:sz w:val="24"/>
          <w:szCs w:val="24"/>
          <w:lang w:eastAsia="en-US"/>
        </w:rPr>
        <w:t>prognózy dosáhnout moravské kraje. Olomoucký, Moravskoslezský a Zlínský</w:t>
      </w:r>
      <w:r w:rsidR="00553B53" w:rsidRPr="00CF0FCA">
        <w:rPr>
          <w:rFonts w:eastAsia="Calibri"/>
          <w:sz w:val="24"/>
          <w:szCs w:val="24"/>
          <w:lang w:eastAsia="en-US"/>
        </w:rPr>
        <w:t xml:space="preserve"> (</w:t>
      </w:r>
      <w:r w:rsidR="000856B7">
        <w:rPr>
          <w:rFonts w:eastAsia="Calibri"/>
          <w:sz w:val="24"/>
          <w:szCs w:val="24"/>
          <w:lang w:eastAsia="en-US"/>
        </w:rPr>
        <w:t>podle </w:t>
      </w:r>
      <w:r w:rsidR="00595567" w:rsidRPr="00CF0FCA">
        <w:rPr>
          <w:rFonts w:eastAsia="Calibri"/>
          <w:sz w:val="24"/>
          <w:szCs w:val="24"/>
          <w:lang w:eastAsia="en-US"/>
        </w:rPr>
        <w:t xml:space="preserve">nizozemské varianty se zde </w:t>
      </w:r>
      <w:r w:rsidRPr="00CF0FCA">
        <w:rPr>
          <w:rFonts w:eastAsia="Calibri"/>
          <w:sz w:val="24"/>
          <w:szCs w:val="24"/>
          <w:lang w:eastAsia="en-US"/>
        </w:rPr>
        <w:t xml:space="preserve">počet obyvatel </w:t>
      </w:r>
      <w:proofErr w:type="gramStart"/>
      <w:r w:rsidR="00595567" w:rsidRPr="00CF0FCA">
        <w:rPr>
          <w:rFonts w:eastAsia="Calibri"/>
          <w:sz w:val="24"/>
          <w:szCs w:val="24"/>
          <w:lang w:eastAsia="en-US"/>
        </w:rPr>
        <w:t>zvýší</w:t>
      </w:r>
      <w:proofErr w:type="gramEnd"/>
      <w:r w:rsidR="00553B53" w:rsidRPr="00CF0FCA">
        <w:rPr>
          <w:rFonts w:eastAsia="Calibri"/>
          <w:sz w:val="24"/>
          <w:szCs w:val="24"/>
          <w:lang w:eastAsia="en-US"/>
        </w:rPr>
        <w:t xml:space="preserve"> </w:t>
      </w:r>
      <w:r w:rsidRPr="00CF0FCA">
        <w:rPr>
          <w:rFonts w:eastAsia="Calibri"/>
          <w:sz w:val="24"/>
          <w:szCs w:val="24"/>
          <w:lang w:eastAsia="en-US"/>
        </w:rPr>
        <w:t xml:space="preserve">o </w:t>
      </w:r>
      <w:r w:rsidR="00595567" w:rsidRPr="00CF0FCA">
        <w:rPr>
          <w:rFonts w:eastAsia="Calibri"/>
          <w:sz w:val="24"/>
          <w:szCs w:val="24"/>
          <w:lang w:eastAsia="en-US"/>
        </w:rPr>
        <w:t xml:space="preserve">cca </w:t>
      </w:r>
      <w:r w:rsidRPr="00CF0FCA">
        <w:rPr>
          <w:rFonts w:eastAsia="Calibri"/>
          <w:sz w:val="24"/>
          <w:szCs w:val="24"/>
          <w:lang w:eastAsia="en-US"/>
        </w:rPr>
        <w:t>5 %</w:t>
      </w:r>
      <w:r w:rsidR="00553B53" w:rsidRPr="00CF0FCA">
        <w:rPr>
          <w:rFonts w:eastAsia="Calibri"/>
          <w:sz w:val="24"/>
          <w:szCs w:val="24"/>
          <w:lang w:eastAsia="en-US"/>
        </w:rPr>
        <w:sym w:font="Symbol" w:char="F03B"/>
      </w:r>
      <w:r w:rsidRPr="00CF0FCA">
        <w:rPr>
          <w:rFonts w:eastAsia="Calibri"/>
          <w:sz w:val="24"/>
          <w:szCs w:val="24"/>
          <w:lang w:eastAsia="en-US"/>
        </w:rPr>
        <w:t xml:space="preserve"> </w:t>
      </w:r>
      <w:r w:rsidR="00595567" w:rsidRPr="00CF0FCA">
        <w:rPr>
          <w:rFonts w:eastAsia="Calibri"/>
          <w:sz w:val="24"/>
          <w:szCs w:val="24"/>
          <w:lang w:eastAsia="en-US"/>
        </w:rPr>
        <w:t>po</w:t>
      </w:r>
      <w:r w:rsidRPr="00CF0FCA">
        <w:rPr>
          <w:rFonts w:eastAsia="Calibri"/>
          <w:sz w:val="24"/>
          <w:szCs w:val="24"/>
          <w:lang w:eastAsia="en-US"/>
        </w:rPr>
        <w:t xml:space="preserve">dle varianty ČSÚ </w:t>
      </w:r>
      <w:r w:rsidR="00595567" w:rsidRPr="00CF0FCA">
        <w:rPr>
          <w:rFonts w:eastAsia="Calibri"/>
          <w:sz w:val="24"/>
          <w:szCs w:val="24"/>
          <w:lang w:eastAsia="en-US"/>
        </w:rPr>
        <w:t xml:space="preserve">se  </w:t>
      </w:r>
      <w:proofErr w:type="gramStart"/>
      <w:r w:rsidR="00595567" w:rsidRPr="00CF0FCA">
        <w:rPr>
          <w:rFonts w:eastAsia="Calibri"/>
          <w:sz w:val="24"/>
          <w:szCs w:val="24"/>
          <w:lang w:eastAsia="en-US"/>
        </w:rPr>
        <w:t>jedná</w:t>
      </w:r>
      <w:proofErr w:type="gramEnd"/>
      <w:r w:rsidRPr="00CF0FCA">
        <w:rPr>
          <w:rFonts w:eastAsia="Calibri"/>
          <w:sz w:val="24"/>
          <w:szCs w:val="24"/>
          <w:lang w:eastAsia="en-US"/>
        </w:rPr>
        <w:t xml:space="preserve"> o jediné tři kraje, kde </w:t>
      </w:r>
      <w:r w:rsidR="00595567" w:rsidRPr="00CF0FCA">
        <w:rPr>
          <w:rFonts w:eastAsia="Calibri"/>
          <w:sz w:val="24"/>
          <w:szCs w:val="24"/>
          <w:lang w:eastAsia="en-US"/>
        </w:rPr>
        <w:t xml:space="preserve">naopak </w:t>
      </w:r>
      <w:r w:rsidRPr="00CF0FCA">
        <w:rPr>
          <w:rFonts w:eastAsia="Calibri"/>
          <w:sz w:val="24"/>
          <w:szCs w:val="24"/>
          <w:lang w:eastAsia="en-US"/>
        </w:rPr>
        <w:t>dojde ke snížení počtu obyvatel</w:t>
      </w:r>
      <w:r w:rsidR="00553B53" w:rsidRPr="00CF0FCA">
        <w:rPr>
          <w:rFonts w:eastAsia="Calibri"/>
          <w:sz w:val="24"/>
          <w:szCs w:val="24"/>
          <w:lang w:eastAsia="en-US"/>
        </w:rPr>
        <w:t>)</w:t>
      </w:r>
      <w:r w:rsidRPr="00CF0FCA">
        <w:rPr>
          <w:rFonts w:eastAsia="Calibri"/>
          <w:sz w:val="24"/>
          <w:szCs w:val="24"/>
          <w:lang w:eastAsia="en-US"/>
        </w:rPr>
        <w:t>.</w:t>
      </w:r>
    </w:p>
    <w:p w:rsidR="004F2007" w:rsidRPr="00CF0FCA" w:rsidRDefault="004F2007" w:rsidP="00B875AB">
      <w:pPr>
        <w:keepNext/>
        <w:spacing w:after="120"/>
        <w:ind w:firstLine="720"/>
        <w:jc w:val="both"/>
        <w:rPr>
          <w:rFonts w:eastAsia="Calibri"/>
          <w:sz w:val="24"/>
          <w:szCs w:val="24"/>
          <w:lang w:eastAsia="en-US"/>
        </w:rPr>
      </w:pPr>
      <w:r w:rsidRPr="00CF0FCA">
        <w:rPr>
          <w:rFonts w:eastAsia="Calibri"/>
          <w:sz w:val="24"/>
          <w:szCs w:val="24"/>
          <w:lang w:eastAsia="en-US"/>
        </w:rPr>
        <w:t xml:space="preserve">Autoři demografické prognózy dodávají, že je těžké odhadnout, která z variant je více pravděpodobná. Upozorňují na skutečnost, že v minulosti prováděné odhady vývoje se časem vždy výrazně odchýlily od skutečnosti. Předpokládají však, že s vysokou mírou spolehlivosti lze očekávat, že v nejbližších desetiletích dojde k nárůstu počtu obyvatel, a to především v důsledku </w:t>
      </w:r>
      <w:r w:rsidR="00553B53" w:rsidRPr="00CF0FCA">
        <w:rPr>
          <w:rFonts w:eastAsia="Calibri"/>
          <w:sz w:val="24"/>
          <w:szCs w:val="24"/>
          <w:lang w:eastAsia="en-US"/>
        </w:rPr>
        <w:t>kombinace tří faktorů</w:t>
      </w:r>
      <w:r w:rsidR="00644783" w:rsidRPr="00CF0FCA">
        <w:rPr>
          <w:rFonts w:eastAsia="Calibri"/>
          <w:sz w:val="24"/>
          <w:szCs w:val="24"/>
          <w:lang w:eastAsia="en-US"/>
        </w:rPr>
        <w:t xml:space="preserve">: </w:t>
      </w:r>
      <w:r w:rsidRPr="00CF0FCA">
        <w:rPr>
          <w:rFonts w:eastAsia="Calibri"/>
          <w:sz w:val="24"/>
          <w:szCs w:val="24"/>
          <w:lang w:eastAsia="en-US"/>
        </w:rPr>
        <w:t>růstu plodnosti, růstu střední délky života a kladného salda migrace.</w:t>
      </w:r>
    </w:p>
    <w:p w:rsidR="00C06AEF" w:rsidRPr="00C06AEF" w:rsidRDefault="00F325EF" w:rsidP="000112D6">
      <w:pPr>
        <w:keepNext/>
        <w:spacing w:after="0"/>
        <w:rPr>
          <w:rFonts w:eastAsia="Calibri"/>
          <w:lang w:eastAsia="en-US"/>
        </w:rPr>
      </w:pPr>
      <w:r>
        <w:rPr>
          <w:rFonts w:eastAsia="Calibri"/>
          <w:noProof/>
          <w:lang w:val="en-GB" w:eastAsia="en-GB"/>
        </w:rPr>
        <w:drawing>
          <wp:inline distT="0" distB="0" distL="0" distR="0" wp14:anchorId="4A211B64" wp14:editId="7324AC0F">
            <wp:extent cx="5419725" cy="328062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6409" cy="3290726"/>
                    </a:xfrm>
                    <a:prstGeom prst="rect">
                      <a:avLst/>
                    </a:prstGeom>
                    <a:noFill/>
                  </pic:spPr>
                </pic:pic>
              </a:graphicData>
            </a:graphic>
          </wp:inline>
        </w:drawing>
      </w:r>
    </w:p>
    <w:p w:rsidR="00CA7A7B" w:rsidRPr="006E3763" w:rsidRDefault="00CA7A7B" w:rsidP="004941FF">
      <w:pPr>
        <w:pStyle w:val="0G-Titulek"/>
      </w:pPr>
      <w:bookmarkStart w:id="71" w:name="_Toc382326819"/>
      <w:r w:rsidRPr="006E3763">
        <w:t>Obrázek 1</w:t>
      </w:r>
      <w:r w:rsidR="00AF3E7B" w:rsidRPr="006E3763">
        <w:t>5</w:t>
      </w:r>
      <w:r w:rsidRPr="006E3763">
        <w:t xml:space="preserve">: </w:t>
      </w:r>
      <w:r w:rsidR="00AF3E7B" w:rsidRPr="006E3763">
        <w:t>Očekávané změny počtu obyvatel kraj</w:t>
      </w:r>
      <w:r w:rsidR="00CC38B2" w:rsidRPr="006E3763">
        <w:t>ů</w:t>
      </w:r>
      <w:r w:rsidR="00BF44B7">
        <w:t xml:space="preserve"> v období 2008–</w:t>
      </w:r>
      <w:r w:rsidR="00AF3E7B" w:rsidRPr="006E3763">
        <w:t>2050</w:t>
      </w:r>
      <w:r w:rsidR="00CC38B2" w:rsidRPr="006E3763">
        <w:t xml:space="preserve"> (v %)</w:t>
      </w:r>
      <w:bookmarkEnd w:id="71"/>
    </w:p>
    <w:p w:rsidR="00CA7A7B" w:rsidRPr="00096AB4" w:rsidRDefault="00CA7A7B" w:rsidP="00423120">
      <w:pPr>
        <w:keepNext/>
        <w:jc w:val="center"/>
        <w:rPr>
          <w:rFonts w:ascii="Calibri" w:hAnsi="Calibri" w:cs="Calibri"/>
          <w:i/>
        </w:rPr>
      </w:pPr>
      <w:r w:rsidRPr="00096AB4">
        <w:rPr>
          <w:rFonts w:ascii="Calibri" w:hAnsi="Calibri" w:cs="Calibri"/>
          <w:i/>
        </w:rPr>
        <w:t xml:space="preserve">Pramen: </w:t>
      </w:r>
      <w:r w:rsidRPr="00C06AEF">
        <w:rPr>
          <w:rFonts w:eastAsia="Calibri"/>
          <w:i/>
          <w:lang w:eastAsia="en-US"/>
        </w:rPr>
        <w:t>Langhamrová a kol. (2009)</w:t>
      </w:r>
      <w:r w:rsidR="00CC38B2">
        <w:rPr>
          <w:rFonts w:eastAsia="Calibri"/>
          <w:i/>
          <w:lang w:eastAsia="en-US"/>
        </w:rPr>
        <w:t>.</w:t>
      </w:r>
      <w:r w:rsidRPr="00096AB4">
        <w:rPr>
          <w:rFonts w:ascii="Calibri" w:hAnsi="Calibri" w:cs="Calibri"/>
          <w:i/>
        </w:rPr>
        <w:t xml:space="preserve"> </w:t>
      </w:r>
    </w:p>
    <w:p w:rsidR="00A9221E" w:rsidRPr="00A91347" w:rsidRDefault="00D84BEB" w:rsidP="00890421">
      <w:pPr>
        <w:pStyle w:val="03-Nadpis3"/>
      </w:pPr>
      <w:bookmarkStart w:id="72" w:name="_Toc382327196"/>
      <w:r w:rsidRPr="00A91347">
        <w:t>2.6.2. Studie proveditelnosti projektů Aquapark a wellness centrum</w:t>
      </w:r>
      <w:bookmarkEnd w:id="72"/>
      <w:r w:rsidRPr="00A91347">
        <w:t xml:space="preserve"> </w:t>
      </w:r>
    </w:p>
    <w:p w:rsidR="00A9221E" w:rsidRDefault="00F35AE3" w:rsidP="00423120">
      <w:pPr>
        <w:keepNext/>
        <w:ind w:firstLine="709"/>
        <w:jc w:val="both"/>
        <w:rPr>
          <w:rFonts w:cs="Tahoma"/>
          <w:bCs/>
          <w:sz w:val="24"/>
          <w:szCs w:val="24"/>
        </w:rPr>
      </w:pPr>
      <w:r>
        <w:rPr>
          <w:rFonts w:cs="Tahoma"/>
          <w:bCs/>
          <w:sz w:val="24"/>
          <w:szCs w:val="24"/>
        </w:rPr>
        <w:t xml:space="preserve">Městské lázně (krytý bazén nebo aquapark s celoročním provozem) je jedním z nadstandardních prvků volnočasové infrastruktury a pomáhá </w:t>
      </w:r>
      <w:r w:rsidRPr="006F066A">
        <w:rPr>
          <w:rFonts w:cs="Tahoma"/>
          <w:bCs/>
          <w:sz w:val="24"/>
          <w:szCs w:val="24"/>
        </w:rPr>
        <w:t>plnit roli regionálního střediska.</w:t>
      </w:r>
      <w:r>
        <w:rPr>
          <w:rFonts w:cs="Tahoma"/>
          <w:bCs/>
          <w:sz w:val="24"/>
          <w:szCs w:val="24"/>
        </w:rPr>
        <w:t xml:space="preserve"> Kryté bazény (aquaparky) byly v minulosti budovány především v obcích od 10 tis. obyvatel. Tato hranice je také považována za kritickou s ohledem na minimalizaci provozní ztráty. V současnosti velká část těchto areálů prošla významnou modernizací, s využitím prostředků z regionálních operačních p</w:t>
      </w:r>
      <w:r w:rsidR="004D51A1">
        <w:rPr>
          <w:rFonts w:cs="Tahoma"/>
          <w:bCs/>
          <w:sz w:val="24"/>
          <w:szCs w:val="24"/>
        </w:rPr>
        <w:t>rogramů). Výstavba nových areálů</w:t>
      </w:r>
      <w:r>
        <w:rPr>
          <w:rFonts w:cs="Tahoma"/>
          <w:bCs/>
          <w:sz w:val="24"/>
          <w:szCs w:val="24"/>
        </w:rPr>
        <w:t xml:space="preserve"> (doplněných širokou škálou zábavních a wellness aktivit) se pak konc</w:t>
      </w:r>
      <w:r w:rsidR="000856B7">
        <w:rPr>
          <w:rFonts w:cs="Tahoma"/>
          <w:bCs/>
          <w:sz w:val="24"/>
          <w:szCs w:val="24"/>
        </w:rPr>
        <w:t>entruje do velkých měst nebo do </w:t>
      </w:r>
      <w:r>
        <w:rPr>
          <w:rFonts w:cs="Tahoma"/>
          <w:bCs/>
          <w:sz w:val="24"/>
          <w:szCs w:val="24"/>
        </w:rPr>
        <w:t xml:space="preserve">oblastí s vysokým potenciálem cestovního ruchu. </w:t>
      </w:r>
    </w:p>
    <w:p w:rsidR="00A9221E" w:rsidRPr="00A9221E" w:rsidRDefault="00F35AE3" w:rsidP="00423120">
      <w:pPr>
        <w:keepNext/>
        <w:ind w:firstLine="709"/>
        <w:jc w:val="both"/>
        <w:rPr>
          <w:rFonts w:cs="Tahoma"/>
          <w:bCs/>
          <w:sz w:val="24"/>
          <w:szCs w:val="24"/>
        </w:rPr>
      </w:pPr>
      <w:r>
        <w:rPr>
          <w:rFonts w:cs="Tahoma"/>
          <w:bCs/>
          <w:sz w:val="24"/>
          <w:szCs w:val="24"/>
        </w:rPr>
        <w:t xml:space="preserve">Případová studie přestavuje generální </w:t>
      </w:r>
      <w:r w:rsidRPr="006F066A">
        <w:rPr>
          <w:rFonts w:cs="Tahoma"/>
          <w:bCs/>
          <w:sz w:val="24"/>
          <w:szCs w:val="24"/>
        </w:rPr>
        <w:t>rekonstrukci krytého plaveckého bazénu se základním volnočasovým a wellness zázemím</w:t>
      </w:r>
      <w:r>
        <w:rPr>
          <w:rFonts w:cs="Tahoma"/>
          <w:bCs/>
          <w:sz w:val="24"/>
          <w:szCs w:val="24"/>
        </w:rPr>
        <w:t xml:space="preserve"> v menším městě. Stávající bazén ze 70. </w:t>
      </w:r>
      <w:r w:rsidRPr="006F066A">
        <w:rPr>
          <w:rFonts w:cs="Tahoma"/>
          <w:bCs/>
          <w:sz w:val="24"/>
          <w:szCs w:val="24"/>
        </w:rPr>
        <w:t>let minulého století je v havar</w:t>
      </w:r>
      <w:r w:rsidR="004D51A1">
        <w:rPr>
          <w:rFonts w:cs="Tahoma"/>
          <w:bCs/>
          <w:sz w:val="24"/>
          <w:szCs w:val="24"/>
        </w:rPr>
        <w:t xml:space="preserve">ijním stavu a již několik let </w:t>
      </w:r>
      <w:r w:rsidRPr="006F066A">
        <w:rPr>
          <w:rFonts w:cs="Tahoma"/>
          <w:bCs/>
          <w:sz w:val="24"/>
          <w:szCs w:val="24"/>
        </w:rPr>
        <w:t xml:space="preserve">mimo provoz. Plánovaná kapacita </w:t>
      </w:r>
      <w:r w:rsidRPr="006F066A">
        <w:rPr>
          <w:rFonts w:cs="Tahoma"/>
          <w:bCs/>
          <w:sz w:val="24"/>
          <w:szCs w:val="24"/>
        </w:rPr>
        <w:lastRenderedPageBreak/>
        <w:t xml:space="preserve">bazénu je </w:t>
      </w:r>
      <w:r>
        <w:rPr>
          <w:rFonts w:cs="Tahoma"/>
          <w:bCs/>
          <w:sz w:val="24"/>
          <w:szCs w:val="24"/>
        </w:rPr>
        <w:t>25</w:t>
      </w:r>
      <w:r w:rsidRPr="006F066A">
        <w:rPr>
          <w:rFonts w:cs="Tahoma"/>
          <w:bCs/>
          <w:sz w:val="24"/>
          <w:szCs w:val="24"/>
        </w:rPr>
        <w:t>0 osob, celková vodní plocha 420 m</w:t>
      </w:r>
      <w:r w:rsidRPr="005972C7">
        <w:rPr>
          <w:rFonts w:cs="Tahoma"/>
          <w:bCs/>
          <w:sz w:val="24"/>
          <w:szCs w:val="24"/>
          <w:vertAlign w:val="superscript"/>
        </w:rPr>
        <w:t>2</w:t>
      </w:r>
      <w:r w:rsidRPr="006F066A">
        <w:rPr>
          <w:rFonts w:cs="Tahoma"/>
          <w:bCs/>
          <w:sz w:val="24"/>
          <w:szCs w:val="24"/>
        </w:rPr>
        <w:t>, předpokládaná roční návštěvnost 200</w:t>
      </w:r>
      <w:r>
        <w:rPr>
          <w:rFonts w:cs="Tahoma"/>
          <w:bCs/>
          <w:sz w:val="24"/>
          <w:szCs w:val="24"/>
        </w:rPr>
        <w:t xml:space="preserve"> tis. </w:t>
      </w:r>
      <w:r w:rsidRPr="006F066A">
        <w:rPr>
          <w:rFonts w:cs="Tahoma"/>
          <w:bCs/>
          <w:sz w:val="24"/>
          <w:szCs w:val="24"/>
        </w:rPr>
        <w:t xml:space="preserve">osob. Investiční náklady </w:t>
      </w:r>
      <w:r w:rsidR="00A9221E">
        <w:rPr>
          <w:rFonts w:cs="Tahoma"/>
          <w:bCs/>
          <w:sz w:val="24"/>
          <w:szCs w:val="24"/>
        </w:rPr>
        <w:t>jsou odhadovány na 170 mil. Kč.</w:t>
      </w:r>
    </w:p>
    <w:p w:rsidR="00A9221E" w:rsidRPr="00A9221E" w:rsidRDefault="00F35AE3" w:rsidP="00423120">
      <w:pPr>
        <w:keepNext/>
        <w:jc w:val="both"/>
        <w:rPr>
          <w:b/>
        </w:rPr>
      </w:pPr>
      <w:r w:rsidRPr="00A9221E">
        <w:rPr>
          <w:b/>
        </w:rPr>
        <w:t>A</w:t>
      </w:r>
      <w:r w:rsidR="00A9221E" w:rsidRPr="00A9221E">
        <w:rPr>
          <w:b/>
        </w:rPr>
        <w:t>nalýza trhu a technické řešení</w:t>
      </w:r>
    </w:p>
    <w:p w:rsidR="00F35AE3" w:rsidRPr="00A9221E" w:rsidRDefault="00F35AE3" w:rsidP="00423120">
      <w:pPr>
        <w:keepNext/>
        <w:ind w:firstLine="709"/>
        <w:jc w:val="both"/>
      </w:pPr>
      <w:r w:rsidRPr="00272F57">
        <w:rPr>
          <w:sz w:val="24"/>
          <w:szCs w:val="24"/>
        </w:rPr>
        <w:t>Kritickým bodem výstavby aquaparku je existence poptávky po využití jeho služeb</w:t>
      </w:r>
      <w:r w:rsidR="004D51A1">
        <w:rPr>
          <w:sz w:val="24"/>
          <w:szCs w:val="24"/>
        </w:rPr>
        <w:t xml:space="preserve"> (Šťastný, </w:t>
      </w:r>
      <w:r>
        <w:rPr>
          <w:sz w:val="24"/>
          <w:szCs w:val="24"/>
        </w:rPr>
        <w:t>2003)</w:t>
      </w:r>
      <w:r w:rsidRPr="00272F57">
        <w:rPr>
          <w:sz w:val="24"/>
          <w:szCs w:val="24"/>
        </w:rPr>
        <w:t>. Výsledným produktem aquaparku bude komplexní nabídka „mokrých“ volnočasových aktivit.  Projekt zahrnuje jak plaveckou část (kondiční i rekreační plavání)</w:t>
      </w:r>
      <w:r w:rsidR="00B5476D">
        <w:rPr>
          <w:sz w:val="24"/>
          <w:szCs w:val="24"/>
        </w:rPr>
        <w:t>,</w:t>
      </w:r>
      <w:r w:rsidRPr="00272F57">
        <w:rPr>
          <w:sz w:val="24"/>
          <w:szCs w:val="24"/>
        </w:rPr>
        <w:t xml:space="preserve"> tak i typickou wellness a relaxační část (odpočinkové bazény, wh</w:t>
      </w:r>
      <w:r w:rsidR="000856B7">
        <w:rPr>
          <w:sz w:val="24"/>
          <w:szCs w:val="24"/>
        </w:rPr>
        <w:t>irpooly, parní saunu, tobogán a </w:t>
      </w:r>
      <w:r w:rsidRPr="00272F57">
        <w:rPr>
          <w:sz w:val="24"/>
          <w:szCs w:val="24"/>
        </w:rPr>
        <w:t xml:space="preserve">ostatní vodní atrakce). Součástí areálu je i možnost základního občerstvení. </w:t>
      </w:r>
    </w:p>
    <w:p w:rsidR="00F35AE3" w:rsidRPr="00272F57" w:rsidRDefault="00F35AE3" w:rsidP="00423120">
      <w:pPr>
        <w:keepNext/>
        <w:ind w:firstLine="720"/>
        <w:jc w:val="both"/>
        <w:rPr>
          <w:sz w:val="24"/>
          <w:szCs w:val="24"/>
        </w:rPr>
      </w:pPr>
      <w:r w:rsidRPr="00272F57">
        <w:rPr>
          <w:sz w:val="24"/>
          <w:szCs w:val="24"/>
        </w:rPr>
        <w:t>Typickým klientem vodních center jsou rodiny s dětmi, samostatné děti a mladí lidé do 30 let, sportovně zaměřená střední generace (relativně nejistá cílová skupina, obtížně ovlivnitelná nabídkou atrakcí) a organizované skupiny. Ostatní cílové s</w:t>
      </w:r>
      <w:r w:rsidR="00B5476D">
        <w:rPr>
          <w:sz w:val="24"/>
          <w:szCs w:val="24"/>
        </w:rPr>
        <w:t>kupiny mají z hlediska využití a</w:t>
      </w:r>
      <w:r w:rsidRPr="00272F57">
        <w:rPr>
          <w:sz w:val="24"/>
          <w:szCs w:val="24"/>
        </w:rPr>
        <w:t>quaparku spíše okrajový význam, jedná se zejména o turisty nebo příležitostné návštěvníky regionu. Z hlediska zájmového území je možno při předpokladu převažující</w:t>
      </w:r>
      <w:r>
        <w:rPr>
          <w:sz w:val="24"/>
          <w:szCs w:val="24"/>
        </w:rPr>
        <w:t>ch</w:t>
      </w:r>
      <w:r w:rsidRPr="00272F57">
        <w:rPr>
          <w:sz w:val="24"/>
          <w:szCs w:val="24"/>
        </w:rPr>
        <w:t xml:space="preserve"> krátkodob</w:t>
      </w:r>
      <w:r>
        <w:rPr>
          <w:sz w:val="24"/>
          <w:szCs w:val="24"/>
        </w:rPr>
        <w:t>ých</w:t>
      </w:r>
      <w:r w:rsidR="00B5476D">
        <w:rPr>
          <w:sz w:val="24"/>
          <w:szCs w:val="24"/>
        </w:rPr>
        <w:t xml:space="preserve"> návštěv a</w:t>
      </w:r>
      <w:r w:rsidRPr="00272F57">
        <w:rPr>
          <w:sz w:val="24"/>
          <w:szCs w:val="24"/>
        </w:rPr>
        <w:t>quaparku na základě dopravní dostupnosti definovat tři základní kategorie spádových oblastí: zájmové území kategorie A (dotčené město, převážně docházková vzdálenost)</w:t>
      </w:r>
      <w:r>
        <w:rPr>
          <w:sz w:val="24"/>
          <w:szCs w:val="24"/>
        </w:rPr>
        <w:t>,</w:t>
      </w:r>
      <w:r w:rsidRPr="00272F57">
        <w:rPr>
          <w:sz w:val="24"/>
          <w:szCs w:val="24"/>
        </w:rPr>
        <w:t xml:space="preserve"> zájmové území kategorie B (přirozená spádová oblast)</w:t>
      </w:r>
      <w:r>
        <w:rPr>
          <w:sz w:val="24"/>
          <w:szCs w:val="24"/>
        </w:rPr>
        <w:t xml:space="preserve"> a </w:t>
      </w:r>
      <w:r w:rsidRPr="00272F57">
        <w:rPr>
          <w:sz w:val="24"/>
          <w:szCs w:val="24"/>
        </w:rPr>
        <w:t>zájmové území kategorie C (území ohraničené 30 min</w:t>
      </w:r>
      <w:r w:rsidR="00B5476D">
        <w:rPr>
          <w:sz w:val="24"/>
          <w:szCs w:val="24"/>
        </w:rPr>
        <w:t>.</w:t>
      </w:r>
      <w:r w:rsidRPr="00272F57">
        <w:rPr>
          <w:sz w:val="24"/>
          <w:szCs w:val="24"/>
        </w:rPr>
        <w:t xml:space="preserve"> dopravní izochronou). </w:t>
      </w:r>
    </w:p>
    <w:p w:rsidR="00F35AE3" w:rsidRPr="00272F57" w:rsidRDefault="00F35AE3" w:rsidP="00423120">
      <w:pPr>
        <w:keepNext/>
        <w:ind w:firstLine="720"/>
        <w:jc w:val="both"/>
        <w:rPr>
          <w:sz w:val="24"/>
          <w:szCs w:val="24"/>
        </w:rPr>
      </w:pPr>
      <w:r w:rsidRPr="00272F57">
        <w:rPr>
          <w:sz w:val="24"/>
          <w:szCs w:val="24"/>
        </w:rPr>
        <w:t>Zájmové území kategorie A je představováno především dotč</w:t>
      </w:r>
      <w:r w:rsidR="00186C1E">
        <w:rPr>
          <w:sz w:val="24"/>
          <w:szCs w:val="24"/>
        </w:rPr>
        <w:t>eným městem, vzhledem k poloze a</w:t>
      </w:r>
      <w:r w:rsidRPr="00272F57">
        <w:rPr>
          <w:sz w:val="24"/>
          <w:szCs w:val="24"/>
        </w:rPr>
        <w:t>quaparku a velikosti města lze takřka celé území považovat za docházkovou vzdálenost (pěší chůze do 15 min.). Počet obyvatel v zájmovém území kategorie A činí přibližně 10</w:t>
      </w:r>
      <w:r w:rsidR="00186C1E">
        <w:rPr>
          <w:sz w:val="24"/>
          <w:szCs w:val="24"/>
        </w:rPr>
        <w:t xml:space="preserve"> </w:t>
      </w:r>
      <w:r w:rsidRPr="00272F57">
        <w:rPr>
          <w:sz w:val="24"/>
          <w:szCs w:val="24"/>
        </w:rPr>
        <w:t>000. Zájmové území kategorie B je tvořeno přirozeným spádovým územím města. Jedná se především o sousední obce (cca do vzdálenosti 10 km) a obce, jejichž obyvatelé přes město pravidelně projíždějí při dojížďce do urbanizačního centra (krajského města). Počet obyvatel v zájmovém území kategorie B činí také přibližně 10</w:t>
      </w:r>
      <w:r w:rsidR="00186C1E">
        <w:rPr>
          <w:sz w:val="24"/>
          <w:szCs w:val="24"/>
        </w:rPr>
        <w:t xml:space="preserve"> </w:t>
      </w:r>
      <w:r w:rsidR="000856B7">
        <w:rPr>
          <w:sz w:val="24"/>
          <w:szCs w:val="24"/>
        </w:rPr>
        <w:t>000 osob. V </w:t>
      </w:r>
      <w:r w:rsidRPr="00272F57">
        <w:rPr>
          <w:sz w:val="24"/>
          <w:szCs w:val="24"/>
        </w:rPr>
        <w:t>zájmovém území kategorie A a B bude jednoznačně převažovat podíl pravidelných uživatelů a obyvatelé tohoto území jsou také primární cílovou skupinou projektu. Zájmové území kategorie C je ohraničeno 30 min. dopravní izochronou (při jízdě osobním autem). Tato hodnota je brána jako limitní pro krátkodobou návštěvu sportovních areálů (u větších vodních center, např. termálních lázní, umožňujících i celodenní pobyt je tato vzdálenost odpovídajícím způsobem větší). Vzhledem ke skutečnosti, že město leží v zázemí (vzdálenost cca 15 km) od významného krajského města, činí počet obyvatel v tomto území až 400</w:t>
      </w:r>
      <w:r w:rsidR="000856B7">
        <w:rPr>
          <w:sz w:val="24"/>
          <w:szCs w:val="24"/>
        </w:rPr>
        <w:t xml:space="preserve"> tis. a </w:t>
      </w:r>
      <w:r w:rsidRPr="00272F57">
        <w:rPr>
          <w:sz w:val="24"/>
          <w:szCs w:val="24"/>
        </w:rPr>
        <w:t xml:space="preserve">lze </w:t>
      </w:r>
      <w:r>
        <w:rPr>
          <w:sz w:val="24"/>
          <w:szCs w:val="24"/>
        </w:rPr>
        <w:t xml:space="preserve">tak </w:t>
      </w:r>
      <w:r w:rsidRPr="00272F57">
        <w:rPr>
          <w:sz w:val="24"/>
          <w:szCs w:val="24"/>
        </w:rPr>
        <w:t>předpokládat vysokou citlivost na nabídku konkurenčních zařízení v regionu. Urbanistický ukazatel vodní plochy v zájmovém území A a B činí přibližně 0,02 m</w:t>
      </w:r>
      <w:r w:rsidRPr="00AD1961">
        <w:rPr>
          <w:sz w:val="24"/>
          <w:szCs w:val="24"/>
          <w:vertAlign w:val="superscript"/>
        </w:rPr>
        <w:t>2</w:t>
      </w:r>
      <w:r w:rsidRPr="00272F57">
        <w:rPr>
          <w:sz w:val="24"/>
          <w:szCs w:val="24"/>
        </w:rPr>
        <w:t xml:space="preserve"> kryté vodní plochy na obyvatele, při rozšíření území o C potom (při započtení 5 dalších bazénů, viz níže) potom pouhých 0,006 </w:t>
      </w:r>
      <w:r w:rsidRPr="006F066A">
        <w:rPr>
          <w:rFonts w:cs="Tahoma"/>
          <w:bCs/>
          <w:sz w:val="24"/>
          <w:szCs w:val="24"/>
        </w:rPr>
        <w:t>m</w:t>
      </w:r>
      <w:r w:rsidRPr="005972C7">
        <w:rPr>
          <w:rFonts w:cs="Tahoma"/>
          <w:bCs/>
          <w:sz w:val="24"/>
          <w:szCs w:val="24"/>
          <w:vertAlign w:val="superscript"/>
        </w:rPr>
        <w:t>2</w:t>
      </w:r>
      <w:r w:rsidRPr="00272F57">
        <w:rPr>
          <w:sz w:val="24"/>
          <w:szCs w:val="24"/>
        </w:rPr>
        <w:t xml:space="preserve"> na obyvatele. V nejužším zájmovém území A a B je tak mírně překročena doporučená hodnota (100% plnění urbanistického ukazatele činí 0,015 </w:t>
      </w:r>
      <w:r w:rsidRPr="006F066A">
        <w:rPr>
          <w:rFonts w:cs="Tahoma"/>
          <w:bCs/>
          <w:sz w:val="24"/>
          <w:szCs w:val="24"/>
        </w:rPr>
        <w:t>m</w:t>
      </w:r>
      <w:r w:rsidRPr="005972C7">
        <w:rPr>
          <w:rFonts w:cs="Tahoma"/>
          <w:bCs/>
          <w:sz w:val="24"/>
          <w:szCs w:val="24"/>
          <w:vertAlign w:val="superscript"/>
        </w:rPr>
        <w:t>2</w:t>
      </w:r>
      <w:r w:rsidR="000856B7">
        <w:rPr>
          <w:sz w:val="24"/>
          <w:szCs w:val="24"/>
        </w:rPr>
        <w:t xml:space="preserve"> na </w:t>
      </w:r>
      <w:r w:rsidRPr="00272F57">
        <w:rPr>
          <w:sz w:val="24"/>
          <w:szCs w:val="24"/>
        </w:rPr>
        <w:t xml:space="preserve">obyvatele), v širším zájmovém území </w:t>
      </w:r>
      <w:r>
        <w:rPr>
          <w:sz w:val="24"/>
          <w:szCs w:val="24"/>
        </w:rPr>
        <w:t xml:space="preserve">je </w:t>
      </w:r>
      <w:r w:rsidRPr="00272F57">
        <w:rPr>
          <w:sz w:val="24"/>
          <w:szCs w:val="24"/>
        </w:rPr>
        <w:t xml:space="preserve">naopak výrazně </w:t>
      </w:r>
      <w:r>
        <w:rPr>
          <w:sz w:val="24"/>
          <w:szCs w:val="24"/>
        </w:rPr>
        <w:t>podkročena</w:t>
      </w:r>
      <w:r w:rsidRPr="00272F57">
        <w:rPr>
          <w:sz w:val="24"/>
          <w:szCs w:val="24"/>
        </w:rPr>
        <w:t xml:space="preserve">. </w:t>
      </w:r>
    </w:p>
    <w:p w:rsidR="00F35AE3" w:rsidRPr="00272F57" w:rsidRDefault="00F35AE3" w:rsidP="000112D6">
      <w:pPr>
        <w:keepNext/>
        <w:ind w:firstLine="720"/>
        <w:jc w:val="both"/>
        <w:rPr>
          <w:sz w:val="24"/>
          <w:szCs w:val="24"/>
        </w:rPr>
      </w:pPr>
      <w:r w:rsidRPr="00272F57">
        <w:rPr>
          <w:sz w:val="24"/>
          <w:szCs w:val="24"/>
        </w:rPr>
        <w:t>V řešeném území nemá projekt žádnou přímou konkurenci. Nejbližší aquaparky (kryté bazény) se nachází v 15 km vzdáleném krajském městě, jejich kapacita je ale zcela zaplněna. Celkem se jedná o 5 krytých bazénů, z nichž ale pouze 3</w:t>
      </w:r>
      <w:r w:rsidR="000856B7">
        <w:rPr>
          <w:sz w:val="24"/>
          <w:szCs w:val="24"/>
        </w:rPr>
        <w:t xml:space="preserve"> jsou nové nebo modernizované a </w:t>
      </w:r>
      <w:r w:rsidRPr="00272F57">
        <w:rPr>
          <w:sz w:val="24"/>
          <w:szCs w:val="24"/>
        </w:rPr>
        <w:t>jsou do rozsahu nebo kvality nabídky služeb srovn</w:t>
      </w:r>
      <w:r w:rsidR="000856B7">
        <w:rPr>
          <w:sz w:val="24"/>
          <w:szCs w:val="24"/>
        </w:rPr>
        <w:t xml:space="preserve">atelné se zamýšleným areálem. </w:t>
      </w:r>
      <w:r w:rsidR="000856B7">
        <w:rPr>
          <w:sz w:val="24"/>
          <w:szCs w:val="24"/>
        </w:rPr>
        <w:lastRenderedPageBreak/>
        <w:t>V </w:t>
      </w:r>
      <w:r w:rsidRPr="00272F57">
        <w:rPr>
          <w:sz w:val="24"/>
          <w:szCs w:val="24"/>
        </w:rPr>
        <w:t xml:space="preserve">okolních obcích se nachází další dva kryté bazény, jeden </w:t>
      </w:r>
      <w:r w:rsidR="000856B7">
        <w:rPr>
          <w:sz w:val="24"/>
          <w:szCs w:val="24"/>
        </w:rPr>
        <w:t>ve vzdálenosti 16 km a druhý 28 </w:t>
      </w:r>
      <w:r w:rsidRPr="00272F57">
        <w:rPr>
          <w:sz w:val="24"/>
          <w:szCs w:val="24"/>
        </w:rPr>
        <w:t>km (obě tato zařízení ale nebyla modernizována a neposkytují prakticky žádné wellness aktivity n</w:t>
      </w:r>
      <w:r w:rsidR="00186C1E">
        <w:rPr>
          <w:sz w:val="24"/>
          <w:szCs w:val="24"/>
        </w:rPr>
        <w:t>ebo atrakce). Cenová hladina všech zařízení je</w:t>
      </w:r>
      <w:r w:rsidRPr="00272F57">
        <w:rPr>
          <w:sz w:val="24"/>
          <w:szCs w:val="24"/>
        </w:rPr>
        <w:t xml:space="preserve"> obdobná a pohybuje se mezi 50 až 85,- Kč za základní hodinové vstupné, wellness aktivity (whirpooly, tobogany, apod.) jsou obvykle bez příplatku. Určitou hrozbu z hlediska konkurence může do budoucna představovat výstavba velkého lázeňského centra využívajícího termálníc</w:t>
      </w:r>
      <w:r w:rsidR="000856B7">
        <w:rPr>
          <w:sz w:val="24"/>
          <w:szCs w:val="24"/>
        </w:rPr>
        <w:t>h pramenů ve vzdálenosti cca 70 </w:t>
      </w:r>
      <w:r w:rsidRPr="00272F57">
        <w:rPr>
          <w:sz w:val="24"/>
          <w:szCs w:val="24"/>
        </w:rPr>
        <w:t>km. Návštěvnost tě</w:t>
      </w:r>
      <w:r w:rsidR="00186C1E">
        <w:rPr>
          <w:sz w:val="24"/>
          <w:szCs w:val="24"/>
        </w:rPr>
        <w:t xml:space="preserve">chto zařízení se pohybuje od 50 </w:t>
      </w:r>
      <w:r w:rsidRPr="00272F57">
        <w:rPr>
          <w:sz w:val="24"/>
          <w:szCs w:val="24"/>
        </w:rPr>
        <w:t>000</w:t>
      </w:r>
      <w:r w:rsidR="000856B7">
        <w:rPr>
          <w:sz w:val="24"/>
          <w:szCs w:val="24"/>
        </w:rPr>
        <w:t xml:space="preserve"> (menší bazény bez wellness) po </w:t>
      </w:r>
      <w:r w:rsidRPr="00272F57">
        <w:rPr>
          <w:sz w:val="24"/>
          <w:szCs w:val="24"/>
        </w:rPr>
        <w:t>200</w:t>
      </w:r>
      <w:r w:rsidR="00186C1E">
        <w:rPr>
          <w:sz w:val="24"/>
          <w:szCs w:val="24"/>
        </w:rPr>
        <w:t xml:space="preserve"> 000</w:t>
      </w:r>
      <w:r>
        <w:rPr>
          <w:sz w:val="24"/>
          <w:szCs w:val="24"/>
        </w:rPr>
        <w:t xml:space="preserve"> </w:t>
      </w:r>
      <w:r w:rsidRPr="00272F57">
        <w:rPr>
          <w:sz w:val="24"/>
          <w:szCs w:val="24"/>
        </w:rPr>
        <w:t>osob ročně (srovnateln</w:t>
      </w:r>
      <w:r w:rsidR="000112D6">
        <w:rPr>
          <w:sz w:val="24"/>
          <w:szCs w:val="24"/>
        </w:rPr>
        <w:t xml:space="preserve">é bazény s wellness službami). </w:t>
      </w:r>
    </w:p>
    <w:p w:rsidR="00F35AE3" w:rsidRPr="00272F57" w:rsidRDefault="00186C1E" w:rsidP="00423120">
      <w:pPr>
        <w:keepNext/>
        <w:ind w:firstLine="720"/>
        <w:jc w:val="both"/>
        <w:rPr>
          <w:sz w:val="24"/>
          <w:szCs w:val="24"/>
        </w:rPr>
      </w:pPr>
      <w:r>
        <w:rPr>
          <w:sz w:val="24"/>
          <w:szCs w:val="24"/>
        </w:rPr>
        <w:t>Předpokládaná návštěvnost a</w:t>
      </w:r>
      <w:r w:rsidR="00F35AE3" w:rsidRPr="00272F57">
        <w:rPr>
          <w:sz w:val="24"/>
          <w:szCs w:val="24"/>
        </w:rPr>
        <w:t>quaparku je 200</w:t>
      </w:r>
      <w:r>
        <w:rPr>
          <w:sz w:val="24"/>
          <w:szCs w:val="24"/>
        </w:rPr>
        <w:t xml:space="preserve"> 000</w:t>
      </w:r>
      <w:r w:rsidR="00F35AE3">
        <w:rPr>
          <w:sz w:val="24"/>
          <w:szCs w:val="24"/>
        </w:rPr>
        <w:t xml:space="preserve"> </w:t>
      </w:r>
      <w:r w:rsidR="00F35AE3" w:rsidRPr="00272F57">
        <w:rPr>
          <w:sz w:val="24"/>
          <w:szCs w:val="24"/>
        </w:rPr>
        <w:t>osob ročně. Tato hodnota představuje přibližně 2,5 násobek návštěvnosti před uzavřením bazénu z důvodu havarijního stavu a odpovídá cca 28% vytíženosti bazénu (okamžitá kapacita 250 osob x 360 dní x 12 hod. provoz</w:t>
      </w:r>
      <w:r>
        <w:rPr>
          <w:sz w:val="24"/>
          <w:szCs w:val="24"/>
        </w:rPr>
        <w:t>u</w:t>
      </w:r>
      <w:r w:rsidR="00F35AE3" w:rsidRPr="00272F57">
        <w:rPr>
          <w:sz w:val="24"/>
          <w:szCs w:val="24"/>
        </w:rPr>
        <w:t xml:space="preserve"> denně/1,5 hod. průměrn</w:t>
      </w:r>
      <w:r w:rsidR="00F35AE3">
        <w:rPr>
          <w:sz w:val="24"/>
          <w:szCs w:val="24"/>
        </w:rPr>
        <w:t>ého</w:t>
      </w:r>
      <w:r w:rsidR="00F35AE3" w:rsidRPr="00272F57">
        <w:rPr>
          <w:sz w:val="24"/>
          <w:szCs w:val="24"/>
        </w:rPr>
        <w:t xml:space="preserve"> pobyt</w:t>
      </w:r>
      <w:r w:rsidR="00F35AE3">
        <w:rPr>
          <w:sz w:val="24"/>
          <w:szCs w:val="24"/>
        </w:rPr>
        <w:t>u</w:t>
      </w:r>
      <w:r w:rsidR="00F35AE3" w:rsidRPr="00272F57">
        <w:rPr>
          <w:sz w:val="24"/>
          <w:szCs w:val="24"/>
        </w:rPr>
        <w:t>). Struktura návštěvníků předpokládá cca 15</w:t>
      </w:r>
      <w:r>
        <w:rPr>
          <w:sz w:val="24"/>
          <w:szCs w:val="24"/>
        </w:rPr>
        <w:t> </w:t>
      </w:r>
      <w:r w:rsidR="00F35AE3" w:rsidRPr="00272F57">
        <w:rPr>
          <w:sz w:val="24"/>
          <w:szCs w:val="24"/>
        </w:rPr>
        <w:t>% organizovan</w:t>
      </w:r>
      <w:r w:rsidR="00F35AE3">
        <w:rPr>
          <w:sz w:val="24"/>
          <w:szCs w:val="24"/>
        </w:rPr>
        <w:t>ých</w:t>
      </w:r>
      <w:r w:rsidR="00F35AE3" w:rsidRPr="00272F57">
        <w:rPr>
          <w:sz w:val="24"/>
          <w:szCs w:val="24"/>
        </w:rPr>
        <w:t xml:space="preserve"> skupin škol, firem nebo zájmových sdružení. Vstupné do aquaparku bude časově omezeno (předpokládá se 60 min. pobyt + 30 min. na převlečení). Základní vstupné bude 100 Kč/90 min., zlevněné vstupné </w:t>
      </w:r>
      <w:r w:rsidR="00F35AE3">
        <w:rPr>
          <w:sz w:val="24"/>
          <w:szCs w:val="24"/>
        </w:rPr>
        <w:t xml:space="preserve">pro </w:t>
      </w:r>
      <w:r w:rsidR="00F35AE3" w:rsidRPr="00272F57">
        <w:rPr>
          <w:sz w:val="24"/>
          <w:szCs w:val="24"/>
        </w:rPr>
        <w:t>děti do 15 let 70 Kč/90 min., rodinné vstupné (2 děti a 2 dospělí) 300</w:t>
      </w:r>
      <w:r w:rsidR="00F35AE3">
        <w:rPr>
          <w:sz w:val="24"/>
          <w:szCs w:val="24"/>
        </w:rPr>
        <w:t xml:space="preserve"> </w:t>
      </w:r>
      <w:r w:rsidR="00F35AE3" w:rsidRPr="00272F57">
        <w:rPr>
          <w:sz w:val="24"/>
          <w:szCs w:val="24"/>
        </w:rPr>
        <w:t xml:space="preserve">Kč/90 min. Propagace bude zajišťována především PR články v místním a regionálním tisku a odpovídají prezentací na internetu (pravidelně aktualizované internetové stránky). Propagace bude dále zajišťována pro mimořádné akce. </w:t>
      </w:r>
    </w:p>
    <w:p w:rsidR="00F35AE3" w:rsidRDefault="00F35AE3" w:rsidP="00423120">
      <w:pPr>
        <w:keepNext/>
        <w:ind w:firstLine="720"/>
        <w:jc w:val="both"/>
        <w:rPr>
          <w:sz w:val="24"/>
          <w:szCs w:val="24"/>
        </w:rPr>
      </w:pPr>
      <w:r w:rsidRPr="00272F57">
        <w:rPr>
          <w:sz w:val="24"/>
          <w:szCs w:val="24"/>
        </w:rPr>
        <w:t>Nově navrhovaný bazén (aquapark) bude disponova</w:t>
      </w:r>
      <w:r w:rsidR="000856B7">
        <w:rPr>
          <w:sz w:val="24"/>
          <w:szCs w:val="24"/>
        </w:rPr>
        <w:t>t plaveckým bazénem 25 x 9 m (4 </w:t>
      </w:r>
      <w:r w:rsidRPr="00272F57">
        <w:rPr>
          <w:sz w:val="24"/>
          <w:szCs w:val="24"/>
        </w:rPr>
        <w:t>dráhy, hloubka 1,2 - 2,0 m), rekreačním bazénem o ploše 150 m</w:t>
      </w:r>
      <w:r w:rsidRPr="00272F57">
        <w:rPr>
          <w:sz w:val="24"/>
          <w:szCs w:val="24"/>
          <w:vertAlign w:val="superscript"/>
        </w:rPr>
        <w:t>2</w:t>
      </w:r>
      <w:r w:rsidR="00BF44B7">
        <w:rPr>
          <w:sz w:val="24"/>
          <w:szCs w:val="24"/>
        </w:rPr>
        <w:t xml:space="preserve"> (hloubka 1,0–</w:t>
      </w:r>
      <w:r w:rsidRPr="00272F57">
        <w:rPr>
          <w:sz w:val="24"/>
          <w:szCs w:val="24"/>
        </w:rPr>
        <w:t>1,5 m), venkovním bazénem spojeným krčkem s rekreačním bazénem o ploše 20 m</w:t>
      </w:r>
      <w:r w:rsidRPr="00272F57">
        <w:rPr>
          <w:sz w:val="24"/>
          <w:szCs w:val="24"/>
          <w:vertAlign w:val="superscript"/>
        </w:rPr>
        <w:t>2</w:t>
      </w:r>
      <w:r w:rsidRPr="00272F57">
        <w:rPr>
          <w:sz w:val="24"/>
          <w:szCs w:val="24"/>
        </w:rPr>
        <w:t xml:space="preserve"> (hloubka 1,2 m), dětským brouzdalištěm o ploše 10 </w:t>
      </w:r>
      <w:r w:rsidRPr="006F066A">
        <w:rPr>
          <w:rFonts w:cs="Tahoma"/>
          <w:bCs/>
          <w:sz w:val="24"/>
          <w:szCs w:val="24"/>
        </w:rPr>
        <w:t>m</w:t>
      </w:r>
      <w:r w:rsidRPr="005972C7">
        <w:rPr>
          <w:rFonts w:cs="Tahoma"/>
          <w:bCs/>
          <w:sz w:val="24"/>
          <w:szCs w:val="24"/>
          <w:vertAlign w:val="superscript"/>
        </w:rPr>
        <w:t>2</w:t>
      </w:r>
      <w:r w:rsidRPr="00272F57">
        <w:rPr>
          <w:sz w:val="24"/>
          <w:szCs w:val="24"/>
        </w:rPr>
        <w:t xml:space="preserve"> (hloubka 0,3 až 0,6 m), perličkovou lázní (12 </w:t>
      </w:r>
      <w:r w:rsidRPr="006F066A">
        <w:rPr>
          <w:rFonts w:cs="Tahoma"/>
          <w:bCs/>
          <w:sz w:val="24"/>
          <w:szCs w:val="24"/>
        </w:rPr>
        <w:t>m</w:t>
      </w:r>
      <w:r w:rsidRPr="005972C7">
        <w:rPr>
          <w:rFonts w:cs="Tahoma"/>
          <w:bCs/>
          <w:sz w:val="24"/>
          <w:szCs w:val="24"/>
          <w:vertAlign w:val="superscript"/>
        </w:rPr>
        <w:t>2</w:t>
      </w:r>
      <w:r w:rsidRPr="00272F57">
        <w:rPr>
          <w:sz w:val="24"/>
          <w:szCs w:val="24"/>
        </w:rPr>
        <w:t>, kapacita 8 osob), tobogánem (délka 80 m), parní lázní (kapacita 8 osob) a dalšími doplňkovými atraktivitami (divoká řeka, masážní trysky, apod.).  Z hlediska technického řešení bude použita nosná konstrukce budovy ze železobetonových sloupů s ocelovými vazníky. Obvodový plát bude z jižní a západní strany prosklený s výhledem na stávající letní koupaliště. Úpravna vody je navržena v souladu s vyhláško</w:t>
      </w:r>
      <w:r w:rsidR="000856B7">
        <w:rPr>
          <w:sz w:val="24"/>
          <w:szCs w:val="24"/>
        </w:rPr>
        <w:t>u Ministerstva zdravotnictví č. </w:t>
      </w:r>
      <w:r w:rsidRPr="00272F57">
        <w:rPr>
          <w:sz w:val="24"/>
          <w:szCs w:val="24"/>
        </w:rPr>
        <w:t>464/2000 Sb., kterou se stanoví hygienické požadavky na koupaliště, sauny a hygienické limity venkovních hracích ploch. Úprava vody bude založen</w:t>
      </w:r>
      <w:r w:rsidR="000856B7">
        <w:rPr>
          <w:sz w:val="24"/>
          <w:szCs w:val="24"/>
        </w:rPr>
        <w:t>a na recirkulační technologii s </w:t>
      </w:r>
      <w:r w:rsidRPr="00272F57">
        <w:rPr>
          <w:sz w:val="24"/>
          <w:szCs w:val="24"/>
        </w:rPr>
        <w:t>akumulační nádrží 200 m</w:t>
      </w:r>
      <w:r w:rsidRPr="00272F57">
        <w:rPr>
          <w:sz w:val="24"/>
          <w:szCs w:val="24"/>
          <w:vertAlign w:val="superscript"/>
        </w:rPr>
        <w:t>3</w:t>
      </w:r>
      <w:r w:rsidRPr="00272F57">
        <w:rPr>
          <w:sz w:val="24"/>
          <w:szCs w:val="24"/>
        </w:rPr>
        <w:t xml:space="preserve"> společnou pro všechny bazény. Pro dezinfekci vody je navrhováno dávkování plynného chloru. Celkové recirkulační množství vody přes soustavu filtrů činí 1200 m</w:t>
      </w:r>
      <w:r w:rsidRPr="00272F57">
        <w:rPr>
          <w:sz w:val="24"/>
          <w:szCs w:val="24"/>
          <w:vertAlign w:val="superscript"/>
        </w:rPr>
        <w:t>3</w:t>
      </w:r>
      <w:r w:rsidRPr="00272F57">
        <w:rPr>
          <w:sz w:val="24"/>
          <w:szCs w:val="24"/>
        </w:rPr>
        <w:t xml:space="preserve">/h. Předpokládaná spotřeba vody na osobu činí 50 l. Variantní technické řešení projektu není navrhováno.  </w:t>
      </w:r>
    </w:p>
    <w:p w:rsidR="00F35AE3" w:rsidRPr="00791AD0" w:rsidRDefault="00F35AE3" w:rsidP="00423120">
      <w:pPr>
        <w:keepNext/>
        <w:jc w:val="both"/>
        <w:rPr>
          <w:rFonts w:cs="Tahoma"/>
          <w:b/>
          <w:bCs/>
          <w:sz w:val="24"/>
          <w:szCs w:val="24"/>
        </w:rPr>
      </w:pPr>
      <w:r w:rsidRPr="00791AD0">
        <w:rPr>
          <w:rFonts w:cs="Tahoma"/>
          <w:b/>
          <w:bCs/>
          <w:sz w:val="24"/>
          <w:szCs w:val="24"/>
        </w:rPr>
        <w:t xml:space="preserve">Finanční analýza projektu </w:t>
      </w:r>
    </w:p>
    <w:p w:rsidR="00F35AE3" w:rsidRPr="00272F57" w:rsidRDefault="00F35AE3" w:rsidP="00423120">
      <w:pPr>
        <w:pStyle w:val="05-Text"/>
      </w:pPr>
      <w:bookmarkStart w:id="73" w:name="_Toc349768214"/>
      <w:bookmarkStart w:id="74" w:name="_Toc349824532"/>
      <w:r w:rsidRPr="00272F57">
        <w:t xml:space="preserve">Prvním bodem finanční analýzy je odhad celkových investičních výdajů. Finanční objem investice je definován na základě objemové studie a ceníkových cen (cenová hladina URS Praha 2012) v celkovém objemu 180 mil. Kč. Výstavba je plánována s využitím jediného generálního dodavatele stavby v letech 2013 </w:t>
      </w:r>
      <w:r w:rsidR="000856B7">
        <w:t>a 2014. Dodavatel bude vybrán v </w:t>
      </w:r>
      <w:r w:rsidRPr="00272F57">
        <w:t xml:space="preserve">řádném výběrovém řízení na základě zákona o zadávání veřejných zakázek v platném znění. </w:t>
      </w:r>
    </w:p>
    <w:p w:rsidR="00F35AE3" w:rsidRPr="00272F57" w:rsidRDefault="00F35AE3" w:rsidP="00423120">
      <w:pPr>
        <w:pStyle w:val="05-Text"/>
      </w:pPr>
      <w:r w:rsidRPr="00272F57">
        <w:t>Projekt je současně registrován jako žádost o podporu z prostředků ROP, předpokládaná výše dotace činí 40</w:t>
      </w:r>
      <w:r w:rsidR="00760C73">
        <w:t xml:space="preserve"> </w:t>
      </w:r>
      <w:r w:rsidRPr="00272F57">
        <w:t xml:space="preserve">% z celkových způsobilých výdajů (projekt zakládá </w:t>
      </w:r>
      <w:r w:rsidRPr="00272F57">
        <w:lastRenderedPageBreak/>
        <w:t>veřejnou podporu). Vlastní podíl a případné nezpůsobilé výdaje budou hrazeny s využitím komerčního úvěru. Objem komerčního úvěru činí 100 mil. Kč, doba splatnosti 15 let, úvěr je splácen konstantní anuitou, úroková sazba 3M PRIBOR + 1,5</w:t>
      </w:r>
      <w:r w:rsidR="00760C73">
        <w:t xml:space="preserve"> </w:t>
      </w:r>
      <w:r w:rsidRPr="00272F57">
        <w:t>% (poskytovatel úvěru byl vybrán v řádném výběrovém řízení). Saldo financován</w:t>
      </w:r>
      <w:r w:rsidR="000856B7">
        <w:t>í (8 mil. Kč) bude poskytnuto z </w:t>
      </w:r>
      <w:r w:rsidRPr="00272F57">
        <w:t xml:space="preserve">vlastních prostředků obce. Stejně tak z vlastních prostředků obce bude zajištěno i průběžné splácení úroků a splátek jistiny přijatého úvěru. </w:t>
      </w:r>
    </w:p>
    <w:p w:rsidR="00F35AE3" w:rsidRDefault="00F35AE3" w:rsidP="00423120">
      <w:pPr>
        <w:pStyle w:val="05-Text"/>
      </w:pPr>
      <w:r w:rsidRPr="00272F57">
        <w:t>Předpokládané provozní příjmy tvoří pouze příjem ze vstupného a pronájem komerčních prostor pro občerstvení. Průměrné vstupné je odhadováno ve výši 90</w:t>
      </w:r>
      <w:r>
        <w:t xml:space="preserve"> </w:t>
      </w:r>
      <w:r w:rsidRPr="00272F57">
        <w:t>% základního hodinového vstupné</w:t>
      </w:r>
      <w:r w:rsidR="00826543">
        <w:t>ho</w:t>
      </w:r>
      <w:r w:rsidRPr="00272F57">
        <w:t>. Odhadovaný příjem ze vstupného činí 18 mil. Kč ročně, příjmy z pronájmu prostor potom cca 0,2 mil. Kč (komerční prostory 150 m</w:t>
      </w:r>
      <w:r w:rsidRPr="00826ECE">
        <w:rPr>
          <w:vertAlign w:val="superscript"/>
        </w:rPr>
        <w:t>2</w:t>
      </w:r>
      <w:r w:rsidRPr="00272F57">
        <w:t>). Další příležitostné příjmy nejsou považovány za význa</w:t>
      </w:r>
      <w:r w:rsidR="000856B7">
        <w:t>mné nebo budou použity přímo za </w:t>
      </w:r>
      <w:r w:rsidRPr="00272F57">
        <w:t xml:space="preserve">konkrétním veřejně-prospěšným účelem (např. sponzorské dary). Provozní výdaje zahrnují především náklady na energie (plyn a elektrická energie), vodné a stočné, úpravu vody, mzdy a údržbu areálu. Přehled základních výdajových položek je uveden v následující tabulce. </w:t>
      </w:r>
    </w:p>
    <w:p w:rsidR="00F35AE3" w:rsidRPr="00347C7B" w:rsidRDefault="00F35AE3" w:rsidP="000112D6">
      <w:pPr>
        <w:pStyle w:val="0T-Titulek"/>
      </w:pPr>
      <w:bookmarkStart w:id="75" w:name="_Toc382326443"/>
      <w:r w:rsidRPr="00407137">
        <w:t>Tabulka 1</w:t>
      </w:r>
      <w:r w:rsidR="009D2B97" w:rsidRPr="00407137">
        <w:t>6</w:t>
      </w:r>
      <w:r w:rsidRPr="00407137">
        <w:t xml:space="preserve">: Nejvýznamnější </w:t>
      </w:r>
      <w:r w:rsidRPr="00347C7B">
        <w:t>položky provozních výdajů</w:t>
      </w:r>
      <w:bookmarkEnd w:id="73"/>
      <w:bookmarkEnd w:id="74"/>
      <w:bookmarkEnd w:id="75"/>
      <w:r w:rsidRPr="00347C7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41"/>
        <w:gridCol w:w="3071"/>
      </w:tblGrid>
      <w:tr w:rsidR="00F35AE3" w:rsidRPr="00791AD0" w:rsidTr="00B875AB">
        <w:trPr>
          <w:trHeight w:hRule="exact" w:val="284"/>
          <w:tblHeader/>
        </w:trPr>
        <w:tc>
          <w:tcPr>
            <w:tcW w:w="6141" w:type="dxa"/>
          </w:tcPr>
          <w:p w:rsidR="00F35AE3" w:rsidRPr="008F312A" w:rsidRDefault="00F35AE3" w:rsidP="00423120">
            <w:pPr>
              <w:keepNext/>
              <w:jc w:val="center"/>
              <w:rPr>
                <w:rFonts w:ascii="Calibri" w:hAnsi="Calibri" w:cs="Tahoma"/>
                <w:b/>
                <w:bCs/>
                <w:lang w:eastAsia="en-US"/>
              </w:rPr>
            </w:pPr>
            <w:r w:rsidRPr="008F312A">
              <w:rPr>
                <w:rFonts w:ascii="Calibri" w:hAnsi="Calibri" w:cs="Tahoma"/>
                <w:b/>
                <w:bCs/>
                <w:lang w:eastAsia="en-US"/>
              </w:rPr>
              <w:t>položka</w:t>
            </w:r>
          </w:p>
        </w:tc>
        <w:tc>
          <w:tcPr>
            <w:tcW w:w="3071" w:type="dxa"/>
          </w:tcPr>
          <w:p w:rsidR="00F35AE3" w:rsidRPr="008F312A" w:rsidRDefault="00F35AE3" w:rsidP="00423120">
            <w:pPr>
              <w:keepNext/>
              <w:jc w:val="center"/>
              <w:rPr>
                <w:rFonts w:ascii="Calibri" w:hAnsi="Calibri" w:cs="Tahoma"/>
                <w:b/>
                <w:bCs/>
                <w:lang w:eastAsia="en-US"/>
              </w:rPr>
            </w:pPr>
            <w:r w:rsidRPr="008F312A">
              <w:rPr>
                <w:rFonts w:ascii="Calibri" w:hAnsi="Calibri" w:cs="Tahoma"/>
                <w:b/>
                <w:bCs/>
                <w:lang w:eastAsia="en-US"/>
              </w:rPr>
              <w:t>hodnota p.</w:t>
            </w:r>
            <w:r w:rsidR="00275DD2">
              <w:rPr>
                <w:rFonts w:ascii="Calibri" w:hAnsi="Calibri" w:cs="Tahoma"/>
                <w:b/>
                <w:bCs/>
                <w:lang w:eastAsia="en-US"/>
              </w:rPr>
              <w:t xml:space="preserve"> </w:t>
            </w:r>
            <w:r w:rsidRPr="008F312A">
              <w:rPr>
                <w:rFonts w:ascii="Calibri" w:hAnsi="Calibri" w:cs="Tahoma"/>
                <w:b/>
                <w:bCs/>
                <w:lang w:eastAsia="en-US"/>
              </w:rPr>
              <w:t>a. (v mil. Kč)</w:t>
            </w:r>
          </w:p>
        </w:tc>
      </w:tr>
      <w:tr w:rsidR="00F35AE3" w:rsidRPr="00791AD0" w:rsidTr="00B875AB">
        <w:trPr>
          <w:trHeight w:hRule="exact" w:val="284"/>
        </w:trPr>
        <w:tc>
          <w:tcPr>
            <w:tcW w:w="6141" w:type="dxa"/>
          </w:tcPr>
          <w:p w:rsidR="00F35AE3" w:rsidRPr="008F312A" w:rsidRDefault="00F35AE3" w:rsidP="00423120">
            <w:pPr>
              <w:keepNext/>
              <w:jc w:val="both"/>
              <w:rPr>
                <w:rFonts w:ascii="Calibri" w:hAnsi="Calibri" w:cs="Tahoma"/>
                <w:bCs/>
                <w:lang w:eastAsia="en-US"/>
              </w:rPr>
            </w:pPr>
            <w:r w:rsidRPr="008F312A">
              <w:rPr>
                <w:rFonts w:ascii="Calibri" w:hAnsi="Calibri" w:cs="Tahoma"/>
                <w:bCs/>
                <w:lang w:eastAsia="en-US"/>
              </w:rPr>
              <w:t xml:space="preserve">zemní plyn (vytápění a ohřev vody) </w:t>
            </w:r>
          </w:p>
        </w:tc>
        <w:tc>
          <w:tcPr>
            <w:tcW w:w="3071" w:type="dxa"/>
          </w:tcPr>
          <w:p w:rsidR="00F35AE3" w:rsidRPr="008F312A" w:rsidRDefault="00826543" w:rsidP="00423120">
            <w:pPr>
              <w:keepNext/>
              <w:jc w:val="center"/>
              <w:rPr>
                <w:rFonts w:ascii="Calibri" w:hAnsi="Calibri" w:cs="Tahoma"/>
                <w:bCs/>
                <w:lang w:eastAsia="en-US"/>
              </w:rPr>
            </w:pPr>
            <w:r>
              <w:rPr>
                <w:rFonts w:ascii="Calibri" w:hAnsi="Calibri" w:cs="Tahoma"/>
                <w:bCs/>
                <w:lang w:eastAsia="en-US"/>
              </w:rPr>
              <w:t>4,0</w:t>
            </w:r>
          </w:p>
        </w:tc>
      </w:tr>
      <w:tr w:rsidR="00F35AE3" w:rsidRPr="00791AD0" w:rsidTr="00B875AB">
        <w:trPr>
          <w:trHeight w:hRule="exact" w:val="284"/>
        </w:trPr>
        <w:tc>
          <w:tcPr>
            <w:tcW w:w="6141" w:type="dxa"/>
          </w:tcPr>
          <w:p w:rsidR="00F35AE3" w:rsidRPr="008F312A" w:rsidRDefault="00F35AE3" w:rsidP="00423120">
            <w:pPr>
              <w:keepNext/>
              <w:jc w:val="both"/>
              <w:rPr>
                <w:rFonts w:ascii="Calibri" w:hAnsi="Calibri" w:cs="Tahoma"/>
                <w:bCs/>
                <w:lang w:eastAsia="en-US"/>
              </w:rPr>
            </w:pPr>
            <w:r w:rsidRPr="008F312A">
              <w:rPr>
                <w:rFonts w:ascii="Calibri" w:hAnsi="Calibri" w:cs="Tahoma"/>
                <w:bCs/>
                <w:lang w:eastAsia="en-US"/>
              </w:rPr>
              <w:t xml:space="preserve">elektrická energie (světlo, úprava vody, apod.) </w:t>
            </w:r>
          </w:p>
        </w:tc>
        <w:tc>
          <w:tcPr>
            <w:tcW w:w="3071" w:type="dxa"/>
          </w:tcPr>
          <w:p w:rsidR="00F35AE3" w:rsidRPr="008F312A" w:rsidRDefault="00826543" w:rsidP="00423120">
            <w:pPr>
              <w:keepNext/>
              <w:jc w:val="center"/>
              <w:rPr>
                <w:rFonts w:ascii="Calibri" w:hAnsi="Calibri" w:cs="Tahoma"/>
                <w:bCs/>
                <w:lang w:eastAsia="en-US"/>
              </w:rPr>
            </w:pPr>
            <w:r>
              <w:rPr>
                <w:rFonts w:ascii="Calibri" w:hAnsi="Calibri" w:cs="Tahoma"/>
                <w:bCs/>
                <w:lang w:eastAsia="en-US"/>
              </w:rPr>
              <w:t>3,5</w:t>
            </w:r>
          </w:p>
        </w:tc>
      </w:tr>
      <w:tr w:rsidR="00F35AE3" w:rsidRPr="00791AD0" w:rsidTr="00B875AB">
        <w:trPr>
          <w:trHeight w:hRule="exact" w:val="284"/>
        </w:trPr>
        <w:tc>
          <w:tcPr>
            <w:tcW w:w="6141" w:type="dxa"/>
          </w:tcPr>
          <w:p w:rsidR="00F35AE3" w:rsidRPr="008F312A" w:rsidRDefault="00F35AE3" w:rsidP="00423120">
            <w:pPr>
              <w:keepNext/>
              <w:jc w:val="both"/>
              <w:rPr>
                <w:rFonts w:ascii="Calibri" w:hAnsi="Calibri" w:cs="Tahoma"/>
                <w:bCs/>
                <w:lang w:eastAsia="en-US"/>
              </w:rPr>
            </w:pPr>
            <w:r w:rsidRPr="008F312A">
              <w:rPr>
                <w:rFonts w:ascii="Calibri" w:hAnsi="Calibri" w:cs="Tahoma"/>
                <w:bCs/>
                <w:lang w:eastAsia="en-US"/>
              </w:rPr>
              <w:t>vodné a stočné</w:t>
            </w:r>
          </w:p>
        </w:tc>
        <w:tc>
          <w:tcPr>
            <w:tcW w:w="3071" w:type="dxa"/>
          </w:tcPr>
          <w:p w:rsidR="00F35AE3" w:rsidRPr="008F312A" w:rsidRDefault="00826543" w:rsidP="00423120">
            <w:pPr>
              <w:keepNext/>
              <w:jc w:val="center"/>
              <w:rPr>
                <w:rFonts w:ascii="Calibri" w:hAnsi="Calibri" w:cs="Tahoma"/>
                <w:bCs/>
                <w:lang w:eastAsia="en-US"/>
              </w:rPr>
            </w:pPr>
            <w:r>
              <w:rPr>
                <w:rFonts w:ascii="Calibri" w:hAnsi="Calibri" w:cs="Tahoma"/>
                <w:bCs/>
                <w:lang w:eastAsia="en-US"/>
              </w:rPr>
              <w:t>2,0</w:t>
            </w:r>
          </w:p>
        </w:tc>
      </w:tr>
      <w:tr w:rsidR="00F35AE3" w:rsidRPr="00791AD0" w:rsidTr="00B875AB">
        <w:trPr>
          <w:trHeight w:hRule="exact" w:val="284"/>
        </w:trPr>
        <w:tc>
          <w:tcPr>
            <w:tcW w:w="6141" w:type="dxa"/>
          </w:tcPr>
          <w:p w:rsidR="00F35AE3" w:rsidRPr="008F312A" w:rsidRDefault="00F35AE3" w:rsidP="00423120">
            <w:pPr>
              <w:keepNext/>
              <w:jc w:val="both"/>
              <w:rPr>
                <w:rFonts w:ascii="Calibri" w:hAnsi="Calibri" w:cs="Tahoma"/>
                <w:bCs/>
                <w:lang w:eastAsia="en-US"/>
              </w:rPr>
            </w:pPr>
            <w:r w:rsidRPr="008F312A">
              <w:rPr>
                <w:rFonts w:ascii="Calibri" w:hAnsi="Calibri" w:cs="Tahoma"/>
                <w:bCs/>
                <w:lang w:eastAsia="en-US"/>
              </w:rPr>
              <w:t xml:space="preserve">úprava vody (spotřeba chemie, apod.)  </w:t>
            </w:r>
          </w:p>
        </w:tc>
        <w:tc>
          <w:tcPr>
            <w:tcW w:w="3071" w:type="dxa"/>
          </w:tcPr>
          <w:p w:rsidR="00F35AE3" w:rsidRPr="008F312A" w:rsidRDefault="00826543" w:rsidP="00423120">
            <w:pPr>
              <w:keepNext/>
              <w:jc w:val="center"/>
              <w:rPr>
                <w:rFonts w:ascii="Calibri" w:hAnsi="Calibri" w:cs="Tahoma"/>
                <w:bCs/>
                <w:lang w:eastAsia="en-US"/>
              </w:rPr>
            </w:pPr>
            <w:r>
              <w:rPr>
                <w:rFonts w:ascii="Calibri" w:hAnsi="Calibri" w:cs="Tahoma"/>
                <w:bCs/>
                <w:lang w:eastAsia="en-US"/>
              </w:rPr>
              <w:t>0,5</w:t>
            </w:r>
          </w:p>
        </w:tc>
      </w:tr>
      <w:tr w:rsidR="00F35AE3" w:rsidRPr="00791AD0" w:rsidTr="00B875AB">
        <w:trPr>
          <w:trHeight w:hRule="exact" w:val="284"/>
        </w:trPr>
        <w:tc>
          <w:tcPr>
            <w:tcW w:w="6141" w:type="dxa"/>
          </w:tcPr>
          <w:p w:rsidR="00F35AE3" w:rsidRPr="008F312A" w:rsidRDefault="00F35AE3" w:rsidP="00423120">
            <w:pPr>
              <w:keepNext/>
              <w:jc w:val="both"/>
              <w:rPr>
                <w:rFonts w:ascii="Calibri" w:hAnsi="Calibri" w:cs="Tahoma"/>
                <w:bCs/>
                <w:lang w:eastAsia="en-US"/>
              </w:rPr>
            </w:pPr>
            <w:r w:rsidRPr="008F312A">
              <w:rPr>
                <w:rFonts w:ascii="Calibri" w:hAnsi="Calibri" w:cs="Tahoma"/>
                <w:bCs/>
                <w:lang w:eastAsia="en-US"/>
              </w:rPr>
              <w:t xml:space="preserve">mzdové náklady (20 zaměstnanců) </w:t>
            </w:r>
          </w:p>
        </w:tc>
        <w:tc>
          <w:tcPr>
            <w:tcW w:w="3071" w:type="dxa"/>
          </w:tcPr>
          <w:p w:rsidR="00F35AE3" w:rsidRPr="008F312A" w:rsidRDefault="00826543" w:rsidP="00423120">
            <w:pPr>
              <w:keepNext/>
              <w:jc w:val="center"/>
              <w:rPr>
                <w:rFonts w:ascii="Calibri" w:hAnsi="Calibri" w:cs="Tahoma"/>
                <w:bCs/>
                <w:lang w:eastAsia="en-US"/>
              </w:rPr>
            </w:pPr>
            <w:r>
              <w:rPr>
                <w:rFonts w:ascii="Calibri" w:hAnsi="Calibri" w:cs="Tahoma"/>
                <w:bCs/>
                <w:lang w:eastAsia="en-US"/>
              </w:rPr>
              <w:t>6,0</w:t>
            </w:r>
          </w:p>
        </w:tc>
      </w:tr>
      <w:tr w:rsidR="00F35AE3" w:rsidRPr="00791AD0" w:rsidTr="00B875AB">
        <w:trPr>
          <w:trHeight w:hRule="exact" w:val="284"/>
        </w:trPr>
        <w:tc>
          <w:tcPr>
            <w:tcW w:w="6141" w:type="dxa"/>
          </w:tcPr>
          <w:p w:rsidR="00F35AE3" w:rsidRPr="008F312A" w:rsidRDefault="00F35AE3" w:rsidP="00423120">
            <w:pPr>
              <w:keepNext/>
              <w:jc w:val="both"/>
              <w:rPr>
                <w:rFonts w:ascii="Calibri" w:hAnsi="Calibri" w:cs="Tahoma"/>
                <w:bCs/>
                <w:lang w:eastAsia="en-US"/>
              </w:rPr>
            </w:pPr>
            <w:r w:rsidRPr="008F312A">
              <w:rPr>
                <w:rFonts w:ascii="Calibri" w:hAnsi="Calibri" w:cs="Tahoma"/>
                <w:bCs/>
                <w:lang w:eastAsia="en-US"/>
              </w:rPr>
              <w:t xml:space="preserve">údržba a obnova areálu </w:t>
            </w:r>
          </w:p>
        </w:tc>
        <w:tc>
          <w:tcPr>
            <w:tcW w:w="3071" w:type="dxa"/>
          </w:tcPr>
          <w:p w:rsidR="00F35AE3" w:rsidRPr="008F312A" w:rsidRDefault="00826543" w:rsidP="00423120">
            <w:pPr>
              <w:keepNext/>
              <w:jc w:val="center"/>
              <w:rPr>
                <w:rFonts w:ascii="Calibri" w:hAnsi="Calibri" w:cs="Tahoma"/>
                <w:bCs/>
                <w:lang w:eastAsia="en-US"/>
              </w:rPr>
            </w:pPr>
            <w:r>
              <w:rPr>
                <w:rFonts w:ascii="Calibri" w:hAnsi="Calibri" w:cs="Tahoma"/>
                <w:bCs/>
                <w:lang w:eastAsia="en-US"/>
              </w:rPr>
              <w:t>2,0</w:t>
            </w:r>
          </w:p>
        </w:tc>
      </w:tr>
      <w:tr w:rsidR="00F35AE3" w:rsidRPr="00791AD0" w:rsidTr="00B875AB">
        <w:trPr>
          <w:trHeight w:hRule="exact" w:val="284"/>
        </w:trPr>
        <w:tc>
          <w:tcPr>
            <w:tcW w:w="6141" w:type="dxa"/>
          </w:tcPr>
          <w:p w:rsidR="00F35AE3" w:rsidRPr="008F312A" w:rsidRDefault="00F35AE3" w:rsidP="00423120">
            <w:pPr>
              <w:keepNext/>
              <w:jc w:val="both"/>
              <w:rPr>
                <w:rFonts w:ascii="Calibri" w:hAnsi="Calibri" w:cs="Tahoma"/>
                <w:bCs/>
                <w:lang w:eastAsia="en-US"/>
              </w:rPr>
            </w:pPr>
            <w:r w:rsidRPr="008F312A">
              <w:rPr>
                <w:rFonts w:ascii="Calibri" w:hAnsi="Calibri" w:cs="Tahoma"/>
                <w:bCs/>
                <w:lang w:eastAsia="en-US"/>
              </w:rPr>
              <w:t xml:space="preserve">provozní výdaje celkem </w:t>
            </w:r>
          </w:p>
        </w:tc>
        <w:tc>
          <w:tcPr>
            <w:tcW w:w="3071" w:type="dxa"/>
          </w:tcPr>
          <w:p w:rsidR="00F35AE3" w:rsidRPr="008F312A" w:rsidRDefault="00826543" w:rsidP="00423120">
            <w:pPr>
              <w:keepNext/>
              <w:jc w:val="center"/>
              <w:rPr>
                <w:rFonts w:ascii="Calibri" w:hAnsi="Calibri" w:cs="Tahoma"/>
                <w:bCs/>
                <w:lang w:eastAsia="en-US"/>
              </w:rPr>
            </w:pPr>
            <w:r>
              <w:rPr>
                <w:rFonts w:ascii="Calibri" w:hAnsi="Calibri" w:cs="Tahoma"/>
                <w:bCs/>
                <w:lang w:eastAsia="en-US"/>
              </w:rPr>
              <w:t>18,0</w:t>
            </w:r>
          </w:p>
        </w:tc>
      </w:tr>
    </w:tbl>
    <w:p w:rsidR="000112D6" w:rsidRPr="00326F51" w:rsidRDefault="00326F51" w:rsidP="00B875AB">
      <w:pPr>
        <w:pStyle w:val="05-Text"/>
        <w:jc w:val="center"/>
        <w:rPr>
          <w:rFonts w:asciiTheme="minorHAnsi" w:hAnsiTheme="minorHAnsi" w:cstheme="minorHAnsi"/>
          <w:i/>
          <w:sz w:val="22"/>
          <w:szCs w:val="22"/>
        </w:rPr>
      </w:pPr>
      <w:r w:rsidRPr="00326F51">
        <w:rPr>
          <w:rFonts w:asciiTheme="minorHAnsi" w:hAnsiTheme="minorHAnsi" w:cstheme="minorHAnsi"/>
          <w:i/>
          <w:sz w:val="22"/>
          <w:szCs w:val="22"/>
        </w:rPr>
        <w:t>Pramen: vlastní výzkum.</w:t>
      </w:r>
    </w:p>
    <w:p w:rsidR="00F35AE3" w:rsidRPr="00791AD0" w:rsidRDefault="00F35AE3" w:rsidP="00423120">
      <w:pPr>
        <w:pStyle w:val="05-Text"/>
      </w:pPr>
      <w:r w:rsidRPr="00791AD0">
        <w:t>Provozní cash-flow je navrhováno jako vyrovnané (provozní příjmy se rovnají provozním výdajům). Současně je nutné zmín</w:t>
      </w:r>
      <w:r w:rsidR="00826543">
        <w:t>it, že převážná část výdajů je</w:t>
      </w:r>
      <w:r w:rsidRPr="00791AD0">
        <w:t xml:space="preserve"> fixní</w:t>
      </w:r>
      <w:r w:rsidR="00826543">
        <w:t>ch,</w:t>
      </w:r>
      <w:r w:rsidRPr="00791AD0">
        <w:t xml:space="preserve"> a tedy případné snížení počtu návštěvníků bude mít za následek okamžitou provozní ztrátu. Vyrovnané provozní hospodaření obdobných areálů je tak možné pouze v územích s dostatečně zajištěnou koupěschopnou poptávkou. Většina obdobných areálů v menších městech hospodaří s provozní ztrátou v řádu jednotek miliónů Kč ročně. </w:t>
      </w:r>
    </w:p>
    <w:p w:rsidR="00F35AE3" w:rsidRPr="00791AD0" w:rsidRDefault="00F35AE3" w:rsidP="00423120">
      <w:pPr>
        <w:pStyle w:val="05-Text"/>
      </w:pPr>
      <w:r w:rsidRPr="00791AD0">
        <w:t>Model pro finanční analýzu variant byl sestaven jako částečně dynamické modelové prostředí, které hledá cesty k finanční proveditelnosti celého projektu. Použité vstupy (odbytové kapacity, nákladové a výnosové položky) byly argumentovány v předcházejících částech textu. Diskontní sazba pro finanční analýzu byla použita ve výši 5,0</w:t>
      </w:r>
      <w:r>
        <w:t xml:space="preserve"> </w:t>
      </w:r>
      <w:r w:rsidRPr="00791AD0">
        <w:t xml:space="preserve">% (hodnota doporučená EK), doba hodnocení 15 let, všechny ceny </w:t>
      </w:r>
      <w:r w:rsidR="000856B7">
        <w:t>v cenové hladině roku 2012. Pro </w:t>
      </w:r>
      <w:r w:rsidRPr="00791AD0">
        <w:t xml:space="preserve">výpočet byla použita specializovaná aplikace eCBA 1.0. </w:t>
      </w:r>
    </w:p>
    <w:p w:rsidR="00F35AE3" w:rsidRPr="00347C7B" w:rsidRDefault="00F35AE3" w:rsidP="000112D6">
      <w:pPr>
        <w:pStyle w:val="0T-Titulek"/>
      </w:pPr>
      <w:bookmarkStart w:id="76" w:name="_Toc349768215"/>
      <w:bookmarkStart w:id="77" w:name="_Toc349824533"/>
      <w:bookmarkStart w:id="78" w:name="_Toc382326444"/>
      <w:r w:rsidRPr="00407137">
        <w:t xml:space="preserve">Tabulka </w:t>
      </w:r>
      <w:r w:rsidR="002C0A30" w:rsidRPr="00407137">
        <w:t>1</w:t>
      </w:r>
      <w:r w:rsidR="009D2B97" w:rsidRPr="00407137">
        <w:t>7</w:t>
      </w:r>
      <w:r w:rsidRPr="00407137">
        <w:t xml:space="preserve">: Přehled </w:t>
      </w:r>
      <w:r w:rsidRPr="00347C7B">
        <w:t>výsledků finanční analýzy</w:t>
      </w:r>
      <w:bookmarkEnd w:id="76"/>
      <w:bookmarkEnd w:id="77"/>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1803"/>
        <w:gridCol w:w="1535"/>
        <w:gridCol w:w="1536"/>
        <w:gridCol w:w="1536"/>
      </w:tblGrid>
      <w:tr w:rsidR="00F35AE3" w:rsidRPr="00791AD0" w:rsidTr="00B875AB">
        <w:trPr>
          <w:trHeight w:hRule="exact" w:val="284"/>
        </w:trPr>
        <w:tc>
          <w:tcPr>
            <w:tcW w:w="2802" w:type="dxa"/>
          </w:tcPr>
          <w:p w:rsidR="00F35AE3" w:rsidRPr="008F312A" w:rsidRDefault="00F35AE3" w:rsidP="00423120">
            <w:pPr>
              <w:keepNext/>
              <w:jc w:val="center"/>
              <w:rPr>
                <w:rFonts w:ascii="Calibri" w:hAnsi="Calibri" w:cs="Tahoma"/>
                <w:b/>
                <w:bCs/>
                <w:lang w:eastAsia="en-US"/>
              </w:rPr>
            </w:pPr>
          </w:p>
        </w:tc>
        <w:tc>
          <w:tcPr>
            <w:tcW w:w="1803" w:type="dxa"/>
          </w:tcPr>
          <w:p w:rsidR="00F35AE3" w:rsidRPr="008F312A" w:rsidRDefault="00F35AE3" w:rsidP="00423120">
            <w:pPr>
              <w:keepNext/>
              <w:jc w:val="center"/>
              <w:rPr>
                <w:rFonts w:ascii="Calibri" w:hAnsi="Calibri" w:cs="Tahoma"/>
                <w:b/>
                <w:bCs/>
                <w:lang w:eastAsia="en-US"/>
              </w:rPr>
            </w:pPr>
            <w:r w:rsidRPr="008F312A">
              <w:rPr>
                <w:rFonts w:ascii="Calibri" w:hAnsi="Calibri" w:cs="Tahoma"/>
                <w:b/>
                <w:bCs/>
                <w:lang w:eastAsia="en-US"/>
              </w:rPr>
              <w:t>FNPV</w:t>
            </w:r>
          </w:p>
        </w:tc>
        <w:tc>
          <w:tcPr>
            <w:tcW w:w="1535" w:type="dxa"/>
          </w:tcPr>
          <w:p w:rsidR="00F35AE3" w:rsidRPr="008F312A" w:rsidRDefault="00F35AE3" w:rsidP="00423120">
            <w:pPr>
              <w:keepNext/>
              <w:jc w:val="center"/>
              <w:rPr>
                <w:rFonts w:ascii="Calibri" w:hAnsi="Calibri" w:cs="Tahoma"/>
                <w:b/>
                <w:bCs/>
                <w:lang w:eastAsia="en-US"/>
              </w:rPr>
            </w:pPr>
            <w:r w:rsidRPr="008F312A">
              <w:rPr>
                <w:rFonts w:ascii="Calibri" w:hAnsi="Calibri" w:cs="Tahoma"/>
                <w:b/>
                <w:bCs/>
                <w:lang w:eastAsia="en-US"/>
              </w:rPr>
              <w:t>FNPV/I</w:t>
            </w:r>
          </w:p>
        </w:tc>
        <w:tc>
          <w:tcPr>
            <w:tcW w:w="1536" w:type="dxa"/>
          </w:tcPr>
          <w:p w:rsidR="00F35AE3" w:rsidRPr="008F312A" w:rsidRDefault="00F35AE3" w:rsidP="00423120">
            <w:pPr>
              <w:keepNext/>
              <w:jc w:val="center"/>
              <w:rPr>
                <w:rFonts w:ascii="Calibri" w:hAnsi="Calibri" w:cs="Tahoma"/>
                <w:b/>
                <w:bCs/>
                <w:lang w:eastAsia="en-US"/>
              </w:rPr>
            </w:pPr>
            <w:r w:rsidRPr="008F312A">
              <w:rPr>
                <w:rFonts w:ascii="Calibri" w:hAnsi="Calibri" w:cs="Tahoma"/>
                <w:b/>
                <w:bCs/>
                <w:lang w:eastAsia="en-US"/>
              </w:rPr>
              <w:t>FIRR</w:t>
            </w:r>
          </w:p>
        </w:tc>
        <w:tc>
          <w:tcPr>
            <w:tcW w:w="1536" w:type="dxa"/>
          </w:tcPr>
          <w:p w:rsidR="00F35AE3" w:rsidRPr="008F312A" w:rsidRDefault="00F35AE3" w:rsidP="00423120">
            <w:pPr>
              <w:keepNext/>
              <w:jc w:val="center"/>
              <w:rPr>
                <w:rFonts w:ascii="Calibri" w:hAnsi="Calibri" w:cs="Tahoma"/>
                <w:b/>
                <w:bCs/>
                <w:lang w:eastAsia="en-US"/>
              </w:rPr>
            </w:pPr>
            <w:r w:rsidRPr="008F312A">
              <w:rPr>
                <w:rFonts w:ascii="Calibri" w:hAnsi="Calibri" w:cs="Tahoma"/>
                <w:b/>
                <w:bCs/>
                <w:lang w:eastAsia="en-US"/>
              </w:rPr>
              <w:t>doba návrat.</w:t>
            </w:r>
          </w:p>
        </w:tc>
      </w:tr>
      <w:tr w:rsidR="00F35AE3" w:rsidRPr="00791AD0" w:rsidTr="00B875AB">
        <w:trPr>
          <w:trHeight w:hRule="exact" w:val="284"/>
        </w:trPr>
        <w:tc>
          <w:tcPr>
            <w:tcW w:w="2802" w:type="dxa"/>
          </w:tcPr>
          <w:p w:rsidR="00F35AE3" w:rsidRPr="008F312A" w:rsidRDefault="00F35AE3" w:rsidP="00423120">
            <w:pPr>
              <w:keepNext/>
              <w:jc w:val="both"/>
              <w:rPr>
                <w:rFonts w:ascii="Calibri" w:hAnsi="Calibri" w:cs="Tahoma"/>
                <w:bCs/>
                <w:lang w:eastAsia="en-US"/>
              </w:rPr>
            </w:pPr>
            <w:r w:rsidRPr="008F312A">
              <w:rPr>
                <w:rFonts w:ascii="Calibri" w:hAnsi="Calibri" w:cs="Tahoma"/>
                <w:bCs/>
                <w:lang w:eastAsia="en-US"/>
              </w:rPr>
              <w:t xml:space="preserve">efektivnost jako investice </w:t>
            </w:r>
          </w:p>
        </w:tc>
        <w:tc>
          <w:tcPr>
            <w:tcW w:w="1803" w:type="dxa"/>
          </w:tcPr>
          <w:p w:rsidR="00F35AE3" w:rsidRPr="008F312A" w:rsidRDefault="00F35AE3" w:rsidP="00423120">
            <w:pPr>
              <w:keepNext/>
              <w:jc w:val="center"/>
              <w:rPr>
                <w:rFonts w:ascii="Calibri" w:hAnsi="Calibri" w:cs="Tahoma"/>
                <w:bCs/>
                <w:lang w:eastAsia="en-US"/>
              </w:rPr>
            </w:pPr>
            <w:r w:rsidRPr="008F312A">
              <w:rPr>
                <w:rFonts w:ascii="Calibri" w:hAnsi="Calibri" w:cs="Tahoma"/>
                <w:bCs/>
                <w:lang w:eastAsia="en-US"/>
              </w:rPr>
              <w:t>-167,2 mil. Kč</w:t>
            </w:r>
          </w:p>
        </w:tc>
        <w:tc>
          <w:tcPr>
            <w:tcW w:w="1535" w:type="dxa"/>
          </w:tcPr>
          <w:p w:rsidR="00F35AE3" w:rsidRPr="008F312A" w:rsidRDefault="00F35AE3" w:rsidP="00423120">
            <w:pPr>
              <w:keepNext/>
              <w:jc w:val="center"/>
              <w:rPr>
                <w:rFonts w:ascii="Calibri" w:hAnsi="Calibri" w:cs="Tahoma"/>
                <w:bCs/>
                <w:lang w:eastAsia="en-US"/>
              </w:rPr>
            </w:pPr>
            <w:r w:rsidRPr="008F312A">
              <w:rPr>
                <w:rFonts w:ascii="Calibri" w:hAnsi="Calibri" w:cs="Tahoma"/>
                <w:bCs/>
                <w:lang w:eastAsia="en-US"/>
              </w:rPr>
              <w:t>-99,9</w:t>
            </w:r>
            <w:r w:rsidR="00760C73">
              <w:rPr>
                <w:rFonts w:ascii="Calibri" w:hAnsi="Calibri" w:cs="Tahoma"/>
                <w:bCs/>
                <w:lang w:eastAsia="en-US"/>
              </w:rPr>
              <w:t xml:space="preserve"> </w:t>
            </w:r>
            <w:r w:rsidRPr="008F312A">
              <w:rPr>
                <w:rFonts w:ascii="Calibri" w:hAnsi="Calibri" w:cs="Tahoma"/>
                <w:bCs/>
                <w:lang w:eastAsia="en-US"/>
              </w:rPr>
              <w:t>%</w:t>
            </w:r>
          </w:p>
        </w:tc>
        <w:tc>
          <w:tcPr>
            <w:tcW w:w="1536" w:type="dxa"/>
          </w:tcPr>
          <w:p w:rsidR="00F35AE3" w:rsidRPr="000E7A43" w:rsidRDefault="00F35AE3" w:rsidP="00423120">
            <w:pPr>
              <w:keepNext/>
              <w:jc w:val="center"/>
              <w:rPr>
                <w:rFonts w:ascii="Calibri" w:hAnsi="Calibri" w:cs="Tahoma"/>
                <w:bCs/>
                <w:sz w:val="24"/>
                <w:szCs w:val="24"/>
                <w:lang w:eastAsia="en-US"/>
              </w:rPr>
            </w:pPr>
            <w:r w:rsidRPr="000E7A43">
              <w:rPr>
                <w:rFonts w:ascii="Calibri" w:hAnsi="Calibri" w:cs="Tahoma"/>
                <w:bCs/>
                <w:sz w:val="24"/>
                <w:szCs w:val="24"/>
                <w:lang w:eastAsia="en-US"/>
              </w:rPr>
              <w:t>---</w:t>
            </w:r>
          </w:p>
        </w:tc>
        <w:tc>
          <w:tcPr>
            <w:tcW w:w="1536" w:type="dxa"/>
          </w:tcPr>
          <w:p w:rsidR="00F35AE3" w:rsidRPr="000E7A43" w:rsidRDefault="00F35AE3" w:rsidP="00423120">
            <w:pPr>
              <w:keepNext/>
              <w:jc w:val="center"/>
              <w:rPr>
                <w:rFonts w:ascii="Calibri" w:hAnsi="Calibri" w:cs="Tahoma"/>
                <w:bCs/>
                <w:sz w:val="24"/>
                <w:szCs w:val="24"/>
                <w:lang w:eastAsia="en-US"/>
              </w:rPr>
            </w:pPr>
            <w:r w:rsidRPr="000E7A43">
              <w:rPr>
                <w:rFonts w:ascii="Calibri" w:hAnsi="Calibri" w:cs="Tahoma"/>
                <w:bCs/>
                <w:sz w:val="24"/>
                <w:szCs w:val="24"/>
                <w:lang w:eastAsia="en-US"/>
              </w:rPr>
              <w:t>---</w:t>
            </w:r>
          </w:p>
        </w:tc>
      </w:tr>
      <w:tr w:rsidR="00F35AE3" w:rsidRPr="00791AD0" w:rsidTr="00B875AB">
        <w:trPr>
          <w:trHeight w:hRule="exact" w:val="284"/>
        </w:trPr>
        <w:tc>
          <w:tcPr>
            <w:tcW w:w="2802" w:type="dxa"/>
          </w:tcPr>
          <w:p w:rsidR="00F35AE3" w:rsidRPr="008F312A" w:rsidRDefault="00F35AE3" w:rsidP="00423120">
            <w:pPr>
              <w:keepNext/>
              <w:jc w:val="both"/>
              <w:rPr>
                <w:rFonts w:ascii="Calibri" w:hAnsi="Calibri" w:cs="Tahoma"/>
                <w:bCs/>
                <w:lang w:eastAsia="en-US"/>
              </w:rPr>
            </w:pPr>
            <w:r w:rsidRPr="008F312A">
              <w:rPr>
                <w:rFonts w:ascii="Calibri" w:hAnsi="Calibri" w:cs="Tahoma"/>
                <w:bCs/>
                <w:lang w:eastAsia="en-US"/>
              </w:rPr>
              <w:t xml:space="preserve">návratnost kapitálu </w:t>
            </w:r>
          </w:p>
        </w:tc>
        <w:tc>
          <w:tcPr>
            <w:tcW w:w="1803" w:type="dxa"/>
          </w:tcPr>
          <w:p w:rsidR="00F35AE3" w:rsidRPr="008F312A" w:rsidRDefault="00F35AE3" w:rsidP="00423120">
            <w:pPr>
              <w:keepNext/>
              <w:jc w:val="center"/>
              <w:rPr>
                <w:rFonts w:ascii="Calibri" w:hAnsi="Calibri" w:cs="Tahoma"/>
                <w:bCs/>
                <w:lang w:eastAsia="en-US"/>
              </w:rPr>
            </w:pPr>
            <w:r w:rsidRPr="008F312A">
              <w:rPr>
                <w:rFonts w:ascii="Calibri" w:hAnsi="Calibri" w:cs="Tahoma"/>
                <w:bCs/>
                <w:lang w:eastAsia="en-US"/>
              </w:rPr>
              <w:t>-87,0 mil. Kč</w:t>
            </w:r>
          </w:p>
        </w:tc>
        <w:tc>
          <w:tcPr>
            <w:tcW w:w="1535" w:type="dxa"/>
          </w:tcPr>
          <w:p w:rsidR="00F35AE3" w:rsidRPr="008F312A" w:rsidRDefault="00F35AE3" w:rsidP="00423120">
            <w:pPr>
              <w:keepNext/>
              <w:jc w:val="center"/>
              <w:rPr>
                <w:rFonts w:ascii="Calibri" w:hAnsi="Calibri" w:cs="Tahoma"/>
                <w:bCs/>
                <w:lang w:eastAsia="en-US"/>
              </w:rPr>
            </w:pPr>
            <w:r w:rsidRPr="008F312A">
              <w:rPr>
                <w:rFonts w:ascii="Calibri" w:hAnsi="Calibri" w:cs="Tahoma"/>
                <w:bCs/>
                <w:lang w:eastAsia="en-US"/>
              </w:rPr>
              <w:t>-52,0</w:t>
            </w:r>
            <w:r w:rsidR="00760C73">
              <w:rPr>
                <w:rFonts w:ascii="Calibri" w:hAnsi="Calibri" w:cs="Tahoma"/>
                <w:bCs/>
                <w:lang w:eastAsia="en-US"/>
              </w:rPr>
              <w:t xml:space="preserve"> </w:t>
            </w:r>
            <w:r w:rsidRPr="008F312A">
              <w:rPr>
                <w:rFonts w:ascii="Calibri" w:hAnsi="Calibri" w:cs="Tahoma"/>
                <w:bCs/>
                <w:lang w:eastAsia="en-US"/>
              </w:rPr>
              <w:t>%</w:t>
            </w:r>
          </w:p>
        </w:tc>
        <w:tc>
          <w:tcPr>
            <w:tcW w:w="1536" w:type="dxa"/>
          </w:tcPr>
          <w:p w:rsidR="00F35AE3" w:rsidRPr="000E7A43" w:rsidRDefault="00F35AE3" w:rsidP="00423120">
            <w:pPr>
              <w:keepNext/>
              <w:jc w:val="center"/>
              <w:rPr>
                <w:rFonts w:ascii="Calibri" w:hAnsi="Calibri" w:cs="Tahoma"/>
                <w:bCs/>
                <w:sz w:val="24"/>
                <w:szCs w:val="24"/>
                <w:lang w:eastAsia="en-US"/>
              </w:rPr>
            </w:pPr>
            <w:r w:rsidRPr="000E7A43">
              <w:rPr>
                <w:rFonts w:ascii="Calibri" w:hAnsi="Calibri" w:cs="Tahoma"/>
                <w:bCs/>
                <w:sz w:val="24"/>
                <w:szCs w:val="24"/>
                <w:lang w:eastAsia="en-US"/>
              </w:rPr>
              <w:t>---</w:t>
            </w:r>
          </w:p>
        </w:tc>
        <w:tc>
          <w:tcPr>
            <w:tcW w:w="1536" w:type="dxa"/>
          </w:tcPr>
          <w:p w:rsidR="00F35AE3" w:rsidRPr="000E7A43" w:rsidRDefault="00F35AE3" w:rsidP="00423120">
            <w:pPr>
              <w:keepNext/>
              <w:jc w:val="center"/>
              <w:rPr>
                <w:rFonts w:ascii="Calibri" w:hAnsi="Calibri" w:cs="Tahoma"/>
                <w:bCs/>
                <w:sz w:val="24"/>
                <w:szCs w:val="24"/>
                <w:lang w:eastAsia="en-US"/>
              </w:rPr>
            </w:pPr>
            <w:r w:rsidRPr="000E7A43">
              <w:rPr>
                <w:rFonts w:ascii="Calibri" w:hAnsi="Calibri" w:cs="Tahoma"/>
                <w:bCs/>
                <w:sz w:val="24"/>
                <w:szCs w:val="24"/>
                <w:lang w:eastAsia="en-US"/>
              </w:rPr>
              <w:t>---</w:t>
            </w:r>
          </w:p>
        </w:tc>
      </w:tr>
    </w:tbl>
    <w:p w:rsidR="000112D6" w:rsidRPr="00326F51" w:rsidRDefault="00326F51" w:rsidP="00326F51">
      <w:pPr>
        <w:pStyle w:val="05-Text"/>
        <w:jc w:val="center"/>
        <w:rPr>
          <w:rFonts w:asciiTheme="minorHAnsi" w:hAnsiTheme="minorHAnsi" w:cstheme="minorHAnsi"/>
          <w:i/>
          <w:sz w:val="22"/>
          <w:szCs w:val="22"/>
        </w:rPr>
      </w:pPr>
      <w:r w:rsidRPr="00326F51">
        <w:rPr>
          <w:rFonts w:asciiTheme="minorHAnsi" w:hAnsiTheme="minorHAnsi" w:cstheme="minorHAnsi"/>
          <w:i/>
          <w:sz w:val="22"/>
          <w:szCs w:val="22"/>
        </w:rPr>
        <w:t>Pramen: vlastní výzkum.</w:t>
      </w:r>
    </w:p>
    <w:p w:rsidR="00F35AE3" w:rsidRPr="004F2EF3" w:rsidRDefault="00F35AE3" w:rsidP="00423120">
      <w:pPr>
        <w:pStyle w:val="05-Text"/>
        <w:rPr>
          <w:color w:val="FF0000"/>
        </w:rPr>
      </w:pPr>
      <w:r w:rsidRPr="00791AD0">
        <w:lastRenderedPageBreak/>
        <w:t>Z uvedených výsledků je jasně patrná nulová finanční návratnost celého projektu. Hodnocení efektivnosti projektu jako investice (bez zohlednění položek financování) jasně dokazuje minimální (takřka nulové) provozní zisky, které nemohou nikdy ani částečně pokrýt vloženou investici. Mírně lepší výsledky vykazuje hodnocení návratnosti vloženého kapitálu (index rentability = -52,0</w:t>
      </w:r>
      <w:r>
        <w:t xml:space="preserve"> </w:t>
      </w:r>
      <w:r w:rsidRPr="00791AD0">
        <w:t>%). Index rentability tak ukazuje, ž</w:t>
      </w:r>
      <w:r w:rsidR="000856B7">
        <w:t>e z každé investované koruny do </w:t>
      </w:r>
      <w:r w:rsidRPr="00791AD0">
        <w:t>projektu se vrátí přibližně 48</w:t>
      </w:r>
      <w:r>
        <w:t xml:space="preserve"> </w:t>
      </w:r>
      <w:r w:rsidRPr="00791AD0">
        <w:t>%. Této hodnoty je dosaženo především díky podpoře projektu z prostředků ROP (dotace 40</w:t>
      </w:r>
      <w:r>
        <w:t xml:space="preserve"> </w:t>
      </w:r>
      <w:r w:rsidRPr="00791AD0">
        <w:t>% ze způsobilých výdajů) a dále díky časovému posunu (vyšší hodnota diskontního faktoru) investice umožněnému přijetím úvěru s velmi nízkou úrokovou mírou (úroková sazba přibližně 2</w:t>
      </w:r>
      <w:r>
        <w:t xml:space="preserve"> </w:t>
      </w:r>
      <w:r w:rsidRPr="00791AD0">
        <w:t>% p.</w:t>
      </w:r>
      <w:r w:rsidR="00275DD2">
        <w:t xml:space="preserve"> </w:t>
      </w:r>
      <w:r w:rsidRPr="00791AD0">
        <w:t xml:space="preserve">a.). </w:t>
      </w:r>
    </w:p>
    <w:p w:rsidR="00F35AE3" w:rsidRPr="00791AD0" w:rsidRDefault="00F35AE3" w:rsidP="00423120">
      <w:pPr>
        <w:pStyle w:val="04-Podnadipsek"/>
        <w:spacing w:after="200"/>
      </w:pPr>
      <w:r w:rsidRPr="00791AD0">
        <w:t xml:space="preserve">Socio-ekonomická analýza projektu </w:t>
      </w:r>
    </w:p>
    <w:p w:rsidR="00F35AE3" w:rsidRDefault="00F35AE3" w:rsidP="00423120">
      <w:pPr>
        <w:keepNext/>
        <w:ind w:firstLine="720"/>
        <w:jc w:val="both"/>
        <w:rPr>
          <w:rFonts w:cs="Tahoma"/>
          <w:bCs/>
          <w:sz w:val="24"/>
          <w:szCs w:val="24"/>
        </w:rPr>
      </w:pPr>
      <w:bookmarkStart w:id="79" w:name="_Toc349768216"/>
      <w:bookmarkStart w:id="80" w:name="_Toc349824534"/>
      <w:r>
        <w:rPr>
          <w:rFonts w:cs="Tahoma"/>
          <w:bCs/>
          <w:sz w:val="24"/>
          <w:szCs w:val="24"/>
        </w:rPr>
        <w:t xml:space="preserve">Hlavním společenským dopadem realizace projektu je zvýšení užitku obyvatel v zájmovém území, kteří se rozhodnou využít služeb budovaného aquaparku (návštěvníci areálu). Vedle možnosti aktivního trávení volného času tak lze předpokládat i zlepšení jejich fyzické kondice nebo zdravotního stavu. Dalším významným socio-ekonomickým dopadem může být rozvoj ekonomické aktivity v regionu, vznik nových pracovních míst a rozvoj dodavatelsko-odběratelských vztahů. Přehled základních socio-ekonomických nákladů </w:t>
      </w:r>
      <w:r w:rsidR="000856B7">
        <w:rPr>
          <w:rFonts w:cs="Tahoma"/>
          <w:bCs/>
          <w:sz w:val="24"/>
          <w:szCs w:val="24"/>
        </w:rPr>
        <w:t>a </w:t>
      </w:r>
      <w:r>
        <w:rPr>
          <w:rFonts w:cs="Tahoma"/>
          <w:bCs/>
          <w:sz w:val="24"/>
          <w:szCs w:val="24"/>
        </w:rPr>
        <w:t xml:space="preserve">výnosů projektu je uveden v následující tabulce. </w:t>
      </w:r>
    </w:p>
    <w:p w:rsidR="00F35AE3" w:rsidRDefault="00F35AE3" w:rsidP="000112D6">
      <w:pPr>
        <w:pStyle w:val="0T-Titulek"/>
      </w:pPr>
      <w:bookmarkStart w:id="81" w:name="_Toc382326445"/>
      <w:r w:rsidRPr="00407137">
        <w:t xml:space="preserve">Tabulka </w:t>
      </w:r>
      <w:r w:rsidR="002C0A30" w:rsidRPr="00407137">
        <w:t>1</w:t>
      </w:r>
      <w:r w:rsidR="009D2B97" w:rsidRPr="00407137">
        <w:t>8</w:t>
      </w:r>
      <w:r w:rsidRPr="00407137">
        <w:t xml:space="preserve">: Předpokládané </w:t>
      </w:r>
      <w:r w:rsidRPr="00347C7B">
        <w:t>so</w:t>
      </w:r>
      <w:r>
        <w:t>cioekonomické dopady projektu</w:t>
      </w:r>
      <w:bookmarkEnd w:id="79"/>
      <w:bookmarkEnd w:id="80"/>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2303"/>
        <w:gridCol w:w="4606"/>
      </w:tblGrid>
      <w:tr w:rsidR="00F35AE3" w:rsidRPr="00791AD0" w:rsidTr="00B875AB">
        <w:trPr>
          <w:cantSplit/>
          <w:trHeight w:hRule="exact" w:val="284"/>
          <w:tblHeader/>
        </w:trPr>
        <w:tc>
          <w:tcPr>
            <w:tcW w:w="2303" w:type="dxa"/>
            <w:shd w:val="clear" w:color="auto" w:fill="auto"/>
            <w:vAlign w:val="center"/>
          </w:tcPr>
          <w:p w:rsidR="00F35AE3" w:rsidRPr="008F312A" w:rsidRDefault="00F35AE3" w:rsidP="00423120">
            <w:pPr>
              <w:keepNext/>
              <w:jc w:val="center"/>
              <w:rPr>
                <w:rFonts w:ascii="Calibri" w:hAnsi="Calibri" w:cs="Tahoma"/>
                <w:b/>
                <w:bCs/>
                <w:lang w:eastAsia="en-US"/>
              </w:rPr>
            </w:pPr>
            <w:r w:rsidRPr="008F312A">
              <w:rPr>
                <w:rFonts w:ascii="Calibri" w:hAnsi="Calibri" w:cs="Tahoma"/>
                <w:b/>
                <w:bCs/>
                <w:lang w:eastAsia="en-US"/>
              </w:rPr>
              <w:t>cílová skupina</w:t>
            </w:r>
          </w:p>
        </w:tc>
        <w:tc>
          <w:tcPr>
            <w:tcW w:w="2303" w:type="dxa"/>
            <w:shd w:val="clear" w:color="auto" w:fill="auto"/>
            <w:vAlign w:val="center"/>
          </w:tcPr>
          <w:p w:rsidR="00F35AE3" w:rsidRPr="008F312A" w:rsidRDefault="00F35AE3" w:rsidP="00423120">
            <w:pPr>
              <w:keepNext/>
              <w:jc w:val="center"/>
              <w:rPr>
                <w:rFonts w:ascii="Calibri" w:hAnsi="Calibri" w:cs="Tahoma"/>
                <w:b/>
                <w:bCs/>
                <w:lang w:eastAsia="en-US"/>
              </w:rPr>
            </w:pPr>
            <w:r w:rsidRPr="008F312A">
              <w:rPr>
                <w:rFonts w:ascii="Calibri" w:hAnsi="Calibri" w:cs="Tahoma"/>
                <w:b/>
                <w:bCs/>
                <w:lang w:eastAsia="en-US"/>
              </w:rPr>
              <w:t xml:space="preserve">počet </w:t>
            </w:r>
          </w:p>
        </w:tc>
        <w:tc>
          <w:tcPr>
            <w:tcW w:w="4606" w:type="dxa"/>
            <w:shd w:val="clear" w:color="auto" w:fill="auto"/>
            <w:vAlign w:val="center"/>
          </w:tcPr>
          <w:p w:rsidR="00F35AE3" w:rsidRPr="008F312A" w:rsidRDefault="00F35AE3" w:rsidP="00423120">
            <w:pPr>
              <w:keepNext/>
              <w:jc w:val="center"/>
              <w:rPr>
                <w:rFonts w:ascii="Calibri" w:hAnsi="Calibri" w:cs="Tahoma"/>
                <w:b/>
                <w:bCs/>
                <w:lang w:eastAsia="en-US"/>
              </w:rPr>
            </w:pPr>
            <w:r w:rsidRPr="008F312A">
              <w:rPr>
                <w:rFonts w:ascii="Calibri" w:hAnsi="Calibri" w:cs="Tahoma"/>
                <w:b/>
                <w:bCs/>
                <w:lang w:eastAsia="en-US"/>
              </w:rPr>
              <w:t xml:space="preserve">předpokládaný dopad </w:t>
            </w:r>
          </w:p>
        </w:tc>
      </w:tr>
      <w:tr w:rsidR="00F35AE3" w:rsidRPr="00791AD0" w:rsidTr="001D5CBA">
        <w:tc>
          <w:tcPr>
            <w:tcW w:w="2303" w:type="dxa"/>
            <w:vAlign w:val="center"/>
          </w:tcPr>
          <w:p w:rsidR="00F35AE3" w:rsidRPr="008F312A" w:rsidRDefault="00F35AE3" w:rsidP="00423120">
            <w:pPr>
              <w:keepNext/>
              <w:jc w:val="center"/>
              <w:rPr>
                <w:rFonts w:ascii="Calibri" w:hAnsi="Calibri" w:cs="Tahoma"/>
                <w:bCs/>
                <w:lang w:eastAsia="en-US"/>
              </w:rPr>
            </w:pPr>
            <w:r w:rsidRPr="008F312A">
              <w:rPr>
                <w:rFonts w:ascii="Calibri" w:hAnsi="Calibri" w:cs="Tahoma"/>
                <w:bCs/>
                <w:lang w:eastAsia="en-US"/>
              </w:rPr>
              <w:t>návštěvníci areálu</w:t>
            </w:r>
          </w:p>
        </w:tc>
        <w:tc>
          <w:tcPr>
            <w:tcW w:w="2303" w:type="dxa"/>
            <w:vAlign w:val="center"/>
          </w:tcPr>
          <w:p w:rsidR="00F35AE3" w:rsidRPr="008F312A" w:rsidRDefault="00F35AE3" w:rsidP="00423120">
            <w:pPr>
              <w:keepNext/>
              <w:jc w:val="center"/>
              <w:rPr>
                <w:rFonts w:ascii="Calibri" w:hAnsi="Calibri" w:cs="Tahoma"/>
                <w:bCs/>
                <w:lang w:eastAsia="en-US"/>
              </w:rPr>
            </w:pPr>
            <w:r w:rsidRPr="008F312A">
              <w:rPr>
                <w:rFonts w:ascii="Calibri" w:hAnsi="Calibri" w:cs="Tahoma"/>
                <w:bCs/>
                <w:lang w:eastAsia="en-US"/>
              </w:rPr>
              <w:t>až 200 tis. osob ročně</w:t>
            </w:r>
          </w:p>
        </w:tc>
        <w:tc>
          <w:tcPr>
            <w:tcW w:w="4606" w:type="dxa"/>
            <w:vAlign w:val="center"/>
          </w:tcPr>
          <w:p w:rsidR="00F35AE3" w:rsidRPr="008F312A" w:rsidRDefault="00F35AE3" w:rsidP="00B875AB">
            <w:pPr>
              <w:keepNext/>
              <w:numPr>
                <w:ilvl w:val="0"/>
                <w:numId w:val="6"/>
              </w:numPr>
              <w:spacing w:after="0" w:line="240" w:lineRule="auto"/>
              <w:ind w:left="170" w:hanging="170"/>
              <w:contextualSpacing/>
              <w:jc w:val="both"/>
              <w:rPr>
                <w:rFonts w:ascii="Calibri" w:hAnsi="Calibri" w:cs="Tahoma"/>
                <w:bCs/>
                <w:lang w:eastAsia="en-US"/>
              </w:rPr>
            </w:pPr>
            <w:r w:rsidRPr="008F312A">
              <w:rPr>
                <w:rFonts w:ascii="Calibri" w:hAnsi="Calibri" w:cs="Tahoma"/>
                <w:bCs/>
                <w:lang w:eastAsia="en-US"/>
              </w:rPr>
              <w:t xml:space="preserve">osobní užitek (příjemný pocit) z návštěvy; </w:t>
            </w:r>
          </w:p>
          <w:p w:rsidR="00F35AE3" w:rsidRPr="008F312A" w:rsidRDefault="00F35AE3" w:rsidP="00B875AB">
            <w:pPr>
              <w:keepNext/>
              <w:numPr>
                <w:ilvl w:val="0"/>
                <w:numId w:val="6"/>
              </w:numPr>
              <w:spacing w:after="0" w:line="240" w:lineRule="auto"/>
              <w:ind w:left="170" w:hanging="170"/>
              <w:contextualSpacing/>
              <w:jc w:val="both"/>
              <w:rPr>
                <w:rFonts w:ascii="Calibri" w:hAnsi="Calibri" w:cs="Tahoma"/>
                <w:bCs/>
                <w:lang w:eastAsia="en-US"/>
              </w:rPr>
            </w:pPr>
            <w:r w:rsidRPr="008F312A">
              <w:rPr>
                <w:rFonts w:ascii="Calibri" w:hAnsi="Calibri" w:cs="Tahoma"/>
                <w:bCs/>
                <w:lang w:eastAsia="en-US"/>
              </w:rPr>
              <w:t xml:space="preserve">zlepšení fyzické kondice nebo zdravotního stavu; </w:t>
            </w:r>
          </w:p>
        </w:tc>
      </w:tr>
      <w:tr w:rsidR="00F35AE3" w:rsidRPr="00791AD0" w:rsidTr="001D5CBA">
        <w:tc>
          <w:tcPr>
            <w:tcW w:w="2303" w:type="dxa"/>
            <w:vAlign w:val="center"/>
          </w:tcPr>
          <w:p w:rsidR="00F35AE3" w:rsidRPr="008F312A" w:rsidRDefault="00F35AE3" w:rsidP="00423120">
            <w:pPr>
              <w:keepNext/>
              <w:jc w:val="center"/>
              <w:rPr>
                <w:rFonts w:ascii="Calibri" w:hAnsi="Calibri" w:cs="Tahoma"/>
                <w:bCs/>
                <w:lang w:eastAsia="en-US"/>
              </w:rPr>
            </w:pPr>
            <w:r w:rsidRPr="008F312A">
              <w:rPr>
                <w:rFonts w:ascii="Calibri" w:hAnsi="Calibri" w:cs="Tahoma"/>
                <w:bCs/>
                <w:lang w:eastAsia="en-US"/>
              </w:rPr>
              <w:t>obyvatelé v těsném okolí stavby</w:t>
            </w:r>
          </w:p>
        </w:tc>
        <w:tc>
          <w:tcPr>
            <w:tcW w:w="2303" w:type="dxa"/>
            <w:vAlign w:val="center"/>
          </w:tcPr>
          <w:p w:rsidR="00F35AE3" w:rsidRPr="008F312A" w:rsidRDefault="00F35AE3" w:rsidP="00423120">
            <w:pPr>
              <w:keepNext/>
              <w:jc w:val="center"/>
              <w:rPr>
                <w:rFonts w:ascii="Calibri" w:hAnsi="Calibri" w:cs="Tahoma"/>
                <w:bCs/>
                <w:lang w:eastAsia="en-US"/>
              </w:rPr>
            </w:pPr>
            <w:r w:rsidRPr="008F312A">
              <w:rPr>
                <w:rFonts w:ascii="Calibri" w:hAnsi="Calibri" w:cs="Tahoma"/>
                <w:bCs/>
                <w:lang w:eastAsia="en-US"/>
              </w:rPr>
              <w:t>160 osob, 6 RD, 1 panelový dům</w:t>
            </w:r>
          </w:p>
        </w:tc>
        <w:tc>
          <w:tcPr>
            <w:tcW w:w="4606" w:type="dxa"/>
            <w:vAlign w:val="center"/>
          </w:tcPr>
          <w:p w:rsidR="00F35AE3" w:rsidRPr="008F312A" w:rsidRDefault="00F35AE3" w:rsidP="00B875AB">
            <w:pPr>
              <w:keepNext/>
              <w:numPr>
                <w:ilvl w:val="0"/>
                <w:numId w:val="6"/>
              </w:numPr>
              <w:spacing w:line="240" w:lineRule="auto"/>
              <w:ind w:left="170" w:hanging="170"/>
              <w:contextualSpacing/>
              <w:jc w:val="both"/>
              <w:rPr>
                <w:rFonts w:ascii="Calibri" w:hAnsi="Calibri" w:cs="Tahoma"/>
                <w:bCs/>
                <w:lang w:eastAsia="en-US"/>
              </w:rPr>
            </w:pPr>
            <w:r w:rsidRPr="008F312A">
              <w:rPr>
                <w:rFonts w:ascii="Calibri" w:hAnsi="Calibri" w:cs="Tahoma"/>
                <w:bCs/>
                <w:lang w:eastAsia="en-US"/>
              </w:rPr>
              <w:t xml:space="preserve">vliv stavby na kvalitu bydlení; </w:t>
            </w:r>
          </w:p>
          <w:p w:rsidR="00F35AE3" w:rsidRPr="008F312A" w:rsidRDefault="00F35AE3" w:rsidP="00B875AB">
            <w:pPr>
              <w:keepNext/>
              <w:numPr>
                <w:ilvl w:val="0"/>
                <w:numId w:val="6"/>
              </w:numPr>
              <w:spacing w:line="240" w:lineRule="auto"/>
              <w:ind w:left="170" w:hanging="170"/>
              <w:contextualSpacing/>
              <w:jc w:val="both"/>
              <w:rPr>
                <w:rFonts w:ascii="Calibri" w:hAnsi="Calibri" w:cs="Tahoma"/>
                <w:bCs/>
                <w:lang w:eastAsia="en-US"/>
              </w:rPr>
            </w:pPr>
            <w:r w:rsidRPr="008F312A">
              <w:rPr>
                <w:rFonts w:ascii="Calibri" w:hAnsi="Calibri" w:cs="Tahoma"/>
                <w:bCs/>
                <w:lang w:eastAsia="en-US"/>
              </w:rPr>
              <w:t xml:space="preserve">provozní vlivy aquaparku (hluk, světlo, parkování); </w:t>
            </w:r>
          </w:p>
        </w:tc>
      </w:tr>
      <w:tr w:rsidR="00F35AE3" w:rsidRPr="00791AD0" w:rsidTr="001D5CBA">
        <w:tc>
          <w:tcPr>
            <w:tcW w:w="2303" w:type="dxa"/>
            <w:vAlign w:val="center"/>
          </w:tcPr>
          <w:p w:rsidR="00F35AE3" w:rsidRPr="008F312A" w:rsidRDefault="00F35AE3" w:rsidP="00423120">
            <w:pPr>
              <w:keepNext/>
              <w:jc w:val="center"/>
              <w:rPr>
                <w:rFonts w:ascii="Calibri" w:hAnsi="Calibri" w:cs="Tahoma"/>
                <w:bCs/>
                <w:lang w:eastAsia="en-US"/>
              </w:rPr>
            </w:pPr>
            <w:r w:rsidRPr="008F312A">
              <w:rPr>
                <w:rFonts w:ascii="Calibri" w:hAnsi="Calibri" w:cs="Tahoma"/>
                <w:bCs/>
                <w:lang w:eastAsia="en-US"/>
              </w:rPr>
              <w:t>obyvatelé obce a regionu</w:t>
            </w:r>
          </w:p>
        </w:tc>
        <w:tc>
          <w:tcPr>
            <w:tcW w:w="2303" w:type="dxa"/>
            <w:vAlign w:val="center"/>
          </w:tcPr>
          <w:p w:rsidR="00F35AE3" w:rsidRPr="008F312A" w:rsidRDefault="00F35AE3" w:rsidP="00423120">
            <w:pPr>
              <w:keepNext/>
              <w:jc w:val="center"/>
              <w:rPr>
                <w:rFonts w:ascii="Calibri" w:hAnsi="Calibri" w:cs="Tahoma"/>
                <w:bCs/>
                <w:lang w:eastAsia="en-US"/>
              </w:rPr>
            </w:pPr>
            <w:r w:rsidRPr="008F312A">
              <w:rPr>
                <w:rFonts w:ascii="Calibri" w:hAnsi="Calibri" w:cs="Tahoma"/>
                <w:bCs/>
                <w:lang w:eastAsia="en-US"/>
              </w:rPr>
              <w:t>až 15 tis. osob</w:t>
            </w:r>
          </w:p>
        </w:tc>
        <w:tc>
          <w:tcPr>
            <w:tcW w:w="4606" w:type="dxa"/>
            <w:vAlign w:val="center"/>
          </w:tcPr>
          <w:p w:rsidR="00F35AE3" w:rsidRPr="008F312A" w:rsidRDefault="00F35AE3" w:rsidP="00B875AB">
            <w:pPr>
              <w:keepNext/>
              <w:numPr>
                <w:ilvl w:val="0"/>
                <w:numId w:val="6"/>
              </w:numPr>
              <w:spacing w:line="240" w:lineRule="auto"/>
              <w:ind w:left="170" w:hanging="170"/>
              <w:contextualSpacing/>
              <w:jc w:val="both"/>
              <w:rPr>
                <w:rFonts w:ascii="Calibri" w:hAnsi="Calibri" w:cs="Tahoma"/>
                <w:bCs/>
                <w:lang w:eastAsia="en-US"/>
              </w:rPr>
            </w:pPr>
            <w:r w:rsidRPr="008F312A">
              <w:rPr>
                <w:rFonts w:ascii="Calibri" w:hAnsi="Calibri" w:cs="Tahoma"/>
                <w:bCs/>
                <w:lang w:eastAsia="en-US"/>
              </w:rPr>
              <w:t xml:space="preserve">zvýšení místní dopravy; </w:t>
            </w:r>
          </w:p>
          <w:p w:rsidR="00F35AE3" w:rsidRPr="008F312A" w:rsidRDefault="00F35AE3" w:rsidP="00B875AB">
            <w:pPr>
              <w:keepNext/>
              <w:numPr>
                <w:ilvl w:val="0"/>
                <w:numId w:val="6"/>
              </w:numPr>
              <w:spacing w:line="240" w:lineRule="auto"/>
              <w:ind w:left="170" w:hanging="170"/>
              <w:contextualSpacing/>
              <w:jc w:val="both"/>
              <w:rPr>
                <w:rFonts w:ascii="Calibri" w:hAnsi="Calibri" w:cs="Tahoma"/>
                <w:bCs/>
                <w:lang w:eastAsia="en-US"/>
              </w:rPr>
            </w:pPr>
            <w:r w:rsidRPr="008F312A">
              <w:rPr>
                <w:rFonts w:ascii="Calibri" w:hAnsi="Calibri" w:cs="Tahoma"/>
                <w:bCs/>
                <w:lang w:eastAsia="en-US"/>
              </w:rPr>
              <w:t>vznik nových pracovních příležitostí;</w:t>
            </w:r>
          </w:p>
        </w:tc>
      </w:tr>
      <w:tr w:rsidR="00F35AE3" w:rsidRPr="00791AD0" w:rsidTr="001D5CBA">
        <w:tc>
          <w:tcPr>
            <w:tcW w:w="2303" w:type="dxa"/>
            <w:vAlign w:val="center"/>
          </w:tcPr>
          <w:p w:rsidR="00F35AE3" w:rsidRPr="008F312A" w:rsidRDefault="00F35AE3" w:rsidP="00423120">
            <w:pPr>
              <w:keepNext/>
              <w:jc w:val="center"/>
              <w:rPr>
                <w:rFonts w:ascii="Calibri" w:hAnsi="Calibri" w:cs="Tahoma"/>
                <w:bCs/>
                <w:lang w:eastAsia="en-US"/>
              </w:rPr>
            </w:pPr>
            <w:r w:rsidRPr="008F312A">
              <w:rPr>
                <w:rFonts w:ascii="Calibri" w:hAnsi="Calibri" w:cs="Tahoma"/>
                <w:bCs/>
                <w:lang w:eastAsia="en-US"/>
              </w:rPr>
              <w:t>podnikatelé v regionu</w:t>
            </w:r>
          </w:p>
        </w:tc>
        <w:tc>
          <w:tcPr>
            <w:tcW w:w="2303" w:type="dxa"/>
            <w:vAlign w:val="center"/>
          </w:tcPr>
          <w:p w:rsidR="00F35AE3" w:rsidRPr="008F312A" w:rsidRDefault="00BF44B7" w:rsidP="00423120">
            <w:pPr>
              <w:keepNext/>
              <w:jc w:val="center"/>
              <w:rPr>
                <w:rFonts w:ascii="Calibri" w:hAnsi="Calibri" w:cs="Tahoma"/>
                <w:bCs/>
                <w:lang w:eastAsia="en-US"/>
              </w:rPr>
            </w:pPr>
            <w:r>
              <w:rPr>
                <w:rFonts w:ascii="Calibri" w:hAnsi="Calibri" w:cs="Tahoma"/>
                <w:bCs/>
                <w:lang w:eastAsia="en-US"/>
              </w:rPr>
              <w:t>20–</w:t>
            </w:r>
            <w:r w:rsidR="00F35AE3" w:rsidRPr="008F312A">
              <w:rPr>
                <w:rFonts w:ascii="Calibri" w:hAnsi="Calibri" w:cs="Tahoma"/>
                <w:bCs/>
                <w:lang w:eastAsia="en-US"/>
              </w:rPr>
              <w:t>30 dotčených subjektů</w:t>
            </w:r>
          </w:p>
        </w:tc>
        <w:tc>
          <w:tcPr>
            <w:tcW w:w="4606" w:type="dxa"/>
            <w:vAlign w:val="center"/>
          </w:tcPr>
          <w:p w:rsidR="00F35AE3" w:rsidRPr="008F312A" w:rsidRDefault="00F35AE3" w:rsidP="00B875AB">
            <w:pPr>
              <w:keepNext/>
              <w:numPr>
                <w:ilvl w:val="0"/>
                <w:numId w:val="6"/>
              </w:numPr>
              <w:spacing w:line="240" w:lineRule="auto"/>
              <w:ind w:left="170" w:hanging="170"/>
              <w:contextualSpacing/>
              <w:jc w:val="both"/>
              <w:rPr>
                <w:rFonts w:ascii="Calibri" w:hAnsi="Calibri" w:cs="Tahoma"/>
                <w:bCs/>
                <w:lang w:eastAsia="en-US"/>
              </w:rPr>
            </w:pPr>
            <w:r w:rsidRPr="008F312A">
              <w:rPr>
                <w:rFonts w:ascii="Calibri" w:hAnsi="Calibri" w:cs="Tahoma"/>
                <w:bCs/>
                <w:lang w:eastAsia="en-US"/>
              </w:rPr>
              <w:t xml:space="preserve">rozvoj </w:t>
            </w:r>
            <w:proofErr w:type="gramStart"/>
            <w:r w:rsidRPr="008F312A">
              <w:rPr>
                <w:rFonts w:ascii="Calibri" w:hAnsi="Calibri" w:cs="Tahoma"/>
                <w:bCs/>
                <w:lang w:eastAsia="en-US"/>
              </w:rPr>
              <w:t>dodavatelsko-odběratelských  vztahů</w:t>
            </w:r>
            <w:proofErr w:type="gramEnd"/>
            <w:r w:rsidRPr="008F312A">
              <w:rPr>
                <w:rFonts w:ascii="Calibri" w:hAnsi="Calibri" w:cs="Tahoma"/>
                <w:bCs/>
                <w:lang w:eastAsia="en-US"/>
              </w:rPr>
              <w:t xml:space="preserve">; </w:t>
            </w:r>
          </w:p>
          <w:p w:rsidR="00F35AE3" w:rsidRPr="008F312A" w:rsidRDefault="00F35AE3" w:rsidP="00B875AB">
            <w:pPr>
              <w:keepNext/>
              <w:numPr>
                <w:ilvl w:val="0"/>
                <w:numId w:val="6"/>
              </w:numPr>
              <w:spacing w:line="240" w:lineRule="auto"/>
              <w:ind w:left="170" w:hanging="170"/>
              <w:contextualSpacing/>
              <w:jc w:val="both"/>
              <w:rPr>
                <w:rFonts w:ascii="Calibri" w:hAnsi="Calibri" w:cs="Tahoma"/>
                <w:bCs/>
                <w:lang w:eastAsia="en-US"/>
              </w:rPr>
            </w:pPr>
            <w:r w:rsidRPr="008F312A">
              <w:rPr>
                <w:rFonts w:ascii="Calibri" w:hAnsi="Calibri" w:cs="Tahoma"/>
                <w:bCs/>
                <w:lang w:eastAsia="en-US"/>
              </w:rPr>
              <w:t xml:space="preserve">zvýšení konkurence; </w:t>
            </w:r>
          </w:p>
        </w:tc>
      </w:tr>
      <w:tr w:rsidR="00F35AE3" w:rsidRPr="00791AD0" w:rsidTr="001D5CBA">
        <w:tc>
          <w:tcPr>
            <w:tcW w:w="2303" w:type="dxa"/>
            <w:vAlign w:val="center"/>
          </w:tcPr>
          <w:p w:rsidR="00F35AE3" w:rsidRPr="008F312A" w:rsidRDefault="00F35AE3" w:rsidP="00423120">
            <w:pPr>
              <w:keepNext/>
              <w:jc w:val="center"/>
              <w:rPr>
                <w:rFonts w:ascii="Calibri" w:hAnsi="Calibri" w:cs="Tahoma"/>
                <w:bCs/>
                <w:lang w:eastAsia="en-US"/>
              </w:rPr>
            </w:pPr>
            <w:r w:rsidRPr="008F312A">
              <w:rPr>
                <w:rFonts w:ascii="Calibri" w:hAnsi="Calibri" w:cs="Tahoma"/>
                <w:bCs/>
                <w:lang w:eastAsia="en-US"/>
              </w:rPr>
              <w:t>veřejná správa</w:t>
            </w:r>
          </w:p>
        </w:tc>
        <w:tc>
          <w:tcPr>
            <w:tcW w:w="2303" w:type="dxa"/>
            <w:vAlign w:val="center"/>
          </w:tcPr>
          <w:p w:rsidR="00F35AE3" w:rsidRPr="008F312A" w:rsidRDefault="00BF44B7" w:rsidP="00423120">
            <w:pPr>
              <w:keepNext/>
              <w:jc w:val="center"/>
              <w:rPr>
                <w:rFonts w:ascii="Calibri" w:hAnsi="Calibri" w:cs="Tahoma"/>
                <w:bCs/>
                <w:lang w:eastAsia="en-US"/>
              </w:rPr>
            </w:pPr>
            <w:r>
              <w:rPr>
                <w:rFonts w:ascii="Calibri" w:hAnsi="Calibri" w:cs="Tahoma"/>
                <w:bCs/>
                <w:lang w:eastAsia="en-US"/>
              </w:rPr>
              <w:t>2–</w:t>
            </w:r>
            <w:r w:rsidR="00F35AE3" w:rsidRPr="008F312A">
              <w:rPr>
                <w:rFonts w:ascii="Calibri" w:hAnsi="Calibri" w:cs="Tahoma"/>
                <w:bCs/>
                <w:lang w:eastAsia="en-US"/>
              </w:rPr>
              <w:t>3 dotčené subjekty</w:t>
            </w:r>
          </w:p>
        </w:tc>
        <w:tc>
          <w:tcPr>
            <w:tcW w:w="4606" w:type="dxa"/>
            <w:vAlign w:val="center"/>
          </w:tcPr>
          <w:p w:rsidR="00F35AE3" w:rsidRPr="008F312A" w:rsidRDefault="00F35AE3" w:rsidP="00B875AB">
            <w:pPr>
              <w:keepNext/>
              <w:numPr>
                <w:ilvl w:val="0"/>
                <w:numId w:val="6"/>
              </w:numPr>
              <w:spacing w:line="240" w:lineRule="auto"/>
              <w:ind w:left="170" w:hanging="170"/>
              <w:contextualSpacing/>
              <w:jc w:val="both"/>
              <w:rPr>
                <w:rFonts w:ascii="Calibri" w:hAnsi="Calibri" w:cs="Tahoma"/>
                <w:bCs/>
                <w:lang w:eastAsia="en-US"/>
              </w:rPr>
            </w:pPr>
            <w:r w:rsidRPr="008F312A">
              <w:rPr>
                <w:rFonts w:ascii="Calibri" w:hAnsi="Calibri" w:cs="Tahoma"/>
                <w:bCs/>
                <w:lang w:eastAsia="en-US"/>
              </w:rPr>
              <w:t xml:space="preserve">zvýšení atraktivity obce; </w:t>
            </w:r>
          </w:p>
          <w:p w:rsidR="00F35AE3" w:rsidRPr="008F312A" w:rsidRDefault="00F35AE3" w:rsidP="00B875AB">
            <w:pPr>
              <w:keepNext/>
              <w:numPr>
                <w:ilvl w:val="0"/>
                <w:numId w:val="6"/>
              </w:numPr>
              <w:spacing w:line="240" w:lineRule="auto"/>
              <w:ind w:left="170" w:hanging="170"/>
              <w:contextualSpacing/>
              <w:jc w:val="both"/>
              <w:rPr>
                <w:rFonts w:ascii="Calibri" w:hAnsi="Calibri" w:cs="Tahoma"/>
                <w:bCs/>
                <w:lang w:eastAsia="en-US"/>
              </w:rPr>
            </w:pPr>
            <w:r w:rsidRPr="008F312A">
              <w:rPr>
                <w:rFonts w:ascii="Calibri" w:hAnsi="Calibri" w:cs="Tahoma"/>
                <w:bCs/>
                <w:lang w:eastAsia="en-US"/>
              </w:rPr>
              <w:t xml:space="preserve">vytvoření podmínek pro vzdělávání v oboru; </w:t>
            </w:r>
          </w:p>
        </w:tc>
      </w:tr>
      <w:tr w:rsidR="00F35AE3" w:rsidRPr="00791AD0" w:rsidTr="001D5CBA">
        <w:trPr>
          <w:trHeight w:val="711"/>
        </w:trPr>
        <w:tc>
          <w:tcPr>
            <w:tcW w:w="2303" w:type="dxa"/>
            <w:vAlign w:val="center"/>
          </w:tcPr>
          <w:p w:rsidR="00F35AE3" w:rsidRPr="008F312A" w:rsidRDefault="00F35AE3" w:rsidP="00423120">
            <w:pPr>
              <w:keepNext/>
              <w:jc w:val="center"/>
              <w:rPr>
                <w:rFonts w:ascii="Calibri" w:hAnsi="Calibri" w:cs="Tahoma"/>
                <w:bCs/>
                <w:lang w:eastAsia="en-US"/>
              </w:rPr>
            </w:pPr>
            <w:r w:rsidRPr="008F312A">
              <w:rPr>
                <w:rFonts w:ascii="Calibri" w:hAnsi="Calibri" w:cs="Tahoma"/>
                <w:bCs/>
                <w:lang w:eastAsia="en-US"/>
              </w:rPr>
              <w:t xml:space="preserve">životní prostředí </w:t>
            </w:r>
          </w:p>
        </w:tc>
        <w:tc>
          <w:tcPr>
            <w:tcW w:w="2303" w:type="dxa"/>
            <w:vAlign w:val="center"/>
          </w:tcPr>
          <w:p w:rsidR="00F35AE3" w:rsidRPr="008F312A" w:rsidRDefault="00F35AE3" w:rsidP="00423120">
            <w:pPr>
              <w:keepNext/>
              <w:jc w:val="center"/>
              <w:rPr>
                <w:rFonts w:ascii="Calibri" w:hAnsi="Calibri" w:cs="Tahoma"/>
                <w:bCs/>
                <w:lang w:eastAsia="en-US"/>
              </w:rPr>
            </w:pPr>
            <w:r w:rsidRPr="008F312A">
              <w:rPr>
                <w:rFonts w:ascii="Calibri" w:hAnsi="Calibri" w:cs="Tahoma"/>
                <w:bCs/>
                <w:lang w:eastAsia="en-US"/>
              </w:rPr>
              <w:t xml:space="preserve">bez specifikace </w:t>
            </w:r>
          </w:p>
        </w:tc>
        <w:tc>
          <w:tcPr>
            <w:tcW w:w="4606" w:type="dxa"/>
            <w:vAlign w:val="center"/>
          </w:tcPr>
          <w:p w:rsidR="00F35AE3" w:rsidRPr="008F312A" w:rsidRDefault="00F35AE3" w:rsidP="00B875AB">
            <w:pPr>
              <w:keepNext/>
              <w:numPr>
                <w:ilvl w:val="0"/>
                <w:numId w:val="6"/>
              </w:numPr>
              <w:spacing w:line="240" w:lineRule="auto"/>
              <w:ind w:left="170" w:hanging="170"/>
              <w:contextualSpacing/>
              <w:jc w:val="both"/>
              <w:rPr>
                <w:rFonts w:ascii="Calibri" w:hAnsi="Calibri" w:cs="Tahoma"/>
                <w:bCs/>
                <w:lang w:eastAsia="en-US"/>
              </w:rPr>
            </w:pPr>
            <w:r w:rsidRPr="008F312A">
              <w:rPr>
                <w:rFonts w:ascii="Calibri" w:hAnsi="Calibri" w:cs="Tahoma"/>
                <w:bCs/>
                <w:lang w:eastAsia="en-US"/>
              </w:rPr>
              <w:t xml:space="preserve">zábor půdy stavbou; </w:t>
            </w:r>
          </w:p>
          <w:p w:rsidR="00F35AE3" w:rsidRDefault="00F35AE3" w:rsidP="00B875AB">
            <w:pPr>
              <w:keepNext/>
              <w:numPr>
                <w:ilvl w:val="0"/>
                <w:numId w:val="6"/>
              </w:numPr>
              <w:spacing w:line="240" w:lineRule="auto"/>
              <w:ind w:left="170" w:hanging="170"/>
              <w:contextualSpacing/>
              <w:jc w:val="both"/>
              <w:rPr>
                <w:rFonts w:ascii="Calibri" w:hAnsi="Calibri" w:cs="Tahoma"/>
                <w:bCs/>
                <w:lang w:eastAsia="en-US"/>
              </w:rPr>
            </w:pPr>
            <w:r w:rsidRPr="008F312A">
              <w:rPr>
                <w:rFonts w:ascii="Calibri" w:hAnsi="Calibri" w:cs="Tahoma"/>
                <w:bCs/>
                <w:lang w:eastAsia="en-US"/>
              </w:rPr>
              <w:t xml:space="preserve">provozní vlivy na ŽP (odpadní voda, spotřeba </w:t>
            </w:r>
          </w:p>
          <w:p w:rsidR="00F35AE3" w:rsidRPr="008F312A" w:rsidRDefault="00F35AE3" w:rsidP="00B875AB">
            <w:pPr>
              <w:keepNext/>
              <w:numPr>
                <w:ilvl w:val="0"/>
                <w:numId w:val="6"/>
              </w:numPr>
              <w:spacing w:line="240" w:lineRule="auto"/>
              <w:ind w:left="170" w:hanging="170"/>
              <w:contextualSpacing/>
              <w:jc w:val="both"/>
              <w:rPr>
                <w:rFonts w:ascii="Calibri" w:hAnsi="Calibri" w:cs="Tahoma"/>
                <w:bCs/>
                <w:lang w:eastAsia="en-US"/>
              </w:rPr>
            </w:pPr>
            <w:r w:rsidRPr="008F312A">
              <w:rPr>
                <w:rFonts w:ascii="Calibri" w:hAnsi="Calibri" w:cs="Tahoma"/>
                <w:bCs/>
                <w:lang w:eastAsia="en-US"/>
              </w:rPr>
              <w:t xml:space="preserve">neobnovitelných zdrojů. </w:t>
            </w:r>
          </w:p>
        </w:tc>
      </w:tr>
    </w:tbl>
    <w:p w:rsidR="000112D6" w:rsidRPr="00326F51" w:rsidRDefault="00326F51" w:rsidP="00326F51">
      <w:pPr>
        <w:pStyle w:val="05-Text"/>
        <w:jc w:val="center"/>
        <w:rPr>
          <w:rFonts w:asciiTheme="minorHAnsi" w:hAnsiTheme="minorHAnsi" w:cstheme="minorHAnsi"/>
          <w:i/>
          <w:sz w:val="22"/>
          <w:szCs w:val="22"/>
        </w:rPr>
      </w:pPr>
      <w:r w:rsidRPr="00326F51">
        <w:rPr>
          <w:rFonts w:asciiTheme="minorHAnsi" w:hAnsiTheme="minorHAnsi" w:cstheme="minorHAnsi"/>
          <w:i/>
          <w:sz w:val="22"/>
          <w:szCs w:val="22"/>
        </w:rPr>
        <w:t>Pramen: vlastní výzkum.</w:t>
      </w:r>
    </w:p>
    <w:p w:rsidR="00F35AE3" w:rsidRPr="00791AD0" w:rsidRDefault="00F35AE3" w:rsidP="00423120">
      <w:pPr>
        <w:pStyle w:val="05-Text"/>
      </w:pPr>
      <w:r w:rsidRPr="00B85487">
        <w:rPr>
          <w:b/>
        </w:rPr>
        <w:t>Návštěvníci areálu</w:t>
      </w:r>
      <w:r w:rsidRPr="00791AD0">
        <w:t xml:space="preserve"> (až 200</w:t>
      </w:r>
      <w:r>
        <w:t xml:space="preserve"> tis. </w:t>
      </w:r>
      <w:r w:rsidR="00BF44B7">
        <w:t xml:space="preserve">osob ročně) – </w:t>
      </w:r>
      <w:r w:rsidRPr="00791AD0">
        <w:t>klíčová cílová skupina projektu. Návštěvníci získají možnost aktivního trávení volného času v atraktivním zařízení. Pravidelná návštěva může vést k osvojení si aktivního způsobu života a s ním spojené</w:t>
      </w:r>
      <w:r>
        <w:t>m</w:t>
      </w:r>
      <w:r w:rsidRPr="00791AD0">
        <w:t xml:space="preserve"> zlepšení</w:t>
      </w:r>
      <w:r>
        <w:t>m</w:t>
      </w:r>
      <w:r w:rsidRPr="00791AD0">
        <w:t xml:space="preserve"> fyzické kondice. Pobyt ve vodě nebo využití wellness služ</w:t>
      </w:r>
      <w:r w:rsidR="000856B7">
        <w:t>eb má také významné prevenční a </w:t>
      </w:r>
      <w:r w:rsidRPr="00791AD0">
        <w:t>rehabilitační účinky. Nejvhodnějším způsobem pro stanovení stínové ceny tohoto dopadu je kontingentní oceňovací technika. S ohledem na stávající ekonomickou situaci v</w:t>
      </w:r>
      <w:r w:rsidR="007352D7">
        <w:t> </w:t>
      </w:r>
      <w:r w:rsidRPr="00791AD0">
        <w:t xml:space="preserve">regionu jsou </w:t>
      </w:r>
      <w:r w:rsidRPr="00791AD0">
        <w:lastRenderedPageBreak/>
        <w:t>ale její výsledky minimální, naprostá většina respondentů</w:t>
      </w:r>
      <w:r>
        <w:t xml:space="preserve"> </w:t>
      </w:r>
      <w:r w:rsidRPr="00791AD0">
        <w:t>(</w:t>
      </w:r>
      <w:r>
        <w:t>přes</w:t>
      </w:r>
      <w:r w:rsidRPr="00791AD0">
        <w:t xml:space="preserve"> 80</w:t>
      </w:r>
      <w:r>
        <w:t xml:space="preserve"> </w:t>
      </w:r>
      <w:r w:rsidRPr="00791AD0">
        <w:t>%) uvádí, že předpokládaná cena je zcela přiměřená nebo příliš vysoká (až 35</w:t>
      </w:r>
      <w:r>
        <w:t xml:space="preserve"> </w:t>
      </w:r>
      <w:r w:rsidRPr="00791AD0">
        <w:t xml:space="preserve">%), tj. cena skutečně hrazená na pokladně přibližně odpovídá užitku, který </w:t>
      </w:r>
      <w:r w:rsidRPr="00407137">
        <w:t xml:space="preserve">návštěvník </w:t>
      </w:r>
      <w:r w:rsidR="00F4378C" w:rsidRPr="00407137">
        <w:t xml:space="preserve">usiluje </w:t>
      </w:r>
      <w:r w:rsidRPr="00407137">
        <w:t>získ</w:t>
      </w:r>
      <w:r w:rsidR="00F4378C" w:rsidRPr="00407137">
        <w:t>at</w:t>
      </w:r>
      <w:r w:rsidRPr="00407137">
        <w:t xml:space="preserve"> </w:t>
      </w:r>
      <w:r w:rsidRPr="00791AD0">
        <w:t>(nulový přebytek spotřebitele)</w:t>
      </w:r>
      <w:r w:rsidRPr="00313404">
        <w:rPr>
          <w:vertAlign w:val="superscript"/>
        </w:rPr>
        <w:t xml:space="preserve"> </w:t>
      </w:r>
      <w:r w:rsidRPr="00791AD0">
        <w:rPr>
          <w:vertAlign w:val="superscript"/>
        </w:rPr>
        <w:footnoteReference w:id="16"/>
      </w:r>
      <w:r>
        <w:t>.</w:t>
      </w:r>
    </w:p>
    <w:p w:rsidR="00F35AE3" w:rsidRPr="00791AD0" w:rsidRDefault="00F35AE3" w:rsidP="00423120">
      <w:pPr>
        <w:pStyle w:val="05-Text"/>
      </w:pPr>
      <w:r w:rsidRPr="00B85487">
        <w:rPr>
          <w:b/>
        </w:rPr>
        <w:t>Obyvatelé v těsném okolí stavby</w:t>
      </w:r>
      <w:r w:rsidR="00BF44B7">
        <w:t xml:space="preserve"> – </w:t>
      </w:r>
      <w:r w:rsidRPr="00791AD0">
        <w:t xml:space="preserve">areál aquaparku svou jižní částí sousedí s obytnou zónou (RD a 1 panelový dům), západní </w:t>
      </w:r>
      <w:r>
        <w:t xml:space="preserve">částí </w:t>
      </w:r>
      <w:r w:rsidRPr="00791AD0">
        <w:t>se stávaj</w:t>
      </w:r>
      <w:r w:rsidR="000856B7">
        <w:t>ícím venkovním koupalištěm a ze </w:t>
      </w:r>
      <w:r w:rsidRPr="00791AD0">
        <w:t xml:space="preserve">severní strany přiléhá průmyslový areál (lehký zpracovatelský průmysl). V realizační fázi budou nejbližší sousedé dotčeni mírně pozitivně. Předmětem projektu je totální rekonstrukce stávajícího objektu, celkový obrys a hmota stavby zůstane zachována, vnějším projevem tak bude pouze revitalizace (včetně zvýšení estetické hodnoty) zchátralého objektu. Mírným negativním dopadem ve fázi realizace bude výhradně průběh stavebních prací (zvýšený pohyb stavebních mechanismů). Provozní fáze projektu také s sebou nenese žádné významné negativní dopady. Z venkovních aktivit areál </w:t>
      </w:r>
      <w:r w:rsidR="00B85487">
        <w:t xml:space="preserve">zahrnuje pouze malý </w:t>
      </w:r>
      <w:r w:rsidRPr="00791AD0">
        <w:t xml:space="preserve">venkovní bazének (vyústění z tobogánu), který je ale od obytné zóny oddělen stávajícím areálem venkovního koupaliště. Jediným negativním dopadem projektu je tak zvýšený pohyb vozidel v okolí areálu, </w:t>
      </w:r>
      <w:r>
        <w:t xml:space="preserve">kde </w:t>
      </w:r>
      <w:r w:rsidRPr="00791AD0">
        <w:t>je</w:t>
      </w:r>
      <w:r w:rsidR="00BF44B7">
        <w:t xml:space="preserve"> předpokládán denní příjezd 120–</w:t>
      </w:r>
      <w:r w:rsidRPr="00791AD0">
        <w:t xml:space="preserve">150 vozidel. Minimalizace těchto dopadů je řešena vlastním parkovištěm (okamžitá kapacita 80 vozidel) a vhodným dopravním napojením areálu.    </w:t>
      </w:r>
    </w:p>
    <w:p w:rsidR="00F35AE3" w:rsidRPr="00791AD0" w:rsidRDefault="00F35AE3" w:rsidP="00423120">
      <w:pPr>
        <w:pStyle w:val="05-Text"/>
      </w:pPr>
      <w:r w:rsidRPr="00B85487">
        <w:rPr>
          <w:b/>
        </w:rPr>
        <w:t>Obyvatelé obce a regionu</w:t>
      </w:r>
      <w:r w:rsidR="00BF44B7">
        <w:t xml:space="preserve"> – </w:t>
      </w:r>
      <w:r w:rsidRPr="00791AD0">
        <w:t xml:space="preserve">negativním dopadem projektu bude zejména zvýšení dopravy v obci a regionu, </w:t>
      </w:r>
      <w:r>
        <w:t xml:space="preserve">kde </w:t>
      </w:r>
      <w:r w:rsidRPr="00791AD0">
        <w:t>je předpokládáno</w:t>
      </w:r>
      <w:r w:rsidR="00BF44B7">
        <w:t xml:space="preserve"> zvýšení denního průjezdu o 240–</w:t>
      </w:r>
      <w:r w:rsidRPr="00791AD0">
        <w:t>300 vozidel (příjezd a odjezd). Tyto hodnoty znamenají navýšení o cca 2</w:t>
      </w:r>
      <w:r>
        <w:t xml:space="preserve"> </w:t>
      </w:r>
      <w:r w:rsidRPr="00791AD0">
        <w:t>%</w:t>
      </w:r>
      <w:r>
        <w:t xml:space="preserve"> </w:t>
      </w:r>
      <w:r w:rsidRPr="00791AD0">
        <w:t>na stávající komunikaci vedoucí k aquaparku (silnice III. třídy) a cca 0,7</w:t>
      </w:r>
      <w:r>
        <w:t xml:space="preserve"> </w:t>
      </w:r>
      <w:r w:rsidRPr="00791AD0">
        <w:t>%</w:t>
      </w:r>
      <w:r>
        <w:t xml:space="preserve"> </w:t>
      </w:r>
      <w:r w:rsidRPr="00791AD0">
        <w:t>na přilehlých rychlostních komunikacích (rychlostní silnice a silnice I. třídy vedoucí do blízkého krajského města</w:t>
      </w:r>
      <w:r>
        <w:t xml:space="preserve"> </w:t>
      </w:r>
      <w:r w:rsidRPr="00791AD0">
        <w:rPr>
          <w:vertAlign w:val="superscript"/>
        </w:rPr>
        <w:footnoteReference w:id="17"/>
      </w:r>
      <w:r w:rsidRPr="00791AD0">
        <w:t xml:space="preserve">. Tyto hodnoty se ani nepřibližují navýšení dopravních proudů např. v souvislosti s budováním nákupních center (navýšení řádově o desítky procent). Významným pozitivním dopadem projektu je tvorba </w:t>
      </w:r>
      <w:r>
        <w:t xml:space="preserve">cca 20 </w:t>
      </w:r>
      <w:r w:rsidRPr="00791AD0">
        <w:t xml:space="preserve">nových pracovních míst. S ohledem na požadovanou kvalifikaci (pokladní, údržba, plavčík, úklid, apod.) je průměrná hrubá mzda uvažována ve výši cca 80% krajského průměru.  </w:t>
      </w:r>
    </w:p>
    <w:p w:rsidR="00F35AE3" w:rsidRPr="0079538B" w:rsidRDefault="00F35AE3" w:rsidP="00423120">
      <w:pPr>
        <w:pStyle w:val="05-Text"/>
      </w:pPr>
      <w:r w:rsidRPr="00CA5086">
        <w:rPr>
          <w:b/>
        </w:rPr>
        <w:t>Podnikatelé v</w:t>
      </w:r>
      <w:r w:rsidR="00BF44B7">
        <w:rPr>
          <w:b/>
        </w:rPr>
        <w:t> </w:t>
      </w:r>
      <w:r w:rsidRPr="00CA5086">
        <w:rPr>
          <w:b/>
        </w:rPr>
        <w:t>regionu</w:t>
      </w:r>
      <w:r w:rsidR="00BF44B7">
        <w:t xml:space="preserve"> – </w:t>
      </w:r>
      <w:r w:rsidRPr="00791AD0">
        <w:t>přímým dopadem projektu je vytvoření podnikatelské příležitosti na provoz občerstvení</w:t>
      </w:r>
      <w:r w:rsidR="00BF44B7">
        <w:t xml:space="preserve"> – </w:t>
      </w:r>
      <w:r w:rsidRPr="00791AD0">
        <w:t>restaurace přímo v areálu aquaparku. Projekt zahrnuje vytvoření plochy 150 m</w:t>
      </w:r>
      <w:r w:rsidRPr="004C6012">
        <w:rPr>
          <w:vertAlign w:val="superscript"/>
        </w:rPr>
        <w:t>2</w:t>
      </w:r>
      <w:r w:rsidRPr="00791AD0">
        <w:t xml:space="preserve"> pro stravovací služby v těsné návaznosti na vstupní prostory (pokladny). Předpokládaná výše tržeb činí 1,5 </w:t>
      </w:r>
      <w:r>
        <w:t>až</w:t>
      </w:r>
      <w:r w:rsidRPr="00791AD0">
        <w:t xml:space="preserve"> 2,0 mil. Kč ročně, předpokládaný počet nových pracovních míst 3 FTE, zisk po zdanění 0,15</w:t>
      </w:r>
      <w:r>
        <w:t xml:space="preserve"> až </w:t>
      </w:r>
      <w:r w:rsidRPr="00791AD0">
        <w:t>0,2 mil. Kč ročně. Z dalších přímých dopadů je p</w:t>
      </w:r>
      <w:r w:rsidR="00BF44B7">
        <w:t>ředpokládán vznik 1–</w:t>
      </w:r>
      <w:r w:rsidRPr="00791AD0">
        <w:t xml:space="preserve">2 nových pracovních míst v oblasti soukromých rehabilitačních pracovníků (masérství) nebo organizované výuky plavání (zejména plavání s dětmi) nebo vodních sportovních aktivit (např. aquaerobik). Z hlediska odběratelských vztahů je většina dodávek zajišťována velkými národními nebo nadnárodními společnosti </w:t>
      </w:r>
      <w:r w:rsidRPr="00791AD0">
        <w:lastRenderedPageBreak/>
        <w:t xml:space="preserve">(dodávka elektrické energie, plynu, vodné a stočné, apod.) s přirozeným monopolem. </w:t>
      </w:r>
      <w:r w:rsidRPr="0079538B">
        <w:t xml:space="preserve">Významné pozitivní dopady zde nejsou předpokládány.    </w:t>
      </w:r>
    </w:p>
    <w:p w:rsidR="00F35AE3" w:rsidRPr="0079538B" w:rsidRDefault="00F35AE3" w:rsidP="00423120">
      <w:pPr>
        <w:pStyle w:val="05-Text"/>
      </w:pPr>
      <w:r w:rsidRPr="00CA5086">
        <w:rPr>
          <w:b/>
        </w:rPr>
        <w:t>Veřejná správa</w:t>
      </w:r>
      <w:r w:rsidR="00BF44B7">
        <w:t xml:space="preserve"> – </w:t>
      </w:r>
      <w:r w:rsidRPr="0079538B">
        <w:t>investorem projektu je obec, která také svými příjmy zajišťuje realizaci projektu a zajištění provozu. Hlavním dopadem projektu na obec tak vedle finanční stránky zachycené ve finanční analýze bude také zvýšení atraktivity obce nebo zvýšení spokojenosti obyvatel. Zvýšení počtu obyvatel v souvislosti s realizací projektu (a tím související navýšení daňových příjmů na obyvatele</w:t>
      </w:r>
      <w:r>
        <w:t>)</w:t>
      </w:r>
      <w:r w:rsidRPr="0079538B">
        <w:t xml:space="preserve"> by bylo čistě spekulativní. Obec ale může profitovat ze zvýšení počtu pracovních míst v obci a s tím souvisejícím zvýšením příjmů z daně ze závislé činnosti vyplácené podle sídla plátce daně: 1 pracovní místo v obci může obci přinést až 7 tis. Kč ročně, 25 nových pracovních míst (20 přímých + 4,5 nepřímých) tak může obci ročně přinést až 172 tis. Kč. </w:t>
      </w:r>
    </w:p>
    <w:p w:rsidR="00F35AE3" w:rsidRPr="0079538B" w:rsidRDefault="00F35AE3" w:rsidP="00423120">
      <w:pPr>
        <w:pStyle w:val="05-Text"/>
      </w:pPr>
      <w:r w:rsidRPr="00964525">
        <w:rPr>
          <w:b/>
        </w:rPr>
        <w:t>Životní prostředí</w:t>
      </w:r>
      <w:r w:rsidR="00BF44B7">
        <w:t xml:space="preserve"> – </w:t>
      </w:r>
      <w:r w:rsidRPr="0079538B">
        <w:t xml:space="preserve">realizací projektu nedochází k záboru zemědělské ani lesní půdy, stavba je realizována ve stávajícím půdorysu. V provozní fázi budou veškeré odpadní vody likvidovány na místní ČOV, která je dostatečně dimenzována. V provozu bude v maximální možné míře využíváno rekuperace tepla z použité vody (v bazénové i sprchové části). Celá budova je navržena s ohledem na úsporu energií, v energetické třídě C. </w:t>
      </w:r>
    </w:p>
    <w:p w:rsidR="00F35AE3" w:rsidRPr="0079538B" w:rsidRDefault="00F35AE3" w:rsidP="00423120">
      <w:pPr>
        <w:pStyle w:val="04-Podnadipsek"/>
        <w:spacing w:after="200"/>
      </w:pPr>
      <w:r w:rsidRPr="0079538B">
        <w:t xml:space="preserve">Shrnutí </w:t>
      </w:r>
    </w:p>
    <w:p w:rsidR="00F35AE3" w:rsidRPr="0079538B" w:rsidRDefault="00F35AE3" w:rsidP="00423120">
      <w:pPr>
        <w:pStyle w:val="05-Text"/>
      </w:pPr>
      <w:r w:rsidRPr="0079538B">
        <w:t>Projekt výstav</w:t>
      </w:r>
      <w:r w:rsidR="00964525">
        <w:t>b</w:t>
      </w:r>
      <w:r w:rsidRPr="0079538B">
        <w:t xml:space="preserve">y aquaparku a wellness centra má dostatečnou poptávku umožňující takřka plné využití jeho kapacity. Dosažení předpokládaného počtu 200 tis. návštěvníků ročně je zcela reálné. Z technického hlediska je navrhována pouze jediná varianta využívající rekonstrukce stávajícího areálu. Významnou výhodou tohoto přístupu je revitalizace zchátralého areálu, vyřešení majetkoprávních vztahů a existující napojení na sítě technické infrastruktury. </w:t>
      </w:r>
    </w:p>
    <w:p w:rsidR="00F35AE3" w:rsidRPr="0079538B" w:rsidRDefault="00F35AE3" w:rsidP="00423120">
      <w:pPr>
        <w:pStyle w:val="05-Text"/>
      </w:pPr>
      <w:r w:rsidRPr="0079538B">
        <w:t>Z finančního hlediska je realizace projektu zcela ztrátová. I přes zajištění dotačního financování je investor nucen z vlastních zdrojů splatit investiční úvěr ve výši 100 mil. Kč. Výdaje na obsluhu dluhu musí být alokovány v rozpočtu obce. Z provozního hlediska je předpokládáno vyrovnané hospodaření, příjmy ze vstupného umožňují plné pokrytí běžných provozních výdajů. Provozní cash-flow ale neumožňuje tvorbu fondů na případnou obnovu areálu po ukončení jeho životnosti. Ze socioekonomického pohledu je realizace projektu velmi přínosná, její přínos spočívá především ve zvýšení užitku návštěvníků areálu, zlepšení jejich zdravotního stavu nebo tvorbě nových pracovních míst. Většina socioekonomických dopadů ale zůstává nekvantifikovatelná.</w:t>
      </w:r>
    </w:p>
    <w:p w:rsidR="00D7281C" w:rsidRDefault="00D7281C">
      <w:pPr>
        <w:spacing w:after="0" w:line="240" w:lineRule="auto"/>
        <w:rPr>
          <w:rFonts w:ascii="Cambria" w:hAnsi="Cambria"/>
          <w:b/>
          <w:bCs/>
          <w:color w:val="0070C0"/>
          <w:sz w:val="28"/>
          <w:szCs w:val="28"/>
        </w:rPr>
      </w:pPr>
      <w:r>
        <w:br w:type="page"/>
      </w:r>
    </w:p>
    <w:p w:rsidR="00D84BEB" w:rsidRPr="00A91347" w:rsidRDefault="00D84BEB" w:rsidP="00890421">
      <w:pPr>
        <w:pStyle w:val="02-Nadpis2"/>
      </w:pPr>
      <w:bookmarkStart w:id="82" w:name="_Toc382327197"/>
      <w:r w:rsidRPr="00A91347">
        <w:lastRenderedPageBreak/>
        <w:t>Použitá literatura</w:t>
      </w:r>
      <w:bookmarkEnd w:id="82"/>
    </w:p>
    <w:p w:rsidR="00A9221E" w:rsidRPr="00702941" w:rsidRDefault="00B40349" w:rsidP="00FE5C66">
      <w:pPr>
        <w:keepNext/>
        <w:keepLines/>
        <w:autoSpaceDE w:val="0"/>
        <w:autoSpaceDN w:val="0"/>
        <w:adjustRightInd w:val="0"/>
        <w:spacing w:after="120" w:line="20" w:lineRule="atLeast"/>
        <w:jc w:val="both"/>
        <w:rPr>
          <w:sz w:val="24"/>
          <w:szCs w:val="24"/>
        </w:rPr>
      </w:pPr>
      <w:hyperlink r:id="rId39" w:history="1">
        <w:r w:rsidR="00A9221E" w:rsidRPr="00702941">
          <w:rPr>
            <w:caps/>
            <w:sz w:val="24"/>
            <w:szCs w:val="24"/>
          </w:rPr>
          <w:t>Becker, R., Denby, L., M</w:t>
        </w:r>
        <w:r w:rsidR="00A9221E" w:rsidRPr="00702941">
          <w:rPr>
            <w:sz w:val="24"/>
            <w:szCs w:val="24"/>
          </w:rPr>
          <w:t>c</w:t>
        </w:r>
        <w:r w:rsidR="00A9221E" w:rsidRPr="00702941">
          <w:rPr>
            <w:caps/>
            <w:sz w:val="24"/>
            <w:szCs w:val="24"/>
          </w:rPr>
          <w:t>Gill, R, Wilks, A</w:t>
        </w:r>
        <w:r w:rsidR="00A9221E" w:rsidRPr="00702941">
          <w:rPr>
            <w:sz w:val="24"/>
            <w:szCs w:val="24"/>
          </w:rPr>
          <w:t>. (1987): Analysis  of data  from  the  Places  Rated Almanac. The America</w:t>
        </w:r>
        <w:r w:rsidR="00BF44B7">
          <w:rPr>
            <w:sz w:val="24"/>
            <w:szCs w:val="24"/>
          </w:rPr>
          <w:t>n Statistician, 41, pp. 169–</w:t>
        </w:r>
        <w:r w:rsidR="00A9221E" w:rsidRPr="00702941">
          <w:rPr>
            <w:sz w:val="24"/>
            <w:szCs w:val="24"/>
          </w:rPr>
          <w:t xml:space="preserve">186. </w:t>
        </w:r>
      </w:hyperlink>
    </w:p>
    <w:p w:rsidR="00A9221E" w:rsidRPr="00702941" w:rsidRDefault="00A9221E" w:rsidP="00FE5C66">
      <w:pPr>
        <w:keepNext/>
        <w:keepLines/>
        <w:autoSpaceDE w:val="0"/>
        <w:autoSpaceDN w:val="0"/>
        <w:adjustRightInd w:val="0"/>
        <w:spacing w:after="120" w:line="20" w:lineRule="atLeast"/>
        <w:jc w:val="both"/>
        <w:rPr>
          <w:rFonts w:cs="TimesNewRomanPSMT"/>
          <w:sz w:val="24"/>
          <w:szCs w:val="24"/>
        </w:rPr>
      </w:pPr>
      <w:r w:rsidRPr="00702941">
        <w:rPr>
          <w:rFonts w:cs="TimesNewRomanPSMT"/>
          <w:caps/>
          <w:sz w:val="24"/>
          <w:szCs w:val="24"/>
        </w:rPr>
        <w:t>Blažek, J., Uhlíř, D.</w:t>
      </w:r>
      <w:r w:rsidRPr="00702941">
        <w:rPr>
          <w:rFonts w:cs="TimesNewRomanPSMT"/>
          <w:sz w:val="24"/>
          <w:szCs w:val="24"/>
        </w:rPr>
        <w:t xml:space="preserve"> (2002): Teorie regionálního rozvoje. Nakladatelství Karolinum, Praha.</w:t>
      </w:r>
    </w:p>
    <w:p w:rsidR="00887ECD" w:rsidRPr="00702941" w:rsidRDefault="00887ECD" w:rsidP="00FE5C66">
      <w:pPr>
        <w:keepNext/>
        <w:spacing w:after="120" w:line="20" w:lineRule="atLeast"/>
        <w:jc w:val="both"/>
        <w:rPr>
          <w:rFonts w:eastAsia="Calibri"/>
          <w:sz w:val="24"/>
          <w:szCs w:val="24"/>
          <w:lang w:eastAsia="en-US"/>
        </w:rPr>
      </w:pPr>
      <w:r w:rsidRPr="00702941">
        <w:rPr>
          <w:rFonts w:eastAsia="Calibri"/>
          <w:caps/>
          <w:sz w:val="24"/>
          <w:szCs w:val="24"/>
          <w:lang w:eastAsia="en-US"/>
        </w:rPr>
        <w:t>Brožová, D</w:t>
      </w:r>
      <w:r w:rsidRPr="00702941">
        <w:rPr>
          <w:rFonts w:eastAsia="Calibri"/>
          <w:sz w:val="24"/>
          <w:szCs w:val="24"/>
          <w:lang w:eastAsia="en-US"/>
        </w:rPr>
        <w:t>. (2004):</w:t>
      </w:r>
      <w:r w:rsidRPr="00702941">
        <w:rPr>
          <w:sz w:val="24"/>
          <w:szCs w:val="24"/>
        </w:rPr>
        <w:t xml:space="preserve"> </w:t>
      </w:r>
      <w:r w:rsidRPr="00702941">
        <w:rPr>
          <w:rFonts w:eastAsia="Calibri"/>
          <w:sz w:val="24"/>
          <w:szCs w:val="24"/>
          <w:lang w:eastAsia="en-US"/>
        </w:rPr>
        <w:t xml:space="preserve">Společenské souvislosti trhu práce. Sociologické nakladatelství, Praha. </w:t>
      </w:r>
    </w:p>
    <w:p w:rsidR="00A9221E" w:rsidRPr="00702941" w:rsidRDefault="00A9221E" w:rsidP="00FE5C66">
      <w:pPr>
        <w:keepNext/>
        <w:keepLines/>
        <w:autoSpaceDE w:val="0"/>
        <w:autoSpaceDN w:val="0"/>
        <w:adjustRightInd w:val="0"/>
        <w:spacing w:after="120" w:line="20" w:lineRule="atLeast"/>
        <w:jc w:val="both"/>
        <w:rPr>
          <w:sz w:val="24"/>
          <w:szCs w:val="24"/>
        </w:rPr>
      </w:pPr>
      <w:r w:rsidRPr="00702941">
        <w:rPr>
          <w:caps/>
          <w:sz w:val="24"/>
          <w:szCs w:val="24"/>
        </w:rPr>
        <w:t>bruntland, G. (1987)</w:t>
      </w:r>
      <w:r w:rsidRPr="00702941">
        <w:rPr>
          <w:rFonts w:eastAsia="CenturySchL-Roma"/>
          <w:sz w:val="24"/>
          <w:szCs w:val="24"/>
        </w:rPr>
        <w:t>: Our common future. Oxford University Press</w:t>
      </w:r>
      <w:r w:rsidR="00FB546F">
        <w:rPr>
          <w:rFonts w:eastAsia="CenturySchL-Roma"/>
          <w:sz w:val="24"/>
          <w:szCs w:val="24"/>
        </w:rPr>
        <w:t>.</w:t>
      </w:r>
    </w:p>
    <w:p w:rsidR="00702941" w:rsidRPr="0032493F" w:rsidRDefault="00702941" w:rsidP="00FE5C66">
      <w:pPr>
        <w:keepNext/>
        <w:spacing w:after="120" w:line="20" w:lineRule="atLeast"/>
        <w:jc w:val="both"/>
        <w:rPr>
          <w:rFonts w:eastAsia="Calibri"/>
          <w:sz w:val="24"/>
          <w:szCs w:val="24"/>
          <w:lang w:eastAsia="en-US"/>
        </w:rPr>
      </w:pPr>
      <w:r w:rsidRPr="0032493F">
        <w:rPr>
          <w:rFonts w:eastAsia="Calibri"/>
          <w:caps/>
          <w:sz w:val="24"/>
          <w:szCs w:val="24"/>
          <w:lang w:eastAsia="en-US"/>
        </w:rPr>
        <w:t>Burcin, B., Fialová, L., Rychtaříková, J. a kol.</w:t>
      </w:r>
      <w:r w:rsidRPr="0032493F">
        <w:rPr>
          <w:rFonts w:eastAsia="Calibri"/>
          <w:sz w:val="24"/>
          <w:szCs w:val="24"/>
          <w:lang w:eastAsia="en-US"/>
        </w:rPr>
        <w:t xml:space="preserve"> (2010): Demografická situace České rep</w:t>
      </w:r>
      <w:r w:rsidR="00BF44B7">
        <w:rPr>
          <w:rFonts w:eastAsia="Calibri"/>
          <w:sz w:val="24"/>
          <w:szCs w:val="24"/>
          <w:lang w:eastAsia="en-US"/>
        </w:rPr>
        <w:t>ubliky. Proměny a kontexty 1993–</w:t>
      </w:r>
      <w:r w:rsidRPr="0032493F">
        <w:rPr>
          <w:rFonts w:eastAsia="Calibri"/>
          <w:sz w:val="24"/>
          <w:szCs w:val="24"/>
          <w:lang w:eastAsia="en-US"/>
        </w:rPr>
        <w:t>2008. Praha, SLON</w:t>
      </w:r>
      <w:r w:rsidR="0032493F">
        <w:rPr>
          <w:rFonts w:eastAsia="Calibri"/>
          <w:sz w:val="24"/>
          <w:szCs w:val="24"/>
          <w:lang w:eastAsia="en-US"/>
        </w:rPr>
        <w:t>.</w:t>
      </w:r>
      <w:r w:rsidRPr="0032493F">
        <w:rPr>
          <w:rFonts w:eastAsia="Calibri"/>
          <w:sz w:val="24"/>
          <w:szCs w:val="24"/>
          <w:lang w:eastAsia="en-US"/>
        </w:rPr>
        <w:t xml:space="preserve">  </w:t>
      </w:r>
    </w:p>
    <w:p w:rsidR="00C53425" w:rsidRPr="00702941" w:rsidRDefault="00C53425" w:rsidP="00FE5C66">
      <w:pPr>
        <w:keepNext/>
        <w:spacing w:after="120" w:line="20" w:lineRule="atLeast"/>
        <w:jc w:val="both"/>
        <w:rPr>
          <w:rFonts w:eastAsia="Calibri"/>
          <w:sz w:val="24"/>
          <w:szCs w:val="24"/>
          <w:lang w:eastAsia="en-US"/>
        </w:rPr>
      </w:pPr>
      <w:r w:rsidRPr="00702941">
        <w:rPr>
          <w:rFonts w:eastAsia="Calibri"/>
          <w:caps/>
          <w:sz w:val="24"/>
          <w:szCs w:val="24"/>
          <w:lang w:eastAsia="en-US"/>
        </w:rPr>
        <w:t>Čadil, J</w:t>
      </w:r>
      <w:r w:rsidRPr="00702941">
        <w:rPr>
          <w:rFonts w:eastAsia="Calibri"/>
          <w:sz w:val="24"/>
          <w:szCs w:val="24"/>
          <w:lang w:eastAsia="en-US"/>
        </w:rPr>
        <w:t>. (2010): Regionální ekonomie. Teorie a aplikace. C. H. Beck, Praha.</w:t>
      </w:r>
    </w:p>
    <w:p w:rsidR="00A9221E" w:rsidRPr="00702941" w:rsidRDefault="00A9221E" w:rsidP="00FE5C66">
      <w:pPr>
        <w:keepNext/>
        <w:keepLines/>
        <w:autoSpaceDE w:val="0"/>
        <w:autoSpaceDN w:val="0"/>
        <w:adjustRightInd w:val="0"/>
        <w:spacing w:after="120" w:line="20" w:lineRule="atLeast"/>
        <w:jc w:val="both"/>
        <w:rPr>
          <w:rFonts w:eastAsia="CenturySchL-Roma"/>
          <w:sz w:val="24"/>
          <w:szCs w:val="24"/>
        </w:rPr>
      </w:pPr>
      <w:r w:rsidRPr="00702941">
        <w:rPr>
          <w:caps/>
          <w:sz w:val="24"/>
          <w:szCs w:val="24"/>
        </w:rPr>
        <w:t>Diener, E., SUH, E.</w:t>
      </w:r>
      <w:r w:rsidRPr="00702941">
        <w:rPr>
          <w:rFonts w:eastAsia="CenturySchL-Roma"/>
          <w:sz w:val="24"/>
          <w:szCs w:val="24"/>
        </w:rPr>
        <w:t xml:space="preserve"> (1997)</w:t>
      </w:r>
      <w:r w:rsidRPr="00702941">
        <w:rPr>
          <w:caps/>
          <w:sz w:val="24"/>
          <w:szCs w:val="24"/>
        </w:rPr>
        <w:t>:</w:t>
      </w:r>
      <w:r w:rsidRPr="00702941">
        <w:rPr>
          <w:sz w:val="24"/>
          <w:szCs w:val="24"/>
        </w:rPr>
        <w:t xml:space="preserve"> Measuring quality of life: economic, social and subjective indicators.</w:t>
      </w:r>
      <w:r w:rsidRPr="00702941">
        <w:rPr>
          <w:rFonts w:eastAsia="CenturySchL-Roma"/>
          <w:sz w:val="24"/>
          <w:szCs w:val="24"/>
        </w:rPr>
        <w:t xml:space="preserve"> Social I</w:t>
      </w:r>
      <w:r w:rsidR="00BF44B7">
        <w:rPr>
          <w:rFonts w:eastAsia="CenturySchL-Roma"/>
          <w:sz w:val="24"/>
          <w:szCs w:val="24"/>
        </w:rPr>
        <w:t>ndicators Research, 40, pp. 189–</w:t>
      </w:r>
      <w:r w:rsidRPr="00702941">
        <w:rPr>
          <w:rFonts w:eastAsia="CenturySchL-Roma"/>
          <w:sz w:val="24"/>
          <w:szCs w:val="24"/>
        </w:rPr>
        <w:t>216.</w:t>
      </w:r>
    </w:p>
    <w:p w:rsidR="00A9221E" w:rsidRPr="00702941" w:rsidRDefault="00A9221E" w:rsidP="00FE5C66">
      <w:pPr>
        <w:keepNext/>
        <w:keepLines/>
        <w:autoSpaceDE w:val="0"/>
        <w:autoSpaceDN w:val="0"/>
        <w:adjustRightInd w:val="0"/>
        <w:spacing w:after="120" w:line="20" w:lineRule="atLeast"/>
        <w:jc w:val="both"/>
        <w:rPr>
          <w:sz w:val="24"/>
          <w:szCs w:val="24"/>
        </w:rPr>
      </w:pPr>
      <w:r w:rsidRPr="00702941">
        <w:rPr>
          <w:caps/>
          <w:sz w:val="24"/>
          <w:szCs w:val="24"/>
        </w:rPr>
        <w:t>European Commission</w:t>
      </w:r>
      <w:r w:rsidRPr="00702941">
        <w:rPr>
          <w:sz w:val="24"/>
          <w:szCs w:val="24"/>
        </w:rPr>
        <w:t xml:space="preserve"> (1999): Sixth Periodic Report on the Social and Economic Situation and Development of Regions in the European Union. Commission of the European Communities, Brussels.</w:t>
      </w:r>
    </w:p>
    <w:p w:rsidR="00AF3E7B" w:rsidRPr="0032493F" w:rsidRDefault="00AF3E7B" w:rsidP="00FE5C66">
      <w:pPr>
        <w:keepNext/>
        <w:spacing w:after="120" w:line="20" w:lineRule="atLeast"/>
        <w:jc w:val="both"/>
        <w:rPr>
          <w:rFonts w:eastAsia="Calibri"/>
          <w:sz w:val="24"/>
          <w:szCs w:val="24"/>
          <w:lang w:eastAsia="en-US"/>
        </w:rPr>
      </w:pPr>
      <w:r w:rsidRPr="0032493F">
        <w:rPr>
          <w:rFonts w:eastAsia="Calibri"/>
          <w:caps/>
          <w:sz w:val="24"/>
          <w:szCs w:val="24"/>
          <w:lang w:eastAsia="en-US"/>
        </w:rPr>
        <w:t>Fiala, T., Langhamrová, J., Hulík, V.</w:t>
      </w:r>
      <w:r w:rsidRPr="0032493F">
        <w:rPr>
          <w:rFonts w:eastAsia="Calibri"/>
          <w:sz w:val="24"/>
          <w:szCs w:val="24"/>
          <w:lang w:eastAsia="en-US"/>
        </w:rPr>
        <w:t xml:space="preserve"> (2009)</w:t>
      </w:r>
      <w:r w:rsidR="00702941" w:rsidRPr="0032493F">
        <w:rPr>
          <w:rFonts w:eastAsia="Calibri"/>
          <w:sz w:val="24"/>
          <w:szCs w:val="24"/>
          <w:lang w:eastAsia="en-US"/>
        </w:rPr>
        <w:t>:</w:t>
      </w:r>
      <w:r w:rsidRPr="0032493F">
        <w:rPr>
          <w:rFonts w:eastAsia="Calibri"/>
          <w:sz w:val="24"/>
          <w:szCs w:val="24"/>
          <w:lang w:eastAsia="en-US"/>
        </w:rPr>
        <w:t xml:space="preserve"> Aktualizovaná prognóza struktury vzdělanosti obyvatel ČR. In Reprodukce lidského kapitálu </w:t>
      </w:r>
      <w:r w:rsidR="00702941" w:rsidRPr="0032493F">
        <w:rPr>
          <w:rFonts w:eastAsia="Calibri"/>
          <w:sz w:val="24"/>
          <w:szCs w:val="24"/>
          <w:lang w:eastAsia="en-US"/>
        </w:rPr>
        <w:t xml:space="preserve">– </w:t>
      </w:r>
      <w:r w:rsidRPr="0032493F">
        <w:rPr>
          <w:rFonts w:eastAsia="Calibri"/>
          <w:sz w:val="24"/>
          <w:szCs w:val="24"/>
          <w:lang w:eastAsia="en-US"/>
        </w:rPr>
        <w:t>vzájemné vazby a souvislosti</w:t>
      </w:r>
      <w:r w:rsidR="00702941" w:rsidRPr="0032493F">
        <w:rPr>
          <w:rFonts w:eastAsia="Calibri"/>
          <w:sz w:val="24"/>
          <w:szCs w:val="24"/>
          <w:lang w:eastAsia="en-US"/>
        </w:rPr>
        <w:t xml:space="preserve"> (dos</w:t>
      </w:r>
      <w:r w:rsidRPr="0032493F">
        <w:rPr>
          <w:rFonts w:eastAsia="Calibri"/>
          <w:sz w:val="24"/>
          <w:szCs w:val="24"/>
          <w:lang w:eastAsia="en-US"/>
        </w:rPr>
        <w:t>tupné</w:t>
      </w:r>
      <w:r w:rsidR="00702941" w:rsidRPr="0032493F">
        <w:rPr>
          <w:rFonts w:eastAsia="Calibri"/>
          <w:sz w:val="24"/>
          <w:szCs w:val="24"/>
          <w:lang w:eastAsia="en-US"/>
        </w:rPr>
        <w:t xml:space="preserve"> na </w:t>
      </w:r>
      <w:hyperlink r:id="rId40" w:history="1">
        <w:r w:rsidR="00702941" w:rsidRPr="0032493F">
          <w:rPr>
            <w:rStyle w:val="Hypertextovodkaz"/>
            <w:rFonts w:eastAsia="Calibri"/>
            <w:color w:val="auto"/>
            <w:sz w:val="24"/>
            <w:szCs w:val="24"/>
            <w:u w:val="none"/>
            <w:lang w:eastAsia="en-US"/>
          </w:rPr>
          <w:t>http://kdem.vse.cz/resources/relik09/Prispevky_PDF/Fiala_Langhamrova Hulik.      pdf</w:t>
        </w:r>
      </w:hyperlink>
      <w:r w:rsidR="00702941" w:rsidRPr="0032493F">
        <w:rPr>
          <w:rFonts w:eastAsia="Calibri"/>
          <w:sz w:val="24"/>
          <w:szCs w:val="24"/>
          <w:lang w:eastAsia="en-US"/>
        </w:rPr>
        <w:t>)</w:t>
      </w:r>
      <w:r w:rsidRPr="0032493F">
        <w:rPr>
          <w:rFonts w:eastAsia="Calibri"/>
          <w:sz w:val="24"/>
          <w:szCs w:val="24"/>
          <w:lang w:eastAsia="en-US"/>
        </w:rPr>
        <w:t>.</w:t>
      </w:r>
    </w:p>
    <w:p w:rsidR="00A9221E" w:rsidRPr="00702941" w:rsidRDefault="00A9221E" w:rsidP="00FE5C66">
      <w:pPr>
        <w:keepNext/>
        <w:spacing w:after="120" w:line="20" w:lineRule="atLeast"/>
        <w:jc w:val="both"/>
        <w:rPr>
          <w:sz w:val="24"/>
          <w:szCs w:val="24"/>
        </w:rPr>
      </w:pPr>
      <w:r w:rsidRPr="00702941">
        <w:rPr>
          <w:caps/>
          <w:sz w:val="24"/>
          <w:szCs w:val="24"/>
        </w:rPr>
        <w:t>Hampl, M.</w:t>
      </w:r>
      <w:r w:rsidRPr="00702941">
        <w:rPr>
          <w:sz w:val="24"/>
          <w:szCs w:val="24"/>
        </w:rPr>
        <w:t xml:space="preserve"> (</w:t>
      </w:r>
      <w:r w:rsidRPr="00702941">
        <w:rPr>
          <w:caps/>
          <w:sz w:val="24"/>
          <w:szCs w:val="24"/>
        </w:rPr>
        <w:t xml:space="preserve">2005): </w:t>
      </w:r>
      <w:r w:rsidRPr="00702941">
        <w:rPr>
          <w:sz w:val="24"/>
          <w:szCs w:val="24"/>
        </w:rPr>
        <w:t>Geografická organizace společnosti v České republice: transformační procesy a jejich obecný kontext. Karlova univerzita, Praha.</w:t>
      </w:r>
    </w:p>
    <w:p w:rsidR="002F377C" w:rsidRPr="00702941" w:rsidRDefault="002F377C" w:rsidP="00FE5C66">
      <w:pPr>
        <w:keepNext/>
        <w:spacing w:after="120" w:line="20" w:lineRule="atLeast"/>
        <w:jc w:val="both"/>
        <w:rPr>
          <w:rFonts w:eastAsia="Calibri"/>
          <w:sz w:val="24"/>
          <w:szCs w:val="24"/>
          <w:lang w:eastAsia="en-US"/>
        </w:rPr>
      </w:pPr>
      <w:r w:rsidRPr="00702941">
        <w:rPr>
          <w:rFonts w:eastAsia="Calibri"/>
          <w:caps/>
          <w:sz w:val="24"/>
          <w:szCs w:val="24"/>
          <w:lang w:eastAsia="en-US"/>
        </w:rPr>
        <w:t>Holman, R.</w:t>
      </w:r>
      <w:r w:rsidRPr="00702941">
        <w:rPr>
          <w:rFonts w:eastAsia="Calibri"/>
          <w:sz w:val="24"/>
          <w:szCs w:val="24"/>
          <w:lang w:eastAsia="en-US"/>
        </w:rPr>
        <w:t xml:space="preserve"> (2005):</w:t>
      </w:r>
      <w:r w:rsidRPr="00702941">
        <w:rPr>
          <w:sz w:val="24"/>
          <w:szCs w:val="24"/>
        </w:rPr>
        <w:t xml:space="preserve"> </w:t>
      </w:r>
      <w:r w:rsidRPr="00702941">
        <w:rPr>
          <w:rFonts w:eastAsia="Calibri"/>
          <w:sz w:val="24"/>
          <w:szCs w:val="24"/>
          <w:lang w:eastAsia="en-US"/>
        </w:rPr>
        <w:t xml:space="preserve">Dějiny ekonomického myšlení. C. H. Beck, Praha. </w:t>
      </w:r>
    </w:p>
    <w:p w:rsidR="00702941" w:rsidRPr="0032493F" w:rsidRDefault="00702941" w:rsidP="00FE5C66">
      <w:pPr>
        <w:keepNext/>
        <w:spacing w:after="120" w:line="20" w:lineRule="atLeast"/>
        <w:jc w:val="both"/>
        <w:rPr>
          <w:rFonts w:eastAsia="Calibri"/>
          <w:sz w:val="24"/>
          <w:szCs w:val="24"/>
          <w:lang w:eastAsia="en-US"/>
        </w:rPr>
      </w:pPr>
      <w:r w:rsidRPr="0032493F">
        <w:rPr>
          <w:rFonts w:eastAsia="Calibri"/>
          <w:caps/>
          <w:sz w:val="24"/>
          <w:szCs w:val="24"/>
          <w:lang w:eastAsia="en-US"/>
        </w:rPr>
        <w:t>Kalibová, K., Pavlík, Z., Vodáková, A.</w:t>
      </w:r>
      <w:r w:rsidRPr="0032493F">
        <w:rPr>
          <w:rFonts w:eastAsia="Calibri"/>
          <w:sz w:val="24"/>
          <w:szCs w:val="24"/>
          <w:lang w:eastAsia="en-US"/>
        </w:rPr>
        <w:t xml:space="preserve"> (editoři</w:t>
      </w:r>
      <w:r w:rsidRPr="0032493F">
        <w:rPr>
          <w:rFonts w:eastAsia="Calibri"/>
          <w:sz w:val="24"/>
          <w:szCs w:val="24"/>
          <w:lang w:eastAsia="en-US"/>
        </w:rPr>
        <w:sym w:font="Symbol" w:char="F03B"/>
      </w:r>
      <w:r w:rsidRPr="0032493F">
        <w:rPr>
          <w:rFonts w:eastAsia="Calibri"/>
          <w:sz w:val="24"/>
          <w:szCs w:val="24"/>
          <w:lang w:eastAsia="en-US"/>
        </w:rPr>
        <w:t xml:space="preserve"> 2009): Demografie (nejen) pro demografy. Praha</w:t>
      </w:r>
      <w:r w:rsidR="00FB546F" w:rsidRPr="0032493F">
        <w:rPr>
          <w:rFonts w:eastAsia="Calibri"/>
          <w:sz w:val="24"/>
          <w:szCs w:val="24"/>
          <w:lang w:eastAsia="en-US"/>
        </w:rPr>
        <w:t>,</w:t>
      </w:r>
      <w:r w:rsidRPr="0032493F">
        <w:rPr>
          <w:rFonts w:eastAsia="Calibri"/>
          <w:sz w:val="24"/>
          <w:szCs w:val="24"/>
          <w:lang w:eastAsia="en-US"/>
        </w:rPr>
        <w:t xml:space="preserve"> SLON.</w:t>
      </w:r>
    </w:p>
    <w:p w:rsidR="00702941" w:rsidRPr="0032493F" w:rsidRDefault="00702941" w:rsidP="00FE5C66">
      <w:pPr>
        <w:keepNext/>
        <w:spacing w:after="120" w:line="20" w:lineRule="atLeast"/>
        <w:jc w:val="both"/>
        <w:rPr>
          <w:rFonts w:eastAsia="Calibri"/>
          <w:sz w:val="24"/>
          <w:szCs w:val="24"/>
          <w:lang w:eastAsia="en-US"/>
        </w:rPr>
      </w:pPr>
      <w:r w:rsidRPr="0032493F">
        <w:rPr>
          <w:rFonts w:eastAsia="Calibri"/>
          <w:caps/>
          <w:sz w:val="24"/>
          <w:szCs w:val="24"/>
          <w:lang w:eastAsia="en-US"/>
        </w:rPr>
        <w:t>Klufová, R., Poláková</w:t>
      </w:r>
      <w:r w:rsidR="00FB546F" w:rsidRPr="0032493F">
        <w:rPr>
          <w:rFonts w:eastAsia="Calibri"/>
          <w:caps/>
          <w:sz w:val="24"/>
          <w:szCs w:val="24"/>
          <w:lang w:eastAsia="en-US"/>
        </w:rPr>
        <w:t>,</w:t>
      </w:r>
      <w:r w:rsidRPr="0032493F">
        <w:rPr>
          <w:rFonts w:eastAsia="Calibri"/>
          <w:caps/>
          <w:sz w:val="24"/>
          <w:szCs w:val="24"/>
          <w:lang w:eastAsia="en-US"/>
        </w:rPr>
        <w:t xml:space="preserve"> Z.</w:t>
      </w:r>
      <w:r w:rsidRPr="0032493F">
        <w:rPr>
          <w:rFonts w:eastAsia="Calibri"/>
          <w:sz w:val="24"/>
          <w:szCs w:val="24"/>
          <w:lang w:eastAsia="en-US"/>
        </w:rPr>
        <w:t xml:space="preserve"> (2010)</w:t>
      </w:r>
      <w:r w:rsidR="00FB546F" w:rsidRPr="0032493F">
        <w:rPr>
          <w:rFonts w:eastAsia="Calibri"/>
          <w:sz w:val="24"/>
          <w:szCs w:val="24"/>
          <w:lang w:eastAsia="en-US"/>
        </w:rPr>
        <w:t>:</w:t>
      </w:r>
      <w:r w:rsidRPr="0032493F">
        <w:rPr>
          <w:rFonts w:eastAsia="Calibri"/>
          <w:sz w:val="24"/>
          <w:szCs w:val="24"/>
          <w:lang w:eastAsia="en-US"/>
        </w:rPr>
        <w:t xml:space="preserve"> Demografické metody a analýzy. Demografie české a slovenské populace. Praha: Wolters Kluwer ČR</w:t>
      </w:r>
      <w:r w:rsidR="00FB546F" w:rsidRPr="0032493F">
        <w:rPr>
          <w:rFonts w:eastAsia="Calibri"/>
          <w:sz w:val="24"/>
          <w:szCs w:val="24"/>
          <w:lang w:eastAsia="en-US"/>
        </w:rPr>
        <w:t>.</w:t>
      </w:r>
    </w:p>
    <w:p w:rsidR="00E66C3E" w:rsidRPr="0032493F" w:rsidRDefault="00E66C3E" w:rsidP="00FE5C66">
      <w:pPr>
        <w:keepNext/>
        <w:keepLines/>
        <w:autoSpaceDE w:val="0"/>
        <w:autoSpaceDN w:val="0"/>
        <w:adjustRightInd w:val="0"/>
        <w:spacing w:after="120" w:line="20" w:lineRule="atLeast"/>
        <w:jc w:val="both"/>
        <w:rPr>
          <w:rFonts w:cs="TimesNewRomanPSMT"/>
          <w:sz w:val="24"/>
          <w:szCs w:val="24"/>
        </w:rPr>
      </w:pPr>
      <w:r w:rsidRPr="00702941">
        <w:rPr>
          <w:rFonts w:cs="TimesNewRomanPSMT"/>
          <w:caps/>
          <w:sz w:val="24"/>
          <w:szCs w:val="24"/>
        </w:rPr>
        <w:t>KUNC, J., SYNKOVÁ, L. (2010):</w:t>
      </w:r>
      <w:r w:rsidRPr="00702941">
        <w:rPr>
          <w:color w:val="0000FF"/>
          <w:sz w:val="24"/>
          <w:szCs w:val="24"/>
        </w:rPr>
        <w:t xml:space="preserve"> </w:t>
      </w:r>
      <w:r w:rsidRPr="00702941">
        <w:rPr>
          <w:rFonts w:cs="TimesNewRomanPSMT"/>
          <w:sz w:val="24"/>
          <w:szCs w:val="24"/>
        </w:rPr>
        <w:t xml:space="preserve">Brněnská příměstská oblast: příklad jejího vymezení. 13th </w:t>
      </w:r>
      <w:r w:rsidRPr="0032493F">
        <w:rPr>
          <w:rFonts w:cs="TimesNewRomanPSMT"/>
          <w:sz w:val="24"/>
          <w:szCs w:val="24"/>
        </w:rPr>
        <w:t>International colloquium on regional sciences, Bořetice, s. 284–290.</w:t>
      </w:r>
    </w:p>
    <w:p w:rsidR="00702941" w:rsidRPr="0032493F" w:rsidRDefault="00702941" w:rsidP="00FE5C66">
      <w:pPr>
        <w:keepNext/>
        <w:spacing w:after="120" w:line="20" w:lineRule="atLeast"/>
        <w:jc w:val="both"/>
        <w:rPr>
          <w:rFonts w:eastAsia="Calibri"/>
          <w:sz w:val="24"/>
          <w:szCs w:val="24"/>
          <w:lang w:eastAsia="en-US"/>
        </w:rPr>
      </w:pPr>
      <w:r w:rsidRPr="0032493F">
        <w:rPr>
          <w:rFonts w:eastAsia="Calibri"/>
          <w:caps/>
          <w:sz w:val="24"/>
          <w:szCs w:val="24"/>
          <w:lang w:eastAsia="en-US"/>
        </w:rPr>
        <w:t>Langhamrová, J. a kol.</w:t>
      </w:r>
      <w:r w:rsidRPr="0032493F">
        <w:rPr>
          <w:rFonts w:eastAsia="Calibri"/>
          <w:sz w:val="24"/>
          <w:szCs w:val="24"/>
          <w:lang w:eastAsia="en-US"/>
        </w:rPr>
        <w:t xml:space="preserve"> (2009): Prognóza lidského kapitálu obyvatelstva České republiky do roku 2050 (dostupné na </w:t>
      </w:r>
      <w:hyperlink r:id="rId41" w:history="1">
        <w:r w:rsidRPr="0032493F">
          <w:rPr>
            <w:rFonts w:eastAsia="Calibri"/>
            <w:sz w:val="24"/>
            <w:szCs w:val="24"/>
            <w:lang w:eastAsia="en-US"/>
          </w:rPr>
          <w:t>http://kdem.vse.cz/resources/relik09/RELIK_2009.pdf</w:t>
        </w:r>
      </w:hyperlink>
      <w:r w:rsidRPr="0032493F">
        <w:rPr>
          <w:rFonts w:ascii="Calibri" w:eastAsia="Calibri" w:hAnsi="Calibri"/>
          <w:sz w:val="24"/>
          <w:szCs w:val="24"/>
          <w:lang w:eastAsia="en-US"/>
        </w:rPr>
        <w:t>).</w:t>
      </w:r>
    </w:p>
    <w:p w:rsidR="003513BB" w:rsidRPr="00702941" w:rsidRDefault="003513BB" w:rsidP="00FE5C66">
      <w:pPr>
        <w:keepNext/>
        <w:spacing w:after="120" w:line="20" w:lineRule="atLeast"/>
        <w:jc w:val="both"/>
        <w:rPr>
          <w:rFonts w:eastAsia="Calibri"/>
          <w:sz w:val="24"/>
          <w:szCs w:val="24"/>
          <w:lang w:eastAsia="en-US"/>
        </w:rPr>
      </w:pPr>
      <w:r w:rsidRPr="00702941">
        <w:rPr>
          <w:rFonts w:eastAsia="Calibri"/>
          <w:caps/>
          <w:sz w:val="24"/>
          <w:szCs w:val="24"/>
          <w:lang w:eastAsia="en-US"/>
        </w:rPr>
        <w:t>Mareš, P.</w:t>
      </w:r>
      <w:r w:rsidRPr="00702941">
        <w:rPr>
          <w:rFonts w:eastAsia="Calibri"/>
          <w:sz w:val="24"/>
          <w:szCs w:val="24"/>
          <w:lang w:eastAsia="en-US"/>
        </w:rPr>
        <w:t xml:space="preserve"> (1994): Nezaměstnanost jako sociální problém. Sociologické nakladatelství, Praha. </w:t>
      </w:r>
    </w:p>
    <w:p w:rsidR="00A9221E" w:rsidRPr="00702941" w:rsidRDefault="00A9221E" w:rsidP="00FE5C66">
      <w:pPr>
        <w:keepNext/>
        <w:keepLines/>
        <w:autoSpaceDE w:val="0"/>
        <w:autoSpaceDN w:val="0"/>
        <w:adjustRightInd w:val="0"/>
        <w:spacing w:after="120" w:line="20" w:lineRule="atLeast"/>
        <w:jc w:val="both"/>
        <w:rPr>
          <w:rFonts w:cs="TimesNewRomanPSMT"/>
          <w:sz w:val="24"/>
          <w:szCs w:val="24"/>
        </w:rPr>
      </w:pPr>
      <w:r w:rsidRPr="00702941">
        <w:rPr>
          <w:rFonts w:cs="TimesNewRomanPSMT"/>
          <w:caps/>
          <w:sz w:val="24"/>
          <w:szCs w:val="24"/>
        </w:rPr>
        <w:t>Massey, D.</w:t>
      </w:r>
      <w:r w:rsidRPr="00702941">
        <w:rPr>
          <w:rFonts w:cs="TimesNewRomanPSMT"/>
          <w:sz w:val="24"/>
          <w:szCs w:val="24"/>
        </w:rPr>
        <w:t xml:space="preserve"> (1979)</w:t>
      </w:r>
      <w:r w:rsidR="00E66C3E" w:rsidRPr="00702941">
        <w:rPr>
          <w:rFonts w:cs="TimesNewRomanPSMT"/>
          <w:sz w:val="24"/>
          <w:szCs w:val="24"/>
        </w:rPr>
        <w:t>:</w:t>
      </w:r>
      <w:r w:rsidRPr="00702941">
        <w:rPr>
          <w:rFonts w:cs="TimesNewRomanPSMT"/>
          <w:sz w:val="24"/>
          <w:szCs w:val="24"/>
        </w:rPr>
        <w:t xml:space="preserve"> A critical Evaluation of industrial-location theory. In: Hamilton, F., Linge, G. (Eds.) Spatial Analysis, Industry and the Industry Envir</w:t>
      </w:r>
      <w:r w:rsidR="00BF44B7">
        <w:rPr>
          <w:rFonts w:cs="TimesNewRomanPSMT"/>
          <w:sz w:val="24"/>
          <w:szCs w:val="24"/>
        </w:rPr>
        <w:t>onment. New York, Wiley, pp. 57–</w:t>
      </w:r>
      <w:r w:rsidRPr="00702941">
        <w:rPr>
          <w:rFonts w:cs="TimesNewRomanPSMT"/>
          <w:sz w:val="24"/>
          <w:szCs w:val="24"/>
        </w:rPr>
        <w:t>72.</w:t>
      </w:r>
    </w:p>
    <w:p w:rsidR="00A9221E" w:rsidRPr="00702941" w:rsidRDefault="00A9221E" w:rsidP="00FE5C66">
      <w:pPr>
        <w:keepNext/>
        <w:keepLines/>
        <w:spacing w:after="120" w:line="20" w:lineRule="atLeast"/>
        <w:jc w:val="both"/>
        <w:rPr>
          <w:sz w:val="24"/>
          <w:szCs w:val="24"/>
        </w:rPr>
      </w:pPr>
      <w:r w:rsidRPr="00702941">
        <w:rPr>
          <w:caps/>
          <w:sz w:val="24"/>
          <w:szCs w:val="24"/>
        </w:rPr>
        <w:t>M</w:t>
      </w:r>
      <w:r w:rsidRPr="00702941">
        <w:rPr>
          <w:sz w:val="24"/>
          <w:szCs w:val="24"/>
        </w:rPr>
        <w:t>c</w:t>
      </w:r>
      <w:r w:rsidRPr="00702941">
        <w:rPr>
          <w:caps/>
          <w:sz w:val="24"/>
          <w:szCs w:val="24"/>
        </w:rPr>
        <w:t>Cann, P. (2009):</w:t>
      </w:r>
      <w:r w:rsidRPr="00702941">
        <w:rPr>
          <w:sz w:val="24"/>
          <w:szCs w:val="24"/>
        </w:rPr>
        <w:t xml:space="preserve"> Urban and regional economics, Oxford University Press.</w:t>
      </w:r>
    </w:p>
    <w:p w:rsidR="00A9221E" w:rsidRPr="00702941" w:rsidRDefault="00A9221E" w:rsidP="00FE5C66">
      <w:pPr>
        <w:keepNext/>
        <w:keepLines/>
        <w:spacing w:after="120" w:line="20" w:lineRule="atLeast"/>
        <w:jc w:val="both"/>
        <w:rPr>
          <w:sz w:val="24"/>
          <w:szCs w:val="24"/>
        </w:rPr>
      </w:pPr>
      <w:r w:rsidRPr="00702941">
        <w:rPr>
          <w:sz w:val="24"/>
          <w:szCs w:val="24"/>
        </w:rPr>
        <w:t xml:space="preserve">MEDERLY, P., NOVÁČEK, P., TOPERCER, J. (2004): Indikátory kvality života a udržitelného rozvoje: kvalitativní, vícerozměrný a variantní přístup. UK, Praha.  </w:t>
      </w:r>
    </w:p>
    <w:p w:rsidR="00A9221E" w:rsidRPr="00702941" w:rsidRDefault="00A9221E" w:rsidP="00FE5C66">
      <w:pPr>
        <w:keepNext/>
        <w:keepLines/>
        <w:spacing w:after="120" w:line="20" w:lineRule="atLeast"/>
        <w:jc w:val="both"/>
        <w:rPr>
          <w:sz w:val="24"/>
          <w:szCs w:val="24"/>
        </w:rPr>
      </w:pPr>
      <w:r w:rsidRPr="00702941">
        <w:rPr>
          <w:caps/>
          <w:sz w:val="24"/>
          <w:szCs w:val="24"/>
        </w:rPr>
        <w:t>Myrdal, G</w:t>
      </w:r>
      <w:r w:rsidRPr="00702941">
        <w:rPr>
          <w:sz w:val="24"/>
          <w:szCs w:val="24"/>
        </w:rPr>
        <w:t>.: Economic Theory and Underdeveloped Regions. London: Duckworth, 1957.</w:t>
      </w:r>
    </w:p>
    <w:p w:rsidR="00A9221E" w:rsidRPr="00702941" w:rsidRDefault="00A9221E" w:rsidP="00FE5C66">
      <w:pPr>
        <w:keepNext/>
        <w:keepLines/>
        <w:autoSpaceDE w:val="0"/>
        <w:autoSpaceDN w:val="0"/>
        <w:adjustRightInd w:val="0"/>
        <w:spacing w:after="120" w:line="20" w:lineRule="atLeast"/>
        <w:jc w:val="both"/>
        <w:rPr>
          <w:sz w:val="24"/>
          <w:szCs w:val="24"/>
          <w:lang w:val="en-GB" w:eastAsia="ar-SA"/>
        </w:rPr>
      </w:pPr>
      <w:r w:rsidRPr="00702941">
        <w:rPr>
          <w:caps/>
          <w:sz w:val="24"/>
          <w:szCs w:val="24"/>
          <w:lang w:val="en-GB" w:eastAsia="ar-SA"/>
        </w:rPr>
        <w:lastRenderedPageBreak/>
        <w:t xml:space="preserve">Netherlands Economic Institute in co-operation with Ernst &amp; Young </w:t>
      </w:r>
      <w:r w:rsidRPr="00702941">
        <w:rPr>
          <w:sz w:val="24"/>
          <w:szCs w:val="24"/>
        </w:rPr>
        <w:t>(1993)</w:t>
      </w:r>
      <w:r w:rsidRPr="00702941">
        <w:rPr>
          <w:sz w:val="24"/>
          <w:szCs w:val="24"/>
          <w:lang w:val="en-GB" w:eastAsia="ar-SA"/>
        </w:rPr>
        <w:t>: New location factors for mobile investment in Europe. Brussels-Luxembourg: Office for Official Publications of European Communities.</w:t>
      </w:r>
    </w:p>
    <w:p w:rsidR="00702941" w:rsidRPr="0032493F" w:rsidRDefault="00702941" w:rsidP="00FE5C66">
      <w:pPr>
        <w:keepNext/>
        <w:spacing w:after="120" w:line="20" w:lineRule="atLeast"/>
        <w:jc w:val="both"/>
        <w:rPr>
          <w:rFonts w:eastAsia="Calibri"/>
          <w:sz w:val="24"/>
          <w:szCs w:val="24"/>
          <w:lang w:eastAsia="en-US"/>
        </w:rPr>
      </w:pPr>
      <w:r w:rsidRPr="0032493F">
        <w:rPr>
          <w:rFonts w:eastAsia="Calibri"/>
          <w:caps/>
          <w:sz w:val="24"/>
          <w:szCs w:val="24"/>
          <w:lang w:eastAsia="en-US"/>
        </w:rPr>
        <w:t>Pavlík, Z., Kalibová, K.</w:t>
      </w:r>
      <w:r w:rsidRPr="0032493F">
        <w:rPr>
          <w:rFonts w:eastAsia="Calibri"/>
          <w:sz w:val="24"/>
          <w:szCs w:val="24"/>
          <w:lang w:eastAsia="en-US"/>
        </w:rPr>
        <w:t xml:space="preserve"> (editoři</w:t>
      </w:r>
      <w:r w:rsidRPr="0032493F">
        <w:rPr>
          <w:rFonts w:eastAsia="Calibri"/>
          <w:sz w:val="24"/>
          <w:szCs w:val="24"/>
          <w:lang w:eastAsia="en-US"/>
        </w:rPr>
        <w:sym w:font="Symbol" w:char="F03B"/>
      </w:r>
      <w:r w:rsidRPr="0032493F">
        <w:rPr>
          <w:rFonts w:eastAsia="Calibri"/>
          <w:sz w:val="24"/>
          <w:szCs w:val="24"/>
          <w:lang w:eastAsia="en-US"/>
        </w:rPr>
        <w:t xml:space="preserve"> 2005)</w:t>
      </w:r>
      <w:r w:rsidR="00FB546F" w:rsidRPr="0032493F">
        <w:rPr>
          <w:rFonts w:eastAsia="Calibri"/>
          <w:sz w:val="24"/>
          <w:szCs w:val="24"/>
          <w:lang w:eastAsia="en-US"/>
        </w:rPr>
        <w:t>:</w:t>
      </w:r>
      <w:r w:rsidRPr="0032493F">
        <w:rPr>
          <w:rFonts w:eastAsia="Calibri"/>
          <w:sz w:val="24"/>
          <w:szCs w:val="24"/>
          <w:lang w:eastAsia="en-US"/>
        </w:rPr>
        <w:t xml:space="preserve"> Mnohojazyčný demografický slovník. Praha: Česká demografická společnost</w:t>
      </w:r>
      <w:r w:rsidR="00FB546F" w:rsidRPr="0032493F">
        <w:rPr>
          <w:rFonts w:eastAsia="Calibri"/>
          <w:sz w:val="24"/>
          <w:szCs w:val="24"/>
          <w:lang w:eastAsia="en-US"/>
        </w:rPr>
        <w:t>.</w:t>
      </w:r>
    </w:p>
    <w:p w:rsidR="00A9221E" w:rsidRPr="00702941" w:rsidRDefault="00A9221E" w:rsidP="00FE5C66">
      <w:pPr>
        <w:keepNext/>
        <w:keepLines/>
        <w:spacing w:after="120" w:line="20" w:lineRule="atLeast"/>
        <w:jc w:val="both"/>
        <w:rPr>
          <w:rFonts w:eastAsia="CenturySchL-Roma"/>
          <w:sz w:val="24"/>
          <w:szCs w:val="24"/>
        </w:rPr>
      </w:pPr>
      <w:r w:rsidRPr="00702941">
        <w:rPr>
          <w:sz w:val="24"/>
          <w:szCs w:val="24"/>
        </w:rPr>
        <w:t>ROGERSON, R, FINDLAY, A</w:t>
      </w:r>
      <w:r w:rsidRPr="00702941">
        <w:rPr>
          <w:rFonts w:eastAsia="CenturySchL-Roma"/>
          <w:sz w:val="24"/>
          <w:szCs w:val="24"/>
        </w:rPr>
        <w:t>., MORRIS, A. (1989): Indicators of quality of life: some methodological issues, Environ</w:t>
      </w:r>
      <w:r w:rsidR="00BF44B7">
        <w:rPr>
          <w:rFonts w:eastAsia="CenturySchL-Roma"/>
          <w:sz w:val="24"/>
          <w:szCs w:val="24"/>
        </w:rPr>
        <w:t>ment and Planning, 21, pp. 1655–</w:t>
      </w:r>
      <w:r w:rsidRPr="00702941">
        <w:rPr>
          <w:rFonts w:eastAsia="CenturySchL-Roma"/>
          <w:sz w:val="24"/>
          <w:szCs w:val="24"/>
        </w:rPr>
        <w:t>1666.</w:t>
      </w:r>
    </w:p>
    <w:p w:rsidR="00A9221E" w:rsidRPr="00702941" w:rsidRDefault="00A9221E" w:rsidP="00FE5C66">
      <w:pPr>
        <w:keepNext/>
        <w:keepLines/>
        <w:autoSpaceDE w:val="0"/>
        <w:autoSpaceDN w:val="0"/>
        <w:adjustRightInd w:val="0"/>
        <w:spacing w:after="120" w:line="20" w:lineRule="atLeast"/>
        <w:jc w:val="both"/>
        <w:rPr>
          <w:rFonts w:eastAsia="CenturySchL-Roma"/>
          <w:sz w:val="24"/>
          <w:szCs w:val="24"/>
        </w:rPr>
      </w:pPr>
      <w:r w:rsidRPr="00702941">
        <w:rPr>
          <w:sz w:val="24"/>
          <w:szCs w:val="24"/>
        </w:rPr>
        <w:t>SEDLÁČEK</w:t>
      </w:r>
      <w:r w:rsidRPr="00702941">
        <w:rPr>
          <w:rFonts w:eastAsia="CenturySchL-Roma"/>
          <w:sz w:val="24"/>
          <w:szCs w:val="24"/>
        </w:rPr>
        <w:t>, T. (2012): Ekonomie dobra a zla. Nakladatelství 65. pole, Praha.</w:t>
      </w:r>
    </w:p>
    <w:p w:rsidR="00A9221E" w:rsidRPr="00702941" w:rsidRDefault="00A9221E" w:rsidP="00FE5C66">
      <w:pPr>
        <w:keepNext/>
        <w:keepLines/>
        <w:autoSpaceDE w:val="0"/>
        <w:autoSpaceDN w:val="0"/>
        <w:adjustRightInd w:val="0"/>
        <w:spacing w:after="120" w:line="20" w:lineRule="atLeast"/>
        <w:jc w:val="both"/>
        <w:rPr>
          <w:rFonts w:eastAsia="CenturySchL-Roma"/>
          <w:sz w:val="24"/>
          <w:szCs w:val="24"/>
        </w:rPr>
      </w:pPr>
      <w:r w:rsidRPr="00702941">
        <w:rPr>
          <w:sz w:val="24"/>
          <w:szCs w:val="24"/>
        </w:rPr>
        <w:t>SMITH</w:t>
      </w:r>
      <w:r w:rsidRPr="00702941">
        <w:rPr>
          <w:rFonts w:eastAsia="CenturySchL-Roma"/>
          <w:sz w:val="24"/>
          <w:szCs w:val="24"/>
        </w:rPr>
        <w:t>, M. (1973): The geography of social well-being in the United States: an introduction to territorial social indicators. New York: McGraw Hill.</w:t>
      </w:r>
    </w:p>
    <w:p w:rsidR="001A284E" w:rsidRPr="00702941" w:rsidRDefault="001A284E" w:rsidP="00FE5C66">
      <w:pPr>
        <w:keepNext/>
        <w:spacing w:after="120" w:line="20" w:lineRule="atLeast"/>
        <w:jc w:val="both"/>
        <w:rPr>
          <w:rFonts w:eastAsia="Calibri"/>
          <w:sz w:val="24"/>
          <w:szCs w:val="24"/>
          <w:lang w:eastAsia="en-US"/>
        </w:rPr>
      </w:pPr>
      <w:r w:rsidRPr="00702941">
        <w:rPr>
          <w:rFonts w:eastAsia="Calibri"/>
          <w:caps/>
          <w:sz w:val="24"/>
          <w:szCs w:val="24"/>
          <w:lang w:eastAsia="en-US"/>
        </w:rPr>
        <w:t>Sojka, M. a kol</w:t>
      </w:r>
      <w:r w:rsidRPr="00702941">
        <w:rPr>
          <w:rFonts w:eastAsia="Calibri"/>
          <w:sz w:val="24"/>
          <w:szCs w:val="24"/>
          <w:lang w:eastAsia="en-US"/>
        </w:rPr>
        <w:t>. (1999):</w:t>
      </w:r>
      <w:r w:rsidRPr="00702941">
        <w:rPr>
          <w:sz w:val="24"/>
          <w:szCs w:val="24"/>
        </w:rPr>
        <w:t xml:space="preserve"> </w:t>
      </w:r>
      <w:r w:rsidRPr="00702941">
        <w:rPr>
          <w:rFonts w:eastAsia="Calibri"/>
          <w:sz w:val="24"/>
          <w:szCs w:val="24"/>
          <w:lang w:eastAsia="en-US"/>
        </w:rPr>
        <w:t>Dějiny ekonomických teorií. Karolinum, Praha.</w:t>
      </w:r>
    </w:p>
    <w:p w:rsidR="00A9221E" w:rsidRPr="00702941" w:rsidRDefault="00A9221E" w:rsidP="00FE5C66">
      <w:pPr>
        <w:keepNext/>
        <w:keepLines/>
        <w:autoSpaceDE w:val="0"/>
        <w:autoSpaceDN w:val="0"/>
        <w:adjustRightInd w:val="0"/>
        <w:spacing w:after="120" w:line="20" w:lineRule="atLeast"/>
        <w:jc w:val="both"/>
        <w:rPr>
          <w:rFonts w:eastAsia="CenturySchL-Roma"/>
          <w:sz w:val="24"/>
          <w:szCs w:val="24"/>
        </w:rPr>
      </w:pPr>
      <w:r w:rsidRPr="00702941">
        <w:rPr>
          <w:caps/>
          <w:sz w:val="24"/>
          <w:szCs w:val="24"/>
        </w:rPr>
        <w:t xml:space="preserve">ŠŤASTNÝ B., (2003): </w:t>
      </w:r>
      <w:r w:rsidRPr="00702941">
        <w:rPr>
          <w:sz w:val="24"/>
          <w:szCs w:val="24"/>
        </w:rPr>
        <w:t>Stavba a provoz bazénů. ABF, a.s., Nakladatelství ARCH, Praha.</w:t>
      </w:r>
    </w:p>
    <w:p w:rsidR="00A9221E" w:rsidRPr="00702941" w:rsidRDefault="00A9221E" w:rsidP="00FE5C66">
      <w:pPr>
        <w:keepNext/>
        <w:keepLines/>
        <w:autoSpaceDE w:val="0"/>
        <w:autoSpaceDN w:val="0"/>
        <w:adjustRightInd w:val="0"/>
        <w:spacing w:after="120" w:line="20" w:lineRule="atLeast"/>
        <w:jc w:val="both"/>
        <w:rPr>
          <w:rFonts w:eastAsia="CenturySchL-Roma"/>
          <w:sz w:val="24"/>
          <w:szCs w:val="24"/>
        </w:rPr>
      </w:pPr>
      <w:r w:rsidRPr="00702941">
        <w:rPr>
          <w:sz w:val="24"/>
          <w:szCs w:val="24"/>
        </w:rPr>
        <w:t>VEENHOVEN, R.</w:t>
      </w:r>
      <w:r w:rsidRPr="00702941">
        <w:rPr>
          <w:rFonts w:eastAsia="CenturySchL-Roma"/>
          <w:sz w:val="24"/>
          <w:szCs w:val="24"/>
        </w:rPr>
        <w:t xml:space="preserve"> (1996): Happy life expectancy – A comprehensive measure of quality-of-life in nations. Social</w:t>
      </w:r>
      <w:r w:rsidR="00BF44B7">
        <w:rPr>
          <w:rFonts w:eastAsia="CenturySchL-Roma"/>
          <w:sz w:val="24"/>
          <w:szCs w:val="24"/>
        </w:rPr>
        <w:t xml:space="preserve"> Indicators Research, 39, pp. 1–</w:t>
      </w:r>
      <w:r w:rsidRPr="00702941">
        <w:rPr>
          <w:rFonts w:eastAsia="CenturySchL-Roma"/>
          <w:sz w:val="24"/>
          <w:szCs w:val="24"/>
        </w:rPr>
        <w:t>58.</w:t>
      </w:r>
    </w:p>
    <w:p w:rsidR="00A9221E" w:rsidRPr="00702941" w:rsidRDefault="00A9221E" w:rsidP="00FE5C66">
      <w:pPr>
        <w:keepNext/>
        <w:keepLines/>
        <w:autoSpaceDE w:val="0"/>
        <w:autoSpaceDN w:val="0"/>
        <w:adjustRightInd w:val="0"/>
        <w:spacing w:after="120" w:line="20" w:lineRule="atLeast"/>
        <w:jc w:val="both"/>
        <w:rPr>
          <w:sz w:val="24"/>
          <w:szCs w:val="24"/>
        </w:rPr>
      </w:pPr>
      <w:r w:rsidRPr="00702941">
        <w:rPr>
          <w:caps/>
          <w:sz w:val="24"/>
          <w:szCs w:val="24"/>
        </w:rPr>
        <w:t>Viturka, M. a kol. (</w:t>
      </w:r>
      <w:r w:rsidRPr="00702941">
        <w:rPr>
          <w:sz w:val="24"/>
          <w:szCs w:val="24"/>
        </w:rPr>
        <w:t xml:space="preserve">1998): Investiční atraktivita vybraných měst České republiky. ESF MU, Brno.  </w:t>
      </w:r>
    </w:p>
    <w:p w:rsidR="00A9221E" w:rsidRPr="00702941" w:rsidRDefault="00A9221E" w:rsidP="00FE5C66">
      <w:pPr>
        <w:keepNext/>
        <w:keepLines/>
        <w:autoSpaceDE w:val="0"/>
        <w:autoSpaceDN w:val="0"/>
        <w:adjustRightInd w:val="0"/>
        <w:spacing w:after="120" w:line="20" w:lineRule="atLeast"/>
        <w:jc w:val="both"/>
        <w:rPr>
          <w:sz w:val="24"/>
          <w:szCs w:val="24"/>
        </w:rPr>
      </w:pPr>
      <w:r w:rsidRPr="00702941">
        <w:rPr>
          <w:caps/>
          <w:sz w:val="24"/>
          <w:szCs w:val="24"/>
        </w:rPr>
        <w:t>Viturka, M. a kol. (2003):</w:t>
      </w:r>
      <w:r w:rsidRPr="00702941">
        <w:rPr>
          <w:sz w:val="24"/>
          <w:szCs w:val="24"/>
        </w:rPr>
        <w:t xml:space="preserve"> Regionální vyhodnocení kvality podnikatelského prostředí v České republice. ESF MU, Brno. </w:t>
      </w:r>
    </w:p>
    <w:p w:rsidR="00A9221E" w:rsidRPr="00702941" w:rsidRDefault="00A9221E" w:rsidP="00FE5C66">
      <w:pPr>
        <w:keepNext/>
        <w:keepLines/>
        <w:autoSpaceDE w:val="0"/>
        <w:autoSpaceDN w:val="0"/>
        <w:adjustRightInd w:val="0"/>
        <w:spacing w:after="120" w:line="20" w:lineRule="atLeast"/>
        <w:jc w:val="both"/>
        <w:rPr>
          <w:sz w:val="24"/>
          <w:szCs w:val="24"/>
        </w:rPr>
      </w:pPr>
      <w:r w:rsidRPr="00702941">
        <w:rPr>
          <w:caps/>
          <w:sz w:val="24"/>
          <w:szCs w:val="24"/>
        </w:rPr>
        <w:t>Viturka, M. A</w:t>
      </w:r>
      <w:r w:rsidRPr="00702941">
        <w:rPr>
          <w:rFonts w:eastAsia="CenturySchL-Roma"/>
          <w:sz w:val="24"/>
          <w:szCs w:val="24"/>
        </w:rPr>
        <w:t xml:space="preserve"> </w:t>
      </w:r>
      <w:r w:rsidRPr="00702941">
        <w:rPr>
          <w:caps/>
          <w:sz w:val="24"/>
          <w:szCs w:val="24"/>
        </w:rPr>
        <w:t xml:space="preserve">kol. (2010): </w:t>
      </w:r>
      <w:r w:rsidRPr="00702941">
        <w:rPr>
          <w:sz w:val="24"/>
          <w:szCs w:val="24"/>
        </w:rPr>
        <w:t>Kvalita podnikatelského prostředí, regionální konkurenceschopnost a strategie regionálního rozvoje České republiky. Nakladatelství Grada, Praha.</w:t>
      </w:r>
    </w:p>
    <w:p w:rsidR="00A9221E" w:rsidRPr="00702941" w:rsidRDefault="00A9221E" w:rsidP="00FE5C66">
      <w:pPr>
        <w:keepNext/>
        <w:keepLines/>
        <w:autoSpaceDE w:val="0"/>
        <w:autoSpaceDN w:val="0"/>
        <w:adjustRightInd w:val="0"/>
        <w:spacing w:after="120" w:line="20" w:lineRule="atLeast"/>
        <w:jc w:val="both"/>
        <w:rPr>
          <w:sz w:val="24"/>
          <w:szCs w:val="24"/>
        </w:rPr>
      </w:pPr>
      <w:r w:rsidRPr="00702941">
        <w:rPr>
          <w:caps/>
          <w:sz w:val="24"/>
          <w:szCs w:val="24"/>
        </w:rPr>
        <w:t xml:space="preserve">Viturka, M. (2011): </w:t>
      </w:r>
      <w:r w:rsidRPr="00702941">
        <w:rPr>
          <w:sz w:val="24"/>
          <w:szCs w:val="24"/>
        </w:rPr>
        <w:t>Integrační teorie udržitelného regionálního rozvoje – představení a aplikace</w:t>
      </w:r>
      <w:r w:rsidR="00BF44B7">
        <w:rPr>
          <w:sz w:val="24"/>
          <w:szCs w:val="24"/>
        </w:rPr>
        <w:t>. Politická ekonomie, 6, s. 794–</w:t>
      </w:r>
      <w:r w:rsidRPr="00702941">
        <w:rPr>
          <w:sz w:val="24"/>
          <w:szCs w:val="24"/>
        </w:rPr>
        <w:t>809.</w:t>
      </w:r>
    </w:p>
    <w:p w:rsidR="00964525" w:rsidRDefault="00B514ED" w:rsidP="00FE5C66">
      <w:pPr>
        <w:keepNext/>
        <w:keepLines/>
        <w:autoSpaceDE w:val="0"/>
        <w:autoSpaceDN w:val="0"/>
        <w:adjustRightInd w:val="0"/>
        <w:spacing w:after="120" w:line="20" w:lineRule="atLeast"/>
        <w:jc w:val="both"/>
        <w:rPr>
          <w:sz w:val="24"/>
          <w:szCs w:val="24"/>
        </w:rPr>
      </w:pPr>
      <w:r w:rsidRPr="00683D8A">
        <w:rPr>
          <w:caps/>
          <w:sz w:val="24"/>
          <w:szCs w:val="24"/>
        </w:rPr>
        <w:t>Viturka, M., Wokoun, R, Krejčová, N., Tonev, P., ŽÍTEK, V.</w:t>
      </w:r>
      <w:r w:rsidRPr="00683D8A">
        <w:rPr>
          <w:sz w:val="24"/>
          <w:szCs w:val="24"/>
        </w:rPr>
        <w:t xml:space="preserve"> (2013): </w:t>
      </w:r>
      <w:r>
        <w:rPr>
          <w:sz w:val="24"/>
          <w:szCs w:val="24"/>
        </w:rPr>
        <w:t>The r</w:t>
      </w:r>
      <w:r w:rsidRPr="00683D8A">
        <w:rPr>
          <w:sz w:val="24"/>
          <w:szCs w:val="24"/>
        </w:rPr>
        <w:t xml:space="preserve">egional </w:t>
      </w:r>
      <w:r>
        <w:rPr>
          <w:sz w:val="24"/>
          <w:szCs w:val="24"/>
        </w:rPr>
        <w:t>relationship between</w:t>
      </w:r>
      <w:r w:rsidRPr="00683D8A">
        <w:rPr>
          <w:sz w:val="24"/>
          <w:szCs w:val="24"/>
        </w:rPr>
        <w:t xml:space="preserve"> quality of business and social environment: harmony or disharmony ?, Ekonomie a management</w:t>
      </w:r>
      <w:r w:rsidR="00BF44B7">
        <w:rPr>
          <w:sz w:val="24"/>
          <w:szCs w:val="24"/>
        </w:rPr>
        <w:t>, 2, pp. 22–</w:t>
      </w:r>
      <w:r w:rsidR="000112D6">
        <w:rPr>
          <w:sz w:val="24"/>
          <w:szCs w:val="24"/>
        </w:rPr>
        <w:t>40.</w:t>
      </w:r>
    </w:p>
    <w:p w:rsidR="00FE5C66" w:rsidRPr="00B06A07" w:rsidRDefault="00CA7FCC" w:rsidP="00CA7FCC">
      <w:pPr>
        <w:keepNext/>
        <w:spacing w:after="120" w:line="240" w:lineRule="auto"/>
        <w:jc w:val="both"/>
        <w:rPr>
          <w:rFonts w:asciiTheme="majorHAnsi" w:hAnsiTheme="majorHAnsi"/>
          <w:b/>
          <w:color w:val="0070C0"/>
          <w:sz w:val="24"/>
          <w:szCs w:val="24"/>
          <w:lang w:eastAsia="en-US"/>
        </w:rPr>
      </w:pPr>
      <w:r w:rsidRPr="00B06A07">
        <w:rPr>
          <w:rFonts w:asciiTheme="majorHAnsi" w:hAnsiTheme="majorHAnsi"/>
          <w:b/>
          <w:color w:val="0070C0"/>
          <w:sz w:val="24"/>
          <w:szCs w:val="24"/>
          <w:lang w:eastAsia="en-US"/>
        </w:rPr>
        <w:t>Ostatní zdroje</w:t>
      </w:r>
    </w:p>
    <w:p w:rsidR="00B514ED" w:rsidRPr="00AC7891" w:rsidRDefault="00B514ED" w:rsidP="00FE5C66">
      <w:pPr>
        <w:keepNext/>
        <w:spacing w:after="120" w:line="20" w:lineRule="atLeast"/>
        <w:jc w:val="both"/>
        <w:rPr>
          <w:rFonts w:eastAsia="Calibri"/>
          <w:sz w:val="24"/>
          <w:szCs w:val="24"/>
          <w:lang w:eastAsia="en-US"/>
        </w:rPr>
      </w:pPr>
      <w:r w:rsidRPr="00AC7891">
        <w:rPr>
          <w:rFonts w:eastAsia="Calibri"/>
          <w:sz w:val="24"/>
          <w:szCs w:val="24"/>
          <w:lang w:eastAsia="en-US"/>
        </w:rPr>
        <w:t>Český statistický úřad (2013): Veřejná databáze on-line (dostupná na http://vdb.czso.cz/).</w:t>
      </w:r>
    </w:p>
    <w:p w:rsidR="00B514ED" w:rsidRPr="00AC7891" w:rsidRDefault="00B514ED" w:rsidP="00FE5C66">
      <w:pPr>
        <w:spacing w:after="120" w:line="20" w:lineRule="atLeast"/>
        <w:jc w:val="both"/>
        <w:rPr>
          <w:rFonts w:eastAsia="Calibri"/>
          <w:sz w:val="24"/>
          <w:szCs w:val="24"/>
          <w:lang w:eastAsia="en-US"/>
        </w:rPr>
      </w:pPr>
      <w:r w:rsidRPr="00AC7891">
        <w:rPr>
          <w:rFonts w:eastAsia="Calibri"/>
          <w:sz w:val="24"/>
          <w:szCs w:val="24"/>
          <w:lang w:eastAsia="en-US"/>
        </w:rPr>
        <w:t xml:space="preserve">Český statistický úřad (2009): Projekce obyvatelstva České republiky do roku 2065. (Dostupné na </w:t>
      </w:r>
      <w:hyperlink r:id="rId42" w:history="1">
        <w:r w:rsidRPr="00AC7891">
          <w:rPr>
            <w:rFonts w:eastAsia="Calibri"/>
            <w:sz w:val="24"/>
            <w:szCs w:val="24"/>
            <w:lang w:eastAsia="en-US"/>
          </w:rPr>
          <w:t>http://www.czso.cz/csu/2009edicniplan.nsf/publ/4020-09</w:t>
        </w:r>
      </w:hyperlink>
      <w:r w:rsidRPr="00AC7891">
        <w:rPr>
          <w:rFonts w:ascii="Calibri" w:eastAsia="Calibri" w:hAnsi="Calibri"/>
          <w:sz w:val="24"/>
          <w:szCs w:val="24"/>
          <w:lang w:eastAsia="en-US"/>
        </w:rPr>
        <w:t>).</w:t>
      </w:r>
    </w:p>
    <w:p w:rsidR="000112D6" w:rsidRPr="00CA7FCC" w:rsidRDefault="00B514ED" w:rsidP="00CA7FCC">
      <w:pPr>
        <w:spacing w:after="120" w:line="20" w:lineRule="atLeast"/>
        <w:jc w:val="both"/>
        <w:rPr>
          <w:rFonts w:eastAsia="Calibri"/>
          <w:sz w:val="24"/>
          <w:szCs w:val="24"/>
          <w:lang w:eastAsia="en-US"/>
        </w:rPr>
      </w:pPr>
      <w:r w:rsidRPr="00AC7891">
        <w:rPr>
          <w:rFonts w:eastAsia="Calibri"/>
          <w:sz w:val="24"/>
          <w:szCs w:val="24"/>
          <w:lang w:eastAsia="en-US"/>
        </w:rPr>
        <w:t xml:space="preserve">Český statistický úřad (2010): Projekce obyvatelstva v krajích a oblastech ČR do roku 2065 (dostupné na </w:t>
      </w:r>
      <w:hyperlink r:id="rId43" w:history="1">
        <w:r w:rsidRPr="00AC7891">
          <w:rPr>
            <w:rFonts w:eastAsia="Calibri"/>
            <w:sz w:val="24"/>
            <w:szCs w:val="24"/>
            <w:lang w:eastAsia="en-US"/>
          </w:rPr>
          <w:t>http://www.czso.cz/csu/2010edicniplan.nsf/p/4021-10</w:t>
        </w:r>
      </w:hyperlink>
      <w:r w:rsidR="00CA7FCC">
        <w:rPr>
          <w:rFonts w:ascii="Calibri" w:eastAsia="Calibri" w:hAnsi="Calibri"/>
          <w:sz w:val="24"/>
          <w:szCs w:val="24"/>
          <w:lang w:eastAsia="en-US"/>
        </w:rPr>
        <w:t>)</w:t>
      </w:r>
    </w:p>
    <w:p w:rsidR="00D7281C" w:rsidRDefault="00D7281C">
      <w:pPr>
        <w:spacing w:after="0" w:line="240" w:lineRule="auto"/>
        <w:rPr>
          <w:rFonts w:ascii="Cambria" w:hAnsi="Cambria"/>
          <w:b/>
          <w:bCs/>
          <w:color w:val="0070C0"/>
          <w:sz w:val="32"/>
          <w:szCs w:val="32"/>
        </w:rPr>
      </w:pPr>
      <w:r>
        <w:br w:type="page"/>
      </w:r>
    </w:p>
    <w:p w:rsidR="00D84BEB" w:rsidRPr="00A91347" w:rsidRDefault="00D84BEB" w:rsidP="00890421">
      <w:pPr>
        <w:pStyle w:val="01-Nadpis1"/>
      </w:pPr>
      <w:bookmarkStart w:id="83" w:name="_Toc382327198"/>
      <w:r w:rsidRPr="00A91347">
        <w:lastRenderedPageBreak/>
        <w:t>3. Mezoregionální úroveň</w:t>
      </w:r>
      <w:r w:rsidR="00C66B15" w:rsidRPr="00A91347">
        <w:rPr>
          <w:rFonts w:asciiTheme="majorHAnsi" w:hAnsiTheme="majorHAnsi"/>
        </w:rPr>
        <w:t xml:space="preserve"> rozvoje</w:t>
      </w:r>
      <w:bookmarkEnd w:id="83"/>
    </w:p>
    <w:p w:rsidR="002C3C00" w:rsidRPr="00A91347" w:rsidRDefault="002C3C00" w:rsidP="002C3C00">
      <w:pPr>
        <w:pStyle w:val="02-Nadpis2"/>
      </w:pPr>
      <w:bookmarkStart w:id="84" w:name="_Toc382327199"/>
      <w:r w:rsidRPr="00A91347">
        <w:t>3.1. Úvodní poznámky</w:t>
      </w:r>
      <w:bookmarkEnd w:id="84"/>
    </w:p>
    <w:p w:rsidR="002C3C00" w:rsidRPr="007415A1" w:rsidRDefault="002C3C00" w:rsidP="002C3C00">
      <w:pPr>
        <w:keepNext/>
        <w:ind w:firstLine="720"/>
        <w:jc w:val="both"/>
        <w:rPr>
          <w:color w:val="FF0000"/>
          <w:sz w:val="24"/>
          <w:szCs w:val="24"/>
        </w:rPr>
      </w:pPr>
      <w:r w:rsidRPr="00BE309E">
        <w:rPr>
          <w:sz w:val="24"/>
          <w:szCs w:val="24"/>
        </w:rPr>
        <w:t xml:space="preserve">Pokud jde o </w:t>
      </w:r>
      <w:r>
        <w:rPr>
          <w:sz w:val="24"/>
          <w:szCs w:val="24"/>
        </w:rPr>
        <w:t>výstižnou d</w:t>
      </w:r>
      <w:r w:rsidRPr="00BE309E">
        <w:rPr>
          <w:sz w:val="24"/>
          <w:szCs w:val="24"/>
        </w:rPr>
        <w:t>efinici mezoregionální úrovně</w:t>
      </w:r>
      <w:r>
        <w:rPr>
          <w:sz w:val="24"/>
          <w:szCs w:val="24"/>
        </w:rPr>
        <w:t>,</w:t>
      </w:r>
      <w:r w:rsidRPr="00BE309E">
        <w:rPr>
          <w:sz w:val="24"/>
          <w:szCs w:val="24"/>
        </w:rPr>
        <w:t xml:space="preserve"> nezbývá než úvodem konstatovat neexistenci </w:t>
      </w:r>
      <w:r>
        <w:rPr>
          <w:sz w:val="24"/>
          <w:szCs w:val="24"/>
        </w:rPr>
        <w:t>její všeobecně akceptované podoby</w:t>
      </w:r>
      <w:r w:rsidRPr="00BE309E">
        <w:rPr>
          <w:sz w:val="24"/>
          <w:szCs w:val="24"/>
        </w:rPr>
        <w:t>.</w:t>
      </w:r>
      <w:r>
        <w:rPr>
          <w:sz w:val="24"/>
          <w:szCs w:val="24"/>
        </w:rPr>
        <w:t xml:space="preserve"> </w:t>
      </w:r>
      <w:r w:rsidRPr="00BE309E">
        <w:rPr>
          <w:sz w:val="24"/>
          <w:szCs w:val="24"/>
        </w:rPr>
        <w:t xml:space="preserve">Zřetelná shoda panuje pouze v tom, že jde o střední </w:t>
      </w:r>
      <w:r>
        <w:rPr>
          <w:sz w:val="24"/>
          <w:szCs w:val="24"/>
        </w:rPr>
        <w:t xml:space="preserve">regionální </w:t>
      </w:r>
      <w:r w:rsidRPr="00BE309E">
        <w:rPr>
          <w:sz w:val="24"/>
          <w:szCs w:val="24"/>
        </w:rPr>
        <w:t xml:space="preserve">úroveň a v tomto kontextu </w:t>
      </w:r>
      <w:r>
        <w:rPr>
          <w:sz w:val="24"/>
          <w:szCs w:val="24"/>
        </w:rPr>
        <w:t xml:space="preserve">pak </w:t>
      </w:r>
      <w:r w:rsidRPr="00BE309E">
        <w:rPr>
          <w:sz w:val="24"/>
          <w:szCs w:val="24"/>
        </w:rPr>
        <w:t>lze mezoregiony pragmaticky ztotožnit s </w:t>
      </w:r>
      <w:r w:rsidRPr="00FE0550">
        <w:rPr>
          <w:color w:val="333333"/>
          <w:sz w:val="24"/>
          <w:szCs w:val="24"/>
        </w:rPr>
        <w:t>administrativními celky s podobným hierarchickým postavením (v případě České republiky tedy s kraji jako jednotkami úrovně NUTS 3). Podle</w:t>
      </w:r>
      <w:r w:rsidRPr="00BE309E">
        <w:rPr>
          <w:sz w:val="24"/>
          <w:szCs w:val="24"/>
        </w:rPr>
        <w:t xml:space="preserve"> našeho </w:t>
      </w:r>
      <w:r w:rsidRPr="0065448C">
        <w:rPr>
          <w:sz w:val="24"/>
          <w:szCs w:val="24"/>
        </w:rPr>
        <w:t xml:space="preserve">názoru by regiony této hierarchické úrovně </w:t>
      </w:r>
      <w:r>
        <w:rPr>
          <w:sz w:val="24"/>
          <w:szCs w:val="24"/>
        </w:rPr>
        <w:t xml:space="preserve">obecně </w:t>
      </w:r>
      <w:r w:rsidRPr="0065448C">
        <w:rPr>
          <w:sz w:val="24"/>
          <w:szCs w:val="24"/>
        </w:rPr>
        <w:t>měly představovat významné hospodářské celky</w:t>
      </w:r>
      <w:r w:rsidRPr="002B0079">
        <w:rPr>
          <w:sz w:val="24"/>
          <w:szCs w:val="24"/>
        </w:rPr>
        <w:t xml:space="preserve"> </w:t>
      </w:r>
      <w:r>
        <w:rPr>
          <w:sz w:val="24"/>
          <w:szCs w:val="24"/>
        </w:rPr>
        <w:t>daného státu</w:t>
      </w:r>
      <w:r w:rsidRPr="0065448C">
        <w:rPr>
          <w:sz w:val="24"/>
          <w:szCs w:val="24"/>
        </w:rPr>
        <w:t xml:space="preserve">, integrované </w:t>
      </w:r>
      <w:r>
        <w:rPr>
          <w:sz w:val="24"/>
          <w:szCs w:val="24"/>
        </w:rPr>
        <w:t xml:space="preserve">silným centrem a rovněž </w:t>
      </w:r>
      <w:r w:rsidRPr="0065448C">
        <w:rPr>
          <w:sz w:val="24"/>
          <w:szCs w:val="24"/>
        </w:rPr>
        <w:t>produkční</w:t>
      </w:r>
      <w:r>
        <w:rPr>
          <w:sz w:val="24"/>
          <w:szCs w:val="24"/>
        </w:rPr>
        <w:t>mi</w:t>
      </w:r>
      <w:r w:rsidRPr="0065448C">
        <w:rPr>
          <w:sz w:val="24"/>
          <w:szCs w:val="24"/>
        </w:rPr>
        <w:t xml:space="preserve"> </w:t>
      </w:r>
      <w:r>
        <w:rPr>
          <w:sz w:val="24"/>
          <w:szCs w:val="24"/>
        </w:rPr>
        <w:t xml:space="preserve">interakcemi zde lokalizovaných </w:t>
      </w:r>
      <w:r w:rsidRPr="0065448C">
        <w:rPr>
          <w:sz w:val="24"/>
          <w:szCs w:val="24"/>
        </w:rPr>
        <w:t>v</w:t>
      </w:r>
      <w:r>
        <w:rPr>
          <w:sz w:val="24"/>
          <w:szCs w:val="24"/>
        </w:rPr>
        <w:t xml:space="preserve">ětších </w:t>
      </w:r>
      <w:r w:rsidRPr="0065448C">
        <w:rPr>
          <w:sz w:val="24"/>
          <w:szCs w:val="24"/>
        </w:rPr>
        <w:t>firem. Z</w:t>
      </w:r>
      <w:r>
        <w:rPr>
          <w:sz w:val="24"/>
          <w:szCs w:val="24"/>
        </w:rPr>
        <w:t>a</w:t>
      </w:r>
      <w:r w:rsidRPr="0065448C">
        <w:rPr>
          <w:sz w:val="24"/>
          <w:szCs w:val="24"/>
        </w:rPr>
        <w:t xml:space="preserve"> další významn</w:t>
      </w:r>
      <w:r>
        <w:rPr>
          <w:sz w:val="24"/>
          <w:szCs w:val="24"/>
        </w:rPr>
        <w:t>ý</w:t>
      </w:r>
      <w:r w:rsidRPr="0065448C">
        <w:rPr>
          <w:sz w:val="24"/>
          <w:szCs w:val="24"/>
        </w:rPr>
        <w:t xml:space="preserve"> definiční znak </w:t>
      </w:r>
      <w:r>
        <w:rPr>
          <w:sz w:val="24"/>
          <w:szCs w:val="24"/>
        </w:rPr>
        <w:t xml:space="preserve">pak </w:t>
      </w:r>
      <w:r w:rsidRPr="0065448C">
        <w:rPr>
          <w:sz w:val="24"/>
          <w:szCs w:val="24"/>
        </w:rPr>
        <w:t xml:space="preserve">pokládáme, </w:t>
      </w:r>
      <w:r>
        <w:rPr>
          <w:sz w:val="24"/>
          <w:szCs w:val="24"/>
        </w:rPr>
        <w:t xml:space="preserve">aby příslušná </w:t>
      </w:r>
      <w:r w:rsidRPr="0065448C">
        <w:rPr>
          <w:sz w:val="24"/>
          <w:szCs w:val="24"/>
        </w:rPr>
        <w:t>centra dispon</w:t>
      </w:r>
      <w:r>
        <w:rPr>
          <w:sz w:val="24"/>
          <w:szCs w:val="24"/>
        </w:rPr>
        <w:t xml:space="preserve">ovala </w:t>
      </w:r>
      <w:r w:rsidRPr="0065448C">
        <w:rPr>
          <w:sz w:val="24"/>
          <w:szCs w:val="24"/>
        </w:rPr>
        <w:t xml:space="preserve">rozvinutou infrastrukturou vyšších správních, zdravotních, kulturních, </w:t>
      </w:r>
      <w:r w:rsidRPr="00FE0550">
        <w:rPr>
          <w:color w:val="333333"/>
          <w:sz w:val="24"/>
          <w:szCs w:val="24"/>
        </w:rPr>
        <w:t>vzdělávacích, výzkumných a dalších specializovaných služeb a disponovala tedy potřebnými předpoklady pro výkon funkce pólu rozvoje národního významu (viz dále).  V souladu s</w:t>
      </w:r>
      <w:r>
        <w:rPr>
          <w:color w:val="333333"/>
          <w:sz w:val="24"/>
          <w:szCs w:val="24"/>
        </w:rPr>
        <w:t xml:space="preserve"> uvedenými skutečnostmi </w:t>
      </w:r>
      <w:r w:rsidRPr="00FE0550">
        <w:rPr>
          <w:color w:val="333333"/>
          <w:sz w:val="24"/>
          <w:szCs w:val="24"/>
        </w:rPr>
        <w:t>lze za charakteristickou vlastnost mezoregionů považovat poměrně vysokou míru komplexity, která z nich činí vhodné územní jednotky pro strategické plánování a aplikaci regionální politiky (</w:t>
      </w:r>
      <w:r>
        <w:rPr>
          <w:color w:val="333333"/>
          <w:sz w:val="24"/>
          <w:szCs w:val="24"/>
        </w:rPr>
        <w:t>v rámci</w:t>
      </w:r>
      <w:r w:rsidRPr="00FE0550">
        <w:rPr>
          <w:color w:val="333333"/>
          <w:sz w:val="24"/>
          <w:szCs w:val="24"/>
        </w:rPr>
        <w:t xml:space="preserve"> Politiky hospodářské, sociální a územní politiky </w:t>
      </w:r>
      <w:r>
        <w:rPr>
          <w:color w:val="333333"/>
          <w:sz w:val="24"/>
          <w:szCs w:val="24"/>
        </w:rPr>
        <w:t xml:space="preserve">EU </w:t>
      </w:r>
      <w:r w:rsidRPr="00FE0550">
        <w:rPr>
          <w:color w:val="333333"/>
          <w:sz w:val="24"/>
          <w:szCs w:val="24"/>
        </w:rPr>
        <w:t>byly kraje z důvodu nedostatečného počtu obyvatel sdruženy do 8 kohezních regionů úrovně NUTS 2.</w:t>
      </w:r>
      <w:r>
        <w:rPr>
          <w:color w:val="FF0000"/>
          <w:sz w:val="24"/>
          <w:szCs w:val="24"/>
        </w:rPr>
        <w:t xml:space="preserve"> </w:t>
      </w:r>
    </w:p>
    <w:p w:rsidR="00FB255A" w:rsidRPr="00A91347" w:rsidRDefault="00D84BEB" w:rsidP="00890421">
      <w:pPr>
        <w:pStyle w:val="02-Nadpis2"/>
        <w:rPr>
          <w:sz w:val="24"/>
          <w:szCs w:val="24"/>
        </w:rPr>
      </w:pPr>
      <w:bookmarkStart w:id="85" w:name="_Toc382327200"/>
      <w:r w:rsidRPr="00A91347">
        <w:t>3.2. Alokace kapitálu</w:t>
      </w:r>
      <w:bookmarkEnd w:id="85"/>
      <w:r w:rsidRPr="00A91347">
        <w:rPr>
          <w:sz w:val="24"/>
          <w:szCs w:val="24"/>
        </w:rPr>
        <w:t xml:space="preserve"> </w:t>
      </w:r>
    </w:p>
    <w:p w:rsidR="003C633A" w:rsidRPr="006B3303" w:rsidRDefault="003C633A" w:rsidP="00423120">
      <w:pPr>
        <w:ind w:firstLine="720"/>
        <w:jc w:val="both"/>
        <w:rPr>
          <w:rFonts w:eastAsia="Calibri"/>
          <w:sz w:val="24"/>
          <w:szCs w:val="24"/>
          <w:lang w:eastAsia="en-US"/>
        </w:rPr>
      </w:pPr>
      <w:r w:rsidRPr="006B3303">
        <w:rPr>
          <w:rFonts w:eastAsia="Calibri"/>
          <w:sz w:val="24"/>
          <w:szCs w:val="24"/>
          <w:lang w:eastAsia="en-US"/>
        </w:rPr>
        <w:t>Kapitál se od ostatních výrobních faktorů (půda a práce) odlišuje tím, že vzniká sekundárně, tedy jako výsledek lidské pracovní činnosti. Fakticky je představován statky, které jsou výstupem jiných výrobních aktivit. Tyto statky nejsou však určeny pro finální spotřebu, nýbrž nacházejí uplatnění při roz</w:t>
      </w:r>
      <w:r>
        <w:rPr>
          <w:rFonts w:eastAsia="Calibri"/>
          <w:sz w:val="24"/>
          <w:szCs w:val="24"/>
          <w:lang w:eastAsia="en-US"/>
        </w:rPr>
        <w:t>ši</w:t>
      </w:r>
      <w:r w:rsidRPr="006B3303">
        <w:rPr>
          <w:rFonts w:eastAsia="Calibri"/>
          <w:sz w:val="24"/>
          <w:szCs w:val="24"/>
          <w:lang w:eastAsia="en-US"/>
        </w:rPr>
        <w:t>řování či modernizaci výrobních kapacit. Současně však často dochází k</w:t>
      </w:r>
      <w:r>
        <w:rPr>
          <w:rFonts w:eastAsia="Calibri"/>
          <w:sz w:val="24"/>
          <w:szCs w:val="24"/>
          <w:lang w:eastAsia="en-US"/>
        </w:rPr>
        <w:t xml:space="preserve"> požívání </w:t>
      </w:r>
      <w:r w:rsidRPr="006B3303">
        <w:rPr>
          <w:rFonts w:eastAsia="Calibri"/>
          <w:sz w:val="24"/>
          <w:szCs w:val="24"/>
          <w:lang w:eastAsia="en-US"/>
        </w:rPr>
        <w:t>pojmu kapitál i</w:t>
      </w:r>
      <w:r>
        <w:rPr>
          <w:rFonts w:eastAsia="Calibri"/>
          <w:sz w:val="24"/>
          <w:szCs w:val="24"/>
          <w:lang w:eastAsia="en-US"/>
        </w:rPr>
        <w:t xml:space="preserve"> pro</w:t>
      </w:r>
      <w:r w:rsidRPr="006B3303">
        <w:rPr>
          <w:rFonts w:eastAsia="Calibri"/>
          <w:sz w:val="24"/>
          <w:szCs w:val="24"/>
          <w:lang w:eastAsia="en-US"/>
        </w:rPr>
        <w:t xml:space="preserve"> statky, které </w:t>
      </w:r>
      <w:r>
        <w:rPr>
          <w:rFonts w:eastAsia="Calibri"/>
          <w:sz w:val="24"/>
          <w:szCs w:val="24"/>
          <w:lang w:eastAsia="en-US"/>
        </w:rPr>
        <w:t>nejsou výsledkem pracovní činnosti</w:t>
      </w:r>
      <w:r w:rsidRPr="006B3303">
        <w:rPr>
          <w:rFonts w:eastAsia="Calibri"/>
          <w:sz w:val="24"/>
          <w:szCs w:val="24"/>
          <w:lang w:eastAsia="en-US"/>
        </w:rPr>
        <w:t>. Typickým příkladem jsou pozemky a lidský kapitál. Ekonomická teorie rozlišuje kapitál reálný</w:t>
      </w:r>
      <w:r w:rsidR="00275DD2">
        <w:rPr>
          <w:rFonts w:eastAsia="Calibri"/>
          <w:sz w:val="24"/>
          <w:szCs w:val="24"/>
          <w:lang w:eastAsia="en-US"/>
        </w:rPr>
        <w:t>,</w:t>
      </w:r>
      <w:r w:rsidRPr="006B3303">
        <w:rPr>
          <w:rFonts w:eastAsia="Calibri"/>
          <w:sz w:val="24"/>
          <w:szCs w:val="24"/>
          <w:lang w:eastAsia="en-US"/>
        </w:rPr>
        <w:t xml:space="preserve"> </w:t>
      </w:r>
      <w:r>
        <w:rPr>
          <w:rFonts w:eastAsia="Calibri"/>
          <w:sz w:val="24"/>
          <w:szCs w:val="24"/>
          <w:lang w:eastAsia="en-US"/>
        </w:rPr>
        <w:t xml:space="preserve">tj. </w:t>
      </w:r>
      <w:r w:rsidRPr="005A093E">
        <w:rPr>
          <w:rFonts w:eastAsia="Calibri"/>
          <w:sz w:val="24"/>
          <w:szCs w:val="24"/>
          <w:lang w:eastAsia="en-US"/>
        </w:rPr>
        <w:t xml:space="preserve">kapitálové statky využívané </w:t>
      </w:r>
      <w:r w:rsidR="000856B7">
        <w:rPr>
          <w:rFonts w:eastAsia="Calibri"/>
          <w:sz w:val="24"/>
          <w:szCs w:val="24"/>
          <w:lang w:eastAsia="en-US"/>
        </w:rPr>
        <w:t>k produkci spotřebních statků a </w:t>
      </w:r>
      <w:r w:rsidRPr="005A093E">
        <w:rPr>
          <w:rFonts w:eastAsia="Calibri"/>
          <w:sz w:val="24"/>
          <w:szCs w:val="24"/>
          <w:lang w:eastAsia="en-US"/>
        </w:rPr>
        <w:t>peněžní (Kucharčíková 2011). Obecně je kapitál pokládán za klíčový faktor ekonomického růstu</w:t>
      </w:r>
      <w:r>
        <w:rPr>
          <w:rFonts w:eastAsia="Calibri"/>
          <w:sz w:val="24"/>
          <w:szCs w:val="24"/>
          <w:lang w:eastAsia="en-US"/>
        </w:rPr>
        <w:t xml:space="preserve"> (z</w:t>
      </w:r>
      <w:r w:rsidRPr="005A093E">
        <w:rPr>
          <w:rFonts w:eastAsia="Calibri"/>
          <w:sz w:val="24"/>
          <w:szCs w:val="24"/>
          <w:lang w:eastAsia="en-US"/>
        </w:rPr>
        <w:t>ákladní ideou je pozitivní vztah mezi velikostí akumulace kapitálu a růstem</w:t>
      </w:r>
      <w:r>
        <w:rPr>
          <w:rFonts w:eastAsia="Calibri"/>
          <w:sz w:val="24"/>
          <w:szCs w:val="24"/>
          <w:lang w:eastAsia="en-US"/>
        </w:rPr>
        <w:t>)</w:t>
      </w:r>
      <w:r w:rsidRPr="005A093E">
        <w:rPr>
          <w:rFonts w:eastAsia="Calibri"/>
          <w:sz w:val="24"/>
          <w:szCs w:val="24"/>
          <w:lang w:eastAsia="en-US"/>
        </w:rPr>
        <w:t>. A</w:t>
      </w:r>
      <w:r>
        <w:rPr>
          <w:rFonts w:eastAsia="Calibri"/>
          <w:sz w:val="24"/>
          <w:szCs w:val="24"/>
          <w:lang w:eastAsia="en-US"/>
        </w:rPr>
        <w:t xml:space="preserve">. </w:t>
      </w:r>
      <w:r w:rsidRPr="005A093E">
        <w:rPr>
          <w:rFonts w:eastAsia="Calibri"/>
          <w:sz w:val="24"/>
          <w:szCs w:val="24"/>
          <w:lang w:eastAsia="en-US"/>
        </w:rPr>
        <w:t xml:space="preserve">Smith rozděloval kapitál na fixní (budovy a stroje) a oběžný (zásoby zboží a zálohy na mzdy). </w:t>
      </w:r>
      <w:r>
        <w:rPr>
          <w:rFonts w:eastAsia="Calibri"/>
          <w:sz w:val="24"/>
          <w:szCs w:val="24"/>
          <w:lang w:eastAsia="en-US"/>
        </w:rPr>
        <w:t>C</w:t>
      </w:r>
      <w:r w:rsidRPr="005A093E">
        <w:rPr>
          <w:rFonts w:eastAsia="Calibri"/>
          <w:sz w:val="24"/>
          <w:szCs w:val="24"/>
          <w:lang w:eastAsia="en-US"/>
        </w:rPr>
        <w:t>háp</w:t>
      </w:r>
      <w:r>
        <w:rPr>
          <w:rFonts w:eastAsia="Calibri"/>
          <w:sz w:val="24"/>
          <w:szCs w:val="24"/>
          <w:lang w:eastAsia="en-US"/>
        </w:rPr>
        <w:t xml:space="preserve">ání </w:t>
      </w:r>
      <w:r w:rsidRPr="005A093E">
        <w:rPr>
          <w:rFonts w:eastAsia="Calibri"/>
          <w:sz w:val="24"/>
          <w:szCs w:val="24"/>
          <w:lang w:eastAsia="en-US"/>
        </w:rPr>
        <w:t>kapitál</w:t>
      </w:r>
      <w:r>
        <w:rPr>
          <w:rFonts w:eastAsia="Calibri"/>
          <w:sz w:val="24"/>
          <w:szCs w:val="24"/>
          <w:lang w:eastAsia="en-US"/>
        </w:rPr>
        <w:t>u</w:t>
      </w:r>
      <w:r w:rsidRPr="005A093E">
        <w:rPr>
          <w:rFonts w:eastAsia="Calibri"/>
          <w:sz w:val="24"/>
          <w:szCs w:val="24"/>
          <w:lang w:eastAsia="en-US"/>
        </w:rPr>
        <w:t xml:space="preserve"> jako mzdové zálohy</w:t>
      </w:r>
      <w:r>
        <w:rPr>
          <w:rFonts w:eastAsia="Calibri"/>
          <w:sz w:val="24"/>
          <w:szCs w:val="24"/>
          <w:lang w:eastAsia="en-US"/>
        </w:rPr>
        <w:t xml:space="preserve"> respektuje fakt, že vlastník k</w:t>
      </w:r>
      <w:r w:rsidRPr="005A093E">
        <w:rPr>
          <w:rFonts w:eastAsia="Calibri"/>
          <w:sz w:val="24"/>
          <w:szCs w:val="24"/>
          <w:lang w:eastAsia="en-US"/>
        </w:rPr>
        <w:t>apit</w:t>
      </w:r>
      <w:r>
        <w:rPr>
          <w:rFonts w:eastAsia="Calibri"/>
          <w:sz w:val="24"/>
          <w:szCs w:val="24"/>
          <w:lang w:eastAsia="en-US"/>
        </w:rPr>
        <w:t>álu</w:t>
      </w:r>
      <w:r w:rsidRPr="005A093E">
        <w:rPr>
          <w:rFonts w:eastAsia="Calibri"/>
          <w:sz w:val="24"/>
          <w:szCs w:val="24"/>
          <w:lang w:eastAsia="en-US"/>
        </w:rPr>
        <w:t xml:space="preserve"> musel vyplácet dělníky až do doby než byla produkce vyrobena a prodána. </w:t>
      </w:r>
      <w:r>
        <w:rPr>
          <w:rFonts w:eastAsia="Calibri"/>
          <w:sz w:val="24"/>
          <w:szCs w:val="24"/>
          <w:lang w:eastAsia="en-US"/>
        </w:rPr>
        <w:t xml:space="preserve">Do </w:t>
      </w:r>
      <w:r w:rsidRPr="005A093E">
        <w:rPr>
          <w:rFonts w:eastAsia="Calibri"/>
          <w:sz w:val="24"/>
          <w:szCs w:val="24"/>
          <w:lang w:eastAsia="en-US"/>
        </w:rPr>
        <w:t>mzdového fondu</w:t>
      </w:r>
      <w:r>
        <w:rPr>
          <w:rFonts w:eastAsia="Calibri"/>
          <w:sz w:val="24"/>
          <w:szCs w:val="24"/>
          <w:lang w:eastAsia="en-US"/>
        </w:rPr>
        <w:t xml:space="preserve"> tedy</w:t>
      </w:r>
      <w:r w:rsidRPr="005A093E">
        <w:rPr>
          <w:rFonts w:eastAsia="Calibri"/>
          <w:sz w:val="24"/>
          <w:szCs w:val="24"/>
          <w:lang w:eastAsia="en-US"/>
        </w:rPr>
        <w:t xml:space="preserve"> musela být vložena část peněžních prostředků z prodeje produkce tak</w:t>
      </w:r>
      <w:r w:rsidR="000856B7">
        <w:rPr>
          <w:rFonts w:eastAsia="Calibri"/>
          <w:sz w:val="24"/>
          <w:szCs w:val="24"/>
          <w:lang w:eastAsia="en-US"/>
        </w:rPr>
        <w:t>, aby mohla být opět použita na </w:t>
      </w:r>
      <w:r w:rsidRPr="005A093E">
        <w:rPr>
          <w:rFonts w:eastAsia="Calibri"/>
          <w:sz w:val="24"/>
          <w:szCs w:val="24"/>
          <w:lang w:eastAsia="en-US"/>
        </w:rPr>
        <w:t>zálohy mezd.</w:t>
      </w:r>
      <w:r>
        <w:rPr>
          <w:rFonts w:eastAsia="Calibri"/>
          <w:sz w:val="24"/>
          <w:szCs w:val="24"/>
          <w:lang w:eastAsia="en-US"/>
        </w:rPr>
        <w:t xml:space="preserve"> </w:t>
      </w:r>
      <w:r w:rsidRPr="005A093E">
        <w:rPr>
          <w:rFonts w:eastAsia="Calibri"/>
          <w:sz w:val="24"/>
          <w:szCs w:val="24"/>
          <w:lang w:eastAsia="en-US"/>
        </w:rPr>
        <w:t>V tomto konceptu umožňoval dodatečný kapitál najímat další práci</w:t>
      </w:r>
      <w:r>
        <w:rPr>
          <w:rFonts w:eastAsia="Calibri"/>
          <w:sz w:val="24"/>
          <w:szCs w:val="24"/>
          <w:lang w:eastAsia="en-US"/>
        </w:rPr>
        <w:t xml:space="preserve"> a</w:t>
      </w:r>
      <w:r w:rsidR="000856B7">
        <w:rPr>
          <w:rFonts w:eastAsia="Calibri"/>
          <w:sz w:val="24"/>
          <w:szCs w:val="24"/>
          <w:lang w:eastAsia="en-US"/>
        </w:rPr>
        <w:t> </w:t>
      </w:r>
      <w:r>
        <w:rPr>
          <w:rFonts w:eastAsia="Calibri"/>
          <w:sz w:val="24"/>
          <w:szCs w:val="24"/>
          <w:lang w:eastAsia="en-US"/>
        </w:rPr>
        <w:t>z</w:t>
      </w:r>
      <w:r w:rsidRPr="005A093E">
        <w:rPr>
          <w:rFonts w:eastAsia="Calibri"/>
          <w:sz w:val="24"/>
          <w:szCs w:val="24"/>
          <w:lang w:eastAsia="en-US"/>
        </w:rPr>
        <w:t>aměstnanost byla tedy funkcí akumulace kapitálu</w:t>
      </w:r>
      <w:r>
        <w:rPr>
          <w:rFonts w:eastAsia="Calibri"/>
          <w:sz w:val="24"/>
          <w:szCs w:val="24"/>
          <w:lang w:eastAsia="en-US"/>
        </w:rPr>
        <w:t xml:space="preserve"> </w:t>
      </w:r>
      <w:r w:rsidRPr="005A093E">
        <w:rPr>
          <w:rFonts w:eastAsia="Calibri"/>
          <w:sz w:val="24"/>
          <w:szCs w:val="24"/>
          <w:lang w:eastAsia="en-US"/>
        </w:rPr>
        <w:t>(Holman 2005)</w:t>
      </w:r>
      <w:r>
        <w:rPr>
          <w:rFonts w:eastAsia="Calibri"/>
          <w:sz w:val="24"/>
          <w:szCs w:val="24"/>
          <w:lang w:eastAsia="en-US"/>
        </w:rPr>
        <w:t xml:space="preserve">. </w:t>
      </w:r>
      <w:r w:rsidRPr="006B3303">
        <w:rPr>
          <w:rFonts w:eastAsia="Calibri"/>
          <w:sz w:val="24"/>
          <w:szCs w:val="24"/>
          <w:lang w:eastAsia="en-US"/>
        </w:rPr>
        <w:t xml:space="preserve">Smithův pokračovatel Ricardo pak považoval kapitál za zboží vyrobené prací v minulosti. </w:t>
      </w:r>
      <w:r>
        <w:rPr>
          <w:rFonts w:eastAsia="Calibri"/>
          <w:sz w:val="24"/>
          <w:szCs w:val="24"/>
          <w:lang w:eastAsia="en-US"/>
        </w:rPr>
        <w:t>Podle něj j</w:t>
      </w:r>
      <w:r w:rsidRPr="006B3303">
        <w:rPr>
          <w:rFonts w:eastAsia="Calibri"/>
          <w:sz w:val="24"/>
          <w:szCs w:val="24"/>
          <w:lang w:eastAsia="en-US"/>
        </w:rPr>
        <w:t xml:space="preserve">de </w:t>
      </w:r>
      <w:r>
        <w:rPr>
          <w:rFonts w:eastAsia="Calibri"/>
          <w:sz w:val="24"/>
          <w:szCs w:val="24"/>
          <w:lang w:eastAsia="en-US"/>
        </w:rPr>
        <w:t xml:space="preserve">tedy </w:t>
      </w:r>
      <w:r w:rsidR="000856B7">
        <w:rPr>
          <w:rFonts w:eastAsia="Calibri"/>
          <w:sz w:val="24"/>
          <w:szCs w:val="24"/>
          <w:lang w:eastAsia="en-US"/>
        </w:rPr>
        <w:t>o </w:t>
      </w:r>
      <w:r w:rsidRPr="006B3303">
        <w:rPr>
          <w:rFonts w:eastAsia="Calibri"/>
          <w:sz w:val="24"/>
          <w:szCs w:val="24"/>
          <w:lang w:eastAsia="en-US"/>
        </w:rPr>
        <w:t>ztělesněnou minulou práci</w:t>
      </w:r>
      <w:r>
        <w:rPr>
          <w:rFonts w:eastAsia="Calibri"/>
          <w:sz w:val="24"/>
          <w:szCs w:val="24"/>
          <w:lang w:eastAsia="en-US"/>
        </w:rPr>
        <w:t>,</w:t>
      </w:r>
      <w:r w:rsidRPr="006B3303">
        <w:rPr>
          <w:rFonts w:eastAsia="Calibri"/>
          <w:sz w:val="24"/>
          <w:szCs w:val="24"/>
          <w:lang w:eastAsia="en-US"/>
        </w:rPr>
        <w:t xml:space="preserve"> z čehož vyplývá</w:t>
      </w:r>
      <w:r>
        <w:rPr>
          <w:rFonts w:eastAsia="Calibri"/>
          <w:sz w:val="24"/>
          <w:szCs w:val="24"/>
          <w:lang w:eastAsia="en-US"/>
        </w:rPr>
        <w:t>,</w:t>
      </w:r>
      <w:r w:rsidRPr="006B3303">
        <w:rPr>
          <w:rFonts w:eastAsia="Calibri"/>
          <w:sz w:val="24"/>
          <w:szCs w:val="24"/>
          <w:lang w:eastAsia="en-US"/>
        </w:rPr>
        <w:t xml:space="preserve"> že zboží je tvořeno pouze prací a to současnou a minulou. Hodnota zboží je podle něj určena pracovními náklady „průměrných“ výrobců, pokud by měl výrobce vyšší náklady, byl by nekonkurenceschopný (Volejníková 2005)</w:t>
      </w:r>
      <w:r>
        <w:rPr>
          <w:rFonts w:eastAsia="Calibri"/>
          <w:sz w:val="24"/>
          <w:szCs w:val="24"/>
          <w:lang w:eastAsia="en-US"/>
        </w:rPr>
        <w:t>.</w:t>
      </w:r>
      <w:r w:rsidRPr="006B3303">
        <w:rPr>
          <w:rFonts w:eastAsia="Calibri"/>
          <w:sz w:val="24"/>
          <w:szCs w:val="24"/>
          <w:lang w:eastAsia="en-US"/>
        </w:rPr>
        <w:t xml:space="preserve"> Ricardo také rozvinul teorii mezinárodního obchodu a zákon komparativních výhod</w:t>
      </w:r>
      <w:r>
        <w:rPr>
          <w:rFonts w:eastAsia="Calibri"/>
          <w:sz w:val="24"/>
          <w:szCs w:val="24"/>
          <w:lang w:eastAsia="en-US"/>
        </w:rPr>
        <w:t xml:space="preserve">. </w:t>
      </w:r>
      <w:r w:rsidRPr="006B3303">
        <w:rPr>
          <w:rFonts w:eastAsia="Calibri"/>
          <w:sz w:val="24"/>
          <w:szCs w:val="24"/>
          <w:lang w:eastAsia="en-US"/>
        </w:rPr>
        <w:t xml:space="preserve">Dokázal, že může existovat oboustranně výhodný obchod i mezi zeměmi, z nichž jedna má vyšší </w:t>
      </w:r>
      <w:r w:rsidRPr="006B3303">
        <w:rPr>
          <w:rFonts w:eastAsia="Calibri"/>
          <w:sz w:val="24"/>
          <w:szCs w:val="24"/>
          <w:lang w:eastAsia="en-US"/>
        </w:rPr>
        <w:lastRenderedPageBreak/>
        <w:t>náklady práce než druhá.</w:t>
      </w:r>
      <w:r>
        <w:rPr>
          <w:rFonts w:eastAsia="Calibri"/>
          <w:sz w:val="24"/>
          <w:szCs w:val="24"/>
          <w:lang w:eastAsia="en-US"/>
        </w:rPr>
        <w:t xml:space="preserve"> Podobně </w:t>
      </w:r>
      <w:r w:rsidRPr="006B3303">
        <w:rPr>
          <w:rFonts w:eastAsia="Calibri"/>
          <w:sz w:val="24"/>
          <w:szCs w:val="24"/>
          <w:lang w:eastAsia="en-US"/>
        </w:rPr>
        <w:t>jako Smith a Ricardo chápal kapitál i K</w:t>
      </w:r>
      <w:r>
        <w:rPr>
          <w:rFonts w:eastAsia="Calibri"/>
          <w:sz w:val="24"/>
          <w:szCs w:val="24"/>
          <w:lang w:eastAsia="en-US"/>
        </w:rPr>
        <w:t xml:space="preserve">. </w:t>
      </w:r>
      <w:r w:rsidRPr="006B3303">
        <w:rPr>
          <w:rFonts w:eastAsia="Calibri"/>
          <w:sz w:val="24"/>
          <w:szCs w:val="24"/>
          <w:lang w:eastAsia="en-US"/>
        </w:rPr>
        <w:t>Marx</w:t>
      </w:r>
      <w:r>
        <w:rPr>
          <w:rFonts w:eastAsia="Calibri"/>
          <w:sz w:val="24"/>
          <w:szCs w:val="24"/>
          <w:lang w:eastAsia="en-US"/>
        </w:rPr>
        <w:t xml:space="preserve">, který </w:t>
      </w:r>
      <w:r w:rsidRPr="006B3303">
        <w:rPr>
          <w:rFonts w:eastAsia="Calibri"/>
          <w:sz w:val="24"/>
          <w:szCs w:val="24"/>
          <w:lang w:eastAsia="en-US"/>
        </w:rPr>
        <w:t>jej</w:t>
      </w:r>
      <w:r>
        <w:rPr>
          <w:rFonts w:eastAsia="Calibri"/>
          <w:sz w:val="24"/>
          <w:szCs w:val="24"/>
          <w:lang w:eastAsia="en-US"/>
        </w:rPr>
        <w:t xml:space="preserve"> d</w:t>
      </w:r>
      <w:r w:rsidRPr="006B3303">
        <w:rPr>
          <w:rFonts w:eastAsia="Calibri"/>
          <w:sz w:val="24"/>
          <w:szCs w:val="24"/>
          <w:lang w:eastAsia="en-US"/>
        </w:rPr>
        <w:t xml:space="preserve">ělil na konstantní a variabilní. Novou hodnotu i nadhodnotu (zisk) </w:t>
      </w:r>
      <w:r>
        <w:rPr>
          <w:rFonts w:eastAsia="Calibri"/>
          <w:sz w:val="24"/>
          <w:szCs w:val="24"/>
          <w:lang w:eastAsia="en-US"/>
        </w:rPr>
        <w:t xml:space="preserve">pak </w:t>
      </w:r>
      <w:r w:rsidRPr="006B3303">
        <w:rPr>
          <w:rFonts w:eastAsia="Calibri"/>
          <w:sz w:val="24"/>
          <w:szCs w:val="24"/>
          <w:lang w:eastAsia="en-US"/>
        </w:rPr>
        <w:t>podle něj tvoří pouze variabilní kapitál („živá práce“). Z toho plyne, že zisk roste jen tehdy, roste-li variabilní kapitál. Z této zvláštní představy odvodil zákon o klesající míře zisku, který předpokládá neustálé nahrazování práce kapitálem (Holman</w:t>
      </w:r>
      <w:r>
        <w:rPr>
          <w:rFonts w:eastAsia="Calibri"/>
          <w:sz w:val="24"/>
          <w:szCs w:val="24"/>
          <w:lang w:eastAsia="en-US"/>
        </w:rPr>
        <w:t>,</w:t>
      </w:r>
      <w:r w:rsidRPr="006B3303">
        <w:rPr>
          <w:rFonts w:eastAsia="Calibri"/>
          <w:sz w:val="24"/>
          <w:szCs w:val="24"/>
          <w:lang w:eastAsia="en-US"/>
        </w:rPr>
        <w:t xml:space="preserve"> 2005)</w:t>
      </w:r>
      <w:r>
        <w:rPr>
          <w:rFonts w:eastAsia="Calibri"/>
          <w:sz w:val="24"/>
          <w:szCs w:val="24"/>
          <w:lang w:eastAsia="en-US"/>
        </w:rPr>
        <w:t>.</w:t>
      </w:r>
    </w:p>
    <w:p w:rsidR="003C633A" w:rsidRPr="006B3303" w:rsidRDefault="003C633A" w:rsidP="00423120">
      <w:pPr>
        <w:ind w:firstLine="720"/>
        <w:jc w:val="both"/>
        <w:rPr>
          <w:rFonts w:eastAsia="Calibri"/>
          <w:sz w:val="24"/>
          <w:szCs w:val="24"/>
          <w:lang w:eastAsia="en-US"/>
        </w:rPr>
      </w:pPr>
      <w:r w:rsidRPr="006B3303">
        <w:rPr>
          <w:rFonts w:eastAsia="Calibri"/>
          <w:sz w:val="24"/>
          <w:szCs w:val="24"/>
          <w:lang w:eastAsia="en-US"/>
        </w:rPr>
        <w:t>Za určitý zlom ve vývoji ekonomického myšlení je považován rok 1871 označovaný rokem marginalistické revoluce, kdy byla formulována teorie mezní užitečnosti. Marginalisté zaměřili pozornost na poptávkovou stranu trhu a na alokaci omezených zdrojů. Zatímco dosud byl ústřední postavou ekonomiky kapitalista, nyní se jí stává spotřebitel. On nese ekonomická rozhodnutí</w:t>
      </w:r>
      <w:r>
        <w:rPr>
          <w:rFonts w:eastAsia="Calibri"/>
          <w:sz w:val="24"/>
          <w:szCs w:val="24"/>
          <w:lang w:eastAsia="en-US"/>
        </w:rPr>
        <w:t xml:space="preserve"> a</w:t>
      </w:r>
      <w:r w:rsidRPr="006B3303">
        <w:rPr>
          <w:rFonts w:eastAsia="Calibri"/>
          <w:sz w:val="24"/>
          <w:szCs w:val="24"/>
          <w:lang w:eastAsia="en-US"/>
        </w:rPr>
        <w:t xml:space="preserve"> výrobci jeho preference registrují a plní jeho přání. Postava kapitalisty je dekomponována do několika </w:t>
      </w:r>
      <w:r>
        <w:rPr>
          <w:rFonts w:eastAsia="Calibri"/>
          <w:sz w:val="24"/>
          <w:szCs w:val="24"/>
          <w:lang w:eastAsia="en-US"/>
        </w:rPr>
        <w:t>typů</w:t>
      </w:r>
      <w:r w:rsidRPr="006B3303">
        <w:rPr>
          <w:rFonts w:eastAsia="Calibri"/>
          <w:sz w:val="24"/>
          <w:szCs w:val="24"/>
          <w:lang w:eastAsia="en-US"/>
        </w:rPr>
        <w:t xml:space="preserve"> (rentiér, podnikatel, manažer), které plní samostatné role (Holman 2005)</w:t>
      </w:r>
      <w:r>
        <w:rPr>
          <w:rFonts w:eastAsia="Calibri"/>
          <w:sz w:val="24"/>
          <w:szCs w:val="24"/>
          <w:lang w:eastAsia="en-US"/>
        </w:rPr>
        <w:t>.</w:t>
      </w:r>
      <w:r w:rsidRPr="006B3303">
        <w:rPr>
          <w:rFonts w:eastAsia="Calibri"/>
          <w:sz w:val="24"/>
          <w:szCs w:val="24"/>
          <w:lang w:eastAsia="en-US"/>
        </w:rPr>
        <w:t xml:space="preserve"> Mezi marginalisty patřili mimo jiné i L</w:t>
      </w:r>
      <w:r>
        <w:rPr>
          <w:rFonts w:eastAsia="Calibri"/>
          <w:sz w:val="24"/>
          <w:szCs w:val="24"/>
          <w:lang w:eastAsia="en-US"/>
        </w:rPr>
        <w:t>. W</w:t>
      </w:r>
      <w:r w:rsidRPr="006B3303">
        <w:rPr>
          <w:rFonts w:eastAsia="Calibri"/>
          <w:sz w:val="24"/>
          <w:szCs w:val="24"/>
          <w:lang w:eastAsia="en-US"/>
        </w:rPr>
        <w:t>alras a C</w:t>
      </w:r>
      <w:r>
        <w:rPr>
          <w:rFonts w:eastAsia="Calibri"/>
          <w:sz w:val="24"/>
          <w:szCs w:val="24"/>
          <w:lang w:eastAsia="en-US"/>
        </w:rPr>
        <w:t>. M</w:t>
      </w:r>
      <w:r w:rsidRPr="006B3303">
        <w:rPr>
          <w:rFonts w:eastAsia="Calibri"/>
          <w:sz w:val="24"/>
          <w:szCs w:val="24"/>
          <w:lang w:eastAsia="en-US"/>
        </w:rPr>
        <w:t>enger.</w:t>
      </w:r>
      <w:r>
        <w:rPr>
          <w:rFonts w:eastAsia="Calibri"/>
          <w:sz w:val="24"/>
          <w:szCs w:val="24"/>
          <w:lang w:eastAsia="en-US"/>
        </w:rPr>
        <w:t xml:space="preserve"> </w:t>
      </w:r>
      <w:r w:rsidRPr="006B3303">
        <w:rPr>
          <w:rFonts w:eastAsia="Calibri"/>
          <w:sz w:val="24"/>
          <w:szCs w:val="24"/>
          <w:lang w:eastAsia="en-US"/>
        </w:rPr>
        <w:t>Walras</w:t>
      </w:r>
      <w:r>
        <w:rPr>
          <w:rFonts w:eastAsia="Calibri"/>
          <w:sz w:val="24"/>
          <w:szCs w:val="24"/>
          <w:lang w:eastAsia="en-US"/>
        </w:rPr>
        <w:t>,</w:t>
      </w:r>
      <w:r w:rsidRPr="006B3303">
        <w:rPr>
          <w:rFonts w:eastAsia="Calibri"/>
          <w:sz w:val="24"/>
          <w:szCs w:val="24"/>
          <w:lang w:eastAsia="en-US"/>
        </w:rPr>
        <w:t xml:space="preserve"> </w:t>
      </w:r>
      <w:r>
        <w:rPr>
          <w:rFonts w:eastAsia="Calibri"/>
          <w:sz w:val="24"/>
          <w:szCs w:val="24"/>
          <w:lang w:eastAsia="en-US"/>
        </w:rPr>
        <w:t>j</w:t>
      </w:r>
      <w:r w:rsidRPr="006B3303">
        <w:rPr>
          <w:rFonts w:eastAsia="Calibri"/>
          <w:sz w:val="24"/>
          <w:szCs w:val="24"/>
          <w:lang w:eastAsia="en-US"/>
        </w:rPr>
        <w:t>eden z hlavních představitelů lausannské školy</w:t>
      </w:r>
      <w:r>
        <w:rPr>
          <w:rFonts w:eastAsia="Calibri"/>
          <w:sz w:val="24"/>
          <w:szCs w:val="24"/>
          <w:lang w:eastAsia="en-US"/>
        </w:rPr>
        <w:t>,</w:t>
      </w:r>
      <w:r w:rsidRPr="006B3303">
        <w:rPr>
          <w:rFonts w:eastAsia="Calibri"/>
          <w:sz w:val="24"/>
          <w:szCs w:val="24"/>
          <w:lang w:eastAsia="en-US"/>
        </w:rPr>
        <w:t xml:space="preserve"> vytvořil teorii ekonomické rovnováhy</w:t>
      </w:r>
      <w:r w:rsidR="00964525">
        <w:rPr>
          <w:rFonts w:eastAsia="Calibri"/>
          <w:sz w:val="24"/>
          <w:szCs w:val="24"/>
          <w:lang w:eastAsia="en-US"/>
        </w:rPr>
        <w:t>.</w:t>
      </w:r>
      <w:r w:rsidRPr="006B3303">
        <w:rPr>
          <w:rFonts w:eastAsia="Calibri"/>
          <w:sz w:val="24"/>
          <w:szCs w:val="24"/>
          <w:lang w:eastAsia="en-US"/>
        </w:rPr>
        <w:t xml:space="preserve"> Vycházel z předpokladu dokonalé konkurence, což znamená především neexistenci zisku. Ten sice může vznikat, ale jen ve stavu nerovnováhy. </w:t>
      </w:r>
      <w:r>
        <w:rPr>
          <w:rFonts w:eastAsia="Calibri"/>
          <w:sz w:val="24"/>
          <w:szCs w:val="24"/>
          <w:lang w:eastAsia="en-US"/>
        </w:rPr>
        <w:t>Dále d</w:t>
      </w:r>
      <w:r w:rsidRPr="006B3303">
        <w:rPr>
          <w:rFonts w:eastAsia="Calibri"/>
          <w:sz w:val="24"/>
          <w:szCs w:val="24"/>
          <w:lang w:eastAsia="en-US"/>
        </w:rPr>
        <w:t>efin</w:t>
      </w:r>
      <w:r>
        <w:rPr>
          <w:rFonts w:eastAsia="Calibri"/>
          <w:sz w:val="24"/>
          <w:szCs w:val="24"/>
          <w:lang w:eastAsia="en-US"/>
        </w:rPr>
        <w:t xml:space="preserve">oval </w:t>
      </w:r>
      <w:r w:rsidR="000856B7">
        <w:rPr>
          <w:rFonts w:eastAsia="Calibri"/>
          <w:sz w:val="24"/>
          <w:szCs w:val="24"/>
          <w:lang w:eastAsia="en-US"/>
        </w:rPr>
        <w:t>trh kapitálových statků, na </w:t>
      </w:r>
      <w:r w:rsidRPr="006B3303">
        <w:rPr>
          <w:rFonts w:eastAsia="Calibri"/>
          <w:sz w:val="24"/>
          <w:szCs w:val="24"/>
          <w:lang w:eastAsia="en-US"/>
        </w:rPr>
        <w:t>kterém kapitalisté nakupují kapitálové statky</w:t>
      </w:r>
      <w:r>
        <w:rPr>
          <w:rFonts w:eastAsia="Calibri"/>
          <w:sz w:val="24"/>
          <w:szCs w:val="24"/>
          <w:lang w:eastAsia="en-US"/>
        </w:rPr>
        <w:t>.</w:t>
      </w:r>
      <w:r w:rsidRPr="006B3303">
        <w:rPr>
          <w:rFonts w:eastAsia="Calibri"/>
          <w:sz w:val="24"/>
          <w:szCs w:val="24"/>
          <w:lang w:eastAsia="en-US"/>
        </w:rPr>
        <w:t xml:space="preserve"> Pro </w:t>
      </w:r>
      <w:r>
        <w:rPr>
          <w:rFonts w:eastAsia="Calibri"/>
          <w:sz w:val="24"/>
          <w:szCs w:val="24"/>
          <w:lang w:eastAsia="en-US"/>
        </w:rPr>
        <w:t xml:space="preserve">jejich </w:t>
      </w:r>
      <w:r w:rsidRPr="006B3303">
        <w:rPr>
          <w:rFonts w:eastAsia="Calibri"/>
          <w:sz w:val="24"/>
          <w:szCs w:val="24"/>
          <w:lang w:eastAsia="en-US"/>
        </w:rPr>
        <w:t>cenu platí stejná pravidla</w:t>
      </w:r>
      <w:r>
        <w:rPr>
          <w:rFonts w:eastAsia="Calibri"/>
          <w:sz w:val="24"/>
          <w:szCs w:val="24"/>
          <w:lang w:eastAsia="en-US"/>
        </w:rPr>
        <w:t xml:space="preserve"> </w:t>
      </w:r>
      <w:r w:rsidR="000856B7">
        <w:rPr>
          <w:rFonts w:eastAsia="Calibri"/>
          <w:sz w:val="24"/>
          <w:szCs w:val="24"/>
          <w:lang w:eastAsia="en-US"/>
        </w:rPr>
        <w:t>jako pro </w:t>
      </w:r>
      <w:r w:rsidRPr="006B3303">
        <w:rPr>
          <w:rFonts w:eastAsia="Calibri"/>
          <w:sz w:val="24"/>
          <w:szCs w:val="24"/>
          <w:lang w:eastAsia="en-US"/>
        </w:rPr>
        <w:t>spotřební zboží, tedy cena je rovna jednotkovým nákladům. Teorie rovnováhy předpokládá, že každý kapitálový statek přináší stejnou míru výnosu</w:t>
      </w:r>
      <w:r>
        <w:rPr>
          <w:rFonts w:eastAsia="Calibri"/>
          <w:sz w:val="24"/>
          <w:szCs w:val="24"/>
          <w:lang w:eastAsia="en-US"/>
        </w:rPr>
        <w:t xml:space="preserve"> (d</w:t>
      </w:r>
      <w:r w:rsidRPr="006B3303">
        <w:rPr>
          <w:rFonts w:eastAsia="Calibri"/>
          <w:sz w:val="24"/>
          <w:szCs w:val="24"/>
          <w:lang w:eastAsia="en-US"/>
        </w:rPr>
        <w:t>ůležitou roli sehrávají úspory, které dle Walrase představují zvláštní zboží, které spotřebitel nakupuje</w:t>
      </w:r>
      <w:r>
        <w:rPr>
          <w:rFonts w:eastAsia="Calibri"/>
          <w:sz w:val="24"/>
          <w:szCs w:val="24"/>
          <w:lang w:eastAsia="en-US"/>
        </w:rPr>
        <w:t>)</w:t>
      </w:r>
      <w:r w:rsidRPr="006B3303">
        <w:rPr>
          <w:rFonts w:eastAsia="Calibri"/>
          <w:sz w:val="24"/>
          <w:szCs w:val="24"/>
          <w:lang w:eastAsia="en-US"/>
        </w:rPr>
        <w:t xml:space="preserve">. V modelu všeobecné rovnováhy platí, že změnou poptávky po tomto zvláštním zboží se mění rovnováha na všech ostatních trzích. V tomto modelu pak rovnost investic a úspor není podmínkou rovnováhy, nýbrž její identitou. Walras </w:t>
      </w:r>
      <w:r>
        <w:rPr>
          <w:rFonts w:eastAsia="Calibri"/>
          <w:sz w:val="24"/>
          <w:szCs w:val="24"/>
          <w:lang w:eastAsia="en-US"/>
        </w:rPr>
        <w:t xml:space="preserve">ovšem </w:t>
      </w:r>
      <w:r w:rsidRPr="006B3303">
        <w:rPr>
          <w:rFonts w:eastAsia="Calibri"/>
          <w:sz w:val="24"/>
          <w:szCs w:val="24"/>
          <w:lang w:eastAsia="en-US"/>
        </w:rPr>
        <w:t>nedokázal do modelu zakomponovat otázku časové preference, tedy rozlišení současné a budoucí spotřeby (Holman</w:t>
      </w:r>
      <w:r>
        <w:rPr>
          <w:rFonts w:eastAsia="Calibri"/>
          <w:sz w:val="24"/>
          <w:szCs w:val="24"/>
          <w:lang w:eastAsia="en-US"/>
        </w:rPr>
        <w:t>,</w:t>
      </w:r>
      <w:r w:rsidRPr="006B3303">
        <w:rPr>
          <w:rFonts w:eastAsia="Calibri"/>
          <w:sz w:val="24"/>
          <w:szCs w:val="24"/>
          <w:lang w:eastAsia="en-US"/>
        </w:rPr>
        <w:t xml:space="preserve"> 2005; Sirůček a kol.</w:t>
      </w:r>
      <w:r>
        <w:rPr>
          <w:rFonts w:eastAsia="Calibri"/>
          <w:sz w:val="24"/>
          <w:szCs w:val="24"/>
          <w:lang w:eastAsia="en-US"/>
        </w:rPr>
        <w:t>,</w:t>
      </w:r>
      <w:r w:rsidRPr="006B3303">
        <w:rPr>
          <w:rFonts w:eastAsia="Calibri"/>
          <w:sz w:val="24"/>
          <w:szCs w:val="24"/>
          <w:lang w:eastAsia="en-US"/>
        </w:rPr>
        <w:t xml:space="preserve"> 2007)</w:t>
      </w:r>
      <w:r>
        <w:rPr>
          <w:rFonts w:eastAsia="Calibri"/>
          <w:sz w:val="24"/>
          <w:szCs w:val="24"/>
          <w:lang w:eastAsia="en-US"/>
        </w:rPr>
        <w:t>.</w:t>
      </w:r>
    </w:p>
    <w:p w:rsidR="003C633A" w:rsidRPr="006B3303" w:rsidRDefault="003C633A" w:rsidP="00423120">
      <w:pPr>
        <w:ind w:firstLine="720"/>
        <w:jc w:val="both"/>
        <w:rPr>
          <w:rFonts w:eastAsia="Calibri"/>
          <w:sz w:val="24"/>
          <w:szCs w:val="24"/>
          <w:lang w:eastAsia="en-US"/>
        </w:rPr>
      </w:pPr>
      <w:r w:rsidRPr="006B3303">
        <w:rPr>
          <w:rFonts w:eastAsia="Calibri"/>
          <w:sz w:val="24"/>
          <w:szCs w:val="24"/>
          <w:lang w:eastAsia="en-US"/>
        </w:rPr>
        <w:t>Z</w:t>
      </w:r>
      <w:r>
        <w:rPr>
          <w:rFonts w:eastAsia="Calibri"/>
          <w:sz w:val="24"/>
          <w:szCs w:val="24"/>
          <w:lang w:eastAsia="en-US"/>
        </w:rPr>
        <w:t> </w:t>
      </w:r>
      <w:r w:rsidRPr="006B3303">
        <w:rPr>
          <w:rFonts w:eastAsia="Calibri"/>
          <w:sz w:val="24"/>
          <w:szCs w:val="24"/>
          <w:lang w:eastAsia="en-US"/>
        </w:rPr>
        <w:t>m</w:t>
      </w:r>
      <w:r>
        <w:rPr>
          <w:rFonts w:eastAsia="Calibri"/>
          <w:sz w:val="24"/>
          <w:szCs w:val="24"/>
          <w:lang w:eastAsia="en-US"/>
        </w:rPr>
        <w:t xml:space="preserve">arginalistické </w:t>
      </w:r>
      <w:r w:rsidRPr="006B3303">
        <w:rPr>
          <w:rFonts w:eastAsia="Calibri"/>
          <w:sz w:val="24"/>
          <w:szCs w:val="24"/>
          <w:lang w:eastAsia="en-US"/>
        </w:rPr>
        <w:t>revoluce vyšla také rakouská škola, za jejíhož zakladatele bývá považován Menger. V rámci své koncepce rozlišoval statky p</w:t>
      </w:r>
      <w:r w:rsidR="000856B7">
        <w:rPr>
          <w:rFonts w:eastAsia="Calibri"/>
          <w:sz w:val="24"/>
          <w:szCs w:val="24"/>
          <w:lang w:eastAsia="en-US"/>
        </w:rPr>
        <w:t>rvního řádu (spotřební zboží) a </w:t>
      </w:r>
      <w:r w:rsidRPr="006B3303">
        <w:rPr>
          <w:rFonts w:eastAsia="Calibri"/>
          <w:sz w:val="24"/>
          <w:szCs w:val="24"/>
          <w:lang w:eastAsia="en-US"/>
        </w:rPr>
        <w:t>statky vyšších řádů, které slouží k výrobě statků prvního řádu. Menger prokázal, že hodnota statků vyšších řádů je odvozena od statků prvního řádu (sníže</w:t>
      </w:r>
      <w:r w:rsidR="000856B7">
        <w:rPr>
          <w:rFonts w:eastAsia="Calibri"/>
          <w:sz w:val="24"/>
          <w:szCs w:val="24"/>
          <w:lang w:eastAsia="en-US"/>
        </w:rPr>
        <w:t>na o úrok a zisk podnikatele) a </w:t>
      </w:r>
      <w:r w:rsidRPr="006B3303">
        <w:rPr>
          <w:rFonts w:eastAsia="Calibri"/>
          <w:sz w:val="24"/>
          <w:szCs w:val="24"/>
          <w:lang w:eastAsia="en-US"/>
        </w:rPr>
        <w:t>nikoliv naopak, jak předpokládali klasikové. Specifickou roli pak hrají peníze, které umožňují držet statky vyšších řádů v „univerzální podobě“, což vede ke snížení nákladů, neboť struktura poptávky po statcích prvního řádu vykazuje určitou nejistotu (Holman 2005)</w:t>
      </w:r>
      <w:r>
        <w:rPr>
          <w:rFonts w:eastAsia="Calibri"/>
          <w:sz w:val="24"/>
          <w:szCs w:val="24"/>
          <w:lang w:eastAsia="en-US"/>
        </w:rPr>
        <w:t xml:space="preserve">. </w:t>
      </w:r>
      <w:r w:rsidRPr="006B3303">
        <w:rPr>
          <w:rFonts w:eastAsia="Calibri"/>
          <w:sz w:val="24"/>
          <w:szCs w:val="24"/>
          <w:lang w:eastAsia="en-US"/>
        </w:rPr>
        <w:t>Nejprestižnější osobností rakouské školy byl E</w:t>
      </w:r>
      <w:r>
        <w:rPr>
          <w:rFonts w:eastAsia="Calibri"/>
          <w:sz w:val="24"/>
          <w:szCs w:val="24"/>
          <w:lang w:eastAsia="en-US"/>
        </w:rPr>
        <w:t xml:space="preserve">. </w:t>
      </w:r>
      <w:r w:rsidRPr="006B3303">
        <w:rPr>
          <w:rFonts w:eastAsia="Calibri"/>
          <w:sz w:val="24"/>
          <w:szCs w:val="24"/>
          <w:lang w:eastAsia="en-US"/>
        </w:rPr>
        <w:t>Bӧhm-Bawerk. Známým se stal především jako autor teorie kapitálu a úroku, ale také jako hlasitý kr</w:t>
      </w:r>
      <w:r w:rsidR="000856B7">
        <w:rPr>
          <w:rFonts w:eastAsia="Calibri"/>
          <w:sz w:val="24"/>
          <w:szCs w:val="24"/>
          <w:lang w:eastAsia="en-US"/>
        </w:rPr>
        <w:t>itik Marxovy teorie hodnoty. Do </w:t>
      </w:r>
      <w:r w:rsidRPr="006B3303">
        <w:rPr>
          <w:rFonts w:eastAsia="Calibri"/>
          <w:sz w:val="24"/>
          <w:szCs w:val="24"/>
          <w:lang w:eastAsia="en-US"/>
        </w:rPr>
        <w:t>analýzy spotřebitelských a výrobních rozhodnutí zavedl prvek času: statky vyšších řádů se postupně využívají k výrobě statků nižších řádů</w:t>
      </w:r>
      <w:r>
        <w:rPr>
          <w:rFonts w:eastAsia="Calibri"/>
          <w:sz w:val="24"/>
          <w:szCs w:val="24"/>
          <w:lang w:eastAsia="en-US"/>
        </w:rPr>
        <w:t>,</w:t>
      </w:r>
      <w:r w:rsidRPr="006B3303">
        <w:rPr>
          <w:rFonts w:eastAsia="Calibri"/>
          <w:sz w:val="24"/>
          <w:szCs w:val="24"/>
          <w:lang w:eastAsia="en-US"/>
        </w:rPr>
        <w:t xml:space="preserve"> až dospějí do fáze statků prvního řádu (určených ke spotřebě). Rozlišil přímé metody výroby (spotřební statky vyráběn</w:t>
      </w:r>
      <w:r>
        <w:rPr>
          <w:rFonts w:eastAsia="Calibri"/>
          <w:sz w:val="24"/>
          <w:szCs w:val="24"/>
          <w:lang w:eastAsia="en-US"/>
        </w:rPr>
        <w:t>é</w:t>
      </w:r>
      <w:r w:rsidRPr="006B3303">
        <w:rPr>
          <w:rFonts w:eastAsia="Calibri"/>
          <w:sz w:val="24"/>
          <w:szCs w:val="24"/>
          <w:lang w:eastAsia="en-US"/>
        </w:rPr>
        <w:t xml:space="preserve"> za použití půdy a práce) a nepřímé metody výroby (nejprve je vy</w:t>
      </w:r>
      <w:r>
        <w:rPr>
          <w:rFonts w:eastAsia="Calibri"/>
          <w:sz w:val="24"/>
          <w:szCs w:val="24"/>
          <w:lang w:eastAsia="en-US"/>
        </w:rPr>
        <w:t>tvořen</w:t>
      </w:r>
      <w:r w:rsidRPr="006B3303">
        <w:rPr>
          <w:rFonts w:eastAsia="Calibri"/>
          <w:sz w:val="24"/>
          <w:szCs w:val="24"/>
          <w:lang w:eastAsia="en-US"/>
        </w:rPr>
        <w:t xml:space="preserve"> kapitál a prostřednictvím něho až následně spotřební statky). Přitom platí, že čím vyšší je kapitálová náročnost výroby, tím je výroba časově náročnější a současně produktivnější. Vyrobený kapitál pak zvyšuje produktivitu ostatních výrobních faktorů (Brožová</w:t>
      </w:r>
      <w:r>
        <w:rPr>
          <w:rFonts w:eastAsia="Calibri"/>
          <w:sz w:val="24"/>
          <w:szCs w:val="24"/>
          <w:lang w:eastAsia="en-US"/>
        </w:rPr>
        <w:t>,</w:t>
      </w:r>
      <w:r w:rsidRPr="006B3303">
        <w:rPr>
          <w:rFonts w:eastAsia="Calibri"/>
          <w:sz w:val="24"/>
          <w:szCs w:val="24"/>
          <w:lang w:eastAsia="en-US"/>
        </w:rPr>
        <w:t xml:space="preserve"> 2006)</w:t>
      </w:r>
      <w:r>
        <w:rPr>
          <w:rFonts w:eastAsia="Calibri"/>
          <w:sz w:val="24"/>
          <w:szCs w:val="24"/>
          <w:lang w:eastAsia="en-US"/>
        </w:rPr>
        <w:t xml:space="preserve">, což má nepochybně významné regionální dopady. </w:t>
      </w:r>
      <w:r w:rsidRPr="006B3303">
        <w:rPr>
          <w:rFonts w:eastAsia="Calibri"/>
          <w:sz w:val="24"/>
          <w:szCs w:val="24"/>
          <w:lang w:eastAsia="en-US"/>
        </w:rPr>
        <w:t>Z Bӧhm-Bawerkovy představy, že „kapitál je čas“ vycházel K</w:t>
      </w:r>
      <w:r>
        <w:rPr>
          <w:rFonts w:eastAsia="Calibri"/>
          <w:sz w:val="24"/>
          <w:szCs w:val="24"/>
          <w:lang w:eastAsia="en-US"/>
        </w:rPr>
        <w:t xml:space="preserve">. </w:t>
      </w:r>
      <w:r w:rsidRPr="006B3303">
        <w:rPr>
          <w:rFonts w:eastAsia="Calibri"/>
          <w:sz w:val="24"/>
          <w:szCs w:val="24"/>
          <w:lang w:eastAsia="en-US"/>
        </w:rPr>
        <w:t xml:space="preserve">Wicksell. Svoji teorii postavil na rozlišení dvoudimenzionální struktury kapitálu, a to šířce a výšce. </w:t>
      </w:r>
      <w:r w:rsidRPr="006B3303">
        <w:rPr>
          <w:rFonts w:eastAsia="Calibri"/>
          <w:sz w:val="24"/>
          <w:szCs w:val="24"/>
          <w:lang w:eastAsia="en-US"/>
        </w:rPr>
        <w:lastRenderedPageBreak/>
        <w:t>Velikost kapitálu</w:t>
      </w:r>
      <w:r>
        <w:rPr>
          <w:rFonts w:eastAsia="Calibri"/>
          <w:sz w:val="24"/>
          <w:szCs w:val="24"/>
          <w:lang w:eastAsia="en-US"/>
        </w:rPr>
        <w:t xml:space="preserve"> (šířka) </w:t>
      </w:r>
      <w:r w:rsidRPr="006B3303">
        <w:rPr>
          <w:rFonts w:eastAsia="Calibri"/>
          <w:sz w:val="24"/>
          <w:szCs w:val="24"/>
          <w:lang w:eastAsia="en-US"/>
        </w:rPr>
        <w:t>je dána množstvím primárních výrobních faktorů</w:t>
      </w:r>
      <w:r w:rsidR="00275DD2">
        <w:rPr>
          <w:rFonts w:eastAsia="Calibri"/>
          <w:sz w:val="24"/>
          <w:szCs w:val="24"/>
          <w:lang w:eastAsia="en-US"/>
        </w:rPr>
        <w:t>,</w:t>
      </w:r>
      <w:r w:rsidRPr="006B3303">
        <w:rPr>
          <w:rFonts w:eastAsia="Calibri"/>
          <w:sz w:val="24"/>
          <w:szCs w:val="24"/>
          <w:lang w:eastAsia="en-US"/>
        </w:rPr>
        <w:t xml:space="preserve"> </w:t>
      </w:r>
      <w:r>
        <w:rPr>
          <w:rFonts w:eastAsia="Calibri"/>
          <w:sz w:val="24"/>
          <w:szCs w:val="24"/>
          <w:lang w:eastAsia="en-US"/>
        </w:rPr>
        <w:t xml:space="preserve">tj. </w:t>
      </w:r>
      <w:r w:rsidR="000856B7">
        <w:rPr>
          <w:rFonts w:eastAsia="Calibri"/>
          <w:sz w:val="24"/>
          <w:szCs w:val="24"/>
          <w:lang w:eastAsia="en-US"/>
        </w:rPr>
        <w:t>půdy a práce a </w:t>
      </w:r>
      <w:r w:rsidRPr="006B3303">
        <w:rPr>
          <w:rFonts w:eastAsia="Calibri"/>
          <w:sz w:val="24"/>
          <w:szCs w:val="24"/>
          <w:lang w:eastAsia="en-US"/>
        </w:rPr>
        <w:t>dobou jejich vázanosti ve výrobě</w:t>
      </w:r>
      <w:r>
        <w:rPr>
          <w:rFonts w:eastAsia="Calibri"/>
          <w:sz w:val="24"/>
          <w:szCs w:val="24"/>
          <w:lang w:eastAsia="en-US"/>
        </w:rPr>
        <w:t xml:space="preserve"> (výška)</w:t>
      </w:r>
      <w:r w:rsidRPr="006B3303">
        <w:rPr>
          <w:rFonts w:eastAsia="Calibri"/>
          <w:sz w:val="24"/>
          <w:szCs w:val="24"/>
          <w:lang w:eastAsia="en-US"/>
        </w:rPr>
        <w:t>. Akumulace kapitálu tedy může být logicky realizována dvojím způsobem:  1. rozšiřováním kapitálu – do výroby je zapojováno více primárních výrobních faktorů (dochází k poklesu mez</w:t>
      </w:r>
      <w:r w:rsidR="000856B7">
        <w:rPr>
          <w:rFonts w:eastAsia="Calibri"/>
          <w:sz w:val="24"/>
          <w:szCs w:val="24"/>
          <w:lang w:eastAsia="en-US"/>
        </w:rPr>
        <w:t>ního produktu a míry zisku), 2. </w:t>
      </w:r>
      <w:r w:rsidRPr="006B3303">
        <w:rPr>
          <w:rFonts w:eastAsia="Calibri"/>
          <w:sz w:val="24"/>
          <w:szCs w:val="24"/>
          <w:lang w:eastAsia="en-US"/>
        </w:rPr>
        <w:t>prohlubováním kapitálu – prodlužuje se doba vázanosti primárních statků ve výrobě (roste produktivita a neklesá zisk). Wicksell dokázal</w:t>
      </w:r>
      <w:r>
        <w:rPr>
          <w:rFonts w:eastAsia="Calibri"/>
          <w:sz w:val="24"/>
          <w:szCs w:val="24"/>
          <w:lang w:eastAsia="en-US"/>
        </w:rPr>
        <w:t>,</w:t>
      </w:r>
      <w:r w:rsidRPr="006B3303">
        <w:rPr>
          <w:rFonts w:eastAsia="Calibri"/>
          <w:sz w:val="24"/>
          <w:szCs w:val="24"/>
          <w:lang w:eastAsia="en-US"/>
        </w:rPr>
        <w:t xml:space="preserve"> že akumulace kapitálu v rámci firmy snižuje mezní produkt kapitálu a jeho cenu, v ekonomice však zvyšuje reálné mzdy a snižuje úrokovou míru (Brožová</w:t>
      </w:r>
      <w:r>
        <w:rPr>
          <w:rFonts w:eastAsia="Calibri"/>
          <w:sz w:val="24"/>
          <w:szCs w:val="24"/>
          <w:lang w:eastAsia="en-US"/>
        </w:rPr>
        <w:t>,</w:t>
      </w:r>
      <w:r w:rsidRPr="006B3303">
        <w:rPr>
          <w:rFonts w:eastAsia="Calibri"/>
          <w:sz w:val="24"/>
          <w:szCs w:val="24"/>
          <w:lang w:eastAsia="en-US"/>
        </w:rPr>
        <w:t xml:space="preserve"> 2006; Holman</w:t>
      </w:r>
      <w:r>
        <w:rPr>
          <w:rFonts w:eastAsia="Calibri"/>
          <w:sz w:val="24"/>
          <w:szCs w:val="24"/>
          <w:lang w:eastAsia="en-US"/>
        </w:rPr>
        <w:t>,</w:t>
      </w:r>
      <w:r w:rsidRPr="006B3303">
        <w:rPr>
          <w:rFonts w:eastAsia="Calibri"/>
          <w:sz w:val="24"/>
          <w:szCs w:val="24"/>
          <w:lang w:eastAsia="en-US"/>
        </w:rPr>
        <w:t xml:space="preserve"> 2005)</w:t>
      </w:r>
      <w:r>
        <w:rPr>
          <w:rFonts w:eastAsia="Calibri"/>
          <w:sz w:val="24"/>
          <w:szCs w:val="24"/>
          <w:lang w:eastAsia="en-US"/>
        </w:rPr>
        <w:t>.</w:t>
      </w:r>
    </w:p>
    <w:p w:rsidR="003C633A" w:rsidRPr="006B3303" w:rsidRDefault="003C633A" w:rsidP="00423120">
      <w:pPr>
        <w:ind w:firstLine="720"/>
        <w:jc w:val="both"/>
        <w:rPr>
          <w:rFonts w:eastAsia="Calibri"/>
          <w:sz w:val="24"/>
          <w:szCs w:val="24"/>
          <w:lang w:eastAsia="en-US"/>
        </w:rPr>
      </w:pPr>
      <w:r w:rsidRPr="006B3303">
        <w:rPr>
          <w:rFonts w:eastAsia="Calibri"/>
          <w:sz w:val="24"/>
          <w:szCs w:val="24"/>
          <w:lang w:eastAsia="en-US"/>
        </w:rPr>
        <w:t xml:space="preserve">Jak je z předchozího </w:t>
      </w:r>
      <w:r>
        <w:rPr>
          <w:rFonts w:eastAsia="Calibri"/>
          <w:sz w:val="24"/>
          <w:szCs w:val="24"/>
          <w:lang w:eastAsia="en-US"/>
        </w:rPr>
        <w:t>textu</w:t>
      </w:r>
      <w:r w:rsidRPr="006B3303">
        <w:rPr>
          <w:rFonts w:eastAsia="Calibri"/>
          <w:sz w:val="24"/>
          <w:szCs w:val="24"/>
          <w:lang w:eastAsia="en-US"/>
        </w:rPr>
        <w:t xml:space="preserve"> patrné, otázka akumulace kapitálu má mikroekonomický (pozice jednotlivého firmy)</w:t>
      </w:r>
      <w:r>
        <w:rPr>
          <w:rFonts w:eastAsia="Calibri"/>
          <w:sz w:val="24"/>
          <w:szCs w:val="24"/>
          <w:lang w:eastAsia="en-US"/>
        </w:rPr>
        <w:t xml:space="preserve"> i </w:t>
      </w:r>
      <w:r w:rsidRPr="006B3303">
        <w:rPr>
          <w:rFonts w:eastAsia="Calibri"/>
          <w:sz w:val="24"/>
          <w:szCs w:val="24"/>
          <w:lang w:eastAsia="en-US"/>
        </w:rPr>
        <w:t>makroekonomický (situace v ekonomice) rozměr. Předmětem zájmu tedy není kapitál sám o sobě, ale právě jeho vliv na primární výrobní faktory (zejména práci) a produkci spotřebních statků a s tím spojené dosa</w:t>
      </w:r>
      <w:r>
        <w:rPr>
          <w:rFonts w:eastAsia="Calibri"/>
          <w:sz w:val="24"/>
          <w:szCs w:val="24"/>
          <w:lang w:eastAsia="en-US"/>
        </w:rPr>
        <w:t xml:space="preserve">hování </w:t>
      </w:r>
      <w:r w:rsidRPr="006B3303">
        <w:rPr>
          <w:rFonts w:eastAsia="Calibri"/>
          <w:sz w:val="24"/>
          <w:szCs w:val="24"/>
          <w:lang w:eastAsia="en-US"/>
        </w:rPr>
        <w:t>všeobecné rovnováhy. S tím úzce souvisí problematika modelů hospodářského růstu.</w:t>
      </w:r>
      <w:r>
        <w:rPr>
          <w:rFonts w:eastAsia="Calibri"/>
          <w:sz w:val="24"/>
          <w:szCs w:val="24"/>
          <w:lang w:eastAsia="en-US"/>
        </w:rPr>
        <w:t xml:space="preserve"> </w:t>
      </w:r>
      <w:r w:rsidRPr="006B3303">
        <w:rPr>
          <w:rFonts w:eastAsia="Calibri"/>
          <w:sz w:val="24"/>
          <w:szCs w:val="24"/>
          <w:lang w:eastAsia="en-US"/>
        </w:rPr>
        <w:t xml:space="preserve">Připomeňme, že základní klasický model formuloval Malthus, který považoval za jediný zdroj růstu zvyšování počtu obyvatel, což však současně vedlo při absolutním využívání výrobního faktoru půdy k poklesu mezního produktu práce (zvyšování kapitálu model nepředpokládá). Keynesiánská škola předložila zejména Harrod-Domarův model růstu. </w:t>
      </w:r>
      <w:r>
        <w:rPr>
          <w:rFonts w:eastAsia="Calibri"/>
          <w:sz w:val="24"/>
          <w:szCs w:val="24"/>
          <w:lang w:eastAsia="en-US"/>
        </w:rPr>
        <w:t>Model</w:t>
      </w:r>
      <w:r w:rsidRPr="006B3303">
        <w:rPr>
          <w:rFonts w:eastAsia="Calibri"/>
          <w:sz w:val="24"/>
          <w:szCs w:val="24"/>
          <w:lang w:eastAsia="en-US"/>
        </w:rPr>
        <w:t xml:space="preserve"> vychází</w:t>
      </w:r>
      <w:r>
        <w:rPr>
          <w:rFonts w:eastAsia="Calibri"/>
          <w:sz w:val="24"/>
          <w:szCs w:val="24"/>
          <w:lang w:eastAsia="en-US"/>
        </w:rPr>
        <w:t xml:space="preserve"> z</w:t>
      </w:r>
      <w:r w:rsidRPr="006B3303">
        <w:rPr>
          <w:rFonts w:eastAsia="Calibri"/>
          <w:sz w:val="24"/>
          <w:szCs w:val="24"/>
          <w:lang w:eastAsia="en-US"/>
        </w:rPr>
        <w:t> předpokladu</w:t>
      </w:r>
      <w:r>
        <w:rPr>
          <w:rFonts w:eastAsia="Calibri"/>
          <w:sz w:val="24"/>
          <w:szCs w:val="24"/>
          <w:lang w:eastAsia="en-US"/>
        </w:rPr>
        <w:t xml:space="preserve"> </w:t>
      </w:r>
      <w:r w:rsidRPr="006B3303">
        <w:rPr>
          <w:rFonts w:eastAsia="Calibri"/>
          <w:sz w:val="24"/>
          <w:szCs w:val="24"/>
          <w:lang w:eastAsia="en-US"/>
        </w:rPr>
        <w:t>rovnosti tempa růstu investic a tempa růstu národního důchodu (multiplikátor investic), který platí za podmínek neutrálního technického pokroku (Holman</w:t>
      </w:r>
      <w:r>
        <w:rPr>
          <w:rFonts w:eastAsia="Calibri"/>
          <w:sz w:val="24"/>
          <w:szCs w:val="24"/>
          <w:lang w:eastAsia="en-US"/>
        </w:rPr>
        <w:t>,</w:t>
      </w:r>
      <w:r w:rsidRPr="006B3303">
        <w:rPr>
          <w:rFonts w:eastAsia="Calibri"/>
          <w:sz w:val="24"/>
          <w:szCs w:val="24"/>
          <w:lang w:eastAsia="en-US"/>
        </w:rPr>
        <w:t xml:space="preserve"> 2005)</w:t>
      </w:r>
      <w:r>
        <w:rPr>
          <w:rFonts w:eastAsia="Calibri"/>
          <w:sz w:val="24"/>
          <w:szCs w:val="24"/>
          <w:lang w:eastAsia="en-US"/>
        </w:rPr>
        <w:t xml:space="preserve">. </w:t>
      </w:r>
      <w:r w:rsidRPr="006B3303">
        <w:rPr>
          <w:rFonts w:eastAsia="Calibri"/>
          <w:sz w:val="24"/>
          <w:szCs w:val="24"/>
          <w:lang w:eastAsia="en-US"/>
        </w:rPr>
        <w:t xml:space="preserve">Za významný posun v ekonomickém myšlení je </w:t>
      </w:r>
      <w:r>
        <w:rPr>
          <w:rFonts w:eastAsia="Calibri"/>
          <w:sz w:val="24"/>
          <w:szCs w:val="24"/>
          <w:lang w:eastAsia="en-US"/>
        </w:rPr>
        <w:t xml:space="preserve">pak </w:t>
      </w:r>
      <w:r w:rsidRPr="006B3303">
        <w:rPr>
          <w:rFonts w:eastAsia="Calibri"/>
          <w:sz w:val="24"/>
          <w:szCs w:val="24"/>
          <w:lang w:eastAsia="en-US"/>
        </w:rPr>
        <w:t xml:space="preserve">považován neoklasický model růstu </w:t>
      </w:r>
      <w:r>
        <w:rPr>
          <w:rFonts w:eastAsia="Calibri"/>
          <w:sz w:val="24"/>
          <w:szCs w:val="24"/>
          <w:lang w:eastAsia="en-US"/>
        </w:rPr>
        <w:t xml:space="preserve">od </w:t>
      </w:r>
      <w:r w:rsidRPr="006B3303">
        <w:rPr>
          <w:rFonts w:eastAsia="Calibri"/>
          <w:sz w:val="24"/>
          <w:szCs w:val="24"/>
          <w:lang w:eastAsia="en-US"/>
        </w:rPr>
        <w:t>R</w:t>
      </w:r>
      <w:r>
        <w:rPr>
          <w:rFonts w:eastAsia="Calibri"/>
          <w:sz w:val="24"/>
          <w:szCs w:val="24"/>
          <w:lang w:eastAsia="en-US"/>
        </w:rPr>
        <w:t xml:space="preserve">. </w:t>
      </w:r>
      <w:r w:rsidRPr="006B3303">
        <w:rPr>
          <w:rFonts w:eastAsia="Calibri"/>
          <w:sz w:val="24"/>
          <w:szCs w:val="24"/>
          <w:lang w:eastAsia="en-US"/>
        </w:rPr>
        <w:t>Solowa</w:t>
      </w:r>
      <w:r>
        <w:rPr>
          <w:rFonts w:eastAsia="Calibri"/>
          <w:sz w:val="24"/>
          <w:szCs w:val="24"/>
          <w:lang w:eastAsia="en-US"/>
        </w:rPr>
        <w:t xml:space="preserve"> v</w:t>
      </w:r>
      <w:r w:rsidRPr="006B3303">
        <w:rPr>
          <w:rFonts w:eastAsia="Calibri"/>
          <w:sz w:val="24"/>
          <w:szCs w:val="24"/>
          <w:lang w:eastAsia="en-US"/>
        </w:rPr>
        <w:t>ycház</w:t>
      </w:r>
      <w:r>
        <w:rPr>
          <w:rFonts w:eastAsia="Calibri"/>
          <w:sz w:val="24"/>
          <w:szCs w:val="24"/>
          <w:lang w:eastAsia="en-US"/>
        </w:rPr>
        <w:t xml:space="preserve">ející </w:t>
      </w:r>
      <w:r w:rsidRPr="006B3303">
        <w:rPr>
          <w:rFonts w:eastAsia="Calibri"/>
          <w:sz w:val="24"/>
          <w:szCs w:val="24"/>
          <w:lang w:eastAsia="en-US"/>
        </w:rPr>
        <w:t>z Cobb-Douglasovy produkční funkce, která popisuje vztah mezi r</w:t>
      </w:r>
      <w:r w:rsidR="000856B7">
        <w:rPr>
          <w:rFonts w:eastAsia="Calibri"/>
          <w:sz w:val="24"/>
          <w:szCs w:val="24"/>
          <w:lang w:eastAsia="en-US"/>
        </w:rPr>
        <w:t>ůstem produktu a růstem práce a </w:t>
      </w:r>
      <w:r w:rsidRPr="006B3303">
        <w:rPr>
          <w:rFonts w:eastAsia="Calibri"/>
          <w:sz w:val="24"/>
          <w:szCs w:val="24"/>
          <w:lang w:eastAsia="en-US"/>
        </w:rPr>
        <w:t>kapitálu. Současně funkci doplnil o další růstový faktor</w:t>
      </w:r>
      <w:r>
        <w:rPr>
          <w:rFonts w:eastAsia="Calibri"/>
          <w:sz w:val="24"/>
          <w:szCs w:val="24"/>
          <w:lang w:eastAsia="en-US"/>
        </w:rPr>
        <w:t>, a to</w:t>
      </w:r>
      <w:r w:rsidRPr="006B3303">
        <w:rPr>
          <w:rFonts w:eastAsia="Calibri"/>
          <w:sz w:val="24"/>
          <w:szCs w:val="24"/>
          <w:lang w:eastAsia="en-US"/>
        </w:rPr>
        <w:t xml:space="preserve"> technologický pokrok. </w:t>
      </w:r>
      <w:r>
        <w:rPr>
          <w:rFonts w:eastAsia="Calibri"/>
          <w:sz w:val="24"/>
          <w:szCs w:val="24"/>
          <w:lang w:eastAsia="en-US"/>
        </w:rPr>
        <w:t>M</w:t>
      </w:r>
      <w:r w:rsidRPr="006B3303">
        <w:rPr>
          <w:rFonts w:eastAsia="Calibri"/>
          <w:sz w:val="24"/>
          <w:szCs w:val="24"/>
          <w:lang w:eastAsia="en-US"/>
        </w:rPr>
        <w:t>odel umož</w:t>
      </w:r>
      <w:r>
        <w:rPr>
          <w:rFonts w:eastAsia="Calibri"/>
          <w:sz w:val="24"/>
          <w:szCs w:val="24"/>
          <w:lang w:eastAsia="en-US"/>
        </w:rPr>
        <w:t>ňuje</w:t>
      </w:r>
      <w:r w:rsidRPr="006B3303">
        <w:rPr>
          <w:rFonts w:eastAsia="Calibri"/>
          <w:sz w:val="24"/>
          <w:szCs w:val="24"/>
          <w:lang w:eastAsia="en-US"/>
        </w:rPr>
        <w:t xml:space="preserve"> substituce mezi prací a kapitálem a současně přispěl ke zjištění, že </w:t>
      </w:r>
      <w:r w:rsidRPr="00771F7E">
        <w:rPr>
          <w:rFonts w:eastAsia="Calibri"/>
          <w:sz w:val="24"/>
          <w:szCs w:val="24"/>
          <w:lang w:eastAsia="en-US"/>
        </w:rPr>
        <w:t xml:space="preserve">trvalé tempo růstu výroby na jednotku pracovního vstupu závisí na tempu technického pokroku a nikoliv na míře úspor (Volejníková 2005). Původní exogenní neoklasické modely byly </w:t>
      </w:r>
      <w:r>
        <w:rPr>
          <w:rFonts w:eastAsia="Calibri"/>
          <w:sz w:val="24"/>
          <w:szCs w:val="24"/>
          <w:lang w:eastAsia="en-US"/>
        </w:rPr>
        <w:t>koncem</w:t>
      </w:r>
      <w:r w:rsidRPr="00771F7E">
        <w:rPr>
          <w:rFonts w:eastAsia="Calibri"/>
          <w:sz w:val="24"/>
          <w:szCs w:val="24"/>
          <w:lang w:eastAsia="en-US"/>
        </w:rPr>
        <w:t xml:space="preserve"> 20. století doplněny modely endogenního růstu, které vysvětlují přetrvávající rozdíly v ekonomické vyspělosti regionů endogenním charakterem technologického pokroku </w:t>
      </w:r>
      <w:r w:rsidR="000856B7">
        <w:rPr>
          <w:rFonts w:eastAsia="Calibri"/>
          <w:sz w:val="24"/>
          <w:szCs w:val="24"/>
          <w:lang w:eastAsia="en-US"/>
        </w:rPr>
        <w:t>(na </w:t>
      </w:r>
      <w:r>
        <w:rPr>
          <w:rFonts w:eastAsia="Calibri"/>
          <w:sz w:val="24"/>
          <w:szCs w:val="24"/>
          <w:lang w:eastAsia="en-US"/>
        </w:rPr>
        <w:t>zásadní roli inovací v ekonomickém rozvoji jako první upozornil J. Schumpeter).</w:t>
      </w:r>
    </w:p>
    <w:p w:rsidR="003C633A" w:rsidRPr="006B3303" w:rsidRDefault="003C633A" w:rsidP="0029461E">
      <w:pPr>
        <w:spacing w:after="120"/>
        <w:ind w:firstLine="720"/>
        <w:jc w:val="both"/>
        <w:rPr>
          <w:rFonts w:eastAsia="Calibri"/>
          <w:sz w:val="24"/>
          <w:szCs w:val="24"/>
          <w:lang w:eastAsia="en-US"/>
        </w:rPr>
      </w:pPr>
      <w:r>
        <w:rPr>
          <w:rFonts w:eastAsia="Calibri"/>
          <w:sz w:val="24"/>
          <w:szCs w:val="24"/>
          <w:lang w:eastAsia="en-US"/>
        </w:rPr>
        <w:t>Z prostorového pohledu je e</w:t>
      </w:r>
      <w:r w:rsidRPr="006B3303">
        <w:rPr>
          <w:rFonts w:eastAsia="Calibri"/>
          <w:sz w:val="24"/>
          <w:szCs w:val="24"/>
          <w:lang w:eastAsia="en-US"/>
        </w:rPr>
        <w:t>konomický růst čast</w:t>
      </w:r>
      <w:r>
        <w:rPr>
          <w:rFonts w:eastAsia="Calibri"/>
          <w:sz w:val="24"/>
          <w:szCs w:val="24"/>
          <w:lang w:eastAsia="en-US"/>
        </w:rPr>
        <w:t>o</w:t>
      </w:r>
      <w:r w:rsidRPr="006B3303">
        <w:rPr>
          <w:rFonts w:eastAsia="Calibri"/>
          <w:sz w:val="24"/>
          <w:szCs w:val="24"/>
          <w:lang w:eastAsia="en-US"/>
        </w:rPr>
        <w:t xml:space="preserve"> spoj</w:t>
      </w:r>
      <w:r>
        <w:rPr>
          <w:rFonts w:eastAsia="Calibri"/>
          <w:sz w:val="24"/>
          <w:szCs w:val="24"/>
          <w:lang w:eastAsia="en-US"/>
        </w:rPr>
        <w:t>ován</w:t>
      </w:r>
      <w:r w:rsidRPr="006B3303">
        <w:rPr>
          <w:rFonts w:eastAsia="Calibri"/>
          <w:sz w:val="24"/>
          <w:szCs w:val="24"/>
          <w:lang w:eastAsia="en-US"/>
        </w:rPr>
        <w:t xml:space="preserve"> s problematikou sbližování ekonomické úrovně jednotlivých ekonomik. Tento </w:t>
      </w:r>
      <w:r>
        <w:rPr>
          <w:rFonts w:eastAsia="Calibri"/>
          <w:sz w:val="24"/>
          <w:szCs w:val="24"/>
          <w:lang w:eastAsia="en-US"/>
        </w:rPr>
        <w:t xml:space="preserve">proces </w:t>
      </w:r>
      <w:r w:rsidRPr="006B3303">
        <w:rPr>
          <w:rFonts w:eastAsia="Calibri"/>
          <w:sz w:val="24"/>
          <w:szCs w:val="24"/>
          <w:lang w:eastAsia="en-US"/>
        </w:rPr>
        <w:t xml:space="preserve">se týká jak úrovně národních ekonomik, tak </w:t>
      </w:r>
      <w:r>
        <w:rPr>
          <w:rFonts w:eastAsia="Calibri"/>
          <w:sz w:val="24"/>
          <w:szCs w:val="24"/>
          <w:lang w:eastAsia="en-US"/>
        </w:rPr>
        <w:t>i</w:t>
      </w:r>
      <w:r w:rsidRPr="006B3303">
        <w:rPr>
          <w:rFonts w:eastAsia="Calibri"/>
          <w:sz w:val="24"/>
          <w:szCs w:val="24"/>
          <w:lang w:eastAsia="en-US"/>
        </w:rPr>
        <w:t xml:space="preserve"> úrovně regionální. V této souvislosti se používá termín konvergence, která je založena na přibližování ekonomické úrovně méně vyspělé ekonomiky k ekonomice vyspělejší. Pro měření ekonomické úrovně se standardně používá HDP v PPS přepočten</w:t>
      </w:r>
      <w:r>
        <w:rPr>
          <w:rFonts w:eastAsia="Calibri"/>
          <w:sz w:val="24"/>
          <w:szCs w:val="24"/>
          <w:lang w:eastAsia="en-US"/>
        </w:rPr>
        <w:t>ý</w:t>
      </w:r>
      <w:r w:rsidRPr="006B3303">
        <w:rPr>
          <w:rFonts w:eastAsia="Calibri"/>
          <w:sz w:val="24"/>
          <w:szCs w:val="24"/>
          <w:lang w:eastAsia="en-US"/>
        </w:rPr>
        <w:t xml:space="preserve"> na obyvatele. </w:t>
      </w:r>
      <w:r>
        <w:rPr>
          <w:rFonts w:eastAsia="Calibri"/>
          <w:sz w:val="24"/>
          <w:szCs w:val="24"/>
          <w:lang w:eastAsia="en-US"/>
        </w:rPr>
        <w:t xml:space="preserve">Obecně je </w:t>
      </w:r>
      <w:r w:rsidRPr="006B3303">
        <w:rPr>
          <w:rFonts w:eastAsia="Calibri"/>
          <w:sz w:val="24"/>
          <w:szCs w:val="24"/>
          <w:lang w:eastAsia="en-US"/>
        </w:rPr>
        <w:t>rozliš</w:t>
      </w:r>
      <w:r>
        <w:rPr>
          <w:rFonts w:eastAsia="Calibri"/>
          <w:sz w:val="24"/>
          <w:szCs w:val="24"/>
          <w:lang w:eastAsia="en-US"/>
        </w:rPr>
        <w:t>ována</w:t>
      </w:r>
      <w:r w:rsidRPr="006B3303">
        <w:rPr>
          <w:rFonts w:eastAsia="Calibri"/>
          <w:sz w:val="24"/>
          <w:szCs w:val="24"/>
          <w:lang w:eastAsia="en-US"/>
        </w:rPr>
        <w:t xml:space="preserve"> nepodmíněn</w:t>
      </w:r>
      <w:r>
        <w:rPr>
          <w:rFonts w:eastAsia="Calibri"/>
          <w:sz w:val="24"/>
          <w:szCs w:val="24"/>
          <w:lang w:eastAsia="en-US"/>
        </w:rPr>
        <w:t>á</w:t>
      </w:r>
      <w:r w:rsidRPr="006B3303">
        <w:rPr>
          <w:rFonts w:eastAsia="Calibri"/>
          <w:sz w:val="24"/>
          <w:szCs w:val="24"/>
          <w:lang w:eastAsia="en-US"/>
        </w:rPr>
        <w:t xml:space="preserve"> a podmíněn</w:t>
      </w:r>
      <w:r>
        <w:rPr>
          <w:rFonts w:eastAsia="Calibri"/>
          <w:sz w:val="24"/>
          <w:szCs w:val="24"/>
          <w:lang w:eastAsia="en-US"/>
        </w:rPr>
        <w:t>á</w:t>
      </w:r>
      <w:r w:rsidRPr="006B3303">
        <w:rPr>
          <w:rFonts w:eastAsia="Calibri"/>
          <w:sz w:val="24"/>
          <w:szCs w:val="24"/>
          <w:lang w:eastAsia="en-US"/>
        </w:rPr>
        <w:t xml:space="preserve"> konvergenc</w:t>
      </w:r>
      <w:r>
        <w:rPr>
          <w:rFonts w:eastAsia="Calibri"/>
          <w:sz w:val="24"/>
          <w:szCs w:val="24"/>
          <w:lang w:eastAsia="en-US"/>
        </w:rPr>
        <w:t>e (</w:t>
      </w:r>
      <w:r w:rsidRPr="006B3303">
        <w:rPr>
          <w:rFonts w:eastAsia="Calibri"/>
          <w:sz w:val="24"/>
          <w:szCs w:val="24"/>
          <w:lang w:eastAsia="en-US"/>
        </w:rPr>
        <w:t>Nevim</w:t>
      </w:r>
      <w:r>
        <w:rPr>
          <w:rFonts w:eastAsia="Calibri"/>
          <w:sz w:val="24"/>
          <w:szCs w:val="24"/>
          <w:lang w:eastAsia="en-US"/>
        </w:rPr>
        <w:t>a, M</w:t>
      </w:r>
      <w:r w:rsidRPr="006B3303">
        <w:rPr>
          <w:rFonts w:eastAsia="Calibri"/>
          <w:sz w:val="24"/>
          <w:szCs w:val="24"/>
          <w:lang w:eastAsia="en-US"/>
        </w:rPr>
        <w:t>elecký</w:t>
      </w:r>
      <w:r>
        <w:rPr>
          <w:rFonts w:eastAsia="Calibri"/>
          <w:sz w:val="24"/>
          <w:szCs w:val="24"/>
          <w:lang w:eastAsia="en-US"/>
        </w:rPr>
        <w:t xml:space="preserve">, </w:t>
      </w:r>
      <w:r w:rsidRPr="006B3303">
        <w:rPr>
          <w:rFonts w:eastAsia="Calibri"/>
          <w:sz w:val="24"/>
          <w:szCs w:val="24"/>
          <w:lang w:eastAsia="en-US"/>
        </w:rPr>
        <w:t>2011)</w:t>
      </w:r>
      <w:r>
        <w:rPr>
          <w:rFonts w:eastAsia="Calibri"/>
          <w:sz w:val="24"/>
          <w:szCs w:val="24"/>
          <w:lang w:eastAsia="en-US"/>
        </w:rPr>
        <w:t>.</w:t>
      </w:r>
      <w:r w:rsidRPr="006B3303">
        <w:rPr>
          <w:rFonts w:eastAsia="Calibri"/>
          <w:sz w:val="24"/>
          <w:szCs w:val="24"/>
          <w:lang w:eastAsia="en-US"/>
        </w:rPr>
        <w:t xml:space="preserve"> Nepodmíněná konvergence založená na neoklasické teorii růstu znamená, že méně vyspělé ekonomiky rostou rychleji než ekonomiky vyspělejší, aniž by to bylo podmíněno jinými charakteristikami těchto ekonomik (</w:t>
      </w:r>
      <w:r>
        <w:rPr>
          <w:rFonts w:eastAsia="Calibri"/>
          <w:sz w:val="24"/>
          <w:szCs w:val="24"/>
          <w:lang w:eastAsia="en-US"/>
        </w:rPr>
        <w:t xml:space="preserve">oba typy ekonomik směřují </w:t>
      </w:r>
      <w:r w:rsidRPr="006B3303">
        <w:rPr>
          <w:rFonts w:eastAsia="Calibri"/>
          <w:sz w:val="24"/>
          <w:szCs w:val="24"/>
          <w:lang w:eastAsia="en-US"/>
        </w:rPr>
        <w:t xml:space="preserve">v čase ke stejnému stálému stavu). Podmíněná konvergence opouští </w:t>
      </w:r>
      <w:r>
        <w:rPr>
          <w:rFonts w:eastAsia="Calibri"/>
          <w:sz w:val="24"/>
          <w:szCs w:val="24"/>
          <w:lang w:eastAsia="en-US"/>
        </w:rPr>
        <w:t xml:space="preserve">nerealistický </w:t>
      </w:r>
      <w:r w:rsidRPr="006B3303">
        <w:rPr>
          <w:rFonts w:eastAsia="Calibri"/>
          <w:sz w:val="24"/>
          <w:szCs w:val="24"/>
          <w:lang w:eastAsia="en-US"/>
        </w:rPr>
        <w:t>předpoklad shodných stálých stavů pro různé ekonomiky. Růst je podmíněn řadou dalších proměnných (míra úspor, parametry účinnosti faktoru produkční funkce, vládní politiky atd.).</w:t>
      </w:r>
      <w:r>
        <w:rPr>
          <w:rFonts w:eastAsia="Calibri"/>
          <w:sz w:val="24"/>
          <w:szCs w:val="24"/>
          <w:lang w:eastAsia="en-US"/>
        </w:rPr>
        <w:t xml:space="preserve"> </w:t>
      </w:r>
      <w:r w:rsidRPr="006B3303">
        <w:rPr>
          <w:rFonts w:eastAsia="Calibri"/>
          <w:sz w:val="24"/>
          <w:szCs w:val="24"/>
          <w:lang w:eastAsia="en-US"/>
        </w:rPr>
        <w:t>V empirických studiích se pracuje s rozmanitými modely podmíněné a nepodmíněné konvergence. Autory těchto modelů jsou Barro a Salla-i-Martin (2004)</w:t>
      </w:r>
      <w:r>
        <w:rPr>
          <w:rFonts w:eastAsia="Calibri"/>
          <w:sz w:val="24"/>
          <w:szCs w:val="24"/>
          <w:lang w:eastAsia="en-US"/>
        </w:rPr>
        <w:t xml:space="preserve"> a</w:t>
      </w:r>
      <w:r w:rsidRPr="006B3303">
        <w:rPr>
          <w:rFonts w:eastAsia="Calibri"/>
          <w:sz w:val="24"/>
          <w:szCs w:val="24"/>
          <w:lang w:eastAsia="en-US"/>
        </w:rPr>
        <w:t xml:space="preserve"> jejich aplikac</w:t>
      </w:r>
      <w:r>
        <w:rPr>
          <w:rFonts w:eastAsia="Calibri"/>
          <w:sz w:val="24"/>
          <w:szCs w:val="24"/>
          <w:lang w:eastAsia="en-US"/>
        </w:rPr>
        <w:t xml:space="preserve">i najdeme i </w:t>
      </w:r>
      <w:r w:rsidRPr="006B3303">
        <w:rPr>
          <w:rFonts w:eastAsia="Calibri"/>
          <w:sz w:val="24"/>
          <w:szCs w:val="24"/>
          <w:lang w:eastAsia="en-US"/>
        </w:rPr>
        <w:t>v</w:t>
      </w:r>
      <w:r>
        <w:rPr>
          <w:rFonts w:eastAsia="Calibri"/>
          <w:sz w:val="24"/>
          <w:szCs w:val="24"/>
          <w:lang w:eastAsia="en-US"/>
        </w:rPr>
        <w:t xml:space="preserve"> celé </w:t>
      </w:r>
      <w:r w:rsidRPr="006B3303">
        <w:rPr>
          <w:rFonts w:eastAsia="Calibri"/>
          <w:sz w:val="24"/>
          <w:szCs w:val="24"/>
          <w:lang w:eastAsia="en-US"/>
        </w:rPr>
        <w:t xml:space="preserve">řadě </w:t>
      </w:r>
      <w:r>
        <w:rPr>
          <w:rFonts w:eastAsia="Calibri"/>
          <w:sz w:val="24"/>
          <w:szCs w:val="24"/>
          <w:lang w:eastAsia="en-US"/>
        </w:rPr>
        <w:t xml:space="preserve">českých </w:t>
      </w:r>
      <w:r>
        <w:rPr>
          <w:rFonts w:eastAsia="Calibri"/>
          <w:sz w:val="24"/>
          <w:szCs w:val="24"/>
          <w:lang w:eastAsia="en-US"/>
        </w:rPr>
        <w:lastRenderedPageBreak/>
        <w:t>a</w:t>
      </w:r>
      <w:r w:rsidR="000856B7">
        <w:rPr>
          <w:rFonts w:eastAsia="Calibri"/>
          <w:sz w:val="24"/>
          <w:szCs w:val="24"/>
          <w:lang w:eastAsia="en-US"/>
        </w:rPr>
        <w:t> </w:t>
      </w:r>
      <w:r>
        <w:rPr>
          <w:rFonts w:eastAsia="Calibri"/>
          <w:sz w:val="24"/>
          <w:szCs w:val="24"/>
          <w:lang w:eastAsia="en-US"/>
        </w:rPr>
        <w:t>slovenských</w:t>
      </w:r>
      <w:r w:rsidRPr="006B3303">
        <w:rPr>
          <w:rFonts w:eastAsia="Calibri"/>
          <w:sz w:val="24"/>
          <w:szCs w:val="24"/>
          <w:lang w:eastAsia="en-US"/>
        </w:rPr>
        <w:t xml:space="preserve"> prací: Výrostová (2010), </w:t>
      </w:r>
      <w:r w:rsidR="00BE7408">
        <w:rPr>
          <w:rFonts w:eastAsia="Calibri"/>
          <w:sz w:val="24"/>
          <w:szCs w:val="24"/>
          <w:lang w:eastAsia="en-US"/>
        </w:rPr>
        <w:t xml:space="preserve">Kováč </w:t>
      </w:r>
      <w:r w:rsidRPr="006B3303">
        <w:rPr>
          <w:rFonts w:eastAsia="Calibri"/>
          <w:sz w:val="24"/>
          <w:szCs w:val="24"/>
          <w:lang w:eastAsia="en-US"/>
        </w:rPr>
        <w:t xml:space="preserve">Gerulová </w:t>
      </w:r>
      <w:r>
        <w:rPr>
          <w:rFonts w:eastAsia="Calibri"/>
          <w:sz w:val="24"/>
          <w:szCs w:val="24"/>
          <w:lang w:eastAsia="en-US"/>
        </w:rPr>
        <w:t xml:space="preserve">a kol. </w:t>
      </w:r>
      <w:r w:rsidRPr="006B3303">
        <w:rPr>
          <w:rFonts w:eastAsia="Calibri"/>
          <w:sz w:val="24"/>
          <w:szCs w:val="24"/>
          <w:lang w:eastAsia="en-US"/>
        </w:rPr>
        <w:t xml:space="preserve">(2010), Slavík (2007) či Nevima a Melecký (2011). </w:t>
      </w:r>
      <w:r>
        <w:rPr>
          <w:rFonts w:eastAsia="Calibri"/>
          <w:sz w:val="24"/>
          <w:szCs w:val="24"/>
          <w:lang w:eastAsia="en-US"/>
        </w:rPr>
        <w:t>Obecně l</w:t>
      </w:r>
      <w:r w:rsidRPr="006B3303">
        <w:rPr>
          <w:rFonts w:eastAsia="Calibri"/>
          <w:sz w:val="24"/>
          <w:szCs w:val="24"/>
          <w:lang w:eastAsia="en-US"/>
        </w:rPr>
        <w:t xml:space="preserve">ze tedy vymezit </w:t>
      </w:r>
      <w:r>
        <w:rPr>
          <w:rFonts w:eastAsia="Calibri"/>
          <w:sz w:val="24"/>
          <w:szCs w:val="24"/>
          <w:lang w:eastAsia="en-US"/>
        </w:rPr>
        <w:t xml:space="preserve">následující </w:t>
      </w:r>
      <w:r w:rsidRPr="006B3303">
        <w:rPr>
          <w:rFonts w:eastAsia="Calibri"/>
          <w:sz w:val="24"/>
          <w:szCs w:val="24"/>
          <w:lang w:eastAsia="en-US"/>
        </w:rPr>
        <w:t>typy konvergenc</w:t>
      </w:r>
      <w:r>
        <w:rPr>
          <w:rFonts w:eastAsia="Calibri"/>
          <w:sz w:val="24"/>
          <w:szCs w:val="24"/>
          <w:lang w:eastAsia="en-US"/>
        </w:rPr>
        <w:t>e</w:t>
      </w:r>
      <w:r w:rsidRPr="006B3303">
        <w:rPr>
          <w:rFonts w:eastAsia="Calibri"/>
          <w:sz w:val="24"/>
          <w:szCs w:val="24"/>
          <w:lang w:eastAsia="en-US"/>
        </w:rPr>
        <w:t>:</w:t>
      </w:r>
    </w:p>
    <w:p w:rsidR="003C633A" w:rsidRPr="006B3303" w:rsidRDefault="003C633A" w:rsidP="00423120">
      <w:pPr>
        <w:numPr>
          <w:ilvl w:val="0"/>
          <w:numId w:val="19"/>
        </w:numPr>
        <w:ind w:left="284" w:hanging="284"/>
        <w:contextualSpacing/>
        <w:jc w:val="both"/>
        <w:rPr>
          <w:rFonts w:eastAsia="Calibri"/>
          <w:sz w:val="24"/>
          <w:szCs w:val="24"/>
          <w:lang w:eastAsia="en-US"/>
        </w:rPr>
      </w:pPr>
      <w:r w:rsidRPr="006B3303">
        <w:rPr>
          <w:rFonts w:eastAsia="Calibri"/>
          <w:sz w:val="24"/>
          <w:szCs w:val="24"/>
          <w:lang w:eastAsia="en-US"/>
        </w:rPr>
        <w:t>β-konvergence (nepodmíněná) – chudší ekonomiky s nižším reálným HDP na obyvatele rostou rychleji než bohatší ekonomiky</w:t>
      </w:r>
      <w:r>
        <w:rPr>
          <w:rFonts w:eastAsia="Calibri"/>
          <w:sz w:val="24"/>
          <w:szCs w:val="24"/>
          <w:lang w:eastAsia="en-US"/>
        </w:rPr>
        <w:t xml:space="preserve"> </w:t>
      </w:r>
      <w:r w:rsidRPr="006B3303">
        <w:rPr>
          <w:rFonts w:eastAsia="Calibri"/>
          <w:sz w:val="24"/>
          <w:szCs w:val="24"/>
          <w:lang w:eastAsia="en-US"/>
        </w:rPr>
        <w:t>a to tím více, čím větší je počáteční rozdíl v ekonomické úrovni obou ekonomik</w:t>
      </w:r>
    </w:p>
    <w:p w:rsidR="003C633A" w:rsidRPr="006B3303" w:rsidRDefault="003C633A" w:rsidP="00423120">
      <w:pPr>
        <w:numPr>
          <w:ilvl w:val="0"/>
          <w:numId w:val="19"/>
        </w:numPr>
        <w:ind w:left="284" w:hanging="284"/>
        <w:contextualSpacing/>
        <w:jc w:val="both"/>
        <w:rPr>
          <w:rFonts w:eastAsia="Calibri"/>
          <w:sz w:val="24"/>
          <w:szCs w:val="24"/>
          <w:lang w:eastAsia="en-US"/>
        </w:rPr>
      </w:pPr>
      <w:r w:rsidRPr="006B3303">
        <w:rPr>
          <w:rFonts w:eastAsia="Calibri"/>
          <w:sz w:val="24"/>
          <w:szCs w:val="24"/>
          <w:lang w:eastAsia="en-US"/>
        </w:rPr>
        <w:t>podmíněná β-konvergence – protože existují proměnné, které způsobují rozdílné stálé stavy ekonomik</w:t>
      </w:r>
      <w:r>
        <w:rPr>
          <w:rFonts w:eastAsia="Calibri"/>
          <w:sz w:val="24"/>
          <w:szCs w:val="24"/>
          <w:lang w:eastAsia="en-US"/>
        </w:rPr>
        <w:t xml:space="preserve">, mohou země s vyšší úrovní </w:t>
      </w:r>
      <w:r w:rsidRPr="006B3303">
        <w:rPr>
          <w:rFonts w:eastAsia="Calibri"/>
          <w:sz w:val="24"/>
          <w:szCs w:val="24"/>
          <w:lang w:eastAsia="en-US"/>
        </w:rPr>
        <w:t>HDP na obyvatele</w:t>
      </w:r>
      <w:r>
        <w:rPr>
          <w:rFonts w:eastAsia="Calibri"/>
          <w:sz w:val="24"/>
          <w:szCs w:val="24"/>
          <w:lang w:eastAsia="en-US"/>
        </w:rPr>
        <w:t xml:space="preserve"> růst rychleji než země s nižší relativní úrovní HDP</w:t>
      </w:r>
    </w:p>
    <w:p w:rsidR="003C633A" w:rsidRPr="006B3303" w:rsidRDefault="003C633A" w:rsidP="002C2B95">
      <w:pPr>
        <w:numPr>
          <w:ilvl w:val="0"/>
          <w:numId w:val="19"/>
        </w:numPr>
        <w:spacing w:after="0"/>
        <w:ind w:left="284" w:hanging="284"/>
        <w:contextualSpacing/>
        <w:jc w:val="both"/>
        <w:rPr>
          <w:rFonts w:eastAsia="Calibri"/>
          <w:sz w:val="24"/>
          <w:szCs w:val="24"/>
          <w:lang w:eastAsia="en-US"/>
        </w:rPr>
      </w:pPr>
      <w:r w:rsidRPr="006B3303">
        <w:rPr>
          <w:rFonts w:eastAsia="Calibri"/>
          <w:sz w:val="24"/>
          <w:szCs w:val="24"/>
          <w:lang w:eastAsia="en-US"/>
        </w:rPr>
        <w:t xml:space="preserve">σ-konvergence – skupina ekonomik konverguje </w:t>
      </w:r>
      <w:r>
        <w:rPr>
          <w:rFonts w:eastAsia="Calibri"/>
          <w:sz w:val="24"/>
          <w:szCs w:val="24"/>
          <w:lang w:eastAsia="en-US"/>
        </w:rPr>
        <w:t>za předpokladu</w:t>
      </w:r>
      <w:r w:rsidRPr="006B3303">
        <w:rPr>
          <w:rFonts w:eastAsia="Calibri"/>
          <w:sz w:val="24"/>
          <w:szCs w:val="24"/>
          <w:lang w:eastAsia="en-US"/>
        </w:rPr>
        <w:t xml:space="preserve">, </w:t>
      </w:r>
      <w:r>
        <w:rPr>
          <w:rFonts w:eastAsia="Calibri"/>
          <w:sz w:val="24"/>
          <w:szCs w:val="24"/>
          <w:lang w:eastAsia="en-US"/>
        </w:rPr>
        <w:t xml:space="preserve">že </w:t>
      </w:r>
      <w:r w:rsidRPr="006B3303">
        <w:rPr>
          <w:rFonts w:eastAsia="Calibri"/>
          <w:sz w:val="24"/>
          <w:szCs w:val="24"/>
          <w:lang w:eastAsia="en-US"/>
        </w:rPr>
        <w:t>standardní odchylka jejich reálného HDP na obyvatele se v čase snižuje.</w:t>
      </w:r>
    </w:p>
    <w:p w:rsidR="003C633A" w:rsidRPr="002C2B95" w:rsidRDefault="003C633A" w:rsidP="002C2B95">
      <w:pPr>
        <w:spacing w:before="100"/>
        <w:jc w:val="both"/>
        <w:rPr>
          <w:rFonts w:eastAsia="Calibri"/>
          <w:sz w:val="24"/>
          <w:szCs w:val="24"/>
          <w:lang w:eastAsia="en-US"/>
        </w:rPr>
      </w:pPr>
      <w:r w:rsidRPr="002C2B95">
        <w:rPr>
          <w:rFonts w:eastAsia="Calibri"/>
          <w:sz w:val="24"/>
          <w:szCs w:val="24"/>
          <w:lang w:eastAsia="en-US"/>
        </w:rPr>
        <w:t>Výrostová (2010) či Slavík (2007) současně doplňují, že β-</w:t>
      </w:r>
      <w:r w:rsidR="000856B7">
        <w:rPr>
          <w:rFonts w:eastAsia="Calibri"/>
          <w:sz w:val="24"/>
          <w:szCs w:val="24"/>
          <w:lang w:eastAsia="en-US"/>
        </w:rPr>
        <w:t>konvergence je předpokladem pro </w:t>
      </w:r>
      <w:r w:rsidRPr="002C2B95">
        <w:rPr>
          <w:rFonts w:eastAsia="Calibri"/>
          <w:sz w:val="24"/>
          <w:szCs w:val="24"/>
          <w:lang w:eastAsia="en-US"/>
        </w:rPr>
        <w:t xml:space="preserve">σ-konvergence, současně však může nastat situace, že i přes existenci β-konvergence nedojde ke σ-konvergenci. </w:t>
      </w:r>
    </w:p>
    <w:p w:rsidR="003C633A" w:rsidRPr="006B3303" w:rsidRDefault="003C633A" w:rsidP="00423120">
      <w:pPr>
        <w:ind w:firstLine="720"/>
        <w:jc w:val="both"/>
        <w:rPr>
          <w:rFonts w:eastAsia="Calibri"/>
          <w:sz w:val="24"/>
          <w:szCs w:val="24"/>
          <w:lang w:eastAsia="en-US"/>
        </w:rPr>
      </w:pPr>
      <w:r w:rsidRPr="006B3303">
        <w:rPr>
          <w:rFonts w:eastAsia="Calibri"/>
          <w:sz w:val="24"/>
          <w:szCs w:val="24"/>
          <w:lang w:eastAsia="en-US"/>
        </w:rPr>
        <w:t xml:space="preserve">Výše popsané skutečnosti vedou k několika dílčím závěrům, které mají svůj reálný dopad na regionální ekonomiku. Kapitál je rozhodujícím katalyzátorem ekonomického růstu. Vlastníci kapitálu se jej snaží umístit tam, kde budou schopni dosáhnout maximální produktivity (zisku). V této souvislosti se většinou používá termín mobilita kapitálu, která se </w:t>
      </w:r>
      <w:r>
        <w:rPr>
          <w:rFonts w:eastAsia="Calibri"/>
          <w:sz w:val="24"/>
          <w:szCs w:val="24"/>
          <w:lang w:eastAsia="en-US"/>
        </w:rPr>
        <w:t>nejvýrazněji</w:t>
      </w:r>
      <w:r w:rsidRPr="006B3303">
        <w:rPr>
          <w:rFonts w:eastAsia="Calibri"/>
          <w:sz w:val="24"/>
          <w:szCs w:val="24"/>
          <w:lang w:eastAsia="en-US"/>
        </w:rPr>
        <w:t xml:space="preserve"> projevuje v podobě přímých zahraničních investic. Akumulace kapitálu v konkrétních regionech představuje klíčový exogenní fakt</w:t>
      </w:r>
      <w:r w:rsidR="00A75E48">
        <w:rPr>
          <w:rFonts w:eastAsia="Calibri"/>
          <w:sz w:val="24"/>
          <w:szCs w:val="24"/>
          <w:lang w:eastAsia="en-US"/>
        </w:rPr>
        <w:t>or růstu, přispívá však také ke </w:t>
      </w:r>
      <w:r w:rsidRPr="006B3303">
        <w:rPr>
          <w:rFonts w:eastAsia="Calibri"/>
          <w:sz w:val="24"/>
          <w:szCs w:val="24"/>
          <w:lang w:eastAsia="en-US"/>
        </w:rPr>
        <w:t xml:space="preserve">stimulaci faktorů endogenních (např. kvalita pracovní síly). Výsledkem je následné zvyšování ekonomického růstu </w:t>
      </w:r>
      <w:r>
        <w:rPr>
          <w:rFonts w:eastAsia="Calibri"/>
          <w:sz w:val="24"/>
          <w:szCs w:val="24"/>
          <w:lang w:eastAsia="en-US"/>
        </w:rPr>
        <w:t>podporující</w:t>
      </w:r>
      <w:r w:rsidRPr="006B3303">
        <w:rPr>
          <w:rFonts w:eastAsia="Calibri"/>
          <w:sz w:val="24"/>
          <w:szCs w:val="24"/>
          <w:lang w:eastAsia="en-US"/>
        </w:rPr>
        <w:t xml:space="preserve"> konvergenc</w:t>
      </w:r>
      <w:r>
        <w:rPr>
          <w:rFonts w:eastAsia="Calibri"/>
          <w:sz w:val="24"/>
          <w:szCs w:val="24"/>
          <w:lang w:eastAsia="en-US"/>
        </w:rPr>
        <w:t>i</w:t>
      </w:r>
      <w:r w:rsidRPr="006B3303">
        <w:rPr>
          <w:rFonts w:eastAsia="Calibri"/>
          <w:sz w:val="24"/>
          <w:szCs w:val="24"/>
          <w:lang w:eastAsia="en-US"/>
        </w:rPr>
        <w:t xml:space="preserve"> regionů. </w:t>
      </w:r>
    </w:p>
    <w:p w:rsidR="003C633A" w:rsidRPr="00791AD0" w:rsidRDefault="003C633A" w:rsidP="00423120">
      <w:pPr>
        <w:keepNext/>
        <w:jc w:val="both"/>
        <w:rPr>
          <w:rFonts w:cs="Tahoma"/>
          <w:b/>
          <w:bCs/>
          <w:sz w:val="24"/>
          <w:szCs w:val="24"/>
        </w:rPr>
      </w:pPr>
      <w:r>
        <w:rPr>
          <w:rFonts w:cs="Tahoma"/>
          <w:b/>
          <w:bCs/>
          <w:sz w:val="24"/>
          <w:szCs w:val="24"/>
        </w:rPr>
        <w:t>Přímé zahraniční investice</w:t>
      </w:r>
      <w:r w:rsidRPr="00791AD0">
        <w:rPr>
          <w:rFonts w:cs="Tahoma"/>
          <w:b/>
          <w:bCs/>
          <w:sz w:val="24"/>
          <w:szCs w:val="24"/>
        </w:rPr>
        <w:t xml:space="preserve"> </w:t>
      </w:r>
    </w:p>
    <w:p w:rsidR="003C633A" w:rsidRPr="006B3303" w:rsidRDefault="003C633A" w:rsidP="00423120">
      <w:pPr>
        <w:ind w:firstLine="720"/>
        <w:jc w:val="both"/>
        <w:rPr>
          <w:rFonts w:eastAsia="Calibri"/>
          <w:sz w:val="24"/>
          <w:szCs w:val="24"/>
          <w:lang w:eastAsia="en-US"/>
        </w:rPr>
      </w:pPr>
      <w:r w:rsidRPr="00A07B65">
        <w:rPr>
          <w:rFonts w:eastAsia="Calibri"/>
          <w:sz w:val="24"/>
          <w:szCs w:val="24"/>
          <w:lang w:eastAsia="en-US"/>
        </w:rPr>
        <w:t xml:space="preserve">Přímé zahraniční investice (PZI) představují mezinárodní investiční aktivity </w:t>
      </w:r>
      <w:r w:rsidRPr="006B3303">
        <w:rPr>
          <w:rFonts w:eastAsia="Calibri"/>
          <w:sz w:val="24"/>
          <w:szCs w:val="24"/>
          <w:lang w:eastAsia="en-US"/>
        </w:rPr>
        <w:t>spočívající v majetkových účastech v zahraničních podnicích</w:t>
      </w:r>
      <w:r w:rsidR="00BA6F21">
        <w:rPr>
          <w:rFonts w:eastAsia="Calibri"/>
          <w:sz w:val="24"/>
          <w:szCs w:val="24"/>
          <w:lang w:eastAsia="en-US"/>
        </w:rPr>
        <w:t>,</w:t>
      </w:r>
      <w:r>
        <w:rPr>
          <w:rFonts w:eastAsia="Calibri"/>
          <w:sz w:val="24"/>
          <w:szCs w:val="24"/>
          <w:lang w:eastAsia="en-US"/>
        </w:rPr>
        <w:t xml:space="preserve"> resp. firmách</w:t>
      </w:r>
      <w:r w:rsidRPr="006B3303">
        <w:rPr>
          <w:rFonts w:eastAsia="Calibri"/>
          <w:sz w:val="24"/>
          <w:szCs w:val="24"/>
          <w:lang w:eastAsia="en-US"/>
        </w:rPr>
        <w:t xml:space="preserve">. Pojem přímá zahraniční </w:t>
      </w:r>
      <w:r w:rsidRPr="00A07B65">
        <w:rPr>
          <w:rFonts w:eastAsia="Calibri"/>
          <w:sz w:val="24"/>
          <w:szCs w:val="24"/>
          <w:lang w:eastAsia="en-US"/>
        </w:rPr>
        <w:t>investice</w:t>
      </w:r>
      <w:r w:rsidRPr="006B3303">
        <w:rPr>
          <w:rFonts w:eastAsia="Calibri"/>
          <w:sz w:val="24"/>
          <w:szCs w:val="24"/>
          <w:lang w:eastAsia="en-US"/>
        </w:rPr>
        <w:t xml:space="preserve"> (foreign direct investment) byl defino</w:t>
      </w:r>
      <w:r w:rsidR="00A75E48">
        <w:rPr>
          <w:rFonts w:eastAsia="Calibri"/>
          <w:sz w:val="24"/>
          <w:szCs w:val="24"/>
          <w:lang w:eastAsia="en-US"/>
        </w:rPr>
        <w:t>ván společně OECD, Eurostatem a </w:t>
      </w:r>
      <w:r w:rsidRPr="006B3303">
        <w:rPr>
          <w:rFonts w:eastAsia="Calibri"/>
          <w:sz w:val="24"/>
          <w:szCs w:val="24"/>
          <w:lang w:eastAsia="en-US"/>
        </w:rPr>
        <w:t>Mezinárodním měnovým fondem následovně: „přímá zahraniční investice odráží záměr rezidenta jedné ekonomiky</w:t>
      </w:r>
      <w:r>
        <w:rPr>
          <w:rFonts w:eastAsia="Calibri"/>
          <w:sz w:val="24"/>
          <w:szCs w:val="24"/>
          <w:lang w:eastAsia="en-US"/>
        </w:rPr>
        <w:t>/</w:t>
      </w:r>
      <w:r w:rsidRPr="006B3303">
        <w:rPr>
          <w:rFonts w:eastAsia="Calibri"/>
          <w:sz w:val="24"/>
          <w:szCs w:val="24"/>
          <w:lang w:eastAsia="en-US"/>
        </w:rPr>
        <w:t>přímý investor</w:t>
      </w:r>
      <w:r>
        <w:rPr>
          <w:rFonts w:eastAsia="Calibri"/>
          <w:sz w:val="24"/>
          <w:szCs w:val="24"/>
          <w:lang w:eastAsia="en-US"/>
        </w:rPr>
        <w:t xml:space="preserve"> </w:t>
      </w:r>
      <w:r w:rsidRPr="006B3303">
        <w:rPr>
          <w:rFonts w:eastAsia="Calibri"/>
          <w:sz w:val="24"/>
          <w:szCs w:val="24"/>
          <w:lang w:eastAsia="en-US"/>
        </w:rPr>
        <w:t>získat trvalou účast v subjektu, který je rezidentem v</w:t>
      </w:r>
      <w:r>
        <w:rPr>
          <w:rFonts w:eastAsia="Calibri"/>
          <w:sz w:val="24"/>
          <w:szCs w:val="24"/>
          <w:lang w:eastAsia="en-US"/>
        </w:rPr>
        <w:t xml:space="preserve"> jiné </w:t>
      </w:r>
      <w:r w:rsidRPr="006B3303">
        <w:rPr>
          <w:rFonts w:eastAsia="Calibri"/>
          <w:sz w:val="24"/>
          <w:szCs w:val="24"/>
          <w:lang w:eastAsia="en-US"/>
        </w:rPr>
        <w:t>ekonomice</w:t>
      </w:r>
      <w:r>
        <w:rPr>
          <w:rFonts w:eastAsia="Calibri"/>
          <w:sz w:val="24"/>
          <w:szCs w:val="24"/>
          <w:lang w:eastAsia="en-US"/>
        </w:rPr>
        <w:t>/</w:t>
      </w:r>
      <w:r w:rsidRPr="006B3303">
        <w:rPr>
          <w:rFonts w:eastAsia="Calibri"/>
          <w:sz w:val="24"/>
          <w:szCs w:val="24"/>
          <w:lang w:eastAsia="en-US"/>
        </w:rPr>
        <w:t>přímá investice</w:t>
      </w:r>
      <w:r>
        <w:rPr>
          <w:rFonts w:eastAsia="Calibri"/>
          <w:sz w:val="24"/>
          <w:szCs w:val="24"/>
          <w:lang w:eastAsia="en-US"/>
        </w:rPr>
        <w:t xml:space="preserve">“ </w:t>
      </w:r>
      <w:r w:rsidRPr="006B3303">
        <w:rPr>
          <w:rFonts w:eastAsia="Calibri"/>
          <w:sz w:val="24"/>
          <w:szCs w:val="24"/>
          <w:lang w:eastAsia="en-US"/>
        </w:rPr>
        <w:t>(ČNB, 2012)</w:t>
      </w:r>
      <w:r>
        <w:rPr>
          <w:rFonts w:eastAsia="Calibri"/>
          <w:sz w:val="24"/>
          <w:szCs w:val="24"/>
          <w:lang w:eastAsia="en-US"/>
        </w:rPr>
        <w:t>.</w:t>
      </w:r>
      <w:r w:rsidRPr="006B3303">
        <w:rPr>
          <w:rFonts w:eastAsia="Calibri"/>
          <w:sz w:val="24"/>
          <w:szCs w:val="24"/>
          <w:lang w:eastAsia="en-US"/>
        </w:rPr>
        <w:t xml:space="preserve"> Trva</w:t>
      </w:r>
      <w:r w:rsidR="00A75E48">
        <w:rPr>
          <w:rFonts w:eastAsia="Calibri"/>
          <w:sz w:val="24"/>
          <w:szCs w:val="24"/>
          <w:lang w:eastAsia="en-US"/>
        </w:rPr>
        <w:t>lá účast znamená, že se jedná o </w:t>
      </w:r>
      <w:r w:rsidRPr="006B3303">
        <w:rPr>
          <w:rFonts w:eastAsia="Calibri"/>
          <w:sz w:val="24"/>
          <w:szCs w:val="24"/>
          <w:lang w:eastAsia="en-US"/>
        </w:rPr>
        <w:t>dlouhodobou investici a investor má významný vliv na řízení podniku</w:t>
      </w:r>
      <w:r>
        <w:rPr>
          <w:rFonts w:eastAsia="Calibri"/>
          <w:sz w:val="24"/>
          <w:szCs w:val="24"/>
          <w:lang w:eastAsia="en-US"/>
        </w:rPr>
        <w:t>, kde</w:t>
      </w:r>
      <w:r w:rsidRPr="006B3303">
        <w:rPr>
          <w:rFonts w:eastAsia="Calibri"/>
          <w:sz w:val="24"/>
          <w:szCs w:val="24"/>
          <w:lang w:eastAsia="en-US"/>
        </w:rPr>
        <w:t xml:space="preserve"> musí vlastnit </w:t>
      </w:r>
      <w:r>
        <w:rPr>
          <w:rFonts w:eastAsia="Calibri"/>
          <w:sz w:val="24"/>
          <w:szCs w:val="24"/>
          <w:lang w:eastAsia="en-US"/>
        </w:rPr>
        <w:t>alespoň</w:t>
      </w:r>
      <w:r w:rsidRPr="006B3303">
        <w:rPr>
          <w:rFonts w:eastAsia="Calibri"/>
          <w:sz w:val="24"/>
          <w:szCs w:val="24"/>
          <w:lang w:eastAsia="en-US"/>
        </w:rPr>
        <w:t xml:space="preserve"> 10 </w:t>
      </w:r>
      <w:r>
        <w:rPr>
          <w:rFonts w:eastAsia="Calibri"/>
          <w:sz w:val="24"/>
          <w:szCs w:val="24"/>
          <w:lang w:eastAsia="en-US"/>
        </w:rPr>
        <w:t>%</w:t>
      </w:r>
      <w:r w:rsidRPr="006B3303">
        <w:rPr>
          <w:rFonts w:eastAsia="Calibri"/>
          <w:sz w:val="24"/>
          <w:szCs w:val="24"/>
          <w:lang w:eastAsia="en-US"/>
        </w:rPr>
        <w:t xml:space="preserve"> akcií nebo hlasovacích práv. Přímými zahraničními investicemi nejsou portfoliové investice spočívající v nákupu cenných papírů (v tomto případě investor nemá vliv na řízení podniku). Přímá investice zahrnuje původní transakc</w:t>
      </w:r>
      <w:r>
        <w:rPr>
          <w:rFonts w:eastAsia="Calibri"/>
          <w:sz w:val="24"/>
          <w:szCs w:val="24"/>
          <w:lang w:eastAsia="en-US"/>
        </w:rPr>
        <w:t>i</w:t>
      </w:r>
      <w:r w:rsidR="00A75E48">
        <w:rPr>
          <w:rFonts w:eastAsia="Calibri"/>
          <w:sz w:val="24"/>
          <w:szCs w:val="24"/>
          <w:lang w:eastAsia="en-US"/>
        </w:rPr>
        <w:t xml:space="preserve"> mezi oběma subjekty i </w:t>
      </w:r>
      <w:r w:rsidRPr="006B3303">
        <w:rPr>
          <w:rFonts w:eastAsia="Calibri"/>
          <w:sz w:val="24"/>
          <w:szCs w:val="24"/>
          <w:lang w:eastAsia="en-US"/>
        </w:rPr>
        <w:t>všechny následující kapitálové transakce. Skládá se ze tří částí, kterými jsou základní kapitál (vklad nerezidenta do základního kapitálu podniku), reinvestovaný zisk (hospodářský výsledek nerozdělený prostřednictvím dividend) a ostatní</w:t>
      </w:r>
      <w:r w:rsidR="00A75E48">
        <w:rPr>
          <w:rFonts w:eastAsia="Calibri"/>
          <w:sz w:val="24"/>
          <w:szCs w:val="24"/>
          <w:lang w:eastAsia="en-US"/>
        </w:rPr>
        <w:t xml:space="preserve"> kapitál (úvěry mezi podniky ve </w:t>
      </w:r>
      <w:r w:rsidRPr="006B3303">
        <w:rPr>
          <w:rFonts w:eastAsia="Calibri"/>
          <w:sz w:val="24"/>
          <w:szCs w:val="24"/>
          <w:lang w:eastAsia="en-US"/>
        </w:rPr>
        <w:t>skupině). V souladu s výše uvedenou definicí jsou v</w:t>
      </w:r>
      <w:r>
        <w:rPr>
          <w:rFonts w:eastAsia="Calibri"/>
          <w:sz w:val="24"/>
          <w:szCs w:val="24"/>
          <w:lang w:eastAsia="en-US"/>
        </w:rPr>
        <w:t> </w:t>
      </w:r>
      <w:r w:rsidRPr="006B3303">
        <w:rPr>
          <w:rFonts w:eastAsia="Calibri"/>
          <w:sz w:val="24"/>
          <w:szCs w:val="24"/>
          <w:lang w:eastAsia="en-US"/>
        </w:rPr>
        <w:t>Č</w:t>
      </w:r>
      <w:r>
        <w:rPr>
          <w:rFonts w:eastAsia="Calibri"/>
          <w:sz w:val="24"/>
          <w:szCs w:val="24"/>
          <w:lang w:eastAsia="en-US"/>
        </w:rPr>
        <w:t>eské republice</w:t>
      </w:r>
      <w:r w:rsidRPr="006B3303">
        <w:rPr>
          <w:rFonts w:eastAsia="Calibri"/>
          <w:sz w:val="24"/>
          <w:szCs w:val="24"/>
          <w:lang w:eastAsia="en-US"/>
        </w:rPr>
        <w:t xml:space="preserve"> přímé zahraniční investice definovány v devizovém zákoně</w:t>
      </w:r>
      <w:r>
        <w:rPr>
          <w:rFonts w:eastAsia="Calibri"/>
          <w:sz w:val="24"/>
          <w:szCs w:val="24"/>
          <w:lang w:eastAsia="en-US"/>
        </w:rPr>
        <w:t xml:space="preserve"> a</w:t>
      </w:r>
      <w:r w:rsidRPr="006B3303">
        <w:rPr>
          <w:rFonts w:eastAsia="Calibri"/>
          <w:sz w:val="24"/>
          <w:szCs w:val="24"/>
          <w:lang w:eastAsia="en-US"/>
        </w:rPr>
        <w:t xml:space="preserve"> statisticky </w:t>
      </w:r>
      <w:r>
        <w:rPr>
          <w:rFonts w:eastAsia="Calibri"/>
          <w:sz w:val="24"/>
          <w:szCs w:val="24"/>
          <w:lang w:eastAsia="en-US"/>
        </w:rPr>
        <w:t xml:space="preserve">se </w:t>
      </w:r>
      <w:r w:rsidRPr="006B3303">
        <w:rPr>
          <w:rFonts w:eastAsia="Calibri"/>
          <w:sz w:val="24"/>
          <w:szCs w:val="24"/>
          <w:lang w:eastAsia="en-US"/>
        </w:rPr>
        <w:t>vyjadřují jako stavové anebo tokové veličiny. Stavová veličina představuje stav přímých zahraničních investic k určitému datu. Tokové veličiny zachycují příliv a odliv kapitálu z určité z</w:t>
      </w:r>
      <w:r w:rsidR="00A75E48">
        <w:rPr>
          <w:rFonts w:eastAsia="Calibri"/>
          <w:sz w:val="24"/>
          <w:szCs w:val="24"/>
          <w:lang w:eastAsia="en-US"/>
        </w:rPr>
        <w:t xml:space="preserve">emě za určité období (obvykle </w:t>
      </w:r>
      <w:r w:rsidR="00A75E48">
        <w:rPr>
          <w:rFonts w:eastAsia="Calibri"/>
        </w:rPr>
        <w:t>1 </w:t>
      </w:r>
      <w:r w:rsidRPr="00A75E48">
        <w:rPr>
          <w:rFonts w:eastAsia="Calibri"/>
        </w:rPr>
        <w:t>rok</w:t>
      </w:r>
      <w:r w:rsidRPr="006B3303">
        <w:rPr>
          <w:rFonts w:eastAsia="Calibri"/>
          <w:sz w:val="24"/>
          <w:szCs w:val="24"/>
          <w:lang w:eastAsia="en-US"/>
        </w:rPr>
        <w:t xml:space="preserve">). Příliv a odliv kapitálu je zaznamenán v platební bilanci země a </w:t>
      </w:r>
      <w:r>
        <w:rPr>
          <w:rFonts w:eastAsia="Calibri"/>
          <w:sz w:val="24"/>
          <w:szCs w:val="24"/>
          <w:lang w:eastAsia="en-US"/>
        </w:rPr>
        <w:t xml:space="preserve">je </w:t>
      </w:r>
      <w:r w:rsidRPr="006B3303">
        <w:rPr>
          <w:rFonts w:eastAsia="Calibri"/>
          <w:sz w:val="24"/>
          <w:szCs w:val="24"/>
          <w:lang w:eastAsia="en-US"/>
        </w:rPr>
        <w:t xml:space="preserve">proto zachycen v tržních cenách. Naproti tomu, stav přímých investic by bylo obtížné ocenit v tržních cenách </w:t>
      </w:r>
      <w:r w:rsidRPr="006B3303">
        <w:rPr>
          <w:rFonts w:eastAsia="Calibri"/>
          <w:sz w:val="24"/>
          <w:szCs w:val="24"/>
          <w:lang w:eastAsia="en-US"/>
        </w:rPr>
        <w:lastRenderedPageBreak/>
        <w:t>(zahraniční podíly ve všech společnostech by se musely pravidelně přeceňovat)</w:t>
      </w:r>
      <w:r w:rsidR="00EC3640">
        <w:rPr>
          <w:rFonts w:eastAsia="Calibri"/>
          <w:sz w:val="24"/>
          <w:szCs w:val="24"/>
          <w:lang w:eastAsia="en-US"/>
        </w:rPr>
        <w:t>,</w:t>
      </w:r>
      <w:r w:rsidRPr="006B3303">
        <w:rPr>
          <w:rFonts w:eastAsia="Calibri"/>
          <w:sz w:val="24"/>
          <w:szCs w:val="24"/>
          <w:lang w:eastAsia="en-US"/>
        </w:rPr>
        <w:t xml:space="preserve"> a proto je vyjádřen v účetní hodnotě.</w:t>
      </w:r>
      <w:r>
        <w:rPr>
          <w:rFonts w:eastAsia="Calibri"/>
          <w:sz w:val="24"/>
          <w:szCs w:val="24"/>
          <w:lang w:eastAsia="en-US"/>
        </w:rPr>
        <w:t xml:space="preserve"> </w:t>
      </w:r>
      <w:r w:rsidRPr="006B3303">
        <w:rPr>
          <w:rFonts w:eastAsia="Calibri"/>
          <w:sz w:val="24"/>
          <w:szCs w:val="24"/>
          <w:lang w:eastAsia="en-US"/>
        </w:rPr>
        <w:t xml:space="preserve">Příliv zahraničního kapitálu odráží stabilitu a úroveň hostitelské ekonomiky a je </w:t>
      </w:r>
      <w:r>
        <w:rPr>
          <w:rFonts w:eastAsia="Calibri"/>
          <w:sz w:val="24"/>
          <w:szCs w:val="24"/>
          <w:lang w:eastAsia="en-US"/>
        </w:rPr>
        <w:t xml:space="preserve">významným </w:t>
      </w:r>
      <w:r w:rsidRPr="006B3303">
        <w:rPr>
          <w:rFonts w:eastAsia="Calibri"/>
          <w:sz w:val="24"/>
          <w:szCs w:val="24"/>
          <w:lang w:eastAsia="en-US"/>
        </w:rPr>
        <w:t>ukazatelem vnější ekonomické důvěry v domácí podnikatelské prostředí. Analýzy přímých zahraničních investic se zaměřují na tři hlavní oblasti, kterými jsou analýza determinujících faktorů (příčiny umístění PZI)</w:t>
      </w:r>
      <w:r>
        <w:rPr>
          <w:rFonts w:eastAsia="Calibri"/>
          <w:sz w:val="24"/>
          <w:szCs w:val="24"/>
          <w:lang w:eastAsia="en-US"/>
        </w:rPr>
        <w:t xml:space="preserve"> a</w:t>
      </w:r>
      <w:r w:rsidRPr="006B3303">
        <w:rPr>
          <w:rFonts w:eastAsia="Calibri"/>
          <w:sz w:val="24"/>
          <w:szCs w:val="24"/>
          <w:lang w:eastAsia="en-US"/>
        </w:rPr>
        <w:t xml:space="preserve"> analýza přímých a nepřímých efektů (Benáček, 2000). Následující tabulka vymezuje jednotlivé typy přímých zahraničních investic. Od typu investice lze odvozovat nejenom faktory ovlivňují</w:t>
      </w:r>
      <w:r>
        <w:rPr>
          <w:rFonts w:eastAsia="Calibri"/>
          <w:sz w:val="24"/>
          <w:szCs w:val="24"/>
          <w:lang w:eastAsia="en-US"/>
        </w:rPr>
        <w:t>cí</w:t>
      </w:r>
      <w:r w:rsidRPr="006B3303">
        <w:rPr>
          <w:rFonts w:eastAsia="Calibri"/>
          <w:sz w:val="24"/>
          <w:szCs w:val="24"/>
          <w:lang w:eastAsia="en-US"/>
        </w:rPr>
        <w:t xml:space="preserve"> rozhodnutí o lokalizaci investice, ale </w:t>
      </w:r>
      <w:r>
        <w:rPr>
          <w:rFonts w:eastAsia="Calibri"/>
          <w:sz w:val="24"/>
          <w:szCs w:val="24"/>
          <w:lang w:eastAsia="en-US"/>
        </w:rPr>
        <w:t>i</w:t>
      </w:r>
      <w:r w:rsidRPr="006B3303">
        <w:rPr>
          <w:rFonts w:eastAsia="Calibri"/>
          <w:sz w:val="24"/>
          <w:szCs w:val="24"/>
          <w:lang w:eastAsia="en-US"/>
        </w:rPr>
        <w:t xml:space="preserve"> pozitivní a negativní dopady</w:t>
      </w:r>
      <w:r>
        <w:rPr>
          <w:rFonts w:eastAsia="Calibri"/>
          <w:sz w:val="24"/>
          <w:szCs w:val="24"/>
          <w:lang w:eastAsia="en-US"/>
        </w:rPr>
        <w:t xml:space="preserve"> </w:t>
      </w:r>
      <w:r w:rsidRPr="006B3303">
        <w:rPr>
          <w:rFonts w:eastAsia="Calibri"/>
          <w:sz w:val="24"/>
          <w:szCs w:val="24"/>
          <w:lang w:eastAsia="en-US"/>
        </w:rPr>
        <w:t>investice na hostitelskou ekonomiku.</w:t>
      </w:r>
    </w:p>
    <w:p w:rsidR="003C633A" w:rsidRPr="003C633A" w:rsidRDefault="003C633A" w:rsidP="000112D6">
      <w:pPr>
        <w:pStyle w:val="0T-Titulek"/>
      </w:pPr>
      <w:bookmarkStart w:id="86" w:name="_Toc382326446"/>
      <w:r w:rsidRPr="003C633A">
        <w:t>Tabulka 19: Typy přímých zahraničních investic</w:t>
      </w:r>
      <w:bookmarkEnd w:id="86"/>
    </w:p>
    <w:tbl>
      <w:tblPr>
        <w:tblStyle w:val="Mkatabulky5"/>
        <w:tblW w:w="0" w:type="auto"/>
        <w:tblLook w:val="04A0" w:firstRow="1" w:lastRow="0" w:firstColumn="1" w:lastColumn="0" w:noHBand="0" w:noVBand="1"/>
      </w:tblPr>
      <w:tblGrid>
        <w:gridCol w:w="2376"/>
        <w:gridCol w:w="2835"/>
        <w:gridCol w:w="4001"/>
      </w:tblGrid>
      <w:tr w:rsidR="003C633A" w:rsidRPr="00BF32A2" w:rsidTr="003C633A">
        <w:trPr>
          <w:trHeight w:val="340"/>
        </w:trPr>
        <w:tc>
          <w:tcPr>
            <w:tcW w:w="2376" w:type="dxa"/>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rPr>
                <w:b/>
              </w:rPr>
            </w:pPr>
            <w:r>
              <w:rPr>
                <w:b/>
              </w:rPr>
              <w:t>h</w:t>
            </w:r>
            <w:r w:rsidRPr="00BF32A2">
              <w:rPr>
                <w:b/>
              </w:rPr>
              <w:t>ledisko vymezení</w:t>
            </w:r>
          </w:p>
        </w:tc>
        <w:tc>
          <w:tcPr>
            <w:tcW w:w="2835" w:type="dxa"/>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rPr>
                <w:b/>
              </w:rPr>
            </w:pPr>
            <w:r>
              <w:rPr>
                <w:b/>
              </w:rPr>
              <w:t>d</w:t>
            </w:r>
            <w:r w:rsidRPr="00BF32A2">
              <w:rPr>
                <w:b/>
              </w:rPr>
              <w:t xml:space="preserve">ruhy </w:t>
            </w:r>
            <w:r>
              <w:rPr>
                <w:b/>
              </w:rPr>
              <w:t>PZI</w:t>
            </w:r>
          </w:p>
        </w:tc>
        <w:tc>
          <w:tcPr>
            <w:tcW w:w="4001" w:type="dxa"/>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rPr>
                <w:b/>
              </w:rPr>
            </w:pPr>
            <w:r>
              <w:rPr>
                <w:b/>
              </w:rPr>
              <w:t>h</w:t>
            </w:r>
            <w:r w:rsidRPr="00BF32A2">
              <w:rPr>
                <w:b/>
              </w:rPr>
              <w:t>lavní charakteristiky</w:t>
            </w:r>
          </w:p>
        </w:tc>
      </w:tr>
      <w:tr w:rsidR="003C633A" w:rsidRPr="00BF32A2" w:rsidTr="0029461E">
        <w:trPr>
          <w:trHeight w:hRule="exact" w:val="567"/>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r>
              <w:t>m</w:t>
            </w:r>
            <w:r w:rsidRPr="00BF32A2">
              <w:t>íra kontroly</w:t>
            </w:r>
          </w:p>
        </w:tc>
        <w:tc>
          <w:tcPr>
            <w:tcW w:w="2835" w:type="dxa"/>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r>
              <w:t>p</w:t>
            </w:r>
            <w:r w:rsidRPr="00BF32A2">
              <w:t>odnik s menšinovým zahraničním podílem</w:t>
            </w:r>
          </w:p>
        </w:tc>
        <w:tc>
          <w:tcPr>
            <w:tcW w:w="4001" w:type="dxa"/>
            <w:tcBorders>
              <w:top w:val="single" w:sz="4" w:space="0" w:color="auto"/>
              <w:left w:val="single" w:sz="4" w:space="0" w:color="auto"/>
              <w:bottom w:val="single" w:sz="4" w:space="0" w:color="auto"/>
              <w:right w:val="single" w:sz="4" w:space="0" w:color="auto"/>
            </w:tcBorders>
            <w:hideMark/>
          </w:tcPr>
          <w:p w:rsidR="003C633A" w:rsidRPr="00BF32A2" w:rsidRDefault="003C633A" w:rsidP="00423120">
            <w:pPr>
              <w:spacing w:line="240" w:lineRule="auto"/>
            </w:pPr>
            <w:r>
              <w:t>p</w:t>
            </w:r>
            <w:r w:rsidR="008C7D62">
              <w:t>odíl 10–</w:t>
            </w:r>
            <w:r w:rsidRPr="00BF32A2">
              <w:t>50 % na základním kapitálu nebo hlasovacích právech</w:t>
            </w:r>
          </w:p>
        </w:tc>
      </w:tr>
      <w:tr w:rsidR="003C633A" w:rsidRPr="00BF32A2" w:rsidTr="0029461E">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p>
        </w:tc>
        <w:tc>
          <w:tcPr>
            <w:tcW w:w="2835" w:type="dxa"/>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r>
              <w:t>p</w:t>
            </w:r>
            <w:r w:rsidRPr="00BF32A2">
              <w:t>odnik pod zahraniční kontrolou</w:t>
            </w:r>
          </w:p>
        </w:tc>
        <w:tc>
          <w:tcPr>
            <w:tcW w:w="4001" w:type="dxa"/>
            <w:tcBorders>
              <w:top w:val="single" w:sz="4" w:space="0" w:color="auto"/>
              <w:left w:val="single" w:sz="4" w:space="0" w:color="auto"/>
              <w:bottom w:val="single" w:sz="4" w:space="0" w:color="auto"/>
              <w:right w:val="single" w:sz="4" w:space="0" w:color="auto"/>
            </w:tcBorders>
            <w:hideMark/>
          </w:tcPr>
          <w:p w:rsidR="003C633A" w:rsidRPr="00BF32A2" w:rsidRDefault="003C633A" w:rsidP="00423120">
            <w:pPr>
              <w:spacing w:line="240" w:lineRule="auto"/>
            </w:pPr>
            <w:r>
              <w:t>p</w:t>
            </w:r>
            <w:r w:rsidRPr="00BF32A2">
              <w:t>odíl ˃ 50 % na základním kapitálu nebo hlasovacích právech</w:t>
            </w:r>
          </w:p>
        </w:tc>
      </w:tr>
      <w:tr w:rsidR="003C633A" w:rsidRPr="00BF32A2" w:rsidTr="0029461E">
        <w:trPr>
          <w:trHeight w:hRule="exact" w:val="567"/>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r>
              <w:t>m</w:t>
            </w:r>
            <w:r w:rsidRPr="00BF32A2">
              <w:t>otiv vstupu</w:t>
            </w:r>
          </w:p>
        </w:tc>
        <w:tc>
          <w:tcPr>
            <w:tcW w:w="2835" w:type="dxa"/>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r>
              <w:t>t</w:t>
            </w:r>
            <w:r w:rsidRPr="00BF32A2">
              <w:t>rhy vyhledávající</w:t>
            </w:r>
          </w:p>
        </w:tc>
        <w:tc>
          <w:tcPr>
            <w:tcW w:w="4001" w:type="dxa"/>
            <w:tcBorders>
              <w:top w:val="single" w:sz="4" w:space="0" w:color="auto"/>
              <w:left w:val="single" w:sz="4" w:space="0" w:color="auto"/>
              <w:bottom w:val="single" w:sz="4" w:space="0" w:color="auto"/>
              <w:right w:val="single" w:sz="4" w:space="0" w:color="auto"/>
            </w:tcBorders>
            <w:hideMark/>
          </w:tcPr>
          <w:p w:rsidR="003C633A" w:rsidRPr="00BF32A2" w:rsidRDefault="003C633A" w:rsidP="00423120">
            <w:pPr>
              <w:spacing w:line="240" w:lineRule="auto"/>
            </w:pPr>
            <w:r>
              <w:t>c</w:t>
            </w:r>
            <w:r w:rsidRPr="00BF32A2">
              <w:t>ílem je růst podílu na trhu a pokles nákladů na jeho zásobování</w:t>
            </w:r>
          </w:p>
        </w:tc>
      </w:tr>
      <w:tr w:rsidR="003C633A" w:rsidRPr="00BF32A2" w:rsidTr="0029461E">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p>
        </w:tc>
        <w:tc>
          <w:tcPr>
            <w:tcW w:w="2835" w:type="dxa"/>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r>
              <w:t>f</w:t>
            </w:r>
            <w:r w:rsidRPr="00BF32A2">
              <w:t>aktory vyhledávající</w:t>
            </w:r>
          </w:p>
        </w:tc>
        <w:tc>
          <w:tcPr>
            <w:tcW w:w="4001" w:type="dxa"/>
            <w:tcBorders>
              <w:top w:val="single" w:sz="4" w:space="0" w:color="auto"/>
              <w:left w:val="single" w:sz="4" w:space="0" w:color="auto"/>
              <w:bottom w:val="single" w:sz="4" w:space="0" w:color="auto"/>
              <w:right w:val="single" w:sz="4" w:space="0" w:color="auto"/>
            </w:tcBorders>
            <w:hideMark/>
          </w:tcPr>
          <w:p w:rsidR="003C633A" w:rsidRPr="00BF32A2" w:rsidRDefault="003C633A" w:rsidP="00423120">
            <w:pPr>
              <w:spacing w:line="240" w:lineRule="auto"/>
            </w:pPr>
            <w:r>
              <w:t>c</w:t>
            </w:r>
            <w:r w:rsidRPr="00BF32A2">
              <w:t xml:space="preserve">ílem je </w:t>
            </w:r>
            <w:r>
              <w:t xml:space="preserve">zvyšování efektivity </w:t>
            </w:r>
            <w:r w:rsidRPr="00BF32A2">
              <w:t>výroby (pokles nákladů)</w:t>
            </w:r>
          </w:p>
        </w:tc>
      </w:tr>
      <w:tr w:rsidR="003C633A" w:rsidRPr="00BF32A2" w:rsidTr="0029461E">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p>
        </w:tc>
        <w:tc>
          <w:tcPr>
            <w:tcW w:w="2835" w:type="dxa"/>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r>
              <w:t>a</w:t>
            </w:r>
            <w:r w:rsidRPr="00BF32A2">
              <w:t>ktiva vyhledávající</w:t>
            </w:r>
          </w:p>
        </w:tc>
        <w:tc>
          <w:tcPr>
            <w:tcW w:w="4001" w:type="dxa"/>
            <w:tcBorders>
              <w:top w:val="single" w:sz="4" w:space="0" w:color="auto"/>
              <w:left w:val="single" w:sz="4" w:space="0" w:color="auto"/>
              <w:bottom w:val="single" w:sz="4" w:space="0" w:color="auto"/>
              <w:right w:val="single" w:sz="4" w:space="0" w:color="auto"/>
            </w:tcBorders>
            <w:hideMark/>
          </w:tcPr>
          <w:p w:rsidR="003C633A" w:rsidRPr="00BF32A2" w:rsidRDefault="003C633A" w:rsidP="00423120">
            <w:pPr>
              <w:spacing w:line="240" w:lineRule="auto"/>
            </w:pPr>
            <w:r>
              <w:t>c</w:t>
            </w:r>
            <w:r w:rsidRPr="00BF32A2">
              <w:t>ílem je získání specifických aktivit (např. patent, ochranná známka)</w:t>
            </w:r>
          </w:p>
        </w:tc>
      </w:tr>
      <w:tr w:rsidR="003C633A" w:rsidRPr="00BF32A2" w:rsidTr="0029461E">
        <w:trPr>
          <w:trHeight w:hRule="exact" w:val="567"/>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r>
              <w:t>z</w:t>
            </w:r>
            <w:r w:rsidRPr="00BF32A2">
              <w:t>působ vstupu</w:t>
            </w:r>
          </w:p>
        </w:tc>
        <w:tc>
          <w:tcPr>
            <w:tcW w:w="2835" w:type="dxa"/>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r>
              <w:t xml:space="preserve">greenfield </w:t>
            </w:r>
            <w:r w:rsidRPr="00BF32A2">
              <w:t xml:space="preserve"> </w:t>
            </w:r>
            <w:r>
              <w:t>i</w:t>
            </w:r>
            <w:r w:rsidRPr="00BF32A2">
              <w:t>nvestice</w:t>
            </w:r>
          </w:p>
        </w:tc>
        <w:tc>
          <w:tcPr>
            <w:tcW w:w="4001" w:type="dxa"/>
            <w:tcBorders>
              <w:top w:val="single" w:sz="4" w:space="0" w:color="auto"/>
              <w:left w:val="single" w:sz="4" w:space="0" w:color="auto"/>
              <w:bottom w:val="single" w:sz="4" w:space="0" w:color="auto"/>
              <w:right w:val="single" w:sz="4" w:space="0" w:color="auto"/>
            </w:tcBorders>
            <w:hideMark/>
          </w:tcPr>
          <w:p w:rsidR="003C633A" w:rsidRPr="00BF32A2" w:rsidRDefault="003C633A" w:rsidP="00423120">
            <w:pPr>
              <w:spacing w:line="240" w:lineRule="auto"/>
            </w:pPr>
            <w:r>
              <w:t>i</w:t>
            </w:r>
            <w:r w:rsidRPr="00BF32A2">
              <w:t>nvestice do nových aktiv</w:t>
            </w:r>
          </w:p>
        </w:tc>
      </w:tr>
      <w:tr w:rsidR="003C633A" w:rsidRPr="00BF32A2" w:rsidTr="0029461E">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p>
        </w:tc>
        <w:tc>
          <w:tcPr>
            <w:tcW w:w="2835" w:type="dxa"/>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r>
              <w:t>brownfield i</w:t>
            </w:r>
            <w:r w:rsidRPr="00BF32A2">
              <w:t xml:space="preserve">nvestice </w:t>
            </w:r>
          </w:p>
        </w:tc>
        <w:tc>
          <w:tcPr>
            <w:tcW w:w="4001" w:type="dxa"/>
            <w:tcBorders>
              <w:top w:val="single" w:sz="4" w:space="0" w:color="auto"/>
              <w:left w:val="single" w:sz="4" w:space="0" w:color="auto"/>
              <w:bottom w:val="single" w:sz="4" w:space="0" w:color="auto"/>
              <w:right w:val="single" w:sz="4" w:space="0" w:color="auto"/>
            </w:tcBorders>
            <w:hideMark/>
          </w:tcPr>
          <w:p w:rsidR="003C633A" w:rsidRPr="00BF32A2" w:rsidRDefault="003C633A" w:rsidP="00423120">
            <w:pPr>
              <w:spacing w:line="240" w:lineRule="auto"/>
            </w:pPr>
            <w:r>
              <w:t>z</w:t>
            </w:r>
            <w:r w:rsidRPr="00BF32A2">
              <w:t xml:space="preserve">měna vlastnické struktury i investice do restrukturalizace </w:t>
            </w:r>
          </w:p>
        </w:tc>
      </w:tr>
      <w:tr w:rsidR="003C633A" w:rsidRPr="00BF32A2" w:rsidTr="0029461E">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p>
        </w:tc>
        <w:tc>
          <w:tcPr>
            <w:tcW w:w="2835" w:type="dxa"/>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r>
              <w:t>f</w:t>
            </w:r>
            <w:r w:rsidRPr="00BF32A2">
              <w:t>úze a akvizice</w:t>
            </w:r>
          </w:p>
        </w:tc>
        <w:tc>
          <w:tcPr>
            <w:tcW w:w="4001" w:type="dxa"/>
            <w:tcBorders>
              <w:top w:val="single" w:sz="4" w:space="0" w:color="auto"/>
              <w:left w:val="single" w:sz="4" w:space="0" w:color="auto"/>
              <w:bottom w:val="single" w:sz="4" w:space="0" w:color="auto"/>
              <w:right w:val="single" w:sz="4" w:space="0" w:color="auto"/>
            </w:tcBorders>
            <w:hideMark/>
          </w:tcPr>
          <w:p w:rsidR="003C633A" w:rsidRPr="00BF32A2" w:rsidRDefault="003C633A" w:rsidP="00423120">
            <w:pPr>
              <w:spacing w:line="240" w:lineRule="auto"/>
            </w:pPr>
            <w:r>
              <w:t>o</w:t>
            </w:r>
            <w:r w:rsidRPr="00BF32A2">
              <w:t>vládnutí již existujících aktiv</w:t>
            </w:r>
          </w:p>
        </w:tc>
      </w:tr>
      <w:tr w:rsidR="003C633A" w:rsidRPr="00BF32A2" w:rsidTr="0029461E">
        <w:trPr>
          <w:trHeight w:hRule="exact" w:val="567"/>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r>
              <w:t>s</w:t>
            </w:r>
            <w:r w:rsidRPr="00BF32A2">
              <w:t>pecializace mateřské firmy</w:t>
            </w:r>
          </w:p>
        </w:tc>
        <w:tc>
          <w:tcPr>
            <w:tcW w:w="2835" w:type="dxa"/>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r>
              <w:t>v</w:t>
            </w:r>
            <w:r w:rsidRPr="00BF32A2">
              <w:t>ertikální</w:t>
            </w:r>
            <w:r>
              <w:t xml:space="preserve"> PZI</w:t>
            </w:r>
          </w:p>
        </w:tc>
        <w:tc>
          <w:tcPr>
            <w:tcW w:w="4001" w:type="dxa"/>
            <w:tcBorders>
              <w:top w:val="single" w:sz="4" w:space="0" w:color="auto"/>
              <w:left w:val="single" w:sz="4" w:space="0" w:color="auto"/>
              <w:bottom w:val="single" w:sz="4" w:space="0" w:color="auto"/>
              <w:right w:val="single" w:sz="4" w:space="0" w:color="auto"/>
            </w:tcBorders>
            <w:hideMark/>
          </w:tcPr>
          <w:p w:rsidR="003C633A" w:rsidRPr="00BF32A2" w:rsidRDefault="003C633A" w:rsidP="00423120">
            <w:pPr>
              <w:spacing w:line="240" w:lineRule="auto"/>
            </w:pPr>
            <w:r>
              <w:t>r</w:t>
            </w:r>
            <w:r w:rsidRPr="00BF32A2">
              <w:t>ozdílné fáze produkčního řetězce v jednotlivých pobočkách</w:t>
            </w:r>
          </w:p>
        </w:tc>
      </w:tr>
      <w:tr w:rsidR="003C633A" w:rsidRPr="00BF32A2" w:rsidTr="0029461E">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p>
        </w:tc>
        <w:tc>
          <w:tcPr>
            <w:tcW w:w="2835" w:type="dxa"/>
            <w:tcBorders>
              <w:top w:val="single" w:sz="4" w:space="0" w:color="auto"/>
              <w:left w:val="single" w:sz="4" w:space="0" w:color="auto"/>
              <w:bottom w:val="single" w:sz="4" w:space="0" w:color="auto"/>
              <w:right w:val="single" w:sz="4" w:space="0" w:color="auto"/>
            </w:tcBorders>
            <w:vAlign w:val="center"/>
            <w:hideMark/>
          </w:tcPr>
          <w:p w:rsidR="003C633A" w:rsidRPr="00BF32A2" w:rsidRDefault="003C633A" w:rsidP="00423120">
            <w:pPr>
              <w:spacing w:line="240" w:lineRule="auto"/>
            </w:pPr>
            <w:r>
              <w:t>h</w:t>
            </w:r>
            <w:r w:rsidRPr="00BF32A2">
              <w:t xml:space="preserve">orizontální </w:t>
            </w:r>
            <w:r>
              <w:t>PZI</w:t>
            </w:r>
          </w:p>
        </w:tc>
        <w:tc>
          <w:tcPr>
            <w:tcW w:w="4001" w:type="dxa"/>
            <w:tcBorders>
              <w:top w:val="single" w:sz="4" w:space="0" w:color="auto"/>
              <w:left w:val="single" w:sz="4" w:space="0" w:color="auto"/>
              <w:bottom w:val="single" w:sz="4" w:space="0" w:color="auto"/>
              <w:right w:val="single" w:sz="4" w:space="0" w:color="auto"/>
            </w:tcBorders>
            <w:hideMark/>
          </w:tcPr>
          <w:p w:rsidR="003C633A" w:rsidRPr="00BF32A2" w:rsidRDefault="003C633A" w:rsidP="00423120">
            <w:pPr>
              <w:spacing w:line="240" w:lineRule="auto"/>
            </w:pPr>
            <w:r>
              <w:t>p</w:t>
            </w:r>
            <w:r w:rsidRPr="00BF32A2">
              <w:t>odobná fáze produkčního řetězce v jednotlivých pobočkách</w:t>
            </w:r>
          </w:p>
        </w:tc>
      </w:tr>
    </w:tbl>
    <w:p w:rsidR="003C633A" w:rsidRPr="003C633A" w:rsidRDefault="003C633A" w:rsidP="00423120">
      <w:pPr>
        <w:keepNext/>
        <w:widowControl w:val="0"/>
        <w:spacing w:line="240" w:lineRule="auto"/>
        <w:jc w:val="center"/>
        <w:rPr>
          <w:rFonts w:ascii="Calibri" w:hAnsi="Calibri" w:cs="Calibri"/>
          <w:i/>
        </w:rPr>
      </w:pPr>
      <w:r w:rsidRPr="003C633A">
        <w:rPr>
          <w:rFonts w:ascii="Calibri" w:hAnsi="Calibri" w:cs="Calibri"/>
          <w:i/>
        </w:rPr>
        <w:t>Pramen: Srholec, 2004.</w:t>
      </w:r>
    </w:p>
    <w:p w:rsidR="003C633A" w:rsidRDefault="003C633A" w:rsidP="00423120">
      <w:pPr>
        <w:ind w:firstLine="720"/>
        <w:jc w:val="both"/>
        <w:rPr>
          <w:rFonts w:eastAsia="Calibri"/>
          <w:sz w:val="24"/>
          <w:szCs w:val="24"/>
          <w:lang w:eastAsia="en-US"/>
        </w:rPr>
      </w:pPr>
      <w:r w:rsidRPr="006B3303">
        <w:rPr>
          <w:rFonts w:eastAsia="Calibri"/>
          <w:sz w:val="24"/>
          <w:szCs w:val="24"/>
          <w:lang w:eastAsia="en-US"/>
        </w:rPr>
        <w:t xml:space="preserve">PZI se mohou stát významným zdrojem regionálního rozvoje, </w:t>
      </w:r>
      <w:r>
        <w:rPr>
          <w:rFonts w:eastAsia="Calibri"/>
          <w:sz w:val="24"/>
          <w:szCs w:val="24"/>
          <w:lang w:eastAsia="en-US"/>
        </w:rPr>
        <w:t>zvláště</w:t>
      </w:r>
      <w:r w:rsidRPr="006B3303">
        <w:rPr>
          <w:rFonts w:eastAsia="Calibri"/>
          <w:sz w:val="24"/>
          <w:szCs w:val="24"/>
          <w:lang w:eastAsia="en-US"/>
        </w:rPr>
        <w:t xml:space="preserve"> v případě regionů</w:t>
      </w:r>
      <w:r>
        <w:rPr>
          <w:rFonts w:eastAsia="Calibri"/>
          <w:sz w:val="24"/>
          <w:szCs w:val="24"/>
          <w:lang w:eastAsia="en-US"/>
        </w:rPr>
        <w:t xml:space="preserve"> </w:t>
      </w:r>
      <w:r w:rsidRPr="006B3303">
        <w:rPr>
          <w:rFonts w:eastAsia="Calibri"/>
          <w:sz w:val="24"/>
          <w:szCs w:val="24"/>
          <w:lang w:eastAsia="en-US"/>
        </w:rPr>
        <w:t>trpí</w:t>
      </w:r>
      <w:r>
        <w:rPr>
          <w:rFonts w:eastAsia="Calibri"/>
          <w:sz w:val="24"/>
          <w:szCs w:val="24"/>
          <w:lang w:eastAsia="en-US"/>
        </w:rPr>
        <w:t>cích</w:t>
      </w:r>
      <w:r w:rsidRPr="006B3303">
        <w:rPr>
          <w:rFonts w:eastAsia="Calibri"/>
          <w:sz w:val="24"/>
          <w:szCs w:val="24"/>
          <w:lang w:eastAsia="en-US"/>
        </w:rPr>
        <w:t xml:space="preserve"> nedostatkem vlastního kapitálu (Buček, 2011). </w:t>
      </w:r>
      <w:r>
        <w:rPr>
          <w:rFonts w:eastAsia="Calibri"/>
          <w:sz w:val="24"/>
          <w:szCs w:val="24"/>
          <w:lang w:eastAsia="en-US"/>
        </w:rPr>
        <w:t>Jejich d</w:t>
      </w:r>
      <w:r w:rsidRPr="006B3303">
        <w:rPr>
          <w:rFonts w:eastAsia="Calibri"/>
          <w:sz w:val="24"/>
          <w:szCs w:val="24"/>
          <w:lang w:eastAsia="en-US"/>
        </w:rPr>
        <w:t xml:space="preserve">opady na hostitelskou ekonomiku a regionální rozvoj nejsou ale zcela jednoznačné. Zda převládnou pozitivní nebo negativní efekty záleží </w:t>
      </w:r>
      <w:r>
        <w:rPr>
          <w:rFonts w:eastAsia="Calibri"/>
          <w:sz w:val="24"/>
          <w:szCs w:val="24"/>
          <w:lang w:eastAsia="en-US"/>
        </w:rPr>
        <w:t xml:space="preserve">vždy </w:t>
      </w:r>
      <w:r w:rsidRPr="006B3303">
        <w:rPr>
          <w:rFonts w:eastAsia="Calibri"/>
          <w:sz w:val="24"/>
          <w:szCs w:val="24"/>
          <w:lang w:eastAsia="en-US"/>
        </w:rPr>
        <w:t>na charakteru investice, fázi jejího životního cyklu i schopnosti domácí ekonomiky investici efektivně využít. Životní cyklus investice se skládá ze tří částí. V prvních dvou fázích (vstup do základního kapitálu a reinvestice zisků) dochází k přílivu kapitálu. Ve třetí fázi dochází k výplatě dividend (repatriaci</w:t>
      </w:r>
      <w:r w:rsidR="00A75E48">
        <w:rPr>
          <w:rFonts w:eastAsia="Calibri"/>
          <w:sz w:val="24"/>
          <w:szCs w:val="24"/>
          <w:lang w:eastAsia="en-US"/>
        </w:rPr>
        <w:t xml:space="preserve"> zisků) a kapitál tak odtéká do </w:t>
      </w:r>
      <w:r w:rsidRPr="006B3303">
        <w:rPr>
          <w:rFonts w:eastAsia="Calibri"/>
          <w:sz w:val="24"/>
          <w:szCs w:val="24"/>
          <w:lang w:eastAsia="en-US"/>
        </w:rPr>
        <w:t xml:space="preserve">zahraničí (např. Tomšík, 2006, Jeřábková, 2008). </w:t>
      </w:r>
      <w:r>
        <w:rPr>
          <w:rFonts w:eastAsia="Calibri"/>
          <w:sz w:val="24"/>
          <w:szCs w:val="24"/>
          <w:lang w:eastAsia="en-US"/>
        </w:rPr>
        <w:t xml:space="preserve">V souladu s tím PZI </w:t>
      </w:r>
      <w:r w:rsidRPr="006B3303">
        <w:rPr>
          <w:rFonts w:eastAsia="Calibri"/>
          <w:sz w:val="24"/>
          <w:szCs w:val="24"/>
          <w:lang w:eastAsia="en-US"/>
        </w:rPr>
        <w:t xml:space="preserve">ovlivňují platební bilanci. První fáze životního cyklu investice se projeví zvýšením aktiv na finančním účtu platební bilance. Při zahájení investice může investor ze zahraničí dovážet investiční majetek a zboží, a proto může docházet i k navýšení dovozů </w:t>
      </w:r>
      <w:r>
        <w:rPr>
          <w:rFonts w:eastAsia="Calibri"/>
          <w:sz w:val="24"/>
          <w:szCs w:val="24"/>
          <w:lang w:eastAsia="en-US"/>
        </w:rPr>
        <w:t xml:space="preserve">zachycených </w:t>
      </w:r>
      <w:r w:rsidRPr="006B3303">
        <w:rPr>
          <w:rFonts w:eastAsia="Calibri"/>
          <w:sz w:val="24"/>
          <w:szCs w:val="24"/>
          <w:lang w:eastAsia="en-US"/>
        </w:rPr>
        <w:t xml:space="preserve">v rámci běžného účtu platební bilance. V prvních letech investice je běžný účet platební bilance pozitivně ovlivněn reinvesticí zisků, neboť dochází k rozšiřování kapacit. Pokud podnik vyrábí exportní </w:t>
      </w:r>
      <w:r w:rsidRPr="006B3303">
        <w:rPr>
          <w:rFonts w:eastAsia="Calibri"/>
          <w:sz w:val="24"/>
          <w:szCs w:val="24"/>
          <w:lang w:eastAsia="en-US"/>
        </w:rPr>
        <w:lastRenderedPageBreak/>
        <w:t>komoditu, projevuje se to zvýšením vývozů na běžném účtu platební bilance. Jakmile klesá potřeba investovat zisky zpět do podniku, dochází k repatriaci zisku (tj. výplatě dividend), což se negativně projevuje na běžném účtu platební bilance. V určité fázi může investor rozhodnout o přesunu investice do jiné země</w:t>
      </w:r>
      <w:r>
        <w:rPr>
          <w:rFonts w:eastAsia="Calibri"/>
          <w:sz w:val="24"/>
          <w:szCs w:val="24"/>
          <w:lang w:eastAsia="en-US"/>
        </w:rPr>
        <w:t>,</w:t>
      </w:r>
      <w:r w:rsidRPr="006B3303">
        <w:rPr>
          <w:rFonts w:eastAsia="Calibri"/>
          <w:sz w:val="24"/>
          <w:szCs w:val="24"/>
          <w:lang w:eastAsia="en-US"/>
        </w:rPr>
        <w:t xml:space="preserve"> což </w:t>
      </w:r>
      <w:r>
        <w:rPr>
          <w:rFonts w:eastAsia="Calibri"/>
          <w:sz w:val="24"/>
          <w:szCs w:val="24"/>
          <w:lang w:eastAsia="en-US"/>
        </w:rPr>
        <w:t>znamená</w:t>
      </w:r>
      <w:r w:rsidRPr="006B3303">
        <w:rPr>
          <w:rFonts w:eastAsia="Calibri"/>
          <w:sz w:val="24"/>
          <w:szCs w:val="24"/>
          <w:lang w:eastAsia="en-US"/>
        </w:rPr>
        <w:t xml:space="preserve"> odliv kapitálu ze země (Jeřábková, 2008). V období nejistoty či nestability se mateřské společnosti mohou také rozhodnout finanční prostředky přesunout do svých poboček v jiných zemích a dochází opět k odlivu kapitálu. </w:t>
      </w:r>
    </w:p>
    <w:p w:rsidR="003C633A" w:rsidRPr="006B3303" w:rsidRDefault="003C633A" w:rsidP="00423120">
      <w:pPr>
        <w:ind w:firstLine="720"/>
        <w:jc w:val="both"/>
        <w:rPr>
          <w:rFonts w:eastAsia="Calibri"/>
          <w:sz w:val="24"/>
          <w:szCs w:val="24"/>
          <w:lang w:eastAsia="en-US"/>
        </w:rPr>
      </w:pPr>
      <w:r>
        <w:rPr>
          <w:rFonts w:eastAsia="Calibri"/>
          <w:sz w:val="24"/>
          <w:szCs w:val="24"/>
          <w:lang w:eastAsia="en-US"/>
        </w:rPr>
        <w:t xml:space="preserve">PZI </w:t>
      </w:r>
      <w:r w:rsidRPr="006B3303">
        <w:rPr>
          <w:rFonts w:eastAsia="Calibri"/>
          <w:sz w:val="24"/>
          <w:szCs w:val="24"/>
          <w:lang w:eastAsia="en-US"/>
        </w:rPr>
        <w:t xml:space="preserve">jsou všeobecně považovány za nedluhový nástroj financování investičních aktivit. Nemusí tomu tak ale být vždy. Jak bylo uvedeno výše, součástí </w:t>
      </w:r>
      <w:r>
        <w:rPr>
          <w:rFonts w:eastAsia="Calibri"/>
          <w:sz w:val="24"/>
          <w:szCs w:val="24"/>
          <w:lang w:eastAsia="en-US"/>
        </w:rPr>
        <w:t>PZI</w:t>
      </w:r>
      <w:r w:rsidRPr="006B3303">
        <w:rPr>
          <w:rFonts w:eastAsia="Calibri"/>
          <w:sz w:val="24"/>
          <w:szCs w:val="24"/>
          <w:lang w:eastAsia="en-US"/>
        </w:rPr>
        <w:t xml:space="preserve"> jsou i mezipodnikové úvěry a ty se započítávají do zahraniční zadluženosti země. </w:t>
      </w:r>
      <w:r w:rsidR="00A75E48">
        <w:rPr>
          <w:rFonts w:eastAsia="Calibri"/>
          <w:sz w:val="24"/>
          <w:szCs w:val="24"/>
          <w:lang w:eastAsia="en-US"/>
        </w:rPr>
        <w:t>Pokud domácí pobočky čerpají ve </w:t>
      </w:r>
      <w:r w:rsidRPr="006B3303">
        <w:rPr>
          <w:rFonts w:eastAsia="Calibri"/>
          <w:sz w:val="24"/>
          <w:szCs w:val="24"/>
          <w:lang w:eastAsia="en-US"/>
        </w:rPr>
        <w:t>velké míře úvěry od zahraničních mateřských společností nebo zahraničních bank, může to významně ovlivnit zahraniční zadluženost především malých otevřených ekonomik (Tomšík, 2006).</w:t>
      </w:r>
      <w:r>
        <w:rPr>
          <w:rFonts w:eastAsia="Calibri"/>
          <w:sz w:val="24"/>
          <w:szCs w:val="24"/>
          <w:lang w:eastAsia="en-US"/>
        </w:rPr>
        <w:t xml:space="preserve"> </w:t>
      </w:r>
      <w:r w:rsidRPr="006B3303">
        <w:rPr>
          <w:rFonts w:eastAsia="Calibri"/>
          <w:sz w:val="24"/>
          <w:szCs w:val="24"/>
          <w:lang w:eastAsia="en-US"/>
        </w:rPr>
        <w:t xml:space="preserve">Příliv </w:t>
      </w:r>
      <w:r>
        <w:rPr>
          <w:rFonts w:eastAsia="Calibri"/>
          <w:sz w:val="24"/>
          <w:szCs w:val="24"/>
          <w:lang w:eastAsia="en-US"/>
        </w:rPr>
        <w:t>PZI</w:t>
      </w:r>
      <w:r w:rsidRPr="006B3303">
        <w:rPr>
          <w:rFonts w:eastAsia="Calibri"/>
          <w:sz w:val="24"/>
          <w:szCs w:val="24"/>
          <w:lang w:eastAsia="en-US"/>
        </w:rPr>
        <w:t xml:space="preserve"> má vliv i na vývoj měnového kurzu. Vy</w:t>
      </w:r>
      <w:r w:rsidR="00A75E48">
        <w:rPr>
          <w:rFonts w:eastAsia="Calibri"/>
          <w:sz w:val="24"/>
          <w:szCs w:val="24"/>
          <w:lang w:eastAsia="en-US"/>
        </w:rPr>
        <w:t>soký příliv PZI může působit na </w:t>
      </w:r>
      <w:r w:rsidRPr="006B3303">
        <w:rPr>
          <w:rFonts w:eastAsia="Calibri"/>
          <w:sz w:val="24"/>
          <w:szCs w:val="24"/>
          <w:lang w:eastAsia="en-US"/>
        </w:rPr>
        <w:t xml:space="preserve">zhodnocení měnového kurzu (Srholec, 2004). Pokud by se naopak několik velkých investorů rozhodlo přesunout investice do jiné země, může tento kapitálový odliv v malé ekonomice způsobit znehodnocení měny (Tomšík, 2006). Pohyb měnové kurzu má vliv na ostatní ekonomické subjekty, neboť apreciace zlevňuje dovážené zboží a depreciace naopak zvýhodňuje domácí exportéry. Pokud tedy dochází k vysokému zhodnocení kurzu, snižuje to konkurenceschopnost (a tedy i produkci) domácích vývozců. Platí to zejména u ekonomik, které jsou </w:t>
      </w:r>
      <w:r>
        <w:rPr>
          <w:rFonts w:eastAsia="Calibri"/>
          <w:sz w:val="24"/>
          <w:szCs w:val="24"/>
          <w:lang w:eastAsia="en-US"/>
        </w:rPr>
        <w:t xml:space="preserve">výrazně </w:t>
      </w:r>
      <w:r w:rsidRPr="006B3303">
        <w:rPr>
          <w:rFonts w:eastAsia="Calibri"/>
          <w:sz w:val="24"/>
          <w:szCs w:val="24"/>
          <w:lang w:eastAsia="en-US"/>
        </w:rPr>
        <w:t>závislé na importu a exportu.</w:t>
      </w:r>
    </w:p>
    <w:p w:rsidR="003C633A" w:rsidRPr="006B3303" w:rsidRDefault="003C633A" w:rsidP="00423120">
      <w:pPr>
        <w:keepNext/>
        <w:widowControl w:val="0"/>
        <w:suppressLineNumbers/>
        <w:ind w:firstLine="720"/>
        <w:jc w:val="both"/>
        <w:rPr>
          <w:rFonts w:eastAsia="Calibri"/>
          <w:sz w:val="24"/>
          <w:szCs w:val="24"/>
          <w:lang w:eastAsia="en-US"/>
        </w:rPr>
      </w:pPr>
      <w:r>
        <w:rPr>
          <w:rFonts w:eastAsia="Calibri"/>
          <w:sz w:val="24"/>
          <w:szCs w:val="24"/>
          <w:lang w:eastAsia="en-US"/>
        </w:rPr>
        <w:t>PZI</w:t>
      </w:r>
      <w:r w:rsidRPr="006B3303">
        <w:rPr>
          <w:rFonts w:eastAsia="Calibri"/>
          <w:sz w:val="24"/>
          <w:szCs w:val="24"/>
          <w:lang w:eastAsia="en-US"/>
        </w:rPr>
        <w:t xml:space="preserve"> mohou vytvářet velký počet nových pracovních míst</w:t>
      </w:r>
      <w:r>
        <w:rPr>
          <w:rFonts w:eastAsia="Calibri"/>
          <w:sz w:val="24"/>
          <w:szCs w:val="24"/>
          <w:lang w:eastAsia="en-US"/>
        </w:rPr>
        <w:t>,</w:t>
      </w:r>
      <w:r w:rsidRPr="006B3303">
        <w:rPr>
          <w:rFonts w:eastAsia="Calibri"/>
          <w:sz w:val="24"/>
          <w:szCs w:val="24"/>
          <w:lang w:eastAsia="en-US"/>
        </w:rPr>
        <w:t xml:space="preserve"> zejména v případech investic na zelené louce</w:t>
      </w:r>
      <w:r>
        <w:rPr>
          <w:rFonts w:eastAsia="Calibri"/>
          <w:sz w:val="24"/>
          <w:szCs w:val="24"/>
          <w:lang w:eastAsia="en-US"/>
        </w:rPr>
        <w:t xml:space="preserve"> spojených se</w:t>
      </w:r>
      <w:r w:rsidRPr="006B3303">
        <w:rPr>
          <w:rFonts w:eastAsia="Calibri"/>
          <w:sz w:val="24"/>
          <w:szCs w:val="24"/>
          <w:lang w:eastAsia="en-US"/>
        </w:rPr>
        <w:t> zavádění</w:t>
      </w:r>
      <w:r>
        <w:rPr>
          <w:rFonts w:eastAsia="Calibri"/>
          <w:sz w:val="24"/>
          <w:szCs w:val="24"/>
          <w:lang w:eastAsia="en-US"/>
        </w:rPr>
        <w:t>m</w:t>
      </w:r>
      <w:r w:rsidRPr="006B3303">
        <w:rPr>
          <w:rFonts w:eastAsia="Calibri"/>
          <w:sz w:val="24"/>
          <w:szCs w:val="24"/>
          <w:lang w:eastAsia="en-US"/>
        </w:rPr>
        <w:t xml:space="preserve"> nové výroby. Pokud se jedná o akviziční investice, mohou být dopady </w:t>
      </w:r>
      <w:r>
        <w:rPr>
          <w:rFonts w:eastAsia="Calibri"/>
          <w:sz w:val="24"/>
          <w:szCs w:val="24"/>
          <w:lang w:eastAsia="en-US"/>
        </w:rPr>
        <w:t>PZI</w:t>
      </w:r>
      <w:r w:rsidRPr="006B3303">
        <w:rPr>
          <w:rFonts w:eastAsia="Calibri"/>
          <w:sz w:val="24"/>
          <w:szCs w:val="24"/>
          <w:lang w:eastAsia="en-US"/>
        </w:rPr>
        <w:t xml:space="preserve"> opačné. Investor usiluje o zvýšení produktivity práce prostřednictvím organizačních změn nebo zapojování technologií nahrazují</w:t>
      </w:r>
      <w:r>
        <w:rPr>
          <w:rFonts w:eastAsia="Calibri"/>
          <w:sz w:val="24"/>
          <w:szCs w:val="24"/>
          <w:lang w:eastAsia="en-US"/>
        </w:rPr>
        <w:t>cích</w:t>
      </w:r>
      <w:r w:rsidRPr="006B3303">
        <w:rPr>
          <w:rFonts w:eastAsia="Calibri"/>
          <w:sz w:val="24"/>
          <w:szCs w:val="24"/>
          <w:lang w:eastAsia="en-US"/>
        </w:rPr>
        <w:t xml:space="preserve"> lidskou práci</w:t>
      </w:r>
      <w:r w:rsidR="003B2181">
        <w:rPr>
          <w:rFonts w:eastAsia="Calibri"/>
          <w:sz w:val="24"/>
          <w:szCs w:val="24"/>
          <w:lang w:eastAsia="en-US"/>
        </w:rPr>
        <w:t>,</w:t>
      </w:r>
      <w:r w:rsidRPr="006B3303">
        <w:rPr>
          <w:rFonts w:eastAsia="Calibri"/>
          <w:sz w:val="24"/>
          <w:szCs w:val="24"/>
          <w:lang w:eastAsia="en-US"/>
        </w:rPr>
        <w:t xml:space="preserve"> a proto může dojít k poklesu pracovních míst (v této souvislosti se hovoří o tzv. technologické nezaměstnanosti</w:t>
      </w:r>
      <w:r>
        <w:rPr>
          <w:rFonts w:eastAsia="Calibri"/>
          <w:sz w:val="24"/>
          <w:szCs w:val="24"/>
          <w:lang w:eastAsia="en-US"/>
        </w:rPr>
        <w:t>).</w:t>
      </w:r>
      <w:r w:rsidRPr="006B3303">
        <w:rPr>
          <w:rFonts w:eastAsia="Calibri"/>
          <w:sz w:val="24"/>
          <w:szCs w:val="24"/>
          <w:lang w:eastAsia="en-US"/>
        </w:rPr>
        <w:t xml:space="preserve"> </w:t>
      </w:r>
      <w:r>
        <w:rPr>
          <w:rFonts w:eastAsia="Calibri"/>
          <w:sz w:val="24"/>
          <w:szCs w:val="24"/>
          <w:lang w:eastAsia="en-US"/>
        </w:rPr>
        <w:t>I</w:t>
      </w:r>
      <w:r w:rsidRPr="006B3303">
        <w:rPr>
          <w:rFonts w:eastAsia="Calibri"/>
          <w:sz w:val="24"/>
          <w:szCs w:val="24"/>
          <w:lang w:eastAsia="en-US"/>
        </w:rPr>
        <w:t>nvestic</w:t>
      </w:r>
      <w:r>
        <w:rPr>
          <w:rFonts w:eastAsia="Calibri"/>
          <w:sz w:val="24"/>
          <w:szCs w:val="24"/>
          <w:lang w:eastAsia="en-US"/>
        </w:rPr>
        <w:t>e</w:t>
      </w:r>
      <w:r w:rsidRPr="006B3303">
        <w:rPr>
          <w:rFonts w:eastAsia="Calibri"/>
          <w:sz w:val="24"/>
          <w:szCs w:val="24"/>
          <w:lang w:eastAsia="en-US"/>
        </w:rPr>
        <w:t xml:space="preserve"> na zelené louce </w:t>
      </w:r>
      <w:r>
        <w:rPr>
          <w:rFonts w:eastAsia="Calibri"/>
          <w:sz w:val="24"/>
          <w:szCs w:val="24"/>
          <w:lang w:eastAsia="en-US"/>
        </w:rPr>
        <w:t xml:space="preserve">pocházející většinou z vyspělejších zemí mohou v případě jejich alokace v méně vyspělých zemích </w:t>
      </w:r>
      <w:r w:rsidRPr="006B3303">
        <w:rPr>
          <w:rFonts w:eastAsia="Calibri"/>
          <w:sz w:val="24"/>
          <w:szCs w:val="24"/>
          <w:lang w:eastAsia="en-US"/>
        </w:rPr>
        <w:t xml:space="preserve">způsobit zánik slabších konkurentů či přetahování jejich zaměstnanců do nového podniku (Janáček, 2006). </w:t>
      </w:r>
      <w:r>
        <w:rPr>
          <w:rFonts w:eastAsia="Calibri"/>
          <w:sz w:val="24"/>
          <w:szCs w:val="24"/>
          <w:lang w:eastAsia="en-US"/>
        </w:rPr>
        <w:t>PZI</w:t>
      </w:r>
      <w:r w:rsidRPr="006B3303">
        <w:rPr>
          <w:rFonts w:eastAsia="Calibri"/>
          <w:sz w:val="24"/>
          <w:szCs w:val="24"/>
          <w:lang w:eastAsia="en-US"/>
        </w:rPr>
        <w:t xml:space="preserve"> se na trhu práce projevují také zvyšováním produktivity práce. Podniky se zahraničním kapitálem </w:t>
      </w:r>
      <w:r>
        <w:rPr>
          <w:rFonts w:eastAsia="Calibri"/>
          <w:sz w:val="24"/>
          <w:szCs w:val="24"/>
          <w:lang w:eastAsia="en-US"/>
        </w:rPr>
        <w:t xml:space="preserve">často </w:t>
      </w:r>
      <w:r w:rsidRPr="006B3303">
        <w:rPr>
          <w:rFonts w:eastAsia="Calibri"/>
          <w:sz w:val="24"/>
          <w:szCs w:val="24"/>
          <w:lang w:eastAsia="en-US"/>
        </w:rPr>
        <w:t>dosahují vyšší produktivity práce</w:t>
      </w:r>
      <w:r>
        <w:rPr>
          <w:rFonts w:eastAsia="Calibri"/>
          <w:sz w:val="24"/>
          <w:szCs w:val="24"/>
          <w:lang w:eastAsia="en-US"/>
        </w:rPr>
        <w:t>, které</w:t>
      </w:r>
      <w:r w:rsidRPr="006B3303">
        <w:rPr>
          <w:rFonts w:eastAsia="Calibri"/>
          <w:sz w:val="24"/>
          <w:szCs w:val="24"/>
          <w:lang w:eastAsia="en-US"/>
        </w:rPr>
        <w:t xml:space="preserve"> se </w:t>
      </w:r>
      <w:r>
        <w:rPr>
          <w:rFonts w:eastAsia="Calibri"/>
          <w:sz w:val="24"/>
          <w:szCs w:val="24"/>
          <w:lang w:eastAsia="en-US"/>
        </w:rPr>
        <w:t>následně</w:t>
      </w:r>
      <w:r w:rsidRPr="006B3303">
        <w:rPr>
          <w:rFonts w:eastAsia="Calibri"/>
          <w:sz w:val="24"/>
          <w:szCs w:val="24"/>
          <w:lang w:eastAsia="en-US"/>
        </w:rPr>
        <w:t xml:space="preserve"> může projevit i u domácích firem (CzechInvest, 2010, Janáček, 2006). Pozitivní je také vliv </w:t>
      </w:r>
      <w:r>
        <w:rPr>
          <w:rFonts w:eastAsia="Calibri"/>
          <w:sz w:val="24"/>
          <w:szCs w:val="24"/>
          <w:lang w:eastAsia="en-US"/>
        </w:rPr>
        <w:t>PZI</w:t>
      </w:r>
      <w:r w:rsidRPr="006B3303">
        <w:rPr>
          <w:rFonts w:eastAsia="Calibri"/>
          <w:sz w:val="24"/>
          <w:szCs w:val="24"/>
          <w:lang w:eastAsia="en-US"/>
        </w:rPr>
        <w:t xml:space="preserve"> na růst mezd, protože mzdy v podnicích se zahraničním vlastníkem bývají vyšší a zvyšují tak životní úroveň domácích pracovníků</w:t>
      </w:r>
      <w:r>
        <w:rPr>
          <w:rFonts w:eastAsia="Calibri"/>
          <w:sz w:val="24"/>
          <w:szCs w:val="24"/>
          <w:lang w:eastAsia="en-US"/>
        </w:rPr>
        <w:t xml:space="preserve"> (v</w:t>
      </w:r>
      <w:r w:rsidRPr="006B3303">
        <w:rPr>
          <w:rFonts w:eastAsia="Calibri"/>
          <w:sz w:val="24"/>
          <w:szCs w:val="24"/>
          <w:lang w:eastAsia="en-US"/>
        </w:rPr>
        <w:t>yšší hladina mezd dále tlačí na zvyšování mezd v domácích podnicích</w:t>
      </w:r>
      <w:r>
        <w:rPr>
          <w:rFonts w:eastAsia="Calibri"/>
          <w:sz w:val="24"/>
          <w:szCs w:val="24"/>
          <w:lang w:eastAsia="en-US"/>
        </w:rPr>
        <w:t>)</w:t>
      </w:r>
      <w:r w:rsidRPr="006B3303">
        <w:rPr>
          <w:rFonts w:eastAsia="Calibri"/>
          <w:sz w:val="24"/>
          <w:szCs w:val="24"/>
          <w:lang w:eastAsia="en-US"/>
        </w:rPr>
        <w:t>. Pokud ale domácí podniky mají nižší produktivitu práce, dochází</w:t>
      </w:r>
      <w:r>
        <w:rPr>
          <w:rFonts w:eastAsia="Calibri"/>
          <w:sz w:val="24"/>
          <w:szCs w:val="24"/>
          <w:lang w:eastAsia="en-US"/>
        </w:rPr>
        <w:t xml:space="preserve"> ovšem </w:t>
      </w:r>
      <w:r w:rsidRPr="006B3303">
        <w:rPr>
          <w:rFonts w:eastAsia="Calibri"/>
          <w:sz w:val="24"/>
          <w:szCs w:val="24"/>
          <w:lang w:eastAsia="en-US"/>
        </w:rPr>
        <w:t>k</w:t>
      </w:r>
      <w:r>
        <w:rPr>
          <w:rFonts w:eastAsia="Calibri"/>
          <w:sz w:val="24"/>
          <w:szCs w:val="24"/>
          <w:lang w:eastAsia="en-US"/>
        </w:rPr>
        <w:t> </w:t>
      </w:r>
      <w:r w:rsidRPr="006B3303">
        <w:rPr>
          <w:rFonts w:eastAsia="Calibri"/>
          <w:sz w:val="24"/>
          <w:szCs w:val="24"/>
          <w:lang w:eastAsia="en-US"/>
        </w:rPr>
        <w:t xml:space="preserve"> poklesu jejich ziskovosti (Janáček, 2006), propouštění</w:t>
      </w:r>
      <w:r>
        <w:rPr>
          <w:rFonts w:eastAsia="Calibri"/>
          <w:sz w:val="24"/>
          <w:szCs w:val="24"/>
          <w:lang w:eastAsia="en-US"/>
        </w:rPr>
        <w:t xml:space="preserve"> zaměstnanců</w:t>
      </w:r>
      <w:r w:rsidRPr="006B3303">
        <w:rPr>
          <w:rFonts w:eastAsia="Calibri"/>
          <w:sz w:val="24"/>
          <w:szCs w:val="24"/>
          <w:lang w:eastAsia="en-US"/>
        </w:rPr>
        <w:t xml:space="preserve"> a </w:t>
      </w:r>
      <w:r>
        <w:rPr>
          <w:rFonts w:eastAsia="Calibri"/>
          <w:sz w:val="24"/>
          <w:szCs w:val="24"/>
          <w:lang w:eastAsia="en-US"/>
        </w:rPr>
        <w:t xml:space="preserve">k </w:t>
      </w:r>
      <w:r w:rsidRPr="006B3303">
        <w:rPr>
          <w:rFonts w:eastAsia="Calibri"/>
          <w:sz w:val="24"/>
          <w:szCs w:val="24"/>
          <w:lang w:eastAsia="en-US"/>
        </w:rPr>
        <w:t>poklesu konkurenceschopnosti domácích firem (Benáček, 2000).</w:t>
      </w:r>
    </w:p>
    <w:p w:rsidR="003C633A" w:rsidRPr="006B3303" w:rsidRDefault="003C633A" w:rsidP="00423120">
      <w:pPr>
        <w:keepNext/>
        <w:widowControl w:val="0"/>
        <w:suppressLineNumbers/>
        <w:ind w:firstLine="720"/>
        <w:jc w:val="both"/>
        <w:rPr>
          <w:rFonts w:eastAsia="Calibri"/>
          <w:sz w:val="24"/>
          <w:szCs w:val="24"/>
          <w:lang w:eastAsia="en-US"/>
        </w:rPr>
      </w:pPr>
      <w:r w:rsidRPr="006B3303">
        <w:rPr>
          <w:rFonts w:eastAsia="Calibri"/>
          <w:sz w:val="24"/>
          <w:szCs w:val="24"/>
          <w:lang w:eastAsia="en-US"/>
        </w:rPr>
        <w:t xml:space="preserve">Předchozí odstavec naznačil, že </w:t>
      </w:r>
      <w:r>
        <w:rPr>
          <w:rFonts w:eastAsia="Calibri"/>
          <w:sz w:val="24"/>
          <w:szCs w:val="24"/>
          <w:lang w:eastAsia="en-US"/>
        </w:rPr>
        <w:t>PZI</w:t>
      </w:r>
      <w:r w:rsidRPr="006B3303">
        <w:rPr>
          <w:rFonts w:eastAsia="Calibri"/>
          <w:sz w:val="24"/>
          <w:szCs w:val="24"/>
          <w:lang w:eastAsia="en-US"/>
        </w:rPr>
        <w:t xml:space="preserve"> se mohou pr</w:t>
      </w:r>
      <w:r w:rsidR="00A75E48">
        <w:rPr>
          <w:rFonts w:eastAsia="Calibri"/>
          <w:sz w:val="24"/>
          <w:szCs w:val="24"/>
          <w:lang w:eastAsia="en-US"/>
        </w:rPr>
        <w:t>ojevovat vytěsňovacími efekty a </w:t>
      </w:r>
      <w:r w:rsidRPr="006B3303">
        <w:rPr>
          <w:rFonts w:eastAsia="Calibri"/>
          <w:sz w:val="24"/>
          <w:szCs w:val="24"/>
          <w:lang w:eastAsia="en-US"/>
        </w:rPr>
        <w:t xml:space="preserve">dalšími dopady na domácí podniky. Jednou z důležitých otázek zkoumání vlivu </w:t>
      </w:r>
      <w:r>
        <w:rPr>
          <w:rFonts w:eastAsia="Calibri"/>
          <w:sz w:val="24"/>
          <w:szCs w:val="24"/>
          <w:lang w:eastAsia="en-US"/>
        </w:rPr>
        <w:t>PZI</w:t>
      </w:r>
      <w:r w:rsidRPr="006B3303">
        <w:rPr>
          <w:rFonts w:eastAsia="Calibri"/>
          <w:sz w:val="24"/>
          <w:szCs w:val="24"/>
          <w:lang w:eastAsia="en-US"/>
        </w:rPr>
        <w:t xml:space="preserve"> jsou tak </w:t>
      </w:r>
      <w:r>
        <w:rPr>
          <w:rFonts w:eastAsia="Calibri"/>
          <w:sz w:val="24"/>
          <w:szCs w:val="24"/>
          <w:lang w:eastAsia="en-US"/>
        </w:rPr>
        <w:t xml:space="preserve">tzv. </w:t>
      </w:r>
      <w:r w:rsidRPr="006B3303">
        <w:rPr>
          <w:rFonts w:eastAsia="Calibri"/>
          <w:sz w:val="24"/>
          <w:szCs w:val="24"/>
          <w:lang w:eastAsia="en-US"/>
        </w:rPr>
        <w:t xml:space="preserve">crowd out a crowd in efekty. Crowd out efekt znamená, že příliv </w:t>
      </w:r>
      <w:r>
        <w:rPr>
          <w:rFonts w:eastAsia="Calibri"/>
          <w:sz w:val="24"/>
          <w:szCs w:val="24"/>
          <w:lang w:eastAsia="en-US"/>
        </w:rPr>
        <w:t>PZI</w:t>
      </w:r>
      <w:r w:rsidRPr="006B3303">
        <w:rPr>
          <w:rFonts w:eastAsia="Calibri"/>
          <w:sz w:val="24"/>
          <w:szCs w:val="24"/>
          <w:lang w:eastAsia="en-US"/>
        </w:rPr>
        <w:t xml:space="preserve"> způsobí snížení produkce a investic domácích subjektů, které nejsou schopny konkurovat zahraničnímu kapitálu. Crowd in efekt vyvolá naopak zvýšení investic domácích subjektů, neboť podněcuje konkurenci a zefektivňuje výrobu</w:t>
      </w:r>
      <w:r>
        <w:rPr>
          <w:rFonts w:eastAsia="Calibri"/>
          <w:sz w:val="24"/>
          <w:szCs w:val="24"/>
          <w:lang w:eastAsia="en-US"/>
        </w:rPr>
        <w:t xml:space="preserve"> (Buček</w:t>
      </w:r>
      <w:r w:rsidRPr="006B3303">
        <w:rPr>
          <w:rFonts w:eastAsia="Calibri"/>
          <w:sz w:val="24"/>
          <w:szCs w:val="24"/>
          <w:lang w:eastAsia="en-US"/>
        </w:rPr>
        <w:t xml:space="preserve"> a kol., 2011). Konkurence nadnárodních podniků </w:t>
      </w:r>
      <w:r w:rsidRPr="006B3303">
        <w:rPr>
          <w:rFonts w:eastAsia="Calibri"/>
          <w:sz w:val="24"/>
          <w:szCs w:val="24"/>
          <w:lang w:eastAsia="en-US"/>
        </w:rPr>
        <w:lastRenderedPageBreak/>
        <w:t>nevytlačuje domácí firmy pouze z trhu produktů, ale také z trhu výrobních faktorů, zejm</w:t>
      </w:r>
      <w:r>
        <w:rPr>
          <w:rFonts w:eastAsia="Calibri"/>
          <w:sz w:val="24"/>
          <w:szCs w:val="24"/>
          <w:lang w:eastAsia="en-US"/>
        </w:rPr>
        <w:t>éna</w:t>
      </w:r>
      <w:r w:rsidRPr="006B3303">
        <w:rPr>
          <w:rFonts w:eastAsia="Calibri"/>
          <w:sz w:val="24"/>
          <w:szCs w:val="24"/>
          <w:lang w:eastAsia="en-US"/>
        </w:rPr>
        <w:t xml:space="preserve"> trhu práce (Srholec, 2004).</w:t>
      </w:r>
      <w:r>
        <w:rPr>
          <w:rFonts w:eastAsia="Calibri"/>
          <w:sz w:val="24"/>
          <w:szCs w:val="24"/>
          <w:lang w:eastAsia="en-US"/>
        </w:rPr>
        <w:t xml:space="preserve"> </w:t>
      </w:r>
      <w:r w:rsidRPr="006B3303">
        <w:rPr>
          <w:rFonts w:eastAsia="Calibri"/>
          <w:sz w:val="24"/>
          <w:szCs w:val="24"/>
          <w:lang w:eastAsia="en-US"/>
        </w:rPr>
        <w:t xml:space="preserve">Mezi další efekty </w:t>
      </w:r>
      <w:r>
        <w:rPr>
          <w:rFonts w:eastAsia="Calibri"/>
          <w:sz w:val="24"/>
          <w:szCs w:val="24"/>
          <w:lang w:eastAsia="en-US"/>
        </w:rPr>
        <w:t>PZI</w:t>
      </w:r>
      <w:r w:rsidRPr="006B3303">
        <w:rPr>
          <w:rFonts w:eastAsia="Calibri"/>
          <w:sz w:val="24"/>
          <w:szCs w:val="24"/>
          <w:lang w:eastAsia="en-US"/>
        </w:rPr>
        <w:t xml:space="preserve"> patří růst ekonomické a exportní výkonnosti, růst hrubé přidané hodnoty a ovlivnění domácích firem. Domácí podniky mohou těžit z tzv. spill-over</w:t>
      </w:r>
      <w:r>
        <w:rPr>
          <w:rFonts w:eastAsia="Calibri"/>
          <w:sz w:val="24"/>
          <w:szCs w:val="24"/>
          <w:lang w:eastAsia="en-US"/>
        </w:rPr>
        <w:t>s</w:t>
      </w:r>
      <w:r w:rsidRPr="006B3303">
        <w:rPr>
          <w:rFonts w:eastAsia="Calibri"/>
          <w:sz w:val="24"/>
          <w:szCs w:val="24"/>
          <w:lang w:eastAsia="en-US"/>
        </w:rPr>
        <w:t xml:space="preserve"> efektů (tedy efektů přelévání), kdy se ze zahraničních podniků šíří technologie, know-how nebo manažerské a marketingové dovednosti. Díky spolupráci</w:t>
      </w:r>
      <w:r>
        <w:rPr>
          <w:rFonts w:eastAsia="Calibri"/>
          <w:sz w:val="24"/>
          <w:szCs w:val="24"/>
          <w:lang w:eastAsia="en-US"/>
        </w:rPr>
        <w:t xml:space="preserve"> pak</w:t>
      </w:r>
      <w:r w:rsidRPr="006B3303">
        <w:rPr>
          <w:rFonts w:eastAsia="Calibri"/>
          <w:sz w:val="24"/>
          <w:szCs w:val="24"/>
          <w:lang w:eastAsia="en-US"/>
        </w:rPr>
        <w:t xml:space="preserve"> mohou domácí podniky získat nové zakázky i přístup na zahraniční trhy. Z hlediska znalostní ekonomiky je důležitá i spolupráce kapitálově silných zahraničních společností s výzkumnou sférou a vysokými školami v oblasti výzkum</w:t>
      </w:r>
      <w:r>
        <w:rPr>
          <w:rFonts w:eastAsia="Calibri"/>
          <w:sz w:val="24"/>
          <w:szCs w:val="24"/>
          <w:lang w:eastAsia="en-US"/>
        </w:rPr>
        <w:t>u</w:t>
      </w:r>
      <w:r w:rsidRPr="006B3303">
        <w:rPr>
          <w:rFonts w:eastAsia="Calibri"/>
          <w:sz w:val="24"/>
          <w:szCs w:val="24"/>
          <w:lang w:eastAsia="en-US"/>
        </w:rPr>
        <w:t xml:space="preserve">, vývoje a inovací (Jeřábková, 2008, CzechInvest, 2010). </w:t>
      </w:r>
    </w:p>
    <w:p w:rsidR="003C633A" w:rsidRPr="006B3303" w:rsidRDefault="003C633A" w:rsidP="00423120">
      <w:pPr>
        <w:keepNext/>
        <w:widowControl w:val="0"/>
        <w:suppressLineNumbers/>
        <w:ind w:firstLine="720"/>
        <w:jc w:val="both"/>
        <w:rPr>
          <w:rFonts w:eastAsia="Calibri"/>
          <w:sz w:val="24"/>
          <w:szCs w:val="24"/>
          <w:lang w:eastAsia="en-US"/>
        </w:rPr>
      </w:pPr>
      <w:r>
        <w:rPr>
          <w:rFonts w:eastAsia="Calibri"/>
          <w:sz w:val="24"/>
          <w:szCs w:val="24"/>
          <w:lang w:eastAsia="en-US"/>
        </w:rPr>
        <w:t>Z regionálního pohledu je j</w:t>
      </w:r>
      <w:r w:rsidRPr="006B3303">
        <w:rPr>
          <w:rFonts w:eastAsia="Calibri"/>
          <w:sz w:val="24"/>
          <w:szCs w:val="24"/>
          <w:lang w:eastAsia="en-US"/>
        </w:rPr>
        <w:t xml:space="preserve">edním z přirozených negativních rysů </w:t>
      </w:r>
      <w:r>
        <w:rPr>
          <w:rFonts w:eastAsia="Calibri"/>
          <w:sz w:val="24"/>
          <w:szCs w:val="24"/>
          <w:lang w:eastAsia="en-US"/>
        </w:rPr>
        <w:t>PZI</w:t>
      </w:r>
      <w:r w:rsidRPr="006B3303">
        <w:rPr>
          <w:rFonts w:eastAsia="Calibri"/>
          <w:sz w:val="24"/>
          <w:szCs w:val="24"/>
          <w:lang w:eastAsia="en-US"/>
        </w:rPr>
        <w:t xml:space="preserve"> jejich tendence koncentrovat se do vyspělejších regionů (aglomerační efekt). Tím</w:t>
      </w:r>
      <w:r w:rsidRPr="00617A0D">
        <w:rPr>
          <w:rFonts w:eastAsia="Calibri"/>
          <w:sz w:val="24"/>
          <w:szCs w:val="24"/>
          <w:lang w:eastAsia="en-US"/>
        </w:rPr>
        <w:t xml:space="preserve"> </w:t>
      </w:r>
      <w:r>
        <w:rPr>
          <w:rFonts w:eastAsia="Calibri"/>
          <w:sz w:val="24"/>
          <w:szCs w:val="24"/>
          <w:lang w:eastAsia="en-US"/>
        </w:rPr>
        <w:t>PZI</w:t>
      </w:r>
      <w:r w:rsidRPr="006B3303">
        <w:rPr>
          <w:rFonts w:eastAsia="Calibri"/>
          <w:sz w:val="24"/>
          <w:szCs w:val="24"/>
          <w:lang w:eastAsia="en-US"/>
        </w:rPr>
        <w:t xml:space="preserve"> přispívají</w:t>
      </w:r>
      <w:r>
        <w:rPr>
          <w:rFonts w:eastAsia="Calibri"/>
          <w:sz w:val="24"/>
          <w:szCs w:val="24"/>
          <w:lang w:eastAsia="en-US"/>
        </w:rPr>
        <w:t xml:space="preserve"> k</w:t>
      </w:r>
      <w:r w:rsidR="00A75E48">
        <w:rPr>
          <w:rFonts w:eastAsia="Calibri"/>
          <w:sz w:val="24"/>
          <w:szCs w:val="24"/>
          <w:lang w:eastAsia="en-US"/>
        </w:rPr>
        <w:t> </w:t>
      </w:r>
      <w:r w:rsidRPr="006B3303">
        <w:rPr>
          <w:rFonts w:eastAsia="Calibri"/>
          <w:sz w:val="24"/>
          <w:szCs w:val="24"/>
          <w:lang w:eastAsia="en-US"/>
        </w:rPr>
        <w:t xml:space="preserve">nerovnoměrnému rozvoji regionů a způsobují prohlubování regionálních disparit (Buček, 2011). Rizikem </w:t>
      </w:r>
      <w:r>
        <w:rPr>
          <w:rFonts w:eastAsia="Calibri"/>
          <w:sz w:val="24"/>
          <w:szCs w:val="24"/>
          <w:lang w:eastAsia="en-US"/>
        </w:rPr>
        <w:t>PZI</w:t>
      </w:r>
      <w:r w:rsidRPr="006B3303">
        <w:rPr>
          <w:rFonts w:eastAsia="Calibri"/>
          <w:sz w:val="24"/>
          <w:szCs w:val="24"/>
          <w:lang w:eastAsia="en-US"/>
        </w:rPr>
        <w:t xml:space="preserve"> je také vznik </w:t>
      </w:r>
      <w:r>
        <w:rPr>
          <w:rFonts w:eastAsia="Calibri"/>
          <w:sz w:val="24"/>
          <w:szCs w:val="24"/>
          <w:lang w:eastAsia="en-US"/>
        </w:rPr>
        <w:t xml:space="preserve">tzv. </w:t>
      </w:r>
      <w:r w:rsidRPr="006B3303">
        <w:rPr>
          <w:rFonts w:eastAsia="Calibri"/>
          <w:sz w:val="24"/>
          <w:szCs w:val="24"/>
          <w:lang w:eastAsia="en-US"/>
        </w:rPr>
        <w:t>duální ekonomiky, k</w:t>
      </w:r>
      <w:r w:rsidR="00A75E48">
        <w:rPr>
          <w:rFonts w:eastAsia="Calibri"/>
          <w:sz w:val="24"/>
          <w:szCs w:val="24"/>
          <w:lang w:eastAsia="en-US"/>
        </w:rPr>
        <w:t>dy domácí podniky zaostávají za </w:t>
      </w:r>
      <w:r w:rsidRPr="006B3303">
        <w:rPr>
          <w:rFonts w:eastAsia="Calibri"/>
          <w:sz w:val="24"/>
          <w:szCs w:val="24"/>
          <w:lang w:eastAsia="en-US"/>
        </w:rPr>
        <w:t>podniky se zahraničním vlastníkem</w:t>
      </w:r>
      <w:r>
        <w:rPr>
          <w:rFonts w:eastAsia="Calibri"/>
          <w:sz w:val="24"/>
          <w:szCs w:val="24"/>
          <w:lang w:eastAsia="en-US"/>
        </w:rPr>
        <w:t xml:space="preserve"> </w:t>
      </w:r>
      <w:r w:rsidRPr="006B3303">
        <w:rPr>
          <w:rFonts w:eastAsia="Calibri"/>
          <w:sz w:val="24"/>
          <w:szCs w:val="24"/>
          <w:lang w:eastAsia="en-US"/>
        </w:rPr>
        <w:t>např. v produktivitě práce</w:t>
      </w:r>
      <w:r>
        <w:rPr>
          <w:rFonts w:eastAsia="Calibri"/>
          <w:sz w:val="24"/>
          <w:szCs w:val="24"/>
          <w:lang w:eastAsia="en-US"/>
        </w:rPr>
        <w:t xml:space="preserve"> či</w:t>
      </w:r>
      <w:r w:rsidRPr="006B3303">
        <w:rPr>
          <w:rFonts w:eastAsia="Calibri"/>
          <w:sz w:val="24"/>
          <w:szCs w:val="24"/>
          <w:lang w:eastAsia="en-US"/>
        </w:rPr>
        <w:t xml:space="preserve"> inovační aktivitě (Jeřábková, 2008, Benáček, 2000).</w:t>
      </w:r>
      <w:r>
        <w:rPr>
          <w:rFonts w:eastAsia="Calibri"/>
          <w:sz w:val="24"/>
          <w:szCs w:val="24"/>
          <w:lang w:eastAsia="en-US"/>
        </w:rPr>
        <w:t xml:space="preserve"> </w:t>
      </w:r>
      <w:r w:rsidRPr="006B3303">
        <w:rPr>
          <w:rFonts w:eastAsia="Calibri"/>
          <w:sz w:val="24"/>
          <w:szCs w:val="24"/>
          <w:lang w:eastAsia="en-US"/>
        </w:rPr>
        <w:t xml:space="preserve">Benáček uvádí, že </w:t>
      </w:r>
      <w:r>
        <w:rPr>
          <w:rFonts w:eastAsia="Calibri"/>
          <w:sz w:val="24"/>
          <w:szCs w:val="24"/>
          <w:lang w:eastAsia="en-US"/>
        </w:rPr>
        <w:t>PZI</w:t>
      </w:r>
      <w:r w:rsidRPr="006B3303">
        <w:rPr>
          <w:rFonts w:eastAsia="Calibri"/>
          <w:sz w:val="24"/>
          <w:szCs w:val="24"/>
          <w:lang w:eastAsia="en-US"/>
        </w:rPr>
        <w:t xml:space="preserve"> přináší </w:t>
      </w:r>
      <w:r>
        <w:rPr>
          <w:rFonts w:eastAsia="Calibri"/>
          <w:sz w:val="24"/>
          <w:szCs w:val="24"/>
          <w:lang w:eastAsia="en-US"/>
        </w:rPr>
        <w:t xml:space="preserve">i </w:t>
      </w:r>
      <w:r w:rsidRPr="006B3303">
        <w:rPr>
          <w:rFonts w:eastAsia="Calibri"/>
          <w:sz w:val="24"/>
          <w:szCs w:val="24"/>
          <w:lang w:eastAsia="en-US"/>
        </w:rPr>
        <w:t>efekty, které jsou spojeny s pozitivními externalitami a které můžeme označit jako veřej</w:t>
      </w:r>
      <w:r w:rsidR="00A75E48">
        <w:rPr>
          <w:rFonts w:eastAsia="Calibri"/>
          <w:sz w:val="24"/>
          <w:szCs w:val="24"/>
          <w:lang w:eastAsia="en-US"/>
        </w:rPr>
        <w:t>né statky. Jedná se především o </w:t>
      </w:r>
      <w:r w:rsidRPr="006B3303">
        <w:rPr>
          <w:rFonts w:eastAsia="Calibri"/>
          <w:sz w:val="24"/>
          <w:szCs w:val="24"/>
          <w:lang w:eastAsia="en-US"/>
        </w:rPr>
        <w:t xml:space="preserve">doplnění hostitelské ekonomiky lidským kapitálem v oblasti výzkumu a vývoje nebo řízení a organizace firmy, rozšíření sítí v oblasti ICT, distribuce, přístupu k patentům a zlepšení stavu institucionálního systému hostitelské země. </w:t>
      </w:r>
      <w:r>
        <w:rPr>
          <w:rFonts w:eastAsia="Calibri"/>
          <w:sz w:val="24"/>
          <w:szCs w:val="24"/>
          <w:lang w:eastAsia="en-US"/>
        </w:rPr>
        <w:t xml:space="preserve">Tyto přínosy jsou </w:t>
      </w:r>
      <w:r w:rsidRPr="006B3303">
        <w:rPr>
          <w:rFonts w:eastAsia="Calibri"/>
          <w:sz w:val="24"/>
          <w:szCs w:val="24"/>
          <w:lang w:eastAsia="en-US"/>
        </w:rPr>
        <w:t xml:space="preserve">důvodem k tomu, aby stát podporoval příliv </w:t>
      </w:r>
      <w:r>
        <w:rPr>
          <w:rFonts w:eastAsia="Calibri"/>
          <w:sz w:val="24"/>
          <w:szCs w:val="24"/>
          <w:lang w:eastAsia="en-US"/>
        </w:rPr>
        <w:t>PZI</w:t>
      </w:r>
      <w:r w:rsidRPr="006B3303">
        <w:rPr>
          <w:rFonts w:eastAsia="Calibri"/>
          <w:sz w:val="24"/>
          <w:szCs w:val="24"/>
          <w:lang w:eastAsia="en-US"/>
        </w:rPr>
        <w:t xml:space="preserve"> prostřednictvím investičních pobídek. V</w:t>
      </w:r>
      <w:r>
        <w:rPr>
          <w:rFonts w:eastAsia="Calibri"/>
          <w:sz w:val="24"/>
          <w:szCs w:val="24"/>
          <w:lang w:eastAsia="en-US"/>
        </w:rPr>
        <w:t xml:space="preserve"> transferu vědomostí </w:t>
      </w:r>
      <w:r w:rsidRPr="006B3303">
        <w:rPr>
          <w:rFonts w:eastAsia="Calibri"/>
          <w:sz w:val="24"/>
          <w:szCs w:val="24"/>
          <w:lang w:eastAsia="en-US"/>
        </w:rPr>
        <w:t>a rozvoji znalostí ekonomiky spatřují důvod pro poskytování investičních pobídek také Buček a kol. (2011).</w:t>
      </w:r>
    </w:p>
    <w:p w:rsidR="0029461E" w:rsidRDefault="003C633A" w:rsidP="0029461E">
      <w:pPr>
        <w:keepNext/>
        <w:widowControl w:val="0"/>
        <w:suppressLineNumbers/>
        <w:ind w:firstLine="720"/>
        <w:jc w:val="both"/>
      </w:pPr>
      <w:r w:rsidRPr="006B3303">
        <w:rPr>
          <w:rFonts w:eastAsia="Calibri"/>
          <w:sz w:val="24"/>
          <w:szCs w:val="24"/>
          <w:lang w:eastAsia="en-US"/>
        </w:rPr>
        <w:t xml:space="preserve">Zahraniční investice přilákané </w:t>
      </w:r>
      <w:r>
        <w:rPr>
          <w:rFonts w:eastAsia="Calibri"/>
          <w:sz w:val="24"/>
          <w:szCs w:val="24"/>
          <w:lang w:eastAsia="en-US"/>
        </w:rPr>
        <w:t xml:space="preserve">pomocí </w:t>
      </w:r>
      <w:r w:rsidRPr="006B3303">
        <w:rPr>
          <w:rFonts w:eastAsia="Calibri"/>
          <w:sz w:val="24"/>
          <w:szCs w:val="24"/>
          <w:lang w:eastAsia="en-US"/>
        </w:rPr>
        <w:t xml:space="preserve">investičních pobídek jsou součástí přílivu </w:t>
      </w:r>
      <w:r>
        <w:rPr>
          <w:rFonts w:eastAsia="Calibri"/>
          <w:sz w:val="24"/>
          <w:szCs w:val="24"/>
          <w:lang w:eastAsia="en-US"/>
        </w:rPr>
        <w:t>PZI</w:t>
      </w:r>
      <w:r w:rsidRPr="006B3303">
        <w:rPr>
          <w:rFonts w:eastAsia="Calibri"/>
          <w:sz w:val="24"/>
          <w:szCs w:val="24"/>
          <w:lang w:eastAsia="en-US"/>
        </w:rPr>
        <w:t xml:space="preserve">, investiční pobídky a </w:t>
      </w:r>
      <w:r>
        <w:rPr>
          <w:rFonts w:eastAsia="Calibri"/>
          <w:sz w:val="24"/>
          <w:szCs w:val="24"/>
          <w:lang w:eastAsia="en-US"/>
        </w:rPr>
        <w:t>PZI</w:t>
      </w:r>
      <w:r w:rsidRPr="006B3303">
        <w:rPr>
          <w:rFonts w:eastAsia="Calibri"/>
          <w:sz w:val="24"/>
          <w:szCs w:val="24"/>
          <w:lang w:eastAsia="en-US"/>
        </w:rPr>
        <w:t xml:space="preserve"> však nelze zaměňovat. Ne každá </w:t>
      </w:r>
      <w:r>
        <w:rPr>
          <w:rFonts w:eastAsia="Calibri"/>
          <w:sz w:val="24"/>
          <w:szCs w:val="24"/>
          <w:lang w:eastAsia="en-US"/>
        </w:rPr>
        <w:t>PZI</w:t>
      </w:r>
      <w:r w:rsidRPr="006B3303">
        <w:rPr>
          <w:rFonts w:eastAsia="Calibri"/>
          <w:sz w:val="24"/>
          <w:szCs w:val="24"/>
          <w:lang w:eastAsia="en-US"/>
        </w:rPr>
        <w:t xml:space="preserve"> je </w:t>
      </w:r>
      <w:r>
        <w:rPr>
          <w:rFonts w:eastAsia="Calibri"/>
          <w:sz w:val="24"/>
          <w:szCs w:val="24"/>
          <w:lang w:eastAsia="en-US"/>
        </w:rPr>
        <w:t xml:space="preserve">totiž </w:t>
      </w:r>
      <w:r w:rsidRPr="006B3303">
        <w:rPr>
          <w:rFonts w:eastAsia="Calibri"/>
          <w:sz w:val="24"/>
          <w:szCs w:val="24"/>
          <w:lang w:eastAsia="en-US"/>
        </w:rPr>
        <w:t xml:space="preserve">přilákána pomocí pobídek a ne každý podpořený investiční projekt představuje </w:t>
      </w:r>
      <w:r>
        <w:rPr>
          <w:rFonts w:eastAsia="Calibri"/>
          <w:sz w:val="24"/>
          <w:szCs w:val="24"/>
          <w:lang w:eastAsia="en-US"/>
        </w:rPr>
        <w:t>PZI</w:t>
      </w:r>
      <w:r w:rsidR="00A75E48">
        <w:rPr>
          <w:rFonts w:eastAsia="Calibri"/>
          <w:sz w:val="24"/>
          <w:szCs w:val="24"/>
          <w:lang w:eastAsia="en-US"/>
        </w:rPr>
        <w:t xml:space="preserve">  (pobídky mohou získat i </w:t>
      </w:r>
      <w:r w:rsidRPr="006B3303">
        <w:rPr>
          <w:rFonts w:eastAsia="Calibri"/>
          <w:sz w:val="24"/>
          <w:szCs w:val="24"/>
          <w:lang w:eastAsia="en-US"/>
        </w:rPr>
        <w:t>domácí subjekty). Investiční pobídky mohou být poskytovány formou úlev na daních, dotací na nová pracovní místa, dotací na školení zaměstnanců, dotací na pořízení dlouhodobého majetku, zvýhodněného převodu pozemků, zvýhodněných úvěrů, zrychlených odpisů, úlev na sociálním pojištění nebo úlev na clech. V</w:t>
      </w:r>
      <w:r>
        <w:rPr>
          <w:rFonts w:eastAsia="Calibri"/>
          <w:sz w:val="24"/>
          <w:szCs w:val="24"/>
          <w:lang w:eastAsia="en-US"/>
        </w:rPr>
        <w:t> </w:t>
      </w:r>
      <w:r w:rsidRPr="006B3303">
        <w:rPr>
          <w:rFonts w:eastAsia="Calibri"/>
          <w:sz w:val="24"/>
          <w:szCs w:val="24"/>
          <w:lang w:eastAsia="en-US"/>
        </w:rPr>
        <w:t>Č</w:t>
      </w:r>
      <w:r>
        <w:rPr>
          <w:rFonts w:eastAsia="Calibri"/>
          <w:sz w:val="24"/>
          <w:szCs w:val="24"/>
          <w:lang w:eastAsia="en-US"/>
        </w:rPr>
        <w:t xml:space="preserve">eské republice </w:t>
      </w:r>
      <w:r w:rsidRPr="006B3303">
        <w:rPr>
          <w:rFonts w:eastAsia="Calibri"/>
          <w:sz w:val="24"/>
          <w:szCs w:val="24"/>
          <w:lang w:eastAsia="en-US"/>
        </w:rPr>
        <w:t xml:space="preserve">se aktuálně využívá prvních pěti forem, přičemž dotační nástroje jsou určeny </w:t>
      </w:r>
      <w:r>
        <w:rPr>
          <w:rFonts w:eastAsia="Calibri"/>
          <w:sz w:val="24"/>
          <w:szCs w:val="24"/>
          <w:lang w:eastAsia="en-US"/>
        </w:rPr>
        <w:t>na</w:t>
      </w:r>
      <w:r w:rsidRPr="006B3303">
        <w:rPr>
          <w:rFonts w:eastAsia="Calibri"/>
          <w:sz w:val="24"/>
          <w:szCs w:val="24"/>
          <w:lang w:eastAsia="en-US"/>
        </w:rPr>
        <w:t xml:space="preserve"> podporu investic v regionech s vysokou nezaměstnaností. Zatímco v minulosti se pobídky zaměřovaly především na zpracovatelsk</w:t>
      </w:r>
      <w:r>
        <w:rPr>
          <w:rFonts w:eastAsia="Calibri"/>
          <w:sz w:val="24"/>
          <w:szCs w:val="24"/>
          <w:lang w:eastAsia="en-US"/>
        </w:rPr>
        <w:t xml:space="preserve">ý </w:t>
      </w:r>
      <w:r w:rsidRPr="006B3303">
        <w:rPr>
          <w:rFonts w:eastAsia="Calibri"/>
          <w:sz w:val="24"/>
          <w:szCs w:val="24"/>
          <w:lang w:eastAsia="en-US"/>
        </w:rPr>
        <w:t>průmysl, dnes se orientují také na zavádění technologií a znalostí pomo</w:t>
      </w:r>
      <w:r w:rsidR="0029461E">
        <w:rPr>
          <w:rFonts w:eastAsia="Calibri"/>
          <w:sz w:val="24"/>
          <w:szCs w:val="24"/>
          <w:lang w:eastAsia="en-US"/>
        </w:rPr>
        <w:t xml:space="preserve">cí podpory center strategických </w:t>
      </w:r>
      <w:r w:rsidRPr="006B3303">
        <w:rPr>
          <w:rFonts w:eastAsia="Calibri"/>
          <w:sz w:val="24"/>
          <w:szCs w:val="24"/>
          <w:lang w:eastAsia="en-US"/>
        </w:rPr>
        <w:t xml:space="preserve">služeb </w:t>
      </w:r>
      <w:r>
        <w:rPr>
          <w:rFonts w:eastAsia="Calibri"/>
          <w:sz w:val="24"/>
          <w:szCs w:val="24"/>
          <w:lang w:eastAsia="en-US"/>
        </w:rPr>
        <w:t xml:space="preserve">či </w:t>
      </w:r>
      <w:r w:rsidRPr="006B3303">
        <w:rPr>
          <w:rFonts w:eastAsia="Calibri"/>
          <w:sz w:val="24"/>
          <w:szCs w:val="24"/>
          <w:lang w:eastAsia="en-US"/>
        </w:rPr>
        <w:t>technologick</w:t>
      </w:r>
      <w:r w:rsidR="0029461E">
        <w:rPr>
          <w:rFonts w:eastAsia="Calibri"/>
          <w:sz w:val="24"/>
          <w:szCs w:val="24"/>
          <w:lang w:eastAsia="en-US"/>
        </w:rPr>
        <w:t>ých center (CzechInvest, 2013).</w:t>
      </w:r>
    </w:p>
    <w:p w:rsidR="00C24344" w:rsidRPr="0029461E" w:rsidRDefault="00C24344" w:rsidP="0029644E">
      <w:pPr>
        <w:pStyle w:val="02-Nadpis2"/>
        <w:ind w:left="567" w:hanging="567"/>
      </w:pPr>
      <w:bookmarkStart w:id="87" w:name="_Toc382327201"/>
      <w:r w:rsidRPr="00A91347">
        <w:t>3.3. Hodnocení kvality podnikatel</w:t>
      </w:r>
      <w:r w:rsidR="000B04CC">
        <w:t>ského a sociálního prostředí na </w:t>
      </w:r>
      <w:r w:rsidRPr="00A91347">
        <w:t>mezoregionální úrovni</w:t>
      </w:r>
      <w:bookmarkEnd w:id="87"/>
      <w:r w:rsidRPr="00A91347">
        <w:t xml:space="preserve"> </w:t>
      </w:r>
    </w:p>
    <w:p w:rsidR="006A2747" w:rsidRPr="00C24344" w:rsidRDefault="006A2747" w:rsidP="00423120">
      <w:pPr>
        <w:keepNext/>
        <w:widowControl w:val="0"/>
        <w:suppressLineNumbers/>
        <w:ind w:firstLine="720"/>
        <w:jc w:val="both"/>
        <w:rPr>
          <w:rFonts w:cs="TimesNewRomanPSMT"/>
          <w:sz w:val="24"/>
          <w:szCs w:val="20"/>
        </w:rPr>
      </w:pPr>
      <w:r w:rsidRPr="00C24344">
        <w:rPr>
          <w:sz w:val="24"/>
          <w:szCs w:val="24"/>
        </w:rPr>
        <w:t>V první části kapitoly jsou představeny a diskutovány výsledky případových studií zaměřených na regionální hodnocení kvality podnikatelského prostředí a kvality sociálního prostředí České republiky s důrazem na  mezoregionální úroveň (Viturka, 2007</w:t>
      </w:r>
      <w:r w:rsidRPr="00C24344">
        <w:rPr>
          <w:sz w:val="24"/>
          <w:szCs w:val="24"/>
        </w:rPr>
        <w:sym w:font="Symbol" w:char="F03B"/>
      </w:r>
      <w:r w:rsidR="00A75E48">
        <w:rPr>
          <w:sz w:val="24"/>
          <w:szCs w:val="24"/>
        </w:rPr>
        <w:t xml:space="preserve"> Viturka a </w:t>
      </w:r>
      <w:r w:rsidRPr="00C24344">
        <w:rPr>
          <w:sz w:val="24"/>
          <w:szCs w:val="24"/>
        </w:rPr>
        <w:t>kol., 2011</w:t>
      </w:r>
      <w:r w:rsidRPr="00C24344">
        <w:rPr>
          <w:sz w:val="24"/>
          <w:szCs w:val="24"/>
        </w:rPr>
        <w:sym w:font="Symbol" w:char="F03B"/>
      </w:r>
      <w:r w:rsidRPr="00C24344">
        <w:rPr>
          <w:sz w:val="24"/>
          <w:szCs w:val="24"/>
        </w:rPr>
        <w:t xml:space="preserve"> Viturka a kol, 2013). V souladu s originální metodikou použitou pro zpracování výše zmíněných případových studií představují </w:t>
      </w:r>
      <w:r w:rsidR="00BA6F21">
        <w:rPr>
          <w:sz w:val="24"/>
          <w:szCs w:val="24"/>
        </w:rPr>
        <w:t>meziregionální,</w:t>
      </w:r>
      <w:r w:rsidR="00A75E48">
        <w:rPr>
          <w:sz w:val="24"/>
          <w:szCs w:val="24"/>
        </w:rPr>
        <w:t xml:space="preserve"> resp. krajské hodnoty KPP i </w:t>
      </w:r>
      <w:r w:rsidRPr="00C24344">
        <w:rPr>
          <w:sz w:val="24"/>
          <w:szCs w:val="24"/>
        </w:rPr>
        <w:t>KS</w:t>
      </w:r>
      <w:r w:rsidR="002C2B95">
        <w:rPr>
          <w:sz w:val="24"/>
          <w:szCs w:val="24"/>
        </w:rPr>
        <w:t>P</w:t>
      </w:r>
      <w:r w:rsidRPr="00C24344">
        <w:rPr>
          <w:sz w:val="24"/>
          <w:szCs w:val="24"/>
        </w:rPr>
        <w:t xml:space="preserve"> agregované údaje za příslušné mikroregiony vážené počtem jejich obyvatel. V</w:t>
      </w:r>
      <w:r w:rsidRPr="00C24344">
        <w:rPr>
          <w:rFonts w:cs="TimesNewRomanPSMT"/>
          <w:sz w:val="24"/>
          <w:szCs w:val="20"/>
        </w:rPr>
        <w:t xml:space="preserve">ýsledky </w:t>
      </w:r>
      <w:r w:rsidRPr="00C24344">
        <w:rPr>
          <w:rFonts w:cs="TimesNewRomanPSMT"/>
          <w:sz w:val="24"/>
          <w:szCs w:val="20"/>
        </w:rPr>
        <w:lastRenderedPageBreak/>
        <w:t xml:space="preserve">hodnocení KPP (blíže viz tabulka 14) ukazují, že s výjimkou zcela specifického pražského kraje nejsou rozdíly mezi ostatními kraji příliš </w:t>
      </w:r>
      <w:proofErr w:type="gramStart"/>
      <w:r w:rsidRPr="00C24344">
        <w:rPr>
          <w:rFonts w:cs="TimesNewRomanPSMT"/>
          <w:sz w:val="24"/>
          <w:szCs w:val="20"/>
        </w:rPr>
        <w:t>výrazné  – zjištěné</w:t>
      </w:r>
      <w:proofErr w:type="gramEnd"/>
      <w:r w:rsidRPr="00C24344">
        <w:rPr>
          <w:rFonts w:cs="TimesNewRomanPSMT"/>
          <w:sz w:val="24"/>
          <w:szCs w:val="20"/>
        </w:rPr>
        <w:t xml:space="preserve"> hodnoty KPP se pohybují v rozmezí +12 až </w:t>
      </w:r>
      <w:r w:rsidR="008C7D62">
        <w:rPr>
          <w:rFonts w:cs="Arial"/>
          <w:sz w:val="24"/>
          <w:szCs w:val="24"/>
        </w:rPr>
        <w:t>-</w:t>
      </w:r>
      <w:r w:rsidRPr="00C24344">
        <w:rPr>
          <w:rFonts w:cs="TimesNewRomanPSMT"/>
          <w:sz w:val="24"/>
          <w:szCs w:val="20"/>
        </w:rPr>
        <w:t xml:space="preserve">10 % od odpovídajícího krajského průměru. Z toho lze vyvozovat strategicky velmi významný závěr, že v České republice se v současném období problém disparit neboli </w:t>
      </w:r>
      <w:r w:rsidRPr="00C24344">
        <w:rPr>
          <w:sz w:val="24"/>
          <w:szCs w:val="24"/>
        </w:rPr>
        <w:t xml:space="preserve">nerovnováh v regionálním rozvoji </w:t>
      </w:r>
      <w:r w:rsidRPr="00C24344">
        <w:rPr>
          <w:rFonts w:cs="TimesNewRomanPSMT"/>
          <w:sz w:val="24"/>
          <w:szCs w:val="20"/>
        </w:rPr>
        <w:t>vztahuje především k relaci Praha</w:t>
      </w:r>
      <w:r w:rsidR="00BA6F21">
        <w:rPr>
          <w:rFonts w:cs="TimesNewRomanPSMT"/>
          <w:sz w:val="24"/>
          <w:szCs w:val="20"/>
        </w:rPr>
        <w:t>,</w:t>
      </w:r>
      <w:r w:rsidRPr="00C24344">
        <w:rPr>
          <w:rFonts w:cs="TimesNewRomanPSMT"/>
          <w:sz w:val="24"/>
          <w:szCs w:val="20"/>
        </w:rPr>
        <w:t xml:space="preserve"> resp. Praha spolu se Středočeským krajem (u tohoto „přirozeného“ mezoregionu by se společná hodnota KPP pohybovala okolo 1,90 a byla by tak stále o přibližně 1/3 lepší než celková průměrná hodnota) versus ostatní kraje. </w:t>
      </w:r>
      <w:r w:rsidRPr="00C24344">
        <w:rPr>
          <w:sz w:val="24"/>
          <w:szCs w:val="24"/>
          <w:lang w:eastAsia="en-US"/>
        </w:rPr>
        <w:t>V rozložení hodnot KPP pak byly zjištěny následující pravidelnosti</w:t>
      </w:r>
      <w:r w:rsidR="00BA6F21">
        <w:rPr>
          <w:sz w:val="24"/>
          <w:szCs w:val="24"/>
          <w:lang w:eastAsia="en-US"/>
        </w:rPr>
        <w:t>,</w:t>
      </w:r>
      <w:r w:rsidRPr="00C24344">
        <w:rPr>
          <w:sz w:val="24"/>
          <w:szCs w:val="24"/>
          <w:lang w:eastAsia="en-US"/>
        </w:rPr>
        <w:t xml:space="preserve"> resp. tendence:</w:t>
      </w:r>
      <w:r w:rsidRPr="00C24344">
        <w:rPr>
          <w:rFonts w:cs="TimesNewRomanPSMT"/>
          <w:sz w:val="24"/>
          <w:szCs w:val="20"/>
        </w:rPr>
        <w:t xml:space="preserve"> </w:t>
      </w:r>
    </w:p>
    <w:p w:rsidR="006A2747" w:rsidRPr="00C24344" w:rsidRDefault="006A2747" w:rsidP="0029461E">
      <w:pPr>
        <w:keepNext/>
        <w:widowControl w:val="0"/>
        <w:numPr>
          <w:ilvl w:val="0"/>
          <w:numId w:val="3"/>
        </w:numPr>
        <w:suppressLineNumbers/>
        <w:spacing w:after="120"/>
        <w:ind w:hanging="284"/>
        <w:jc w:val="both"/>
        <w:rPr>
          <w:sz w:val="24"/>
          <w:szCs w:val="24"/>
          <w:lang w:eastAsia="en-US"/>
        </w:rPr>
      </w:pPr>
      <w:r w:rsidRPr="00C24344">
        <w:rPr>
          <w:sz w:val="24"/>
          <w:szCs w:val="24"/>
          <w:lang w:eastAsia="en-US"/>
        </w:rPr>
        <w:t>mezoregionální úroveň – zhoršování mikroregionálních hodnot KPP směrem ke hranicím krajů v s</w:t>
      </w:r>
      <w:r w:rsidR="002E567E">
        <w:rPr>
          <w:sz w:val="24"/>
          <w:szCs w:val="24"/>
          <w:lang w:eastAsia="en-US"/>
        </w:rPr>
        <w:t xml:space="preserve">ouladu s teoriemi skupiny </w:t>
      </w:r>
      <w:r w:rsidR="002E567E" w:rsidRPr="00326F51">
        <w:rPr>
          <w:sz w:val="24"/>
          <w:szCs w:val="24"/>
          <w:lang w:eastAsia="en-US"/>
        </w:rPr>
        <w:t>jádro</w:t>
      </w:r>
      <w:r w:rsidR="00326F51" w:rsidRPr="00326F51">
        <w:rPr>
          <w:sz w:val="24"/>
          <w:szCs w:val="24"/>
          <w:lang w:eastAsia="en-US"/>
        </w:rPr>
        <w:t xml:space="preserve"> – </w:t>
      </w:r>
      <w:r w:rsidRPr="00326F51">
        <w:rPr>
          <w:sz w:val="24"/>
          <w:szCs w:val="24"/>
          <w:lang w:eastAsia="en-US"/>
        </w:rPr>
        <w:t>periferie,</w:t>
      </w:r>
      <w:r w:rsidRPr="00C24344">
        <w:rPr>
          <w:sz w:val="24"/>
          <w:szCs w:val="24"/>
          <w:lang w:eastAsia="en-US"/>
        </w:rPr>
        <w:t xml:space="preserve"> </w:t>
      </w:r>
    </w:p>
    <w:p w:rsidR="006A2747" w:rsidRPr="00C24344" w:rsidRDefault="006A2747" w:rsidP="0029461E">
      <w:pPr>
        <w:keepNext/>
        <w:widowControl w:val="0"/>
        <w:numPr>
          <w:ilvl w:val="0"/>
          <w:numId w:val="3"/>
        </w:numPr>
        <w:suppressLineNumbers/>
        <w:spacing w:after="120"/>
        <w:ind w:hanging="284"/>
        <w:jc w:val="both"/>
        <w:rPr>
          <w:sz w:val="24"/>
          <w:szCs w:val="24"/>
          <w:lang w:eastAsia="en-US"/>
        </w:rPr>
      </w:pPr>
      <w:r w:rsidRPr="00C24344">
        <w:rPr>
          <w:sz w:val="24"/>
          <w:szCs w:val="24"/>
          <w:lang w:eastAsia="en-US"/>
        </w:rPr>
        <w:t>mezoregionální i makroregionální úroveň – vytváření dynamických systému pólů a os rozvoje (viz dále),</w:t>
      </w:r>
    </w:p>
    <w:p w:rsidR="006A2747" w:rsidRPr="00C24344" w:rsidRDefault="006A2747" w:rsidP="00423120">
      <w:pPr>
        <w:keepNext/>
        <w:widowControl w:val="0"/>
        <w:numPr>
          <w:ilvl w:val="0"/>
          <w:numId w:val="3"/>
        </w:numPr>
        <w:suppressLineNumbers/>
        <w:ind w:hanging="284"/>
        <w:jc w:val="both"/>
        <w:rPr>
          <w:sz w:val="24"/>
          <w:szCs w:val="24"/>
          <w:lang w:eastAsia="en-US"/>
        </w:rPr>
      </w:pPr>
      <w:r w:rsidRPr="00C24344">
        <w:rPr>
          <w:sz w:val="24"/>
          <w:szCs w:val="24"/>
          <w:lang w:eastAsia="en-US"/>
        </w:rPr>
        <w:t>makroregionální úroveň – zhoršování krajských hodnot KPP východním směrem (</w:t>
      </w:r>
      <w:r w:rsidRPr="00C24344">
        <w:rPr>
          <w:rFonts w:cs="TimesNewRomanPSMT"/>
          <w:sz w:val="24"/>
          <w:szCs w:val="20"/>
        </w:rPr>
        <w:t xml:space="preserve">podobné tendence v ekonomické výkonnosti lze pozorovat </w:t>
      </w:r>
      <w:r w:rsidRPr="00C24344">
        <w:rPr>
          <w:sz w:val="24"/>
          <w:szCs w:val="24"/>
          <w:lang w:eastAsia="en-US"/>
        </w:rPr>
        <w:t xml:space="preserve">ve všech zemích Visegrádské skupiny – Polsko, Česká republika, Maďarsko, Slovensko). </w:t>
      </w:r>
    </w:p>
    <w:p w:rsidR="006A2747" w:rsidRPr="00A80932" w:rsidRDefault="006A2747" w:rsidP="000112D6">
      <w:pPr>
        <w:pStyle w:val="0T-Titulek"/>
      </w:pPr>
      <w:bookmarkStart w:id="88" w:name="_Toc360633908"/>
      <w:bookmarkStart w:id="89" w:name="_Toc382326447"/>
      <w:r w:rsidRPr="00C24344">
        <w:t>Tabulka</w:t>
      </w:r>
      <w:r w:rsidRPr="00A80932">
        <w:t xml:space="preserve"> </w:t>
      </w:r>
      <w:r>
        <w:t>20</w:t>
      </w:r>
      <w:r w:rsidRPr="00C24344">
        <w:t>: Celkové hodnoty KPP podle krajů</w:t>
      </w:r>
      <w:bookmarkEnd w:id="88"/>
      <w:bookmarkEnd w:id="8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15"/>
        <w:gridCol w:w="1815"/>
        <w:gridCol w:w="1814"/>
        <w:gridCol w:w="1814"/>
        <w:gridCol w:w="1814"/>
      </w:tblGrid>
      <w:tr w:rsidR="006A2747" w:rsidRPr="00C24344" w:rsidTr="00B57263">
        <w:trPr>
          <w:trHeight w:hRule="exact" w:val="284"/>
          <w:jc w:val="center"/>
        </w:trPr>
        <w:tc>
          <w:tcPr>
            <w:tcW w:w="1815" w:type="dxa"/>
            <w:tcBorders>
              <w:top w:val="single" w:sz="12" w:space="0" w:color="auto"/>
              <w:bottom w:val="single" w:sz="12" w:space="0" w:color="auto"/>
            </w:tcBorders>
            <w:vAlign w:val="center"/>
          </w:tcPr>
          <w:p w:rsidR="006A2747" w:rsidRPr="00892411" w:rsidRDefault="006A2747" w:rsidP="00423120">
            <w:pPr>
              <w:keepNext/>
              <w:widowControl w:val="0"/>
              <w:suppressLineNumbers/>
              <w:spacing w:line="240" w:lineRule="auto"/>
              <w:rPr>
                <w:rFonts w:asciiTheme="minorHAnsi" w:hAnsiTheme="minorHAnsi" w:cstheme="minorHAnsi"/>
                <w:b/>
              </w:rPr>
            </w:pPr>
            <w:r w:rsidRPr="00892411">
              <w:rPr>
                <w:rFonts w:asciiTheme="minorHAnsi" w:hAnsiTheme="minorHAnsi" w:cstheme="minorHAnsi"/>
                <w:b/>
              </w:rPr>
              <w:t>kraj</w:t>
            </w:r>
          </w:p>
        </w:tc>
        <w:tc>
          <w:tcPr>
            <w:tcW w:w="1815" w:type="dxa"/>
            <w:tcBorders>
              <w:top w:val="single" w:sz="12" w:space="0" w:color="auto"/>
              <w:bottom w:val="single" w:sz="1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b/>
              </w:rPr>
            </w:pPr>
            <w:r w:rsidRPr="00892411">
              <w:rPr>
                <w:rFonts w:asciiTheme="minorHAnsi" w:hAnsiTheme="minorHAnsi" w:cstheme="minorHAnsi"/>
                <w:b/>
              </w:rPr>
              <w:t>KPP</w:t>
            </w:r>
          </w:p>
        </w:tc>
        <w:tc>
          <w:tcPr>
            <w:tcW w:w="1814" w:type="dxa"/>
            <w:tcBorders>
              <w:top w:val="single" w:sz="12" w:space="0" w:color="auto"/>
              <w:left w:val="single" w:sz="2" w:space="0" w:color="auto"/>
              <w:bottom w:val="single" w:sz="1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b/>
              </w:rPr>
            </w:pPr>
            <w:r w:rsidRPr="00892411">
              <w:rPr>
                <w:rFonts w:asciiTheme="minorHAnsi" w:hAnsiTheme="minorHAnsi" w:cstheme="minorHAnsi"/>
                <w:b/>
              </w:rPr>
              <w:t>KPP centra</w:t>
            </w:r>
          </w:p>
        </w:tc>
        <w:tc>
          <w:tcPr>
            <w:tcW w:w="1814" w:type="dxa"/>
            <w:tcBorders>
              <w:top w:val="single" w:sz="12" w:space="0" w:color="auto"/>
              <w:left w:val="single" w:sz="2" w:space="0" w:color="auto"/>
              <w:bottom w:val="single" w:sz="12" w:space="0" w:color="auto"/>
              <w:right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b/>
              </w:rPr>
            </w:pPr>
            <w:r w:rsidRPr="00892411">
              <w:rPr>
                <w:rFonts w:asciiTheme="minorHAnsi" w:hAnsiTheme="minorHAnsi" w:cstheme="minorHAnsi"/>
                <w:b/>
              </w:rPr>
              <w:t>počet obyvatel (2007)</w:t>
            </w:r>
          </w:p>
        </w:tc>
        <w:tc>
          <w:tcPr>
            <w:tcW w:w="1814" w:type="dxa"/>
            <w:tcBorders>
              <w:top w:val="single" w:sz="12" w:space="0" w:color="auto"/>
              <w:left w:val="single" w:sz="2" w:space="0" w:color="auto"/>
              <w:bottom w:val="single" w:sz="1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b/>
              </w:rPr>
            </w:pPr>
            <w:r w:rsidRPr="00892411">
              <w:rPr>
                <w:rFonts w:asciiTheme="minorHAnsi" w:hAnsiTheme="minorHAnsi" w:cstheme="minorHAnsi"/>
                <w:b/>
              </w:rPr>
              <w:t xml:space="preserve">HDP/obyv. v tis. Kč b. </w:t>
            </w:r>
            <w:proofErr w:type="gramStart"/>
            <w:r w:rsidRPr="00892411">
              <w:rPr>
                <w:rFonts w:asciiTheme="minorHAnsi" w:hAnsiTheme="minorHAnsi" w:cstheme="minorHAnsi"/>
                <w:b/>
              </w:rPr>
              <w:t>c.</w:t>
            </w:r>
            <w:proofErr w:type="gramEnd"/>
            <w:r w:rsidRPr="00892411">
              <w:rPr>
                <w:rFonts w:asciiTheme="minorHAnsi" w:hAnsiTheme="minorHAnsi" w:cstheme="minorHAnsi"/>
                <w:b/>
              </w:rPr>
              <w:t xml:space="preserve"> (2007)</w:t>
            </w:r>
          </w:p>
        </w:tc>
      </w:tr>
      <w:tr w:rsidR="006A2747" w:rsidRPr="00C24344" w:rsidTr="00B57263">
        <w:trPr>
          <w:trHeight w:hRule="exact" w:val="284"/>
          <w:jc w:val="center"/>
        </w:trPr>
        <w:tc>
          <w:tcPr>
            <w:tcW w:w="1815" w:type="dxa"/>
            <w:tcBorders>
              <w:top w:val="single" w:sz="12" w:space="0" w:color="auto"/>
            </w:tcBorders>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Praha</w:t>
            </w:r>
          </w:p>
        </w:tc>
        <w:tc>
          <w:tcPr>
            <w:tcW w:w="1815" w:type="dxa"/>
            <w:tcBorders>
              <w:top w:val="single" w:sz="1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1,16</w:t>
            </w:r>
          </w:p>
        </w:tc>
        <w:tc>
          <w:tcPr>
            <w:tcW w:w="1814" w:type="dxa"/>
            <w:tcBorders>
              <w:top w:val="single" w:sz="12" w:space="0" w:color="auto"/>
              <w:left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x</w:t>
            </w:r>
          </w:p>
        </w:tc>
        <w:tc>
          <w:tcPr>
            <w:tcW w:w="1814" w:type="dxa"/>
            <w:tcBorders>
              <w:top w:val="single" w:sz="12" w:space="0" w:color="auto"/>
              <w:left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lang w:val="en-GB"/>
              </w:rPr>
            </w:pPr>
            <w:r w:rsidRPr="00892411">
              <w:rPr>
                <w:rFonts w:asciiTheme="minorHAnsi" w:hAnsiTheme="minorHAnsi" w:cstheme="minorHAnsi"/>
                <w:lang w:val="en-GB"/>
              </w:rPr>
              <w:t>1212</w:t>
            </w:r>
          </w:p>
        </w:tc>
        <w:tc>
          <w:tcPr>
            <w:tcW w:w="1814" w:type="dxa"/>
            <w:tcBorders>
              <w:top w:val="single" w:sz="12" w:space="0" w:color="auto"/>
              <w:left w:val="single" w:sz="2" w:space="0" w:color="auto"/>
            </w:tcBorders>
          </w:tcPr>
          <w:p w:rsidR="006A2747" w:rsidRPr="00892411" w:rsidRDefault="006A2747" w:rsidP="00423120">
            <w:pPr>
              <w:keepNext/>
              <w:widowControl w:val="0"/>
              <w:suppressLineNumbers/>
              <w:autoSpaceDE w:val="0"/>
              <w:autoSpaceDN w:val="0"/>
              <w:adjustRightInd w:val="0"/>
              <w:spacing w:line="240" w:lineRule="auto"/>
              <w:jc w:val="center"/>
              <w:rPr>
                <w:rFonts w:asciiTheme="minorHAnsi" w:hAnsiTheme="minorHAnsi" w:cstheme="minorHAnsi"/>
                <w:iCs/>
              </w:rPr>
            </w:pPr>
            <w:r w:rsidRPr="00892411">
              <w:rPr>
                <w:rFonts w:asciiTheme="minorHAnsi" w:hAnsiTheme="minorHAnsi" w:cstheme="minorHAnsi"/>
                <w:iCs/>
              </w:rPr>
              <w:t>760</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Středočeský</w:t>
            </w:r>
          </w:p>
        </w:tc>
        <w:tc>
          <w:tcPr>
            <w:tcW w:w="1815" w:type="dxa"/>
            <w:tcBorders>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2,65</w:t>
            </w:r>
          </w:p>
        </w:tc>
        <w:tc>
          <w:tcPr>
            <w:tcW w:w="1814" w:type="dxa"/>
            <w:tcBorders>
              <w:left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 xml:space="preserve">2,03 </w:t>
            </w:r>
          </w:p>
        </w:tc>
        <w:tc>
          <w:tcPr>
            <w:tcW w:w="1814" w:type="dxa"/>
            <w:tcBorders>
              <w:left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lang w:val="en-GB"/>
              </w:rPr>
            </w:pPr>
            <w:r w:rsidRPr="00892411">
              <w:rPr>
                <w:rFonts w:asciiTheme="minorHAnsi" w:hAnsiTheme="minorHAnsi" w:cstheme="minorHAnsi"/>
                <w:lang w:val="en-GB"/>
              </w:rPr>
              <w:t>1202</w:t>
            </w:r>
          </w:p>
        </w:tc>
        <w:tc>
          <w:tcPr>
            <w:tcW w:w="1814" w:type="dxa"/>
            <w:tcBorders>
              <w:left w:val="single" w:sz="2" w:space="0" w:color="auto"/>
            </w:tcBorders>
          </w:tcPr>
          <w:p w:rsidR="006A2747" w:rsidRPr="00892411" w:rsidRDefault="006A2747" w:rsidP="00423120">
            <w:pPr>
              <w:keepNext/>
              <w:widowControl w:val="0"/>
              <w:suppressLineNumbers/>
              <w:autoSpaceDE w:val="0"/>
              <w:autoSpaceDN w:val="0"/>
              <w:adjustRightInd w:val="0"/>
              <w:spacing w:line="240" w:lineRule="auto"/>
              <w:jc w:val="center"/>
              <w:rPr>
                <w:rFonts w:asciiTheme="minorHAnsi" w:hAnsiTheme="minorHAnsi" w:cstheme="minorHAnsi"/>
                <w:iCs/>
              </w:rPr>
            </w:pPr>
            <w:r w:rsidRPr="00892411">
              <w:rPr>
                <w:rFonts w:asciiTheme="minorHAnsi" w:hAnsiTheme="minorHAnsi" w:cstheme="minorHAnsi"/>
                <w:iCs/>
              </w:rPr>
              <w:t>331</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Jihočeský</w:t>
            </w:r>
          </w:p>
        </w:tc>
        <w:tc>
          <w:tcPr>
            <w:tcW w:w="1815" w:type="dxa"/>
            <w:tcBorders>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2,86</w:t>
            </w:r>
          </w:p>
        </w:tc>
        <w:tc>
          <w:tcPr>
            <w:tcW w:w="1814" w:type="dxa"/>
            <w:tcBorders>
              <w:left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1,98</w:t>
            </w:r>
          </w:p>
        </w:tc>
        <w:tc>
          <w:tcPr>
            <w:tcW w:w="1814" w:type="dxa"/>
            <w:tcBorders>
              <w:left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lang w:val="en-GB"/>
              </w:rPr>
            </w:pPr>
            <w:r w:rsidRPr="00892411">
              <w:rPr>
                <w:rFonts w:asciiTheme="minorHAnsi" w:hAnsiTheme="minorHAnsi" w:cstheme="minorHAnsi"/>
                <w:lang w:val="en-GB"/>
              </w:rPr>
              <w:t>633</w:t>
            </w:r>
          </w:p>
        </w:tc>
        <w:tc>
          <w:tcPr>
            <w:tcW w:w="1814" w:type="dxa"/>
            <w:tcBorders>
              <w:left w:val="single" w:sz="2" w:space="0" w:color="auto"/>
            </w:tcBorders>
          </w:tcPr>
          <w:p w:rsidR="006A2747" w:rsidRPr="00892411" w:rsidRDefault="006A2747" w:rsidP="00423120">
            <w:pPr>
              <w:keepNext/>
              <w:widowControl w:val="0"/>
              <w:suppressLineNumbers/>
              <w:autoSpaceDE w:val="0"/>
              <w:autoSpaceDN w:val="0"/>
              <w:adjustRightInd w:val="0"/>
              <w:spacing w:line="240" w:lineRule="auto"/>
              <w:jc w:val="center"/>
              <w:rPr>
                <w:rFonts w:asciiTheme="minorHAnsi" w:hAnsiTheme="minorHAnsi" w:cstheme="minorHAnsi"/>
                <w:iCs/>
              </w:rPr>
            </w:pPr>
            <w:r w:rsidRPr="00892411">
              <w:rPr>
                <w:rFonts w:asciiTheme="minorHAnsi" w:hAnsiTheme="minorHAnsi" w:cstheme="minorHAnsi"/>
                <w:iCs/>
              </w:rPr>
              <w:t>307</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Plzeňský</w:t>
            </w:r>
          </w:p>
        </w:tc>
        <w:tc>
          <w:tcPr>
            <w:tcW w:w="1815" w:type="dxa"/>
            <w:tcBorders>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2,77</w:t>
            </w:r>
          </w:p>
        </w:tc>
        <w:tc>
          <w:tcPr>
            <w:tcW w:w="1814" w:type="dxa"/>
            <w:tcBorders>
              <w:left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1,68</w:t>
            </w:r>
          </w:p>
        </w:tc>
        <w:tc>
          <w:tcPr>
            <w:tcW w:w="1814" w:type="dxa"/>
            <w:tcBorders>
              <w:left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lang w:val="en-GB"/>
              </w:rPr>
            </w:pPr>
            <w:r w:rsidRPr="00892411">
              <w:rPr>
                <w:rFonts w:asciiTheme="minorHAnsi" w:hAnsiTheme="minorHAnsi" w:cstheme="minorHAnsi"/>
                <w:lang w:val="en-GB"/>
              </w:rPr>
              <w:t>561</w:t>
            </w:r>
          </w:p>
        </w:tc>
        <w:tc>
          <w:tcPr>
            <w:tcW w:w="1814" w:type="dxa"/>
            <w:tcBorders>
              <w:left w:val="single" w:sz="2" w:space="0" w:color="auto"/>
            </w:tcBorders>
          </w:tcPr>
          <w:p w:rsidR="006A2747" w:rsidRPr="00892411" w:rsidRDefault="006A2747" w:rsidP="00423120">
            <w:pPr>
              <w:keepNext/>
              <w:widowControl w:val="0"/>
              <w:suppressLineNumbers/>
              <w:autoSpaceDE w:val="0"/>
              <w:autoSpaceDN w:val="0"/>
              <w:adjustRightInd w:val="0"/>
              <w:spacing w:line="240" w:lineRule="auto"/>
              <w:jc w:val="center"/>
              <w:rPr>
                <w:rFonts w:asciiTheme="minorHAnsi" w:hAnsiTheme="minorHAnsi" w:cstheme="minorHAnsi"/>
                <w:iCs/>
              </w:rPr>
            </w:pPr>
            <w:r w:rsidRPr="00892411">
              <w:rPr>
                <w:rFonts w:asciiTheme="minorHAnsi" w:hAnsiTheme="minorHAnsi" w:cstheme="minorHAnsi"/>
                <w:iCs/>
              </w:rPr>
              <w:t>329</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Karlovarský</w:t>
            </w:r>
          </w:p>
        </w:tc>
        <w:tc>
          <w:tcPr>
            <w:tcW w:w="1815" w:type="dxa"/>
            <w:tcBorders>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2,90</w:t>
            </w:r>
          </w:p>
        </w:tc>
        <w:tc>
          <w:tcPr>
            <w:tcW w:w="1814" w:type="dxa"/>
            <w:tcBorders>
              <w:left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2,19</w:t>
            </w:r>
          </w:p>
        </w:tc>
        <w:tc>
          <w:tcPr>
            <w:tcW w:w="1814" w:type="dxa"/>
            <w:tcBorders>
              <w:left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lang w:val="en-GB"/>
              </w:rPr>
            </w:pPr>
            <w:r w:rsidRPr="00892411">
              <w:rPr>
                <w:rFonts w:asciiTheme="minorHAnsi" w:hAnsiTheme="minorHAnsi" w:cstheme="minorHAnsi"/>
                <w:lang w:val="en-GB"/>
              </w:rPr>
              <w:t>307</w:t>
            </w:r>
          </w:p>
        </w:tc>
        <w:tc>
          <w:tcPr>
            <w:tcW w:w="1814" w:type="dxa"/>
            <w:tcBorders>
              <w:left w:val="single" w:sz="2" w:space="0" w:color="auto"/>
            </w:tcBorders>
          </w:tcPr>
          <w:p w:rsidR="006A2747" w:rsidRPr="00892411" w:rsidRDefault="006A2747" w:rsidP="00423120">
            <w:pPr>
              <w:keepNext/>
              <w:widowControl w:val="0"/>
              <w:suppressLineNumbers/>
              <w:autoSpaceDE w:val="0"/>
              <w:autoSpaceDN w:val="0"/>
              <w:adjustRightInd w:val="0"/>
              <w:spacing w:line="240" w:lineRule="auto"/>
              <w:jc w:val="center"/>
              <w:rPr>
                <w:rFonts w:asciiTheme="minorHAnsi" w:hAnsiTheme="minorHAnsi" w:cstheme="minorHAnsi"/>
                <w:iCs/>
              </w:rPr>
            </w:pPr>
            <w:r w:rsidRPr="00892411">
              <w:rPr>
                <w:rFonts w:asciiTheme="minorHAnsi" w:hAnsiTheme="minorHAnsi" w:cstheme="minorHAnsi"/>
                <w:iCs/>
              </w:rPr>
              <w:t>263</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Ústecký</w:t>
            </w:r>
          </w:p>
        </w:tc>
        <w:tc>
          <w:tcPr>
            <w:tcW w:w="1815" w:type="dxa"/>
            <w:tcBorders>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3,05</w:t>
            </w:r>
          </w:p>
        </w:tc>
        <w:tc>
          <w:tcPr>
            <w:tcW w:w="1814" w:type="dxa"/>
            <w:tcBorders>
              <w:left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2,35</w:t>
            </w:r>
          </w:p>
        </w:tc>
        <w:tc>
          <w:tcPr>
            <w:tcW w:w="1814" w:type="dxa"/>
            <w:tcBorders>
              <w:left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lang w:val="en-GB"/>
              </w:rPr>
            </w:pPr>
            <w:r w:rsidRPr="00892411">
              <w:rPr>
                <w:rFonts w:asciiTheme="minorHAnsi" w:hAnsiTheme="minorHAnsi" w:cstheme="minorHAnsi"/>
                <w:lang w:val="en-GB"/>
              </w:rPr>
              <w:t>831</w:t>
            </w:r>
          </w:p>
        </w:tc>
        <w:tc>
          <w:tcPr>
            <w:tcW w:w="1814" w:type="dxa"/>
            <w:tcBorders>
              <w:left w:val="single" w:sz="2" w:space="0" w:color="auto"/>
            </w:tcBorders>
          </w:tcPr>
          <w:p w:rsidR="006A2747" w:rsidRPr="00892411" w:rsidRDefault="006A2747" w:rsidP="00423120">
            <w:pPr>
              <w:keepNext/>
              <w:widowControl w:val="0"/>
              <w:suppressLineNumbers/>
              <w:autoSpaceDE w:val="0"/>
              <w:autoSpaceDN w:val="0"/>
              <w:adjustRightInd w:val="0"/>
              <w:spacing w:line="240" w:lineRule="auto"/>
              <w:jc w:val="center"/>
              <w:rPr>
                <w:rFonts w:asciiTheme="minorHAnsi" w:hAnsiTheme="minorHAnsi" w:cstheme="minorHAnsi"/>
                <w:iCs/>
              </w:rPr>
            </w:pPr>
            <w:r w:rsidRPr="00892411">
              <w:rPr>
                <w:rFonts w:asciiTheme="minorHAnsi" w:hAnsiTheme="minorHAnsi" w:cstheme="minorHAnsi"/>
                <w:iCs/>
              </w:rPr>
              <w:t>286</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Liberecký</w:t>
            </w:r>
          </w:p>
        </w:tc>
        <w:tc>
          <w:tcPr>
            <w:tcW w:w="1815" w:type="dxa"/>
            <w:tcBorders>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2,79</w:t>
            </w:r>
          </w:p>
        </w:tc>
        <w:tc>
          <w:tcPr>
            <w:tcW w:w="1814" w:type="dxa"/>
            <w:tcBorders>
              <w:left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2,02</w:t>
            </w:r>
          </w:p>
        </w:tc>
        <w:tc>
          <w:tcPr>
            <w:tcW w:w="1814" w:type="dxa"/>
            <w:tcBorders>
              <w:left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lang w:val="en-GB"/>
              </w:rPr>
            </w:pPr>
            <w:r w:rsidRPr="00892411">
              <w:rPr>
                <w:rFonts w:asciiTheme="minorHAnsi" w:hAnsiTheme="minorHAnsi" w:cstheme="minorHAnsi"/>
                <w:lang w:val="en-GB"/>
              </w:rPr>
              <w:t>434</w:t>
            </w:r>
          </w:p>
        </w:tc>
        <w:tc>
          <w:tcPr>
            <w:tcW w:w="1814" w:type="dxa"/>
            <w:tcBorders>
              <w:left w:val="single" w:sz="2" w:space="0" w:color="auto"/>
            </w:tcBorders>
          </w:tcPr>
          <w:p w:rsidR="006A2747" w:rsidRPr="00892411" w:rsidRDefault="006A2747" w:rsidP="00423120">
            <w:pPr>
              <w:keepNext/>
              <w:widowControl w:val="0"/>
              <w:suppressLineNumbers/>
              <w:autoSpaceDE w:val="0"/>
              <w:autoSpaceDN w:val="0"/>
              <w:adjustRightInd w:val="0"/>
              <w:spacing w:line="240" w:lineRule="auto"/>
              <w:jc w:val="center"/>
              <w:rPr>
                <w:rFonts w:asciiTheme="minorHAnsi" w:hAnsiTheme="minorHAnsi" w:cstheme="minorHAnsi"/>
                <w:iCs/>
              </w:rPr>
            </w:pPr>
            <w:r w:rsidRPr="00892411">
              <w:rPr>
                <w:rFonts w:asciiTheme="minorHAnsi" w:hAnsiTheme="minorHAnsi" w:cstheme="minorHAnsi"/>
                <w:iCs/>
              </w:rPr>
              <w:t>274</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Královéhradecký</w:t>
            </w:r>
          </w:p>
        </w:tc>
        <w:tc>
          <w:tcPr>
            <w:tcW w:w="1815" w:type="dxa"/>
            <w:tcBorders>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2,86</w:t>
            </w:r>
          </w:p>
        </w:tc>
        <w:tc>
          <w:tcPr>
            <w:tcW w:w="1814" w:type="dxa"/>
            <w:tcBorders>
              <w:left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1,88</w:t>
            </w:r>
          </w:p>
        </w:tc>
        <w:tc>
          <w:tcPr>
            <w:tcW w:w="1814" w:type="dxa"/>
            <w:tcBorders>
              <w:left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lang w:val="en-GB"/>
              </w:rPr>
            </w:pPr>
            <w:r w:rsidRPr="00892411">
              <w:rPr>
                <w:rFonts w:asciiTheme="minorHAnsi" w:hAnsiTheme="minorHAnsi" w:cstheme="minorHAnsi"/>
                <w:lang w:val="en-GB"/>
              </w:rPr>
              <w:t>552</w:t>
            </w:r>
          </w:p>
        </w:tc>
        <w:tc>
          <w:tcPr>
            <w:tcW w:w="1814" w:type="dxa"/>
            <w:tcBorders>
              <w:left w:val="single" w:sz="2" w:space="0" w:color="auto"/>
            </w:tcBorders>
          </w:tcPr>
          <w:p w:rsidR="006A2747" w:rsidRPr="00892411" w:rsidRDefault="006A2747" w:rsidP="00423120">
            <w:pPr>
              <w:keepNext/>
              <w:widowControl w:val="0"/>
              <w:suppressLineNumbers/>
              <w:autoSpaceDE w:val="0"/>
              <w:autoSpaceDN w:val="0"/>
              <w:adjustRightInd w:val="0"/>
              <w:spacing w:line="240" w:lineRule="auto"/>
              <w:jc w:val="center"/>
              <w:rPr>
                <w:rFonts w:asciiTheme="minorHAnsi" w:hAnsiTheme="minorHAnsi" w:cstheme="minorHAnsi"/>
                <w:iCs/>
              </w:rPr>
            </w:pPr>
            <w:r w:rsidRPr="00892411">
              <w:rPr>
                <w:rFonts w:asciiTheme="minorHAnsi" w:hAnsiTheme="minorHAnsi" w:cstheme="minorHAnsi"/>
                <w:iCs/>
              </w:rPr>
              <w:t>302</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Pardubický</w:t>
            </w:r>
          </w:p>
        </w:tc>
        <w:tc>
          <w:tcPr>
            <w:tcW w:w="1815" w:type="dxa"/>
            <w:tcBorders>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2,94</w:t>
            </w:r>
          </w:p>
        </w:tc>
        <w:tc>
          <w:tcPr>
            <w:tcW w:w="1814" w:type="dxa"/>
            <w:tcBorders>
              <w:left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1,81</w:t>
            </w:r>
          </w:p>
        </w:tc>
        <w:tc>
          <w:tcPr>
            <w:tcW w:w="1814" w:type="dxa"/>
            <w:tcBorders>
              <w:left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lang w:val="en-GB"/>
              </w:rPr>
            </w:pPr>
            <w:r w:rsidRPr="00892411">
              <w:rPr>
                <w:rFonts w:asciiTheme="minorHAnsi" w:hAnsiTheme="minorHAnsi" w:cstheme="minorHAnsi"/>
                <w:lang w:val="en-GB"/>
              </w:rPr>
              <w:t>511</w:t>
            </w:r>
          </w:p>
        </w:tc>
        <w:tc>
          <w:tcPr>
            <w:tcW w:w="1814" w:type="dxa"/>
            <w:tcBorders>
              <w:left w:val="single" w:sz="2" w:space="0" w:color="auto"/>
            </w:tcBorders>
          </w:tcPr>
          <w:p w:rsidR="006A2747" w:rsidRPr="00892411" w:rsidRDefault="006A2747" w:rsidP="00423120">
            <w:pPr>
              <w:keepNext/>
              <w:widowControl w:val="0"/>
              <w:suppressLineNumbers/>
              <w:autoSpaceDE w:val="0"/>
              <w:autoSpaceDN w:val="0"/>
              <w:adjustRightInd w:val="0"/>
              <w:spacing w:line="240" w:lineRule="auto"/>
              <w:jc w:val="center"/>
              <w:rPr>
                <w:rFonts w:asciiTheme="minorHAnsi" w:hAnsiTheme="minorHAnsi" w:cstheme="minorHAnsi"/>
                <w:iCs/>
              </w:rPr>
            </w:pPr>
            <w:r w:rsidRPr="00892411">
              <w:rPr>
                <w:rFonts w:asciiTheme="minorHAnsi" w:hAnsiTheme="minorHAnsi" w:cstheme="minorHAnsi"/>
                <w:iCs/>
              </w:rPr>
              <w:t>297</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Vysočina</w:t>
            </w:r>
          </w:p>
        </w:tc>
        <w:tc>
          <w:tcPr>
            <w:tcW w:w="1815" w:type="dxa"/>
            <w:tcBorders>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3,02</w:t>
            </w:r>
          </w:p>
        </w:tc>
        <w:tc>
          <w:tcPr>
            <w:tcW w:w="1814" w:type="dxa"/>
            <w:tcBorders>
              <w:left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2,16</w:t>
            </w:r>
          </w:p>
        </w:tc>
        <w:tc>
          <w:tcPr>
            <w:tcW w:w="1814" w:type="dxa"/>
            <w:tcBorders>
              <w:left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lang w:val="en-GB"/>
              </w:rPr>
            </w:pPr>
            <w:r w:rsidRPr="00892411">
              <w:rPr>
                <w:rFonts w:asciiTheme="minorHAnsi" w:hAnsiTheme="minorHAnsi" w:cstheme="minorHAnsi"/>
                <w:lang w:val="en-GB"/>
              </w:rPr>
              <w:t>514</w:t>
            </w:r>
          </w:p>
        </w:tc>
        <w:tc>
          <w:tcPr>
            <w:tcW w:w="1814" w:type="dxa"/>
            <w:tcBorders>
              <w:left w:val="single" w:sz="2" w:space="0" w:color="auto"/>
            </w:tcBorders>
          </w:tcPr>
          <w:p w:rsidR="006A2747" w:rsidRPr="00892411" w:rsidRDefault="006A2747" w:rsidP="00423120">
            <w:pPr>
              <w:keepNext/>
              <w:widowControl w:val="0"/>
              <w:suppressLineNumbers/>
              <w:autoSpaceDE w:val="0"/>
              <w:autoSpaceDN w:val="0"/>
              <w:adjustRightInd w:val="0"/>
              <w:spacing w:line="240" w:lineRule="auto"/>
              <w:jc w:val="center"/>
              <w:rPr>
                <w:rFonts w:asciiTheme="minorHAnsi" w:hAnsiTheme="minorHAnsi" w:cstheme="minorHAnsi"/>
                <w:iCs/>
              </w:rPr>
            </w:pPr>
            <w:r w:rsidRPr="00892411">
              <w:rPr>
                <w:rFonts w:asciiTheme="minorHAnsi" w:hAnsiTheme="minorHAnsi" w:cstheme="minorHAnsi"/>
                <w:iCs/>
              </w:rPr>
              <w:t>298</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Jihomoravský</w:t>
            </w:r>
          </w:p>
        </w:tc>
        <w:tc>
          <w:tcPr>
            <w:tcW w:w="1815" w:type="dxa"/>
            <w:tcBorders>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2,78</w:t>
            </w:r>
          </w:p>
        </w:tc>
        <w:tc>
          <w:tcPr>
            <w:tcW w:w="1814" w:type="dxa"/>
            <w:tcBorders>
              <w:left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1,54</w:t>
            </w:r>
          </w:p>
        </w:tc>
        <w:tc>
          <w:tcPr>
            <w:tcW w:w="1814" w:type="dxa"/>
            <w:tcBorders>
              <w:left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lang w:val="en-GB"/>
              </w:rPr>
            </w:pPr>
            <w:r w:rsidRPr="00892411">
              <w:rPr>
                <w:rFonts w:asciiTheme="minorHAnsi" w:hAnsiTheme="minorHAnsi" w:cstheme="minorHAnsi"/>
                <w:lang w:val="en-GB"/>
              </w:rPr>
              <w:t>1141</w:t>
            </w:r>
          </w:p>
        </w:tc>
        <w:tc>
          <w:tcPr>
            <w:tcW w:w="1814" w:type="dxa"/>
            <w:tcBorders>
              <w:left w:val="single" w:sz="2" w:space="0" w:color="auto"/>
            </w:tcBorders>
          </w:tcPr>
          <w:p w:rsidR="006A2747" w:rsidRPr="00892411" w:rsidRDefault="006A2747" w:rsidP="00423120">
            <w:pPr>
              <w:keepNext/>
              <w:widowControl w:val="0"/>
              <w:suppressLineNumbers/>
              <w:autoSpaceDE w:val="0"/>
              <w:autoSpaceDN w:val="0"/>
              <w:adjustRightInd w:val="0"/>
              <w:spacing w:line="240" w:lineRule="auto"/>
              <w:jc w:val="center"/>
              <w:rPr>
                <w:rFonts w:asciiTheme="minorHAnsi" w:hAnsiTheme="minorHAnsi" w:cstheme="minorHAnsi"/>
                <w:iCs/>
              </w:rPr>
            </w:pPr>
            <w:r w:rsidRPr="00892411">
              <w:rPr>
                <w:rFonts w:asciiTheme="minorHAnsi" w:hAnsiTheme="minorHAnsi" w:cstheme="minorHAnsi"/>
                <w:iCs/>
              </w:rPr>
              <w:t>325</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Olomoucký</w:t>
            </w:r>
          </w:p>
        </w:tc>
        <w:tc>
          <w:tcPr>
            <w:tcW w:w="1815" w:type="dxa"/>
            <w:tcBorders>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3,19</w:t>
            </w:r>
          </w:p>
        </w:tc>
        <w:tc>
          <w:tcPr>
            <w:tcW w:w="1814" w:type="dxa"/>
            <w:tcBorders>
              <w:left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2,37</w:t>
            </w:r>
          </w:p>
        </w:tc>
        <w:tc>
          <w:tcPr>
            <w:tcW w:w="1814" w:type="dxa"/>
            <w:tcBorders>
              <w:left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lang w:val="en-GB"/>
              </w:rPr>
            </w:pPr>
            <w:r w:rsidRPr="00892411">
              <w:rPr>
                <w:rFonts w:asciiTheme="minorHAnsi" w:hAnsiTheme="minorHAnsi" w:cstheme="minorHAnsi"/>
                <w:lang w:val="en-GB"/>
              </w:rPr>
              <w:t>642</w:t>
            </w:r>
          </w:p>
        </w:tc>
        <w:tc>
          <w:tcPr>
            <w:tcW w:w="1814" w:type="dxa"/>
            <w:tcBorders>
              <w:left w:val="single" w:sz="2" w:space="0" w:color="auto"/>
            </w:tcBorders>
          </w:tcPr>
          <w:p w:rsidR="006A2747" w:rsidRPr="00892411" w:rsidRDefault="006A2747" w:rsidP="00423120">
            <w:pPr>
              <w:keepNext/>
              <w:widowControl w:val="0"/>
              <w:suppressLineNumbers/>
              <w:autoSpaceDE w:val="0"/>
              <w:autoSpaceDN w:val="0"/>
              <w:adjustRightInd w:val="0"/>
              <w:spacing w:line="240" w:lineRule="auto"/>
              <w:jc w:val="center"/>
              <w:rPr>
                <w:rFonts w:asciiTheme="minorHAnsi" w:hAnsiTheme="minorHAnsi" w:cstheme="minorHAnsi"/>
                <w:iCs/>
              </w:rPr>
            </w:pPr>
            <w:r w:rsidRPr="00892411">
              <w:rPr>
                <w:rFonts w:asciiTheme="minorHAnsi" w:hAnsiTheme="minorHAnsi" w:cstheme="minorHAnsi"/>
                <w:iCs/>
              </w:rPr>
              <w:t>262</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Zlínský</w:t>
            </w:r>
          </w:p>
        </w:tc>
        <w:tc>
          <w:tcPr>
            <w:tcW w:w="1815" w:type="dxa"/>
            <w:tcBorders>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3,29</w:t>
            </w:r>
          </w:p>
        </w:tc>
        <w:tc>
          <w:tcPr>
            <w:tcW w:w="1814" w:type="dxa"/>
            <w:tcBorders>
              <w:left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2,43</w:t>
            </w:r>
          </w:p>
        </w:tc>
        <w:tc>
          <w:tcPr>
            <w:tcW w:w="1814" w:type="dxa"/>
            <w:tcBorders>
              <w:left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lang w:val="en-GB"/>
              </w:rPr>
            </w:pPr>
            <w:r w:rsidRPr="00892411">
              <w:rPr>
                <w:rFonts w:asciiTheme="minorHAnsi" w:hAnsiTheme="minorHAnsi" w:cstheme="minorHAnsi"/>
                <w:lang w:val="en-GB"/>
              </w:rPr>
              <w:t>591</w:t>
            </w:r>
          </w:p>
        </w:tc>
        <w:tc>
          <w:tcPr>
            <w:tcW w:w="1814" w:type="dxa"/>
            <w:tcBorders>
              <w:left w:val="single" w:sz="2" w:space="0" w:color="auto"/>
            </w:tcBorders>
          </w:tcPr>
          <w:p w:rsidR="006A2747" w:rsidRPr="00892411" w:rsidRDefault="006A2747" w:rsidP="00423120">
            <w:pPr>
              <w:keepNext/>
              <w:widowControl w:val="0"/>
              <w:suppressLineNumbers/>
              <w:autoSpaceDE w:val="0"/>
              <w:autoSpaceDN w:val="0"/>
              <w:adjustRightInd w:val="0"/>
              <w:spacing w:line="240" w:lineRule="auto"/>
              <w:jc w:val="center"/>
              <w:rPr>
                <w:rFonts w:asciiTheme="minorHAnsi" w:hAnsiTheme="minorHAnsi" w:cstheme="minorHAnsi"/>
                <w:iCs/>
              </w:rPr>
            </w:pPr>
            <w:r w:rsidRPr="00892411">
              <w:rPr>
                <w:rFonts w:asciiTheme="minorHAnsi" w:hAnsiTheme="minorHAnsi" w:cstheme="minorHAnsi"/>
                <w:iCs/>
              </w:rPr>
              <w:t>288</w:t>
            </w:r>
          </w:p>
        </w:tc>
      </w:tr>
      <w:tr w:rsidR="006A2747" w:rsidRPr="00C24344" w:rsidTr="00B57263">
        <w:trPr>
          <w:trHeight w:hRule="exact" w:val="284"/>
          <w:jc w:val="center"/>
        </w:trPr>
        <w:tc>
          <w:tcPr>
            <w:tcW w:w="1815" w:type="dxa"/>
            <w:tcBorders>
              <w:bottom w:val="single" w:sz="2" w:space="0" w:color="auto"/>
            </w:tcBorders>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Moravskoslezský</w:t>
            </w:r>
          </w:p>
        </w:tc>
        <w:tc>
          <w:tcPr>
            <w:tcW w:w="1815" w:type="dxa"/>
            <w:tcBorders>
              <w:bottom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3,27</w:t>
            </w:r>
          </w:p>
        </w:tc>
        <w:tc>
          <w:tcPr>
            <w:tcW w:w="1814" w:type="dxa"/>
            <w:tcBorders>
              <w:left w:val="single" w:sz="2" w:space="0" w:color="auto"/>
              <w:bottom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2,33</w:t>
            </w:r>
          </w:p>
        </w:tc>
        <w:tc>
          <w:tcPr>
            <w:tcW w:w="1814" w:type="dxa"/>
            <w:tcBorders>
              <w:left w:val="single" w:sz="2" w:space="0" w:color="auto"/>
              <w:bottom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lang w:val="en-GB"/>
              </w:rPr>
            </w:pPr>
            <w:r w:rsidRPr="00892411">
              <w:rPr>
                <w:rFonts w:asciiTheme="minorHAnsi" w:hAnsiTheme="minorHAnsi" w:cstheme="minorHAnsi"/>
                <w:lang w:val="en-GB"/>
              </w:rPr>
              <w:t>1250</w:t>
            </w:r>
          </w:p>
        </w:tc>
        <w:tc>
          <w:tcPr>
            <w:tcW w:w="1814" w:type="dxa"/>
            <w:tcBorders>
              <w:left w:val="single" w:sz="2" w:space="0" w:color="auto"/>
              <w:bottom w:val="single" w:sz="2" w:space="0" w:color="auto"/>
            </w:tcBorders>
          </w:tcPr>
          <w:p w:rsidR="006A2747" w:rsidRPr="00892411" w:rsidRDefault="006A2747" w:rsidP="00423120">
            <w:pPr>
              <w:keepNext/>
              <w:widowControl w:val="0"/>
              <w:suppressLineNumbers/>
              <w:autoSpaceDE w:val="0"/>
              <w:autoSpaceDN w:val="0"/>
              <w:adjustRightInd w:val="0"/>
              <w:spacing w:line="240" w:lineRule="auto"/>
              <w:jc w:val="center"/>
              <w:rPr>
                <w:rFonts w:asciiTheme="minorHAnsi" w:hAnsiTheme="minorHAnsi" w:cstheme="minorHAnsi"/>
                <w:iCs/>
              </w:rPr>
            </w:pPr>
            <w:r w:rsidRPr="00892411">
              <w:rPr>
                <w:rFonts w:asciiTheme="minorHAnsi" w:hAnsiTheme="minorHAnsi" w:cstheme="minorHAnsi"/>
                <w:iCs/>
              </w:rPr>
              <w:t>297</w:t>
            </w:r>
          </w:p>
        </w:tc>
      </w:tr>
      <w:tr w:rsidR="006A2747" w:rsidRPr="00C24344" w:rsidTr="00B57263">
        <w:trPr>
          <w:trHeight w:hRule="exact" w:val="284"/>
          <w:jc w:val="center"/>
        </w:trPr>
        <w:tc>
          <w:tcPr>
            <w:tcW w:w="1815" w:type="dxa"/>
            <w:tcBorders>
              <w:top w:val="single" w:sz="2" w:space="0" w:color="auto"/>
              <w:bottom w:val="single" w:sz="12" w:space="0" w:color="auto"/>
            </w:tcBorders>
            <w:vAlign w:val="center"/>
          </w:tcPr>
          <w:p w:rsidR="006A2747" w:rsidRPr="00892411" w:rsidRDefault="006A2747" w:rsidP="00423120">
            <w:pPr>
              <w:keepNext/>
              <w:widowControl w:val="0"/>
              <w:suppressLineNumbers/>
              <w:spacing w:line="240" w:lineRule="auto"/>
              <w:rPr>
                <w:rFonts w:asciiTheme="minorHAnsi" w:hAnsiTheme="minorHAnsi" w:cstheme="minorHAnsi"/>
                <w:b/>
                <w:i/>
              </w:rPr>
            </w:pPr>
            <w:r w:rsidRPr="00892411">
              <w:rPr>
                <w:rFonts w:asciiTheme="minorHAnsi" w:hAnsiTheme="minorHAnsi" w:cstheme="minorHAnsi"/>
                <w:b/>
                <w:i/>
              </w:rPr>
              <w:t>Česká republika</w:t>
            </w:r>
          </w:p>
        </w:tc>
        <w:tc>
          <w:tcPr>
            <w:tcW w:w="1815" w:type="dxa"/>
            <w:tcBorders>
              <w:top w:val="single" w:sz="2" w:space="0" w:color="auto"/>
              <w:bottom w:val="single" w:sz="1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b/>
                <w:i/>
              </w:rPr>
            </w:pPr>
            <w:r w:rsidRPr="00892411">
              <w:rPr>
                <w:rFonts w:asciiTheme="minorHAnsi" w:hAnsiTheme="minorHAnsi" w:cstheme="minorHAnsi"/>
                <w:b/>
                <w:i/>
              </w:rPr>
              <w:t>2,74</w:t>
            </w:r>
          </w:p>
        </w:tc>
        <w:tc>
          <w:tcPr>
            <w:tcW w:w="1814" w:type="dxa"/>
            <w:tcBorders>
              <w:top w:val="single" w:sz="2" w:space="0" w:color="auto"/>
              <w:left w:val="single" w:sz="2" w:space="0" w:color="auto"/>
              <w:bottom w:val="single" w:sz="1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b/>
                <w:i/>
              </w:rPr>
            </w:pPr>
            <w:r w:rsidRPr="00892411">
              <w:rPr>
                <w:rFonts w:asciiTheme="minorHAnsi" w:hAnsiTheme="minorHAnsi" w:cstheme="minorHAnsi"/>
                <w:b/>
                <w:i/>
              </w:rPr>
              <w:t>1,16</w:t>
            </w:r>
          </w:p>
        </w:tc>
        <w:tc>
          <w:tcPr>
            <w:tcW w:w="1814" w:type="dxa"/>
            <w:tcBorders>
              <w:top w:val="single" w:sz="2" w:space="0" w:color="auto"/>
              <w:left w:val="single" w:sz="2" w:space="0" w:color="auto"/>
              <w:bottom w:val="single" w:sz="1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b/>
                <w:i/>
                <w:lang w:val="en-GB"/>
              </w:rPr>
            </w:pPr>
            <w:r w:rsidRPr="00892411">
              <w:rPr>
                <w:rFonts w:asciiTheme="minorHAnsi" w:hAnsiTheme="minorHAnsi" w:cstheme="minorHAnsi"/>
                <w:b/>
                <w:i/>
                <w:lang w:val="en-GB"/>
              </w:rPr>
              <w:t>10381</w:t>
            </w:r>
          </w:p>
        </w:tc>
        <w:tc>
          <w:tcPr>
            <w:tcW w:w="1814" w:type="dxa"/>
            <w:tcBorders>
              <w:top w:val="single" w:sz="2" w:space="0" w:color="auto"/>
              <w:left w:val="single" w:sz="2" w:space="0" w:color="auto"/>
              <w:bottom w:val="single" w:sz="1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b/>
                <w:i/>
              </w:rPr>
            </w:pPr>
            <w:r w:rsidRPr="00892411">
              <w:rPr>
                <w:rFonts w:asciiTheme="minorHAnsi" w:hAnsiTheme="minorHAnsi" w:cstheme="minorHAnsi"/>
                <w:b/>
                <w:i/>
              </w:rPr>
              <w:t>354</w:t>
            </w:r>
          </w:p>
        </w:tc>
      </w:tr>
    </w:tbl>
    <w:p w:rsidR="006A2747" w:rsidRPr="000B04CC" w:rsidRDefault="006A2747" w:rsidP="002C2B95">
      <w:pPr>
        <w:keepNext/>
        <w:widowControl w:val="0"/>
        <w:suppressLineNumbers/>
        <w:spacing w:after="0" w:line="240" w:lineRule="auto"/>
        <w:rPr>
          <w:rFonts w:ascii="Calibri" w:hAnsi="Calibri" w:cs="Calibri"/>
          <w:i/>
          <w:sz w:val="20"/>
          <w:szCs w:val="20"/>
        </w:rPr>
      </w:pPr>
      <w:r w:rsidRPr="000B04CC">
        <w:rPr>
          <w:rFonts w:ascii="Calibri" w:hAnsi="Calibri" w:cs="Calibri"/>
          <w:i/>
          <w:sz w:val="20"/>
          <w:szCs w:val="20"/>
        </w:rPr>
        <w:t>Poznámka: V případě Středočeského kraje je údaj pro KPP centra vztažen k regionu Mladé Boleslavi.</w:t>
      </w:r>
    </w:p>
    <w:p w:rsidR="006A2747" w:rsidRPr="00C24344" w:rsidRDefault="006A2747" w:rsidP="00423120">
      <w:pPr>
        <w:keepNext/>
        <w:widowControl w:val="0"/>
        <w:suppressLineNumbers/>
        <w:autoSpaceDE w:val="0"/>
        <w:autoSpaceDN w:val="0"/>
        <w:adjustRightInd w:val="0"/>
        <w:spacing w:line="240" w:lineRule="auto"/>
        <w:jc w:val="center"/>
        <w:rPr>
          <w:rFonts w:ascii="Calibri" w:hAnsi="Calibri" w:cs="Calibri"/>
          <w:i/>
          <w:color w:val="0000FF"/>
        </w:rPr>
      </w:pPr>
      <w:r w:rsidRPr="00C24344">
        <w:rPr>
          <w:rFonts w:ascii="Calibri" w:hAnsi="Calibri" w:cs="Calibri"/>
          <w:i/>
        </w:rPr>
        <w:t>Pramen: vlastní výzkum, ČSÚ</w:t>
      </w:r>
      <w:r w:rsidRPr="00C24344">
        <w:rPr>
          <w:rFonts w:ascii="Calibri" w:hAnsi="Calibri" w:cs="Calibri"/>
          <w:i/>
          <w:color w:val="0000FF"/>
        </w:rPr>
        <w:t>.</w:t>
      </w:r>
    </w:p>
    <w:p w:rsidR="006A2747" w:rsidRPr="00C24344" w:rsidRDefault="006A2747" w:rsidP="00423120">
      <w:pPr>
        <w:keepNext/>
        <w:widowControl w:val="0"/>
        <w:suppressLineNumbers/>
        <w:autoSpaceDE w:val="0"/>
        <w:autoSpaceDN w:val="0"/>
        <w:adjustRightInd w:val="0"/>
        <w:ind w:firstLine="720"/>
        <w:jc w:val="both"/>
        <w:rPr>
          <w:sz w:val="24"/>
          <w:szCs w:val="24"/>
        </w:rPr>
      </w:pPr>
      <w:r w:rsidRPr="00C24344">
        <w:rPr>
          <w:sz w:val="24"/>
          <w:szCs w:val="24"/>
        </w:rPr>
        <w:t xml:space="preserve">Výše uvedené tendence lze interpretovat jako konkrétní projevy působení zákonitostí vývojové a s ní interaktivně propojené hierarchické diferenciace společenských systémů, které předurčují základní prostorový rámec fungování ekonomiky. </w:t>
      </w:r>
    </w:p>
    <w:p w:rsidR="006A2747" w:rsidRPr="00C24344" w:rsidRDefault="006A2747" w:rsidP="00423120">
      <w:pPr>
        <w:keepNext/>
        <w:widowControl w:val="0"/>
        <w:suppressLineNumbers/>
        <w:autoSpaceDE w:val="0"/>
        <w:autoSpaceDN w:val="0"/>
        <w:adjustRightInd w:val="0"/>
        <w:ind w:firstLine="720"/>
        <w:jc w:val="both"/>
        <w:rPr>
          <w:sz w:val="24"/>
          <w:szCs w:val="24"/>
        </w:rPr>
      </w:pPr>
      <w:r w:rsidRPr="00C24344">
        <w:rPr>
          <w:sz w:val="24"/>
          <w:szCs w:val="24"/>
        </w:rPr>
        <w:t xml:space="preserve">Z hlediska regionální politiky České republiky je </w:t>
      </w:r>
      <w:r>
        <w:rPr>
          <w:sz w:val="24"/>
          <w:szCs w:val="24"/>
        </w:rPr>
        <w:t xml:space="preserve">nesporně </w:t>
      </w:r>
      <w:r w:rsidRPr="00C24344">
        <w:rPr>
          <w:sz w:val="24"/>
          <w:szCs w:val="24"/>
        </w:rPr>
        <w:t xml:space="preserve">pozitivní skutečností, že mikroregiony všech krajských </w:t>
      </w:r>
      <w:r w:rsidRPr="00426385">
        <w:rPr>
          <w:sz w:val="24"/>
          <w:szCs w:val="24"/>
        </w:rPr>
        <w:t xml:space="preserve">měst (všechna mají více než 50 tis. obyvatel) disponují nadprůměrnou KPP, tj. její hodnoty jsou v rámci pětistupňové hodnotící škály nižší než </w:t>
      </w:r>
      <w:r w:rsidRPr="00C24344">
        <w:rPr>
          <w:sz w:val="24"/>
          <w:szCs w:val="24"/>
        </w:rPr>
        <w:t xml:space="preserve">2,5 – tato úroveň je logicky považována za základní kritérium vymezení pólů rozvoje národního </w:t>
      </w:r>
      <w:r w:rsidRPr="00C24344">
        <w:rPr>
          <w:sz w:val="24"/>
          <w:szCs w:val="24"/>
        </w:rPr>
        <w:lastRenderedPageBreak/>
        <w:t xml:space="preserve">významu (mezi které byla díky svému </w:t>
      </w:r>
      <w:r>
        <w:rPr>
          <w:sz w:val="24"/>
          <w:szCs w:val="24"/>
        </w:rPr>
        <w:t xml:space="preserve">výjimečnému </w:t>
      </w:r>
      <w:r w:rsidRPr="00C24344">
        <w:rPr>
          <w:sz w:val="24"/>
          <w:szCs w:val="24"/>
        </w:rPr>
        <w:t xml:space="preserve">ekonomickému postavení, ačkoliv není krajským městem, zařazena i M. </w:t>
      </w:r>
      <w:r>
        <w:rPr>
          <w:sz w:val="24"/>
          <w:szCs w:val="24"/>
        </w:rPr>
        <w:t>B</w:t>
      </w:r>
      <w:r w:rsidRPr="00C24344">
        <w:rPr>
          <w:sz w:val="24"/>
          <w:szCs w:val="24"/>
        </w:rPr>
        <w:t>oleslav</w:t>
      </w:r>
      <w:r>
        <w:rPr>
          <w:sz w:val="24"/>
          <w:szCs w:val="24"/>
        </w:rPr>
        <w:t xml:space="preserve"> s necelými 45 tis. obyvateli</w:t>
      </w:r>
      <w:r w:rsidRPr="00C24344">
        <w:rPr>
          <w:sz w:val="24"/>
          <w:szCs w:val="24"/>
        </w:rPr>
        <w:t>)</w:t>
      </w:r>
      <w:r w:rsidRPr="00C24344">
        <w:rPr>
          <w:sz w:val="24"/>
          <w:szCs w:val="24"/>
          <w:vertAlign w:val="superscript"/>
        </w:rPr>
        <w:t xml:space="preserve"> </w:t>
      </w:r>
      <w:r w:rsidRPr="00C24344">
        <w:rPr>
          <w:sz w:val="24"/>
          <w:szCs w:val="24"/>
          <w:vertAlign w:val="superscript"/>
        </w:rPr>
        <w:footnoteReference w:id="18"/>
      </w:r>
      <w:r w:rsidRPr="00C24344">
        <w:rPr>
          <w:sz w:val="24"/>
          <w:szCs w:val="24"/>
        </w:rPr>
        <w:t xml:space="preserve">. Póly rozvoje s hodnotou KPP cca 1,5 a nižší disponující mezinárodně významným postavením jsou pak považovány za póly rozvoje nadnárodního (evropského) </w:t>
      </w:r>
      <w:r w:rsidR="00A75E48">
        <w:rPr>
          <w:sz w:val="24"/>
          <w:szCs w:val="24"/>
        </w:rPr>
        <w:t>významu – v našem případě jde o </w:t>
      </w:r>
      <w:r w:rsidRPr="00C24344">
        <w:rPr>
          <w:sz w:val="24"/>
          <w:szCs w:val="24"/>
        </w:rPr>
        <w:t>Prahu (hlavní pól nadnárodního významu) a Brno (vedlejší pól nadnárodního významu). Velmi dobrou vypovídací schopnost vypracovaného modelu dokládá potvrzení stanovené hypotézy o silné závislosti mezi krajskými hodnotami KPP a úrovní HDP jako primárního indikátoru vývojové diferenciace společenských systémů (v této souvislosti je účelné upozornit na skutečnost, že hodnocení KPP orientované na tzv. rozvojově nosná odvět</w:t>
      </w:r>
      <w:r w:rsidR="00A75E48">
        <w:rPr>
          <w:sz w:val="24"/>
          <w:szCs w:val="24"/>
        </w:rPr>
        <w:t>ví do </w:t>
      </w:r>
      <w:r w:rsidRPr="00C24344">
        <w:rPr>
          <w:sz w:val="24"/>
          <w:szCs w:val="24"/>
        </w:rPr>
        <w:t xml:space="preserve">značné míry odráží progresivitu regionální struktury ekonomiky). Podle provedených výpočtů se korelační koeficient v předkrizovém období 2006–2008 pohyboval okolo 0,95. Tento </w:t>
      </w:r>
      <w:r>
        <w:rPr>
          <w:sz w:val="24"/>
          <w:szCs w:val="24"/>
        </w:rPr>
        <w:t xml:space="preserve">zcela průkazný </w:t>
      </w:r>
      <w:r w:rsidRPr="00C24344">
        <w:rPr>
          <w:sz w:val="24"/>
          <w:szCs w:val="24"/>
        </w:rPr>
        <w:t>fakt odpovídá logice kauzálních vazeb mezi podmínkami pro podnikání a výsledky podnikání (</w:t>
      </w:r>
      <w:r w:rsidRPr="00C24344">
        <w:rPr>
          <w:rFonts w:cs="TimesNewRomanPSMT"/>
          <w:sz w:val="24"/>
          <w:szCs w:val="20"/>
        </w:rPr>
        <w:t xml:space="preserve">největší pozitivní odchylky hodnot HDP v porovnání s KPP </w:t>
      </w:r>
      <w:r>
        <w:rPr>
          <w:rFonts w:cs="TimesNewRomanPSMT"/>
          <w:sz w:val="24"/>
          <w:szCs w:val="20"/>
        </w:rPr>
        <w:t xml:space="preserve">pak </w:t>
      </w:r>
      <w:r w:rsidRPr="00C24344">
        <w:rPr>
          <w:rFonts w:cs="TimesNewRomanPSMT"/>
          <w:sz w:val="24"/>
          <w:szCs w:val="20"/>
        </w:rPr>
        <w:t xml:space="preserve">zaznamenaly kraje Moravskoslezský a Zlínský a naopak největší negativní odchylky kraje Liberecký a Karlovarský). </w:t>
      </w:r>
      <w:r w:rsidRPr="00C24344">
        <w:rPr>
          <w:sz w:val="24"/>
          <w:szCs w:val="24"/>
        </w:rPr>
        <w:t xml:space="preserve">Z provedených analýz dále vyplývá, že konvergenční tendence v ekonomické výkonnosti krajů nebyly zatím dostatečně prokázány, přičemž hodnoty jejich KPP </w:t>
      </w:r>
      <w:r w:rsidRPr="00C24344">
        <w:rPr>
          <w:sz w:val="24"/>
          <w:szCs w:val="24"/>
          <w:lang w:eastAsia="en-US"/>
        </w:rPr>
        <w:t>se vyznačovaly poměrně silnou inercií. Z teoreticko-metodologického pohledu je pak potřebné upozornit na skutečnost, že prezentovaný</w:t>
      </w:r>
      <w:r w:rsidRPr="00C24344">
        <w:rPr>
          <w:sz w:val="24"/>
          <w:szCs w:val="24"/>
        </w:rPr>
        <w:t xml:space="preserve"> přístup k hodnocení KPP do určité míry přebírá terminologii od </w:t>
      </w:r>
      <w:r w:rsidRPr="00C24344">
        <w:rPr>
          <w:rFonts w:cs="TimesNewRomanPSMT"/>
          <w:sz w:val="24"/>
          <w:szCs w:val="18"/>
        </w:rPr>
        <w:t>t</w:t>
      </w:r>
      <w:r w:rsidRPr="00C24344">
        <w:rPr>
          <w:sz w:val="24"/>
          <w:szCs w:val="24"/>
        </w:rPr>
        <w:t>eorie růstových pólů F. </w:t>
      </w:r>
      <w:r w:rsidRPr="00C24344">
        <w:rPr>
          <w:rFonts w:cs="TimesNewRomanPSMT"/>
          <w:sz w:val="24"/>
          <w:szCs w:val="20"/>
        </w:rPr>
        <w:t xml:space="preserve">Perrouxe (1955), přičemž ovšem do značné míry </w:t>
      </w:r>
      <w:r w:rsidRPr="00C24344">
        <w:rPr>
          <w:sz w:val="24"/>
          <w:szCs w:val="24"/>
        </w:rPr>
        <w:t>odstraňuje pro tuto i další „polarizační“ teorie typickou vágnost ve vymezování pólů a os růstu/rozvoje.</w:t>
      </w:r>
    </w:p>
    <w:p w:rsidR="006A2747" w:rsidRPr="00C24344" w:rsidRDefault="000B04CC" w:rsidP="00B57263">
      <w:pPr>
        <w:keepNext/>
        <w:widowControl w:val="0"/>
        <w:suppressLineNumbers/>
        <w:spacing w:after="120"/>
        <w:ind w:firstLine="720"/>
        <w:jc w:val="both"/>
        <w:rPr>
          <w:sz w:val="24"/>
          <w:szCs w:val="24"/>
          <w:lang w:eastAsia="en-US"/>
        </w:rPr>
      </w:pPr>
      <w:r>
        <w:rPr>
          <w:sz w:val="24"/>
          <w:szCs w:val="24"/>
        </w:rPr>
        <w:t>Poměrně nízká variabilita</w:t>
      </w:r>
      <w:r w:rsidR="006A2747" w:rsidRPr="00C24344">
        <w:rPr>
          <w:sz w:val="24"/>
          <w:szCs w:val="24"/>
        </w:rPr>
        <w:t xml:space="preserve"> krajských hodnot </w:t>
      </w:r>
      <w:r w:rsidR="006A2747">
        <w:rPr>
          <w:sz w:val="24"/>
          <w:szCs w:val="24"/>
        </w:rPr>
        <w:t xml:space="preserve">jako u KPP </w:t>
      </w:r>
      <w:r w:rsidR="006A2747" w:rsidRPr="00C24344">
        <w:rPr>
          <w:sz w:val="24"/>
          <w:szCs w:val="24"/>
        </w:rPr>
        <w:t>byla zjištěna i v p</w:t>
      </w:r>
      <w:r w:rsidR="00940F88">
        <w:rPr>
          <w:sz w:val="24"/>
          <w:szCs w:val="24"/>
        </w:rPr>
        <w:t>řípadě KSP</w:t>
      </w:r>
      <w:r w:rsidR="006A2747" w:rsidRPr="00C24344">
        <w:rPr>
          <w:sz w:val="24"/>
          <w:szCs w:val="24"/>
        </w:rPr>
        <w:t xml:space="preserve"> (</w:t>
      </w:r>
      <w:r w:rsidR="006A2747">
        <w:rPr>
          <w:sz w:val="24"/>
          <w:szCs w:val="24"/>
        </w:rPr>
        <w:t xml:space="preserve">zde </w:t>
      </w:r>
      <w:r w:rsidR="006A2747" w:rsidRPr="00C24344">
        <w:rPr>
          <w:sz w:val="24"/>
          <w:szCs w:val="24"/>
        </w:rPr>
        <w:t>však na rozdíl od KPP přetrvává i při zařazení pražského kraje) – hodnoty</w:t>
      </w:r>
      <w:r w:rsidR="008C7D62">
        <w:rPr>
          <w:sz w:val="24"/>
          <w:szCs w:val="24"/>
        </w:rPr>
        <w:t xml:space="preserve"> KSP se pohybují v rozmezí +18/-</w:t>
      </w:r>
      <w:r w:rsidR="006A2747" w:rsidRPr="00C24344">
        <w:rPr>
          <w:sz w:val="24"/>
          <w:szCs w:val="24"/>
        </w:rPr>
        <w:t xml:space="preserve">15 % od celkového krajského průměru (viz tabulka 15). V rozložení hodnot KSP byly </w:t>
      </w:r>
      <w:r w:rsidR="006A2747">
        <w:rPr>
          <w:sz w:val="24"/>
          <w:szCs w:val="24"/>
        </w:rPr>
        <w:t xml:space="preserve">na základě provedených analýz </w:t>
      </w:r>
      <w:r w:rsidR="006A2747" w:rsidRPr="00C24344">
        <w:rPr>
          <w:sz w:val="24"/>
          <w:szCs w:val="24"/>
        </w:rPr>
        <w:t>zjištěny následující pravidelnosti</w:t>
      </w:r>
      <w:r w:rsidR="00BA6F21">
        <w:rPr>
          <w:sz w:val="24"/>
          <w:szCs w:val="24"/>
        </w:rPr>
        <w:t>,</w:t>
      </w:r>
      <w:r w:rsidR="006A2747" w:rsidRPr="00C24344">
        <w:rPr>
          <w:sz w:val="24"/>
          <w:szCs w:val="24"/>
        </w:rPr>
        <w:t xml:space="preserve"> resp. tendence: </w:t>
      </w:r>
    </w:p>
    <w:p w:rsidR="006A2747" w:rsidRPr="00C24344" w:rsidRDefault="006A2747" w:rsidP="00B57263">
      <w:pPr>
        <w:keepNext/>
        <w:widowControl w:val="0"/>
        <w:numPr>
          <w:ilvl w:val="0"/>
          <w:numId w:val="2"/>
        </w:numPr>
        <w:suppressLineNumbers/>
        <w:spacing w:after="120"/>
        <w:ind w:hanging="284"/>
        <w:jc w:val="both"/>
        <w:rPr>
          <w:sz w:val="24"/>
          <w:szCs w:val="24"/>
          <w:lang w:eastAsia="en-US"/>
        </w:rPr>
      </w:pPr>
      <w:r w:rsidRPr="00C24344">
        <w:rPr>
          <w:sz w:val="24"/>
          <w:szCs w:val="24"/>
          <w:lang w:eastAsia="en-US"/>
        </w:rPr>
        <w:t xml:space="preserve">mezoregionální úroveň – převládající tendence ke zhoršování mikroregionálních hodnot KSP směrem k hranicím krajů jako v případě KPP (selektivně modifikované specifickým historickým vývojem příslušných krajských center), </w:t>
      </w:r>
    </w:p>
    <w:p w:rsidR="006A2747" w:rsidRDefault="006A2747" w:rsidP="00B57263">
      <w:pPr>
        <w:keepNext/>
        <w:widowControl w:val="0"/>
        <w:numPr>
          <w:ilvl w:val="0"/>
          <w:numId w:val="2"/>
        </w:numPr>
        <w:suppressLineNumbers/>
        <w:spacing w:after="120"/>
        <w:ind w:hanging="284"/>
        <w:jc w:val="both"/>
        <w:rPr>
          <w:sz w:val="24"/>
          <w:szCs w:val="24"/>
          <w:lang w:eastAsia="en-US"/>
        </w:rPr>
      </w:pPr>
      <w:r w:rsidRPr="00C24344">
        <w:rPr>
          <w:sz w:val="24"/>
          <w:szCs w:val="24"/>
          <w:lang w:eastAsia="en-US"/>
        </w:rPr>
        <w:t>makroregionální úroveň – jako významn</w:t>
      </w:r>
      <w:r>
        <w:rPr>
          <w:sz w:val="24"/>
          <w:szCs w:val="24"/>
          <w:lang w:eastAsia="en-US"/>
        </w:rPr>
        <w:t xml:space="preserve">ou </w:t>
      </w:r>
      <w:r w:rsidRPr="00C24344">
        <w:rPr>
          <w:sz w:val="24"/>
          <w:szCs w:val="24"/>
          <w:lang w:eastAsia="en-US"/>
        </w:rPr>
        <w:t xml:space="preserve">tendenci lze identifikovat </w:t>
      </w:r>
      <w:r>
        <w:rPr>
          <w:sz w:val="24"/>
          <w:szCs w:val="24"/>
          <w:lang w:eastAsia="en-US"/>
        </w:rPr>
        <w:t xml:space="preserve">značnou </w:t>
      </w:r>
      <w:r w:rsidRPr="00C24344">
        <w:rPr>
          <w:sz w:val="24"/>
          <w:szCs w:val="24"/>
          <w:lang w:eastAsia="en-US"/>
        </w:rPr>
        <w:t xml:space="preserve">setrvačnost negativních anomálií vzniklých preferencí hornictví a těžkého průmyslu v období centrálně plánované ekonomiky. </w:t>
      </w:r>
    </w:p>
    <w:p w:rsidR="006A2747" w:rsidRPr="00F236D9" w:rsidRDefault="006A2747" w:rsidP="00B57263">
      <w:pPr>
        <w:keepNext/>
        <w:widowControl w:val="0"/>
        <w:suppressLineNumbers/>
        <w:spacing w:after="120"/>
        <w:ind w:firstLine="720"/>
        <w:jc w:val="both"/>
        <w:rPr>
          <w:sz w:val="24"/>
          <w:szCs w:val="24"/>
        </w:rPr>
      </w:pPr>
      <w:r w:rsidRPr="00F236D9">
        <w:rPr>
          <w:sz w:val="24"/>
          <w:szCs w:val="24"/>
        </w:rPr>
        <w:t xml:space="preserve">Jak vyplývá z dále uvedené tabulky, většina mikroregionů krajských měst disponuje nadprůměrnou úrovní KSP (vzhledem k dalším výhodám, týkajících se zejména silně nadprůměrné nabídky kulturních aktivit, byla do této skupiny zařazena i krajská města disponující hodnotou KSP mírně převyšující hranici 2,5) </w:t>
      </w:r>
      <w:r w:rsidRPr="00C24344">
        <w:rPr>
          <w:vertAlign w:val="superscript"/>
        </w:rPr>
        <w:footnoteReference w:id="19"/>
      </w:r>
      <w:r w:rsidRPr="00F236D9">
        <w:rPr>
          <w:sz w:val="24"/>
          <w:szCs w:val="24"/>
        </w:rPr>
        <w:t xml:space="preserve">. Výjimku představují Ostrava, </w:t>
      </w:r>
      <w:r w:rsidRPr="00F236D9">
        <w:rPr>
          <w:sz w:val="24"/>
          <w:szCs w:val="24"/>
        </w:rPr>
        <w:lastRenderedPageBreak/>
        <w:t>Ústí n. L. a K. Vary zařazené až do následující průměrné skupiny (</w:t>
      </w:r>
      <w:r>
        <w:rPr>
          <w:sz w:val="24"/>
          <w:szCs w:val="24"/>
        </w:rPr>
        <w:t xml:space="preserve">to </w:t>
      </w:r>
      <w:r w:rsidRPr="00F236D9">
        <w:rPr>
          <w:sz w:val="24"/>
          <w:szCs w:val="24"/>
        </w:rPr>
        <w:t xml:space="preserve">lze chápat i jako </w:t>
      </w:r>
      <w:r>
        <w:rPr>
          <w:sz w:val="24"/>
          <w:szCs w:val="24"/>
        </w:rPr>
        <w:t xml:space="preserve">negativní </w:t>
      </w:r>
      <w:r w:rsidRPr="00F236D9">
        <w:rPr>
          <w:sz w:val="24"/>
          <w:szCs w:val="24"/>
        </w:rPr>
        <w:t xml:space="preserve">příklad závislosti na </w:t>
      </w:r>
      <w:r>
        <w:rPr>
          <w:sz w:val="24"/>
          <w:szCs w:val="24"/>
        </w:rPr>
        <w:t xml:space="preserve">zvolené </w:t>
      </w:r>
      <w:r w:rsidRPr="00F236D9">
        <w:rPr>
          <w:sz w:val="24"/>
          <w:szCs w:val="24"/>
        </w:rPr>
        <w:t>cestě/path dependence). Z hlediska vztahu KSP a KPP je pak potřebné konstatovat, že všechny póly rozvoje disponují lepší hodnotou KPP než KS</w:t>
      </w:r>
      <w:r w:rsidR="00CB0734">
        <w:rPr>
          <w:sz w:val="24"/>
          <w:szCs w:val="24"/>
        </w:rPr>
        <w:t>P</w:t>
      </w:r>
      <w:r w:rsidRPr="00F236D9">
        <w:rPr>
          <w:sz w:val="24"/>
          <w:szCs w:val="24"/>
        </w:rPr>
        <w:t>, přičemž většina z nich přísluší k podnikatelskému typu (</w:t>
      </w:r>
      <w:r>
        <w:rPr>
          <w:sz w:val="24"/>
          <w:szCs w:val="24"/>
        </w:rPr>
        <w:t>pouze</w:t>
      </w:r>
      <w:r w:rsidRPr="00F236D9">
        <w:rPr>
          <w:sz w:val="24"/>
          <w:szCs w:val="24"/>
        </w:rPr>
        <w:t xml:space="preserve"> čtyři </w:t>
      </w:r>
      <w:r>
        <w:rPr>
          <w:sz w:val="24"/>
          <w:szCs w:val="24"/>
        </w:rPr>
        <w:t xml:space="preserve">z nich – </w:t>
      </w:r>
      <w:r w:rsidRPr="00F236D9">
        <w:rPr>
          <w:sz w:val="24"/>
          <w:szCs w:val="24"/>
        </w:rPr>
        <w:t>Č. Budějovice, Jihlava, Olomouc a Zlín přísluší k rovnovážnému komplexnímu typu). Pokud je však pro tyto póly rozvoje charakteristický progresivní typ KSP</w:t>
      </w:r>
      <w:r w:rsidR="00A25A59">
        <w:rPr>
          <w:sz w:val="24"/>
          <w:szCs w:val="24"/>
        </w:rPr>
        <w:t>,</w:t>
      </w:r>
      <w:r w:rsidRPr="00F236D9">
        <w:rPr>
          <w:sz w:val="24"/>
          <w:szCs w:val="24"/>
        </w:rPr>
        <w:t xml:space="preserve"> lze kladnou odchylku v úrovni KPP racionálně hodnotit jako pozitivní deviaci (</w:t>
      </w:r>
      <w:r>
        <w:rPr>
          <w:sz w:val="24"/>
          <w:szCs w:val="24"/>
        </w:rPr>
        <w:t>zejména</w:t>
      </w:r>
      <w:r w:rsidRPr="00F236D9">
        <w:rPr>
          <w:sz w:val="24"/>
          <w:szCs w:val="24"/>
        </w:rPr>
        <w:t xml:space="preserve"> Prah</w:t>
      </w:r>
      <w:r>
        <w:rPr>
          <w:sz w:val="24"/>
          <w:szCs w:val="24"/>
        </w:rPr>
        <w:t>a</w:t>
      </w:r>
      <w:r w:rsidRPr="00F236D9">
        <w:rPr>
          <w:sz w:val="24"/>
          <w:szCs w:val="24"/>
        </w:rPr>
        <w:t xml:space="preserve">, Brno, Plzeň, Liberec, H. Králové, Pardubice a M. Boleslav). </w:t>
      </w:r>
    </w:p>
    <w:p w:rsidR="006A2747" w:rsidRPr="00A80932" w:rsidRDefault="006A2747" w:rsidP="000112D6">
      <w:pPr>
        <w:pStyle w:val="0T-Titulek"/>
      </w:pPr>
      <w:bookmarkStart w:id="90" w:name="_Toc360633909"/>
      <w:bookmarkStart w:id="91" w:name="_Toc382326448"/>
      <w:r w:rsidRPr="00813F95">
        <w:t xml:space="preserve">Tabulka 21: Celkové hodnoty </w:t>
      </w:r>
      <w:r w:rsidRPr="00C24344">
        <w:t>KSP podle krajů</w:t>
      </w:r>
      <w:bookmarkEnd w:id="90"/>
      <w:bookmarkEnd w:id="91"/>
      <w:r w:rsidRPr="00C24344">
        <w:t xml:space="preserve"> </w:t>
      </w:r>
    </w:p>
    <w:tbl>
      <w:tblPr>
        <w:tblW w:w="72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15"/>
        <w:gridCol w:w="1816"/>
        <w:gridCol w:w="1814"/>
        <w:gridCol w:w="1815"/>
      </w:tblGrid>
      <w:tr w:rsidR="006A2747" w:rsidRPr="00C24344" w:rsidTr="00B57263">
        <w:trPr>
          <w:trHeight w:hRule="exact" w:val="284"/>
          <w:jc w:val="center"/>
        </w:trPr>
        <w:tc>
          <w:tcPr>
            <w:tcW w:w="1815" w:type="dxa"/>
            <w:tcBorders>
              <w:top w:val="single" w:sz="12" w:space="0" w:color="auto"/>
              <w:bottom w:val="single" w:sz="12" w:space="0" w:color="auto"/>
            </w:tcBorders>
            <w:vAlign w:val="center"/>
          </w:tcPr>
          <w:p w:rsidR="006A2747" w:rsidRPr="00892411" w:rsidRDefault="006A2747" w:rsidP="00423120">
            <w:pPr>
              <w:keepNext/>
              <w:widowControl w:val="0"/>
              <w:suppressLineNumbers/>
              <w:rPr>
                <w:rFonts w:asciiTheme="minorHAnsi" w:hAnsiTheme="minorHAnsi" w:cstheme="minorHAnsi"/>
                <w:b/>
              </w:rPr>
            </w:pPr>
            <w:r w:rsidRPr="00892411">
              <w:rPr>
                <w:rFonts w:asciiTheme="minorHAnsi" w:hAnsiTheme="minorHAnsi" w:cstheme="minorHAnsi"/>
                <w:b/>
              </w:rPr>
              <w:t>kraj</w:t>
            </w:r>
          </w:p>
        </w:tc>
        <w:tc>
          <w:tcPr>
            <w:tcW w:w="1816" w:type="dxa"/>
            <w:tcBorders>
              <w:top w:val="single" w:sz="12" w:space="0" w:color="auto"/>
              <w:bottom w:val="single" w:sz="12" w:space="0" w:color="auto"/>
              <w:righ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b/>
              </w:rPr>
            </w:pPr>
            <w:r w:rsidRPr="00892411">
              <w:rPr>
                <w:rFonts w:asciiTheme="minorHAnsi" w:hAnsiTheme="minorHAnsi" w:cstheme="minorHAnsi"/>
                <w:b/>
              </w:rPr>
              <w:t>KSP</w:t>
            </w:r>
          </w:p>
        </w:tc>
        <w:tc>
          <w:tcPr>
            <w:tcW w:w="1814" w:type="dxa"/>
            <w:tcBorders>
              <w:top w:val="single" w:sz="12" w:space="0" w:color="auto"/>
              <w:left w:val="single" w:sz="2" w:space="0" w:color="auto"/>
              <w:bottom w:val="single" w:sz="12" w:space="0" w:color="auto"/>
            </w:tcBorders>
            <w:vAlign w:val="center"/>
          </w:tcPr>
          <w:p w:rsidR="006A2747" w:rsidRPr="00892411" w:rsidRDefault="006A2747" w:rsidP="00423120">
            <w:pPr>
              <w:keepNext/>
              <w:widowControl w:val="0"/>
              <w:suppressLineNumbers/>
              <w:jc w:val="center"/>
              <w:rPr>
                <w:rFonts w:asciiTheme="minorHAnsi" w:hAnsiTheme="minorHAnsi" w:cstheme="minorHAnsi"/>
                <w:b/>
              </w:rPr>
            </w:pPr>
            <w:r w:rsidRPr="00892411">
              <w:rPr>
                <w:rFonts w:asciiTheme="minorHAnsi" w:hAnsiTheme="minorHAnsi" w:cstheme="minorHAnsi"/>
                <w:b/>
              </w:rPr>
              <w:t>KSP centra</w:t>
            </w:r>
          </w:p>
        </w:tc>
        <w:tc>
          <w:tcPr>
            <w:tcW w:w="1815" w:type="dxa"/>
            <w:tcBorders>
              <w:top w:val="single" w:sz="12" w:space="0" w:color="auto"/>
              <w:bottom w:val="single" w:sz="12" w:space="0" w:color="auto"/>
            </w:tcBorders>
            <w:vAlign w:val="center"/>
          </w:tcPr>
          <w:p w:rsidR="006A2747" w:rsidRPr="00892411" w:rsidRDefault="006A2747" w:rsidP="00423120">
            <w:pPr>
              <w:keepNext/>
              <w:widowControl w:val="0"/>
              <w:suppressLineNumbers/>
              <w:jc w:val="center"/>
              <w:rPr>
                <w:rFonts w:asciiTheme="minorHAnsi" w:hAnsiTheme="minorHAnsi" w:cstheme="minorHAnsi"/>
                <w:b/>
              </w:rPr>
            </w:pPr>
            <w:r w:rsidRPr="00892411">
              <w:rPr>
                <w:rFonts w:asciiTheme="minorHAnsi" w:hAnsiTheme="minorHAnsi" w:cstheme="minorHAnsi"/>
                <w:b/>
              </w:rPr>
              <w:t>počet obyv. v tis. (sčítání 2011)</w:t>
            </w:r>
          </w:p>
        </w:tc>
      </w:tr>
      <w:tr w:rsidR="006A2747" w:rsidRPr="00C24344" w:rsidTr="00B57263">
        <w:trPr>
          <w:trHeight w:hRule="exact" w:val="284"/>
          <w:jc w:val="center"/>
        </w:trPr>
        <w:tc>
          <w:tcPr>
            <w:tcW w:w="1815" w:type="dxa"/>
            <w:tcBorders>
              <w:top w:val="single" w:sz="12" w:space="0" w:color="auto"/>
            </w:tcBorders>
            <w:vAlign w:val="center"/>
          </w:tcPr>
          <w:p w:rsidR="006A2747" w:rsidRPr="00892411" w:rsidRDefault="006A2747" w:rsidP="00423120">
            <w:pPr>
              <w:keepNext/>
              <w:widowControl w:val="0"/>
              <w:suppressLineNumbers/>
              <w:rPr>
                <w:rFonts w:asciiTheme="minorHAnsi" w:hAnsiTheme="minorHAnsi" w:cstheme="minorHAnsi"/>
              </w:rPr>
            </w:pPr>
            <w:r w:rsidRPr="00892411">
              <w:rPr>
                <w:rFonts w:asciiTheme="minorHAnsi" w:hAnsiTheme="minorHAnsi" w:cstheme="minorHAnsi"/>
              </w:rPr>
              <w:t>Praha</w:t>
            </w:r>
          </w:p>
        </w:tc>
        <w:tc>
          <w:tcPr>
            <w:tcW w:w="1816" w:type="dxa"/>
            <w:tcBorders>
              <w:top w:val="single" w:sz="12" w:space="0" w:color="auto"/>
              <w:righ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2,50</w:t>
            </w:r>
          </w:p>
        </w:tc>
        <w:tc>
          <w:tcPr>
            <w:tcW w:w="1814" w:type="dxa"/>
            <w:tcBorders>
              <w:top w:val="single" w:sz="12" w:space="0" w:color="auto"/>
              <w:lef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x</w:t>
            </w:r>
          </w:p>
        </w:tc>
        <w:tc>
          <w:tcPr>
            <w:tcW w:w="1815" w:type="dxa"/>
            <w:tcBorders>
              <w:top w:val="single" w:sz="12" w:space="0" w:color="auto"/>
            </w:tcBorders>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1273</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rPr>
                <w:rFonts w:asciiTheme="minorHAnsi" w:hAnsiTheme="minorHAnsi" w:cstheme="minorHAnsi"/>
              </w:rPr>
            </w:pPr>
            <w:r w:rsidRPr="00892411">
              <w:rPr>
                <w:rFonts w:asciiTheme="minorHAnsi" w:hAnsiTheme="minorHAnsi" w:cstheme="minorHAnsi"/>
              </w:rPr>
              <w:t>Středočeský</w:t>
            </w:r>
          </w:p>
        </w:tc>
        <w:tc>
          <w:tcPr>
            <w:tcW w:w="1816" w:type="dxa"/>
            <w:tcBorders>
              <w:righ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2,90</w:t>
            </w:r>
          </w:p>
        </w:tc>
        <w:tc>
          <w:tcPr>
            <w:tcW w:w="1814" w:type="dxa"/>
            <w:tcBorders>
              <w:lef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2,44</w:t>
            </w:r>
          </w:p>
        </w:tc>
        <w:tc>
          <w:tcPr>
            <w:tcW w:w="1815" w:type="dxa"/>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1275</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rPr>
                <w:rFonts w:asciiTheme="minorHAnsi" w:hAnsiTheme="minorHAnsi" w:cstheme="minorHAnsi"/>
              </w:rPr>
            </w:pPr>
            <w:r w:rsidRPr="00892411">
              <w:rPr>
                <w:rFonts w:asciiTheme="minorHAnsi" w:hAnsiTheme="minorHAnsi" w:cstheme="minorHAnsi"/>
              </w:rPr>
              <w:t>Jihočeský</w:t>
            </w:r>
          </w:p>
        </w:tc>
        <w:tc>
          <w:tcPr>
            <w:tcW w:w="1816" w:type="dxa"/>
            <w:tcBorders>
              <w:righ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2,64</w:t>
            </w:r>
          </w:p>
        </w:tc>
        <w:tc>
          <w:tcPr>
            <w:tcW w:w="1814" w:type="dxa"/>
            <w:tcBorders>
              <w:lef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2,31</w:t>
            </w:r>
          </w:p>
        </w:tc>
        <w:tc>
          <w:tcPr>
            <w:tcW w:w="1815" w:type="dxa"/>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637</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rPr>
                <w:rFonts w:asciiTheme="minorHAnsi" w:hAnsiTheme="minorHAnsi" w:cstheme="minorHAnsi"/>
              </w:rPr>
            </w:pPr>
            <w:r w:rsidRPr="00892411">
              <w:rPr>
                <w:rFonts w:asciiTheme="minorHAnsi" w:hAnsiTheme="minorHAnsi" w:cstheme="minorHAnsi"/>
              </w:rPr>
              <w:t>Plzeňský</w:t>
            </w:r>
          </w:p>
        </w:tc>
        <w:tc>
          <w:tcPr>
            <w:tcW w:w="1816" w:type="dxa"/>
            <w:tcBorders>
              <w:righ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2,91</w:t>
            </w:r>
          </w:p>
        </w:tc>
        <w:tc>
          <w:tcPr>
            <w:tcW w:w="1814" w:type="dxa"/>
            <w:tcBorders>
              <w:lef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2,56</w:t>
            </w:r>
          </w:p>
        </w:tc>
        <w:tc>
          <w:tcPr>
            <w:tcW w:w="1815" w:type="dxa"/>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575</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rPr>
                <w:rFonts w:asciiTheme="minorHAnsi" w:hAnsiTheme="minorHAnsi" w:cstheme="minorHAnsi"/>
              </w:rPr>
            </w:pPr>
            <w:r w:rsidRPr="00892411">
              <w:rPr>
                <w:rFonts w:asciiTheme="minorHAnsi" w:hAnsiTheme="minorHAnsi" w:cstheme="minorHAnsi"/>
              </w:rPr>
              <w:t>Karlovarský</w:t>
            </w:r>
          </w:p>
        </w:tc>
        <w:tc>
          <w:tcPr>
            <w:tcW w:w="1816" w:type="dxa"/>
            <w:tcBorders>
              <w:righ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3,31</w:t>
            </w:r>
          </w:p>
        </w:tc>
        <w:tc>
          <w:tcPr>
            <w:tcW w:w="1814" w:type="dxa"/>
            <w:tcBorders>
              <w:lef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3,38</w:t>
            </w:r>
          </w:p>
        </w:tc>
        <w:tc>
          <w:tcPr>
            <w:tcW w:w="1815" w:type="dxa"/>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310</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rPr>
                <w:rFonts w:asciiTheme="minorHAnsi" w:hAnsiTheme="minorHAnsi" w:cstheme="minorHAnsi"/>
              </w:rPr>
            </w:pPr>
            <w:r w:rsidRPr="00892411">
              <w:rPr>
                <w:rFonts w:asciiTheme="minorHAnsi" w:hAnsiTheme="minorHAnsi" w:cstheme="minorHAnsi"/>
              </w:rPr>
              <w:t>Ústecký</w:t>
            </w:r>
          </w:p>
        </w:tc>
        <w:tc>
          <w:tcPr>
            <w:tcW w:w="1816" w:type="dxa"/>
            <w:tcBorders>
              <w:righ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3,47</w:t>
            </w:r>
          </w:p>
        </w:tc>
        <w:tc>
          <w:tcPr>
            <w:tcW w:w="1814" w:type="dxa"/>
            <w:tcBorders>
              <w:lef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3,09</w:t>
            </w:r>
          </w:p>
        </w:tc>
        <w:tc>
          <w:tcPr>
            <w:tcW w:w="1815" w:type="dxa"/>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830</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rPr>
                <w:rFonts w:asciiTheme="minorHAnsi" w:hAnsiTheme="minorHAnsi" w:cstheme="minorHAnsi"/>
              </w:rPr>
            </w:pPr>
            <w:r w:rsidRPr="00892411">
              <w:rPr>
                <w:rFonts w:asciiTheme="minorHAnsi" w:hAnsiTheme="minorHAnsi" w:cstheme="minorHAnsi"/>
              </w:rPr>
              <w:t>Liberecký</w:t>
            </w:r>
          </w:p>
        </w:tc>
        <w:tc>
          <w:tcPr>
            <w:tcW w:w="1816" w:type="dxa"/>
            <w:tcBorders>
              <w:righ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2,93</w:t>
            </w:r>
          </w:p>
        </w:tc>
        <w:tc>
          <w:tcPr>
            <w:tcW w:w="1814" w:type="dxa"/>
            <w:tcBorders>
              <w:lef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2,53</w:t>
            </w:r>
          </w:p>
        </w:tc>
        <w:tc>
          <w:tcPr>
            <w:tcW w:w="1815" w:type="dxa"/>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439</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rPr>
                <w:rFonts w:asciiTheme="minorHAnsi" w:hAnsiTheme="minorHAnsi" w:cstheme="minorHAnsi"/>
              </w:rPr>
            </w:pPr>
            <w:r w:rsidRPr="00892411">
              <w:rPr>
                <w:rFonts w:asciiTheme="minorHAnsi" w:hAnsiTheme="minorHAnsi" w:cstheme="minorHAnsi"/>
              </w:rPr>
              <w:t>Královéhradecký</w:t>
            </w:r>
          </w:p>
        </w:tc>
        <w:tc>
          <w:tcPr>
            <w:tcW w:w="1816" w:type="dxa"/>
            <w:tcBorders>
              <w:righ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2,87</w:t>
            </w:r>
          </w:p>
        </w:tc>
        <w:tc>
          <w:tcPr>
            <w:tcW w:w="1814" w:type="dxa"/>
            <w:tcBorders>
              <w:lef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2,56</w:t>
            </w:r>
          </w:p>
        </w:tc>
        <w:tc>
          <w:tcPr>
            <w:tcW w:w="1815" w:type="dxa"/>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556</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rPr>
                <w:rFonts w:asciiTheme="minorHAnsi" w:hAnsiTheme="minorHAnsi" w:cstheme="minorHAnsi"/>
              </w:rPr>
            </w:pPr>
            <w:r w:rsidRPr="00892411">
              <w:rPr>
                <w:rFonts w:asciiTheme="minorHAnsi" w:hAnsiTheme="minorHAnsi" w:cstheme="minorHAnsi"/>
              </w:rPr>
              <w:t>Pardubický</w:t>
            </w:r>
          </w:p>
        </w:tc>
        <w:tc>
          <w:tcPr>
            <w:tcW w:w="1816" w:type="dxa"/>
            <w:tcBorders>
              <w:righ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2,74</w:t>
            </w:r>
          </w:p>
        </w:tc>
        <w:tc>
          <w:tcPr>
            <w:tcW w:w="1814" w:type="dxa"/>
            <w:tcBorders>
              <w:lef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2,31</w:t>
            </w:r>
          </w:p>
        </w:tc>
        <w:tc>
          <w:tcPr>
            <w:tcW w:w="1815" w:type="dxa"/>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518</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rPr>
                <w:rFonts w:asciiTheme="minorHAnsi" w:hAnsiTheme="minorHAnsi" w:cstheme="minorHAnsi"/>
              </w:rPr>
            </w:pPr>
            <w:r w:rsidRPr="00892411">
              <w:rPr>
                <w:rFonts w:asciiTheme="minorHAnsi" w:hAnsiTheme="minorHAnsi" w:cstheme="minorHAnsi"/>
              </w:rPr>
              <w:t>Vysočina</w:t>
            </w:r>
          </w:p>
        </w:tc>
        <w:tc>
          <w:tcPr>
            <w:tcW w:w="1816" w:type="dxa"/>
            <w:tcBorders>
              <w:righ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2,73</w:t>
            </w:r>
          </w:p>
        </w:tc>
        <w:tc>
          <w:tcPr>
            <w:tcW w:w="1814" w:type="dxa"/>
            <w:tcBorders>
              <w:lef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2,44</w:t>
            </w:r>
          </w:p>
        </w:tc>
        <w:tc>
          <w:tcPr>
            <w:tcW w:w="1815" w:type="dxa"/>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513</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rPr>
                <w:rFonts w:asciiTheme="minorHAnsi" w:hAnsiTheme="minorHAnsi" w:cstheme="minorHAnsi"/>
              </w:rPr>
            </w:pPr>
            <w:r w:rsidRPr="00892411">
              <w:rPr>
                <w:rFonts w:asciiTheme="minorHAnsi" w:hAnsiTheme="minorHAnsi" w:cstheme="minorHAnsi"/>
              </w:rPr>
              <w:t>Jihomoravský</w:t>
            </w:r>
          </w:p>
        </w:tc>
        <w:tc>
          <w:tcPr>
            <w:tcW w:w="1816" w:type="dxa"/>
            <w:tcBorders>
              <w:righ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2,93</w:t>
            </w:r>
          </w:p>
        </w:tc>
        <w:tc>
          <w:tcPr>
            <w:tcW w:w="1814" w:type="dxa"/>
            <w:tcBorders>
              <w:left w:val="single" w:sz="2" w:space="0" w:color="auto"/>
            </w:tcBorders>
            <w:vAlign w:val="center"/>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2,56</w:t>
            </w:r>
          </w:p>
        </w:tc>
        <w:tc>
          <w:tcPr>
            <w:tcW w:w="1815" w:type="dxa"/>
          </w:tcPr>
          <w:p w:rsidR="006A2747" w:rsidRPr="00892411" w:rsidRDefault="006A2747" w:rsidP="00423120">
            <w:pPr>
              <w:keepNext/>
              <w:widowControl w:val="0"/>
              <w:suppressLineNumbers/>
              <w:jc w:val="center"/>
              <w:rPr>
                <w:rFonts w:asciiTheme="minorHAnsi" w:hAnsiTheme="minorHAnsi" w:cstheme="minorHAnsi"/>
              </w:rPr>
            </w:pPr>
            <w:r w:rsidRPr="00892411">
              <w:rPr>
                <w:rFonts w:asciiTheme="minorHAnsi" w:hAnsiTheme="minorHAnsi" w:cstheme="minorHAnsi"/>
              </w:rPr>
              <w:t>1170</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Olomoucký</w:t>
            </w:r>
          </w:p>
        </w:tc>
        <w:tc>
          <w:tcPr>
            <w:tcW w:w="1816" w:type="dxa"/>
            <w:tcBorders>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3,03</w:t>
            </w:r>
          </w:p>
        </w:tc>
        <w:tc>
          <w:tcPr>
            <w:tcW w:w="1814" w:type="dxa"/>
            <w:tcBorders>
              <w:lef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2,50</w:t>
            </w:r>
          </w:p>
        </w:tc>
        <w:tc>
          <w:tcPr>
            <w:tcW w:w="1815" w:type="dxa"/>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640</w:t>
            </w:r>
          </w:p>
        </w:tc>
      </w:tr>
      <w:tr w:rsidR="006A2747" w:rsidRPr="00C24344" w:rsidTr="00B57263">
        <w:trPr>
          <w:trHeight w:hRule="exact" w:val="284"/>
          <w:jc w:val="center"/>
        </w:trPr>
        <w:tc>
          <w:tcPr>
            <w:tcW w:w="1815" w:type="dxa"/>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Zlínský</w:t>
            </w:r>
          </w:p>
        </w:tc>
        <w:tc>
          <w:tcPr>
            <w:tcW w:w="1816" w:type="dxa"/>
            <w:tcBorders>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2,89</w:t>
            </w:r>
          </w:p>
        </w:tc>
        <w:tc>
          <w:tcPr>
            <w:tcW w:w="1814" w:type="dxa"/>
            <w:tcBorders>
              <w:lef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2,50</w:t>
            </w:r>
          </w:p>
        </w:tc>
        <w:tc>
          <w:tcPr>
            <w:tcW w:w="1815" w:type="dxa"/>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590</w:t>
            </w:r>
          </w:p>
        </w:tc>
      </w:tr>
      <w:tr w:rsidR="006A2747" w:rsidRPr="00C24344" w:rsidTr="00B57263">
        <w:trPr>
          <w:trHeight w:hRule="exact" w:val="284"/>
          <w:jc w:val="center"/>
        </w:trPr>
        <w:tc>
          <w:tcPr>
            <w:tcW w:w="1815" w:type="dxa"/>
            <w:tcBorders>
              <w:bottom w:val="single" w:sz="2" w:space="0" w:color="auto"/>
            </w:tcBorders>
            <w:vAlign w:val="center"/>
          </w:tcPr>
          <w:p w:rsidR="006A2747" w:rsidRPr="00892411" w:rsidRDefault="006A2747" w:rsidP="00423120">
            <w:pPr>
              <w:keepNext/>
              <w:widowControl w:val="0"/>
              <w:suppressLineNumbers/>
              <w:spacing w:line="240" w:lineRule="auto"/>
              <w:rPr>
                <w:rFonts w:asciiTheme="minorHAnsi" w:hAnsiTheme="minorHAnsi" w:cstheme="minorHAnsi"/>
              </w:rPr>
            </w:pPr>
            <w:r w:rsidRPr="00892411">
              <w:rPr>
                <w:rFonts w:asciiTheme="minorHAnsi" w:hAnsiTheme="minorHAnsi" w:cstheme="minorHAnsi"/>
              </w:rPr>
              <w:t>Moravskoslezský</w:t>
            </w:r>
          </w:p>
        </w:tc>
        <w:tc>
          <w:tcPr>
            <w:tcW w:w="1816" w:type="dxa"/>
            <w:tcBorders>
              <w:bottom w:val="single" w:sz="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3,40</w:t>
            </w:r>
          </w:p>
        </w:tc>
        <w:tc>
          <w:tcPr>
            <w:tcW w:w="1814" w:type="dxa"/>
            <w:tcBorders>
              <w:left w:val="single" w:sz="2" w:space="0" w:color="auto"/>
              <w:bottom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3,50</w:t>
            </w:r>
          </w:p>
        </w:tc>
        <w:tc>
          <w:tcPr>
            <w:tcW w:w="1815" w:type="dxa"/>
            <w:tcBorders>
              <w:bottom w:val="single" w:sz="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rPr>
            </w:pPr>
            <w:r w:rsidRPr="00892411">
              <w:rPr>
                <w:rFonts w:asciiTheme="minorHAnsi" w:hAnsiTheme="minorHAnsi" w:cstheme="minorHAnsi"/>
              </w:rPr>
              <w:t>1236</w:t>
            </w:r>
          </w:p>
        </w:tc>
      </w:tr>
      <w:tr w:rsidR="006A2747" w:rsidRPr="00C24344" w:rsidTr="00B57263">
        <w:trPr>
          <w:trHeight w:hRule="exact" w:val="284"/>
          <w:jc w:val="center"/>
        </w:trPr>
        <w:tc>
          <w:tcPr>
            <w:tcW w:w="1815" w:type="dxa"/>
            <w:tcBorders>
              <w:top w:val="single" w:sz="2" w:space="0" w:color="auto"/>
              <w:bottom w:val="single" w:sz="12" w:space="0" w:color="auto"/>
            </w:tcBorders>
            <w:vAlign w:val="center"/>
          </w:tcPr>
          <w:p w:rsidR="006A2747" w:rsidRPr="00892411" w:rsidRDefault="006A2747" w:rsidP="00423120">
            <w:pPr>
              <w:keepNext/>
              <w:widowControl w:val="0"/>
              <w:suppressLineNumbers/>
              <w:spacing w:line="240" w:lineRule="auto"/>
              <w:rPr>
                <w:rFonts w:asciiTheme="minorHAnsi" w:hAnsiTheme="minorHAnsi" w:cstheme="minorHAnsi"/>
                <w:b/>
                <w:i/>
              </w:rPr>
            </w:pPr>
            <w:r w:rsidRPr="00892411">
              <w:rPr>
                <w:rFonts w:asciiTheme="minorHAnsi" w:hAnsiTheme="minorHAnsi" w:cstheme="minorHAnsi"/>
                <w:b/>
                <w:i/>
              </w:rPr>
              <w:t>Česká republika</w:t>
            </w:r>
          </w:p>
        </w:tc>
        <w:tc>
          <w:tcPr>
            <w:tcW w:w="1816" w:type="dxa"/>
            <w:tcBorders>
              <w:top w:val="single" w:sz="2" w:space="0" w:color="auto"/>
              <w:bottom w:val="single" w:sz="12" w:space="0" w:color="auto"/>
              <w:right w:val="single" w:sz="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b/>
                <w:i/>
              </w:rPr>
            </w:pPr>
            <w:r w:rsidRPr="00892411">
              <w:rPr>
                <w:rFonts w:asciiTheme="minorHAnsi" w:hAnsiTheme="minorHAnsi" w:cstheme="minorHAnsi"/>
                <w:b/>
                <w:i/>
              </w:rPr>
              <w:t>2,95</w:t>
            </w:r>
          </w:p>
        </w:tc>
        <w:tc>
          <w:tcPr>
            <w:tcW w:w="1814" w:type="dxa"/>
            <w:tcBorders>
              <w:top w:val="single" w:sz="2" w:space="0" w:color="auto"/>
              <w:left w:val="single" w:sz="2" w:space="0" w:color="auto"/>
              <w:bottom w:val="single" w:sz="12" w:space="0" w:color="auto"/>
            </w:tcBorders>
            <w:vAlign w:val="center"/>
          </w:tcPr>
          <w:p w:rsidR="006A2747" w:rsidRPr="00892411" w:rsidRDefault="006A2747" w:rsidP="00423120">
            <w:pPr>
              <w:keepNext/>
              <w:widowControl w:val="0"/>
              <w:suppressLineNumbers/>
              <w:spacing w:line="240" w:lineRule="auto"/>
              <w:jc w:val="center"/>
              <w:rPr>
                <w:rFonts w:asciiTheme="minorHAnsi" w:hAnsiTheme="minorHAnsi" w:cstheme="minorHAnsi"/>
                <w:b/>
                <w:i/>
              </w:rPr>
            </w:pPr>
            <w:r w:rsidRPr="00892411">
              <w:rPr>
                <w:rFonts w:asciiTheme="minorHAnsi" w:hAnsiTheme="minorHAnsi" w:cstheme="minorHAnsi"/>
                <w:b/>
                <w:i/>
              </w:rPr>
              <w:t>2,50</w:t>
            </w:r>
          </w:p>
        </w:tc>
        <w:tc>
          <w:tcPr>
            <w:tcW w:w="1815" w:type="dxa"/>
            <w:tcBorders>
              <w:top w:val="single" w:sz="2" w:space="0" w:color="auto"/>
              <w:bottom w:val="single" w:sz="12" w:space="0" w:color="auto"/>
            </w:tcBorders>
          </w:tcPr>
          <w:p w:rsidR="006A2747" w:rsidRPr="00892411" w:rsidRDefault="006A2747" w:rsidP="00423120">
            <w:pPr>
              <w:keepNext/>
              <w:widowControl w:val="0"/>
              <w:suppressLineNumbers/>
              <w:spacing w:line="240" w:lineRule="auto"/>
              <w:jc w:val="center"/>
              <w:rPr>
                <w:rFonts w:asciiTheme="minorHAnsi" w:hAnsiTheme="minorHAnsi" w:cstheme="minorHAnsi"/>
                <w:b/>
                <w:i/>
              </w:rPr>
            </w:pPr>
            <w:r w:rsidRPr="00892411">
              <w:rPr>
                <w:rFonts w:asciiTheme="minorHAnsi" w:hAnsiTheme="minorHAnsi" w:cstheme="minorHAnsi"/>
                <w:b/>
                <w:i/>
              </w:rPr>
              <w:t>10562</w:t>
            </w:r>
          </w:p>
        </w:tc>
      </w:tr>
    </w:tbl>
    <w:p w:rsidR="006A2747" w:rsidRPr="00A25A59" w:rsidRDefault="006A2747" w:rsidP="000112D6">
      <w:pPr>
        <w:keepNext/>
        <w:widowControl w:val="0"/>
        <w:suppressLineNumbers/>
        <w:spacing w:after="0" w:line="240" w:lineRule="auto"/>
        <w:ind w:left="851" w:right="851"/>
        <w:rPr>
          <w:rFonts w:ascii="Calibri" w:hAnsi="Calibri" w:cs="Calibri"/>
          <w:i/>
          <w:sz w:val="20"/>
          <w:szCs w:val="20"/>
        </w:rPr>
      </w:pPr>
      <w:r w:rsidRPr="00A25A59">
        <w:rPr>
          <w:rFonts w:ascii="Calibri" w:hAnsi="Calibri" w:cs="Calibri"/>
          <w:i/>
          <w:sz w:val="20"/>
          <w:szCs w:val="20"/>
        </w:rPr>
        <w:t>Poznámka: V případě Středočeského kraje je údaj pro KPP centra vztažen k regionu Mladé Boleslavi.</w:t>
      </w:r>
    </w:p>
    <w:p w:rsidR="006A2747" w:rsidRPr="00C24344" w:rsidRDefault="006A2747" w:rsidP="00423120">
      <w:pPr>
        <w:keepNext/>
        <w:widowControl w:val="0"/>
        <w:suppressLineNumbers/>
        <w:autoSpaceDE w:val="0"/>
        <w:autoSpaceDN w:val="0"/>
        <w:adjustRightInd w:val="0"/>
        <w:spacing w:line="240" w:lineRule="auto"/>
        <w:ind w:left="851" w:right="851"/>
        <w:jc w:val="center"/>
        <w:rPr>
          <w:rFonts w:ascii="Calibri" w:hAnsi="Calibri" w:cs="Calibri"/>
          <w:i/>
        </w:rPr>
      </w:pPr>
      <w:r w:rsidRPr="00C24344">
        <w:rPr>
          <w:rFonts w:ascii="Calibri" w:hAnsi="Calibri" w:cs="Calibri"/>
          <w:i/>
        </w:rPr>
        <w:t>Pramen: vlastní výzkum, ČSÚ.</w:t>
      </w:r>
    </w:p>
    <w:p w:rsidR="006A2747" w:rsidRPr="00C24344" w:rsidRDefault="006A2747" w:rsidP="00423120">
      <w:pPr>
        <w:keepNext/>
        <w:widowControl w:val="0"/>
        <w:suppressLineNumbers/>
        <w:ind w:firstLine="720"/>
        <w:jc w:val="both"/>
        <w:rPr>
          <w:sz w:val="24"/>
          <w:szCs w:val="24"/>
        </w:rPr>
      </w:pPr>
      <w:r w:rsidRPr="00C24344">
        <w:rPr>
          <w:sz w:val="24"/>
          <w:szCs w:val="24"/>
        </w:rPr>
        <w:t>Pokud jde o statistické vazby krajských hodnot KSP a KPP</w:t>
      </w:r>
      <w:r w:rsidR="00A25A59">
        <w:rPr>
          <w:sz w:val="24"/>
          <w:szCs w:val="24"/>
        </w:rPr>
        <w:t>,</w:t>
      </w:r>
      <w:r w:rsidRPr="00C24344">
        <w:rPr>
          <w:sz w:val="24"/>
          <w:szCs w:val="24"/>
        </w:rPr>
        <w:t xml:space="preserve"> nebyla prokázána jednoznačná závislost – korelační koeficient 0,56 (v případě vztahu KSP a HDP pak byla zjištěna pouze slabá závislost)</w:t>
      </w:r>
      <w:r>
        <w:rPr>
          <w:sz w:val="24"/>
          <w:szCs w:val="24"/>
        </w:rPr>
        <w:t xml:space="preserve"> </w:t>
      </w:r>
      <w:r>
        <w:rPr>
          <w:rStyle w:val="Znakapoznpodarou"/>
          <w:sz w:val="24"/>
          <w:szCs w:val="24"/>
        </w:rPr>
        <w:footnoteReference w:id="20"/>
      </w:r>
      <w:r w:rsidRPr="00C24344">
        <w:rPr>
          <w:sz w:val="24"/>
          <w:szCs w:val="24"/>
        </w:rPr>
        <w:t xml:space="preserve">. S tím koresponduje skutečnost, že vyvážený vztah obou komponent významově převažuje v polovině krajů. Hlavní příčinou jsou výrazné rozdíly v dlouhodobé dynamice procesů sociální a ekonomické reprodukce – postupné prodlužování reprodukčních cyklů (obměna obyvatelstva) v prvním případě a naopak postupné zkracování reprodukčních cyklu (obměna produktů a technologií) ve druhém případě. Významný vliv má pochopitelně i protikladné působení řady faktorů utvářejících KSP, které lze nejlépe demonstrovat na příkladu skupiny environmentálních (nejlepšími hodnotami disponují venkovské regiony) a urbanistických (nejlepšími hodnotami disponují městské regiony) faktorů. Celkově je </w:t>
      </w:r>
      <w:r>
        <w:rPr>
          <w:sz w:val="24"/>
          <w:szCs w:val="24"/>
        </w:rPr>
        <w:t xml:space="preserve">ovšem </w:t>
      </w:r>
      <w:r w:rsidRPr="00C24344">
        <w:rPr>
          <w:sz w:val="24"/>
          <w:szCs w:val="24"/>
        </w:rPr>
        <w:t xml:space="preserve">potřebné konstatovat, že ekonomický rozvoj má nejen pozitivní, ale i negativní dopady na kvalitu života a nelze tedy souhlasit se stále se ještě vyskytujícím názorem </w:t>
      </w:r>
      <w:r>
        <w:rPr>
          <w:sz w:val="24"/>
          <w:szCs w:val="24"/>
        </w:rPr>
        <w:t xml:space="preserve">že </w:t>
      </w:r>
      <w:r w:rsidRPr="00C24344">
        <w:rPr>
          <w:sz w:val="24"/>
          <w:szCs w:val="24"/>
        </w:rPr>
        <w:t>„růst řeší vše“.</w:t>
      </w:r>
    </w:p>
    <w:p w:rsidR="006A2747" w:rsidRPr="00C24344" w:rsidRDefault="006A2747" w:rsidP="00423120">
      <w:pPr>
        <w:keepNext/>
        <w:widowControl w:val="0"/>
        <w:suppressLineNumbers/>
        <w:ind w:firstLine="720"/>
        <w:jc w:val="both"/>
        <w:rPr>
          <w:sz w:val="24"/>
          <w:szCs w:val="24"/>
        </w:rPr>
      </w:pPr>
      <w:r w:rsidRPr="00C24344">
        <w:rPr>
          <w:sz w:val="24"/>
          <w:szCs w:val="24"/>
        </w:rPr>
        <w:t xml:space="preserve">Z hlediska hospodářského rozvoje je potřebné dále upozornit na v ekonomické teorii </w:t>
      </w:r>
      <w:r w:rsidRPr="00C24344">
        <w:rPr>
          <w:sz w:val="24"/>
          <w:szCs w:val="24"/>
        </w:rPr>
        <w:lastRenderedPageBreak/>
        <w:t>poměrně často opomíjenou skutečnost, že KSP významným způsobem ovlivňuje dlouhodobou konkurenceschopnost jednotlivých zemí a jejich regionů. Tento závěr je v souladu s</w:t>
      </w:r>
      <w:r>
        <w:rPr>
          <w:sz w:val="24"/>
          <w:szCs w:val="24"/>
        </w:rPr>
        <w:t xml:space="preserve"> naším</w:t>
      </w:r>
      <w:r w:rsidRPr="00C24344">
        <w:rPr>
          <w:sz w:val="24"/>
          <w:szCs w:val="24"/>
        </w:rPr>
        <w:t xml:space="preserve"> zjištěním, že kraje s podprůměrnou úrovní KSP zaznamenaly v mezidobí obou posledních censů</w:t>
      </w:r>
      <w:r w:rsidR="00275DD2">
        <w:rPr>
          <w:sz w:val="24"/>
          <w:szCs w:val="24"/>
        </w:rPr>
        <w:t>,</w:t>
      </w:r>
      <w:r w:rsidRPr="00C24344">
        <w:rPr>
          <w:sz w:val="24"/>
          <w:szCs w:val="24"/>
        </w:rPr>
        <w:t xml:space="preserve"> tj. 2001 až 2011</w:t>
      </w:r>
      <w:r w:rsidR="00275DD2">
        <w:rPr>
          <w:sz w:val="24"/>
          <w:szCs w:val="24"/>
        </w:rPr>
        <w:t>,</w:t>
      </w:r>
      <w:r w:rsidRPr="00C24344">
        <w:rPr>
          <w:sz w:val="24"/>
          <w:szCs w:val="24"/>
        </w:rPr>
        <w:t xml:space="preserve"> stagnaci</w:t>
      </w:r>
      <w:r w:rsidR="00BA6F21">
        <w:rPr>
          <w:sz w:val="24"/>
          <w:szCs w:val="24"/>
        </w:rPr>
        <w:t>,</w:t>
      </w:r>
      <w:r w:rsidRPr="00C24344">
        <w:rPr>
          <w:sz w:val="24"/>
          <w:szCs w:val="24"/>
        </w:rPr>
        <w:t xml:space="preserve"> resp. úbytek počtu obyvatel (vůbec nejvyšší populační pokles o 2,5 % byl zjištěn v Moravskoslezském kraji</w:t>
      </w:r>
      <w:r>
        <w:rPr>
          <w:sz w:val="24"/>
          <w:szCs w:val="24"/>
        </w:rPr>
        <w:t>)</w:t>
      </w:r>
      <w:r w:rsidRPr="00C24344">
        <w:rPr>
          <w:sz w:val="24"/>
          <w:szCs w:val="24"/>
        </w:rPr>
        <w:t xml:space="preserve">, přičemž celá Česká republika zaznamenala přírůstek 3,2 %). Tento negativní vývoj je navíc spojen s emigrací mladších a vzdělanějších skupin obyvatelstva, což </w:t>
      </w:r>
      <w:r>
        <w:rPr>
          <w:sz w:val="24"/>
          <w:szCs w:val="24"/>
        </w:rPr>
        <w:t xml:space="preserve">pochopitelně dále </w:t>
      </w:r>
      <w:r w:rsidRPr="00C24344">
        <w:rPr>
          <w:sz w:val="24"/>
          <w:szCs w:val="24"/>
        </w:rPr>
        <w:t>oslabuje budoucí konkurenceschopnost příslušných krajů.</w:t>
      </w:r>
    </w:p>
    <w:p w:rsidR="006A2747" w:rsidRPr="00C24344" w:rsidRDefault="006A2747" w:rsidP="00423120">
      <w:pPr>
        <w:keepNext/>
        <w:widowControl w:val="0"/>
        <w:suppressLineNumbers/>
        <w:autoSpaceDE w:val="0"/>
        <w:autoSpaceDN w:val="0"/>
        <w:adjustRightInd w:val="0"/>
        <w:ind w:firstLine="720"/>
        <w:jc w:val="both"/>
        <w:rPr>
          <w:sz w:val="24"/>
          <w:szCs w:val="24"/>
        </w:rPr>
      </w:pPr>
      <w:r w:rsidRPr="00C24344">
        <w:rPr>
          <w:sz w:val="24"/>
          <w:szCs w:val="24"/>
        </w:rPr>
        <w:t xml:space="preserve">Úroveň KPP i KSP poskytuje základní informace o rozvojovém potenciálu jednotlivých českých regionu (krajů). Z hlediska intenzity a účinnosti jeho aktivace je </w:t>
      </w:r>
      <w:r>
        <w:rPr>
          <w:sz w:val="24"/>
          <w:szCs w:val="24"/>
        </w:rPr>
        <w:t xml:space="preserve">nezbytné </w:t>
      </w:r>
      <w:r w:rsidRPr="00C24344">
        <w:rPr>
          <w:sz w:val="24"/>
          <w:szCs w:val="24"/>
        </w:rPr>
        <w:t>tyto informace doplnit relevantními informacemi cílenými na využití lidských zdrojů (VLZ) a inovační potenciál firem (IPF). Sp</w:t>
      </w:r>
      <w:r w:rsidR="00A75E48">
        <w:rPr>
          <w:sz w:val="24"/>
          <w:szCs w:val="24"/>
        </w:rPr>
        <w:t>olečné vyhodnocení základních a </w:t>
      </w:r>
      <w:r w:rsidRPr="00C24344">
        <w:rPr>
          <w:sz w:val="24"/>
          <w:szCs w:val="24"/>
        </w:rPr>
        <w:t xml:space="preserve">doplňkových komponent regionálního rozvoje pak umožňuje komplexně posoudit konkurenceschopnost jednotlivých krajů. </w:t>
      </w:r>
    </w:p>
    <w:p w:rsidR="006A2747" w:rsidRPr="00C24344" w:rsidRDefault="006A2747" w:rsidP="00423120">
      <w:pPr>
        <w:keepNext/>
        <w:widowControl w:val="0"/>
        <w:suppressLineNumbers/>
        <w:autoSpaceDE w:val="0"/>
        <w:autoSpaceDN w:val="0"/>
        <w:adjustRightInd w:val="0"/>
        <w:ind w:firstLine="720"/>
        <w:jc w:val="both"/>
        <w:rPr>
          <w:sz w:val="24"/>
          <w:szCs w:val="24"/>
        </w:rPr>
      </w:pPr>
      <w:r w:rsidRPr="00C24344">
        <w:rPr>
          <w:sz w:val="24"/>
          <w:szCs w:val="24"/>
        </w:rPr>
        <w:t>Význam komponenty VLZ vyplývá zejména ze společenské citlivosti otázky nezaměstnanosti, jejíž řešení je v politické praxi nejčastěji odůvodňováno aplikací principu solidarity. Hodnocení VLZ odráží schopnosti firem adaptovat se na regionální i globální vývojové trendy v</w:t>
      </w:r>
      <w:r>
        <w:rPr>
          <w:sz w:val="24"/>
          <w:szCs w:val="24"/>
        </w:rPr>
        <w:t> </w:t>
      </w:r>
      <w:r w:rsidRPr="00C24344">
        <w:rPr>
          <w:sz w:val="24"/>
          <w:szCs w:val="24"/>
        </w:rPr>
        <w:t>ekonomice</w:t>
      </w:r>
      <w:r>
        <w:rPr>
          <w:sz w:val="24"/>
          <w:szCs w:val="24"/>
        </w:rPr>
        <w:t xml:space="preserve"> (z obecného pohledu lze schopnost adaptace nepochybně označit za jeden ze základních předpokladů udržitelného rozvoje). </w:t>
      </w:r>
      <w:r w:rsidRPr="00C24344">
        <w:rPr>
          <w:sz w:val="24"/>
          <w:szCs w:val="24"/>
        </w:rPr>
        <w:t xml:space="preserve">Tyto schopnosti lze nejvýstižněji interpretovat pomocí ukazatele míry nezaměstnanosti v interakci s ukazatelem nabídky volných pracovních míst jako hlavních indikátorů územních interakcí mezi poptávkou a nabídkou na pracovních trzích. V této souvislosti  byla na mezoregionální úrovni, podobně jako v případě dalších zemí EU, zjištěna silná závislost mezi mírou nezaměstnanosti a podílem tzv. ekonomicky citlivých odvětví trpících silnou konkurencí či dlouhodobou stagnací na úrovni celé EU (European Commission, </w:t>
      </w:r>
      <w:r w:rsidRPr="00C24344">
        <w:rPr>
          <w:rFonts w:cs="TimesNewRomanPSMT"/>
          <w:sz w:val="24"/>
        </w:rPr>
        <w:t>1996</w:t>
      </w:r>
      <w:r w:rsidRPr="00C24344">
        <w:rPr>
          <w:sz w:val="24"/>
          <w:szCs w:val="24"/>
        </w:rPr>
        <w:t xml:space="preserve">). Uvedený vztah potvrzuje zásadní význam procesu strukturální adaptace podnikatelské sféry </w:t>
      </w:r>
      <w:r>
        <w:rPr>
          <w:sz w:val="24"/>
          <w:szCs w:val="24"/>
        </w:rPr>
        <w:t xml:space="preserve">(a rovněž odvětvové diverzifikace ekonomiky) </w:t>
      </w:r>
      <w:r w:rsidRPr="00C24344">
        <w:rPr>
          <w:sz w:val="24"/>
          <w:szCs w:val="24"/>
        </w:rPr>
        <w:t xml:space="preserve">pro budoucí rozvoj regionů. V souladu se statistickými údaji se tak </w:t>
      </w:r>
      <w:r>
        <w:rPr>
          <w:sz w:val="24"/>
          <w:szCs w:val="24"/>
        </w:rPr>
        <w:t xml:space="preserve">logicky </w:t>
      </w:r>
      <w:r w:rsidRPr="00C24344">
        <w:rPr>
          <w:sz w:val="24"/>
          <w:szCs w:val="24"/>
        </w:rPr>
        <w:t xml:space="preserve">trvale nejvyšší nezaměstnanost vyskytuje v regionech s nejvyšším podílem citlivých odvětví, tzn. v „hornických“ krajích Ústeckém, Moravskoslezském a Karlovarském a dále v kraji Olomouckém. Hodnotíme-li </w:t>
      </w:r>
      <w:r w:rsidRPr="00C24344">
        <w:rPr>
          <w:rFonts w:cs="TimesNewRomanPSMT"/>
          <w:sz w:val="24"/>
          <w:szCs w:val="20"/>
        </w:rPr>
        <w:t xml:space="preserve">póly rozvoje, </w:t>
      </w:r>
      <w:r w:rsidRPr="00C24344">
        <w:rPr>
          <w:sz w:val="24"/>
          <w:szCs w:val="24"/>
        </w:rPr>
        <w:t>vykazují</w:t>
      </w:r>
      <w:r w:rsidRPr="00C24344">
        <w:rPr>
          <w:rFonts w:cs="TimesNewRomanPSMT"/>
          <w:sz w:val="24"/>
          <w:szCs w:val="20"/>
        </w:rPr>
        <w:t xml:space="preserve"> dlouhodobě nejvyšší nezaměstnanost Ústí n. L. a Ostrava a naopak nejnižší nezaměstnanost Praha, M. Boleslav, Č. Budějovice a Plzeň. Pro vzájemné vazby komponent VLZ a KPP na mezoregionální úrovni je signifikantní poměrně těsná </w:t>
      </w:r>
      <w:r w:rsidRPr="00C24344">
        <w:rPr>
          <w:sz w:val="24"/>
          <w:szCs w:val="24"/>
        </w:rPr>
        <w:t xml:space="preserve">korelace </w:t>
      </w:r>
      <w:r w:rsidRPr="00C24344">
        <w:rPr>
          <w:rFonts w:cs="TimesNewRomanPSMT"/>
          <w:sz w:val="24"/>
          <w:szCs w:val="20"/>
        </w:rPr>
        <w:t>(</w:t>
      </w:r>
      <w:r w:rsidRPr="00C24344">
        <w:rPr>
          <w:sz w:val="24"/>
          <w:szCs w:val="24"/>
        </w:rPr>
        <w:t>v našem případě s</w:t>
      </w:r>
      <w:r>
        <w:rPr>
          <w:sz w:val="24"/>
          <w:szCs w:val="24"/>
        </w:rPr>
        <w:t> </w:t>
      </w:r>
      <w:r w:rsidRPr="00C24344">
        <w:rPr>
          <w:sz w:val="24"/>
          <w:szCs w:val="24"/>
        </w:rPr>
        <w:t>koeficientem</w:t>
      </w:r>
      <w:r>
        <w:rPr>
          <w:sz w:val="24"/>
          <w:szCs w:val="24"/>
        </w:rPr>
        <w:t xml:space="preserve"> </w:t>
      </w:r>
      <w:r w:rsidR="008C7D62">
        <w:rPr>
          <w:sz w:val="24"/>
          <w:szCs w:val="24"/>
        </w:rPr>
        <w:t>-</w:t>
      </w:r>
      <w:r w:rsidRPr="00C24344">
        <w:rPr>
          <w:sz w:val="24"/>
          <w:szCs w:val="24"/>
        </w:rPr>
        <w:t>0,72). Na mikroregionální úrovni pak byl odhalen významný vztah mezi mírou nezaměstnanosti a odchylkami skutečných hodnot KPP od teoreticky příslušných hodnot odvozených z  mocninné regresní křivky (</w:t>
      </w:r>
      <w:r w:rsidR="008C7D62">
        <w:rPr>
          <w:sz w:val="24"/>
          <w:szCs w:val="24"/>
        </w:rPr>
        <w:t>korelační koeficient -</w:t>
      </w:r>
      <w:r w:rsidRPr="00C24344">
        <w:rPr>
          <w:sz w:val="24"/>
          <w:szCs w:val="24"/>
        </w:rPr>
        <w:t xml:space="preserve">0,63). </w:t>
      </w:r>
      <w:r w:rsidRPr="00C24344">
        <w:rPr>
          <w:rFonts w:cs="TimesNewRomanPSMT"/>
          <w:sz w:val="24"/>
          <w:szCs w:val="20"/>
        </w:rPr>
        <w:t>Z hlediska systémových va</w:t>
      </w:r>
      <w:r w:rsidR="00A75E48">
        <w:rPr>
          <w:rFonts w:cs="TimesNewRomanPSMT"/>
          <w:sz w:val="24"/>
          <w:szCs w:val="20"/>
        </w:rPr>
        <w:t>zeb doplňkových komponent VLZ a </w:t>
      </w:r>
      <w:r w:rsidRPr="00C24344">
        <w:rPr>
          <w:rFonts w:cs="TimesNewRomanPSMT"/>
          <w:sz w:val="24"/>
          <w:szCs w:val="20"/>
        </w:rPr>
        <w:t xml:space="preserve">IPF se pak postupně dostává do popředí otázka udržování nejen kvantitativní, ale zejména kvalitativní rovnováhy na pracovních trzích, jako jednoho z hlavních faktorů efektivnosti vzdělávacího systému a tedy i významného předpokladu rozvoje znalostní ekonomiky. </w:t>
      </w:r>
    </w:p>
    <w:p w:rsidR="006A2747" w:rsidRPr="00C24344" w:rsidRDefault="006A2747" w:rsidP="00423120">
      <w:pPr>
        <w:keepNext/>
        <w:widowControl w:val="0"/>
        <w:suppressLineNumbers/>
        <w:ind w:firstLine="709"/>
        <w:jc w:val="both"/>
        <w:rPr>
          <w:sz w:val="24"/>
          <w:szCs w:val="24"/>
        </w:rPr>
      </w:pPr>
      <w:r w:rsidRPr="00C24344">
        <w:rPr>
          <w:sz w:val="24"/>
          <w:szCs w:val="24"/>
        </w:rPr>
        <w:t xml:space="preserve">Význam komponenty IPF vyplývá ze skutečnosti, že představuje souhrnný </w:t>
      </w:r>
      <w:r w:rsidRPr="00C24344">
        <w:rPr>
          <w:rFonts w:cs="TimesNewRomanPSMT"/>
          <w:sz w:val="24"/>
          <w:szCs w:val="20"/>
        </w:rPr>
        <w:t xml:space="preserve">indikátor rozvoje znalostní ekonomiky. Potřebné informace byly získány ze dvou základních zdrojů: periodická šetření o inovacích </w:t>
      </w:r>
      <w:r w:rsidRPr="00C24344">
        <w:rPr>
          <w:sz w:val="24"/>
          <w:szCs w:val="24"/>
        </w:rPr>
        <w:t xml:space="preserve">zpracovávaná na základě tzv. Oslo manuálu v rámci celé EU </w:t>
      </w:r>
      <w:r w:rsidRPr="00C24344">
        <w:rPr>
          <w:sz w:val="24"/>
          <w:szCs w:val="24"/>
        </w:rPr>
        <w:lastRenderedPageBreak/>
        <w:t xml:space="preserve">(ČSÚ, 2008, 2012) a šetření o vědě a výzkumu – VaV (ČSÚ, 2009, 2013). Z informací týkajících se zejména podílu inovačních firem, poměru výdajů firem na VaV k regionálnímu HDP a poměru zaměstnanců ve VaV k jejich celkovému počtu v daném regionu vyplývá, že z českých krajů </w:t>
      </w:r>
      <w:r w:rsidRPr="00C24344">
        <w:rPr>
          <w:rFonts w:cs="TimesNewRomanPSMT"/>
          <w:sz w:val="24"/>
          <w:szCs w:val="20"/>
        </w:rPr>
        <w:t>vykazuje nejvyšší úroveň IPF Pr</w:t>
      </w:r>
      <w:r w:rsidR="00A75E48">
        <w:rPr>
          <w:rFonts w:cs="TimesNewRomanPSMT"/>
          <w:sz w:val="24"/>
          <w:szCs w:val="20"/>
        </w:rPr>
        <w:t xml:space="preserve">aha, následovaná Středočeským </w:t>
      </w:r>
      <w:r w:rsidR="00A75E48" w:rsidRPr="00A75E48">
        <w:t>a</w:t>
      </w:r>
      <w:r w:rsidR="00A75E48">
        <w:t> </w:t>
      </w:r>
      <w:r w:rsidRPr="00A75E48">
        <w:t>Jihomoravským</w:t>
      </w:r>
      <w:r w:rsidRPr="00C24344">
        <w:rPr>
          <w:rFonts w:cs="TimesNewRomanPSMT"/>
          <w:sz w:val="24"/>
          <w:szCs w:val="20"/>
        </w:rPr>
        <w:t xml:space="preserve"> krajem (tato pozice se projevuje i jejich vysokou migrační atraktivit</w:t>
      </w:r>
      <w:r w:rsidR="00DF12F1">
        <w:rPr>
          <w:rFonts w:cs="TimesNewRomanPSMT"/>
          <w:sz w:val="24"/>
          <w:szCs w:val="20"/>
        </w:rPr>
        <w:t xml:space="preserve">ou </w:t>
      </w:r>
      <w:r w:rsidR="00A75E48">
        <w:rPr>
          <w:rFonts w:cs="TimesNewRomanPSMT"/>
          <w:sz w:val="24"/>
          <w:szCs w:val="20"/>
        </w:rPr>
        <w:t>pro </w:t>
      </w:r>
      <w:r w:rsidR="00DF12F1">
        <w:rPr>
          <w:rFonts w:cs="TimesNewRomanPSMT"/>
          <w:sz w:val="24"/>
          <w:szCs w:val="20"/>
        </w:rPr>
        <w:t>osoby s VŠ vzděláním). N</w:t>
      </w:r>
      <w:r w:rsidRPr="00C24344">
        <w:rPr>
          <w:rFonts w:cs="TimesNewRomanPSMT"/>
          <w:sz w:val="24"/>
          <w:szCs w:val="20"/>
        </w:rPr>
        <w:t>a druhé straně potom sto</w:t>
      </w:r>
      <w:r w:rsidR="00A75E48">
        <w:rPr>
          <w:rFonts w:cs="TimesNewRomanPSMT"/>
          <w:sz w:val="24"/>
          <w:szCs w:val="20"/>
        </w:rPr>
        <w:t>jí kraje Karlovarský, Ústecký a </w:t>
      </w:r>
      <w:r w:rsidRPr="00C24344">
        <w:rPr>
          <w:rFonts w:cs="TimesNewRomanPSMT"/>
          <w:sz w:val="24"/>
          <w:szCs w:val="20"/>
        </w:rPr>
        <w:t xml:space="preserve">Vysočina. Nejvýznamnějšími inovačními centry jsou přirozeně aglomerace krajských měst spolu s M. Boleslaví – </w:t>
      </w:r>
      <w:r w:rsidRPr="00C24344">
        <w:rPr>
          <w:rFonts w:cs="TimesNewRomanPSMT"/>
          <w:sz w:val="24"/>
          <w:szCs w:val="24"/>
        </w:rPr>
        <w:t xml:space="preserve">sídlo firmy </w:t>
      </w:r>
      <w:r w:rsidRPr="00C24344">
        <w:rPr>
          <w:rFonts w:cs="TimesNewRomanPSMT"/>
          <w:sz w:val="24"/>
          <w:szCs w:val="24"/>
          <w:lang w:eastAsia="en-US"/>
        </w:rPr>
        <w:t>Škoda Auto s vůbec nejvyššími firemními výdaji na VaV v rámci České republi</w:t>
      </w:r>
      <w:r>
        <w:rPr>
          <w:rFonts w:cs="TimesNewRomanPSMT"/>
          <w:sz w:val="24"/>
          <w:szCs w:val="24"/>
          <w:lang w:eastAsia="en-US"/>
        </w:rPr>
        <w:t>ky</w:t>
      </w:r>
      <w:r w:rsidRPr="00C24344">
        <w:rPr>
          <w:rFonts w:cs="TimesNewRomanPSMT"/>
          <w:sz w:val="24"/>
          <w:szCs w:val="24"/>
          <w:lang w:eastAsia="en-US"/>
        </w:rPr>
        <w:t xml:space="preserve"> </w:t>
      </w:r>
      <w:r w:rsidRPr="00C24344">
        <w:rPr>
          <w:rFonts w:cs="TimesNewRomanPSMT"/>
          <w:sz w:val="24"/>
          <w:szCs w:val="24"/>
        </w:rPr>
        <w:t>(nejslabší postavení</w:t>
      </w:r>
      <w:r w:rsidRPr="00C24344">
        <w:rPr>
          <w:rFonts w:cs="TimesNewRomanPSMT"/>
          <w:sz w:val="24"/>
          <w:szCs w:val="20"/>
        </w:rPr>
        <w:t xml:space="preserve"> mají K. Va</w:t>
      </w:r>
      <w:r w:rsidR="00A75E48">
        <w:rPr>
          <w:rFonts w:cs="TimesNewRomanPSMT"/>
          <w:sz w:val="24"/>
          <w:szCs w:val="20"/>
        </w:rPr>
        <w:t>ry, H. Králové, Ústí n. L. a Č. </w:t>
      </w:r>
      <w:r w:rsidRPr="00C24344">
        <w:rPr>
          <w:rFonts w:cs="TimesNewRomanPSMT"/>
          <w:sz w:val="24"/>
          <w:szCs w:val="20"/>
        </w:rPr>
        <w:t xml:space="preserve">Budějovice). </w:t>
      </w:r>
      <w:r w:rsidRPr="00C24344">
        <w:rPr>
          <w:sz w:val="24"/>
          <w:szCs w:val="24"/>
        </w:rPr>
        <w:t>Ačkoliv nadprůměrná úroveň KPP je spojována s vyšší konkurencí nutící firmy realizovat technické i netechnické inovace, nejsou její vazby na komponentu I</w:t>
      </w:r>
      <w:r w:rsidR="00A75E48">
        <w:rPr>
          <w:sz w:val="24"/>
          <w:szCs w:val="24"/>
        </w:rPr>
        <w:t>PF na </w:t>
      </w:r>
      <w:r w:rsidRPr="00C24344">
        <w:rPr>
          <w:sz w:val="24"/>
          <w:szCs w:val="24"/>
        </w:rPr>
        <w:t>krajské úrovni jednoznačné – silná korelace byla zjištěna pouze u vazeb KPP se zaměstnaností ve VaV (v tomto směru nicméně všechny české kraje s výjimkou Prahy spadají v rámci EU do podprůměrných skupin). Na výrazně heterogen</w:t>
      </w:r>
      <w:r w:rsidR="00DF12F1">
        <w:rPr>
          <w:sz w:val="24"/>
          <w:szCs w:val="24"/>
        </w:rPr>
        <w:t>n</w:t>
      </w:r>
      <w:r w:rsidRPr="00C24344">
        <w:rPr>
          <w:sz w:val="24"/>
          <w:szCs w:val="24"/>
        </w:rPr>
        <w:t>ější mikroregionální úrovni však byla na základě výsledků vlastního šetření vycház</w:t>
      </w:r>
      <w:r w:rsidR="00A75E48">
        <w:rPr>
          <w:sz w:val="24"/>
          <w:szCs w:val="24"/>
        </w:rPr>
        <w:t>ejícího z databáze Asociace pro </w:t>
      </w:r>
      <w:r w:rsidRPr="00C24344">
        <w:rPr>
          <w:sz w:val="24"/>
          <w:szCs w:val="24"/>
        </w:rPr>
        <w:t>inovační podnikání prokázána zřetelná závislost mezi KPP a zastoupením velkých inovačních firem (korelační koeficient 0,62).</w:t>
      </w:r>
      <w:r w:rsidRPr="00C24344">
        <w:rPr>
          <w:rFonts w:cs="TimesNewRomanPSMT"/>
          <w:sz w:val="24"/>
          <w:szCs w:val="20"/>
        </w:rPr>
        <w:t xml:space="preserve"> Z rozvojového pohledu je </w:t>
      </w:r>
      <w:r>
        <w:rPr>
          <w:rFonts w:cs="TimesNewRomanPSMT"/>
          <w:sz w:val="24"/>
          <w:szCs w:val="20"/>
        </w:rPr>
        <w:t>třeba</w:t>
      </w:r>
      <w:r w:rsidRPr="00C24344">
        <w:rPr>
          <w:rFonts w:cs="TimesNewRomanPSMT"/>
          <w:sz w:val="24"/>
          <w:szCs w:val="20"/>
        </w:rPr>
        <w:t xml:space="preserve"> upozornit </w:t>
      </w:r>
      <w:r w:rsidR="00A75E48">
        <w:rPr>
          <w:rFonts w:cs="TimesNewRomanPSMT"/>
          <w:sz w:val="24"/>
          <w:szCs w:val="20"/>
        </w:rPr>
        <w:t>na </w:t>
      </w:r>
      <w:r w:rsidRPr="00C24344">
        <w:rPr>
          <w:rFonts w:cs="TimesNewRomanPSMT"/>
          <w:sz w:val="24"/>
          <w:szCs w:val="20"/>
        </w:rPr>
        <w:t>strategicky významnou skutečnost</w:t>
      </w:r>
      <w:r w:rsidRPr="00C24344">
        <w:rPr>
          <w:sz w:val="24"/>
          <w:szCs w:val="24"/>
        </w:rPr>
        <w:t xml:space="preserve">, že technicky inovující firmy se oproti neinovujícím firmám výrazně lépe prosazují na mezinárodních trzích, přičemž v případě méně vyspělých zemí jsou firmy v zahraničním vlastnictví inovačně jednoznačně výkonnější než domácí firmy (Viturka, Žítek, Klímová, Tonev, 2011). Za </w:t>
      </w:r>
      <w:r>
        <w:rPr>
          <w:sz w:val="24"/>
          <w:szCs w:val="24"/>
        </w:rPr>
        <w:t>silnou</w:t>
      </w:r>
      <w:r w:rsidRPr="00C24344">
        <w:rPr>
          <w:sz w:val="24"/>
          <w:szCs w:val="24"/>
        </w:rPr>
        <w:t xml:space="preserve"> bariéru rychlejšího rozvoje znalostní ekonomiky v České republice pak lze označit převažující orientaci domácích</w:t>
      </w:r>
      <w:r w:rsidRPr="00C24344">
        <w:rPr>
          <w:rFonts w:cs="TimesNewRomanPSMT"/>
          <w:sz w:val="24"/>
          <w:szCs w:val="20"/>
        </w:rPr>
        <w:t xml:space="preserve"> firem </w:t>
      </w:r>
      <w:r w:rsidRPr="00C24344">
        <w:rPr>
          <w:sz w:val="24"/>
          <w:szCs w:val="24"/>
        </w:rPr>
        <w:t xml:space="preserve">na inovace nižšího řádu (podíl firemních výdajů na VaV na celkových výdajích na technické inovace je </w:t>
      </w:r>
      <w:r>
        <w:rPr>
          <w:sz w:val="24"/>
          <w:szCs w:val="24"/>
        </w:rPr>
        <w:t>asi</w:t>
      </w:r>
      <w:r w:rsidRPr="00C24344">
        <w:rPr>
          <w:sz w:val="24"/>
          <w:szCs w:val="24"/>
        </w:rPr>
        <w:t xml:space="preserve"> třetinový). Ze širšího pohledu proto nepřekvapuje, že na úrovni NUTS 2 žádný český region nepřesáhl hranici 3 % podílu výdajů na VaV na HDP, zatímco v</w:t>
      </w:r>
      <w:r w:rsidR="00DF12F1">
        <w:rPr>
          <w:sz w:val="24"/>
          <w:szCs w:val="24"/>
        </w:rPr>
        <w:t xml:space="preserve"> </w:t>
      </w:r>
      <w:r w:rsidR="00B56724">
        <w:rPr>
          <w:sz w:val="24"/>
          <w:szCs w:val="24"/>
        </w:rPr>
        <w:t xml:space="preserve">rámci </w:t>
      </w:r>
      <w:r w:rsidRPr="00C24344">
        <w:rPr>
          <w:sz w:val="24"/>
          <w:szCs w:val="24"/>
        </w:rPr>
        <w:t> celé EU tuto hranici v roce 2011 překročilo celkem 35 regionů, z toho 11</w:t>
      </w:r>
      <w:r w:rsidR="00B56724">
        <w:rPr>
          <w:sz w:val="24"/>
          <w:szCs w:val="24"/>
        </w:rPr>
        <w:t xml:space="preserve"> regionů </w:t>
      </w:r>
      <w:r w:rsidRPr="00C24344">
        <w:rPr>
          <w:sz w:val="24"/>
          <w:szCs w:val="24"/>
        </w:rPr>
        <w:t xml:space="preserve">v Německu, 8 </w:t>
      </w:r>
      <w:r w:rsidR="00B56724">
        <w:rPr>
          <w:sz w:val="24"/>
          <w:szCs w:val="24"/>
        </w:rPr>
        <w:t xml:space="preserve">regionů </w:t>
      </w:r>
      <w:r w:rsidR="00A75E48">
        <w:rPr>
          <w:sz w:val="24"/>
          <w:szCs w:val="24"/>
        </w:rPr>
        <w:t>ve </w:t>
      </w:r>
      <w:r w:rsidRPr="00C24344">
        <w:rPr>
          <w:sz w:val="24"/>
          <w:szCs w:val="24"/>
        </w:rPr>
        <w:t xml:space="preserve">V. Británii a 4 </w:t>
      </w:r>
      <w:r w:rsidR="00B56724">
        <w:rPr>
          <w:sz w:val="24"/>
          <w:szCs w:val="24"/>
        </w:rPr>
        <w:t xml:space="preserve">regiony </w:t>
      </w:r>
      <w:r w:rsidRPr="00C24344">
        <w:rPr>
          <w:sz w:val="24"/>
          <w:szCs w:val="24"/>
        </w:rPr>
        <w:t>ve Švédsku (Eurostat, 2012).</w:t>
      </w:r>
    </w:p>
    <w:p w:rsidR="006A2747" w:rsidRPr="00C24344" w:rsidRDefault="006A2747" w:rsidP="00423120">
      <w:pPr>
        <w:keepNext/>
        <w:autoSpaceDE w:val="0"/>
        <w:autoSpaceDN w:val="0"/>
        <w:adjustRightInd w:val="0"/>
        <w:ind w:firstLine="720"/>
        <w:jc w:val="both"/>
        <w:rPr>
          <w:sz w:val="24"/>
        </w:rPr>
      </w:pPr>
      <w:r w:rsidRPr="00C24344">
        <w:rPr>
          <w:sz w:val="24"/>
          <w:szCs w:val="24"/>
        </w:rPr>
        <w:t>Celkový konkurenční potenciál mezoregionů</w:t>
      </w:r>
      <w:r w:rsidR="00BA6F21">
        <w:rPr>
          <w:sz w:val="24"/>
          <w:szCs w:val="24"/>
        </w:rPr>
        <w:t>,</w:t>
      </w:r>
      <w:r w:rsidRPr="00C24344">
        <w:rPr>
          <w:sz w:val="24"/>
          <w:szCs w:val="24"/>
        </w:rPr>
        <w:t xml:space="preserve"> resp. krajů lze nejvýstižněji interpretovat na základě typologie vycházející z výše diskutovaných komponent KPP a KSP, doplněných komponentami VLZ a IPF.  V prezentované případ</w:t>
      </w:r>
      <w:r>
        <w:rPr>
          <w:sz w:val="24"/>
          <w:szCs w:val="24"/>
        </w:rPr>
        <w:t>ové studii České republiky</w:t>
      </w:r>
      <w:r w:rsidRPr="00C24344">
        <w:rPr>
          <w:sz w:val="24"/>
          <w:szCs w:val="24"/>
        </w:rPr>
        <w:t xml:space="preserve"> tak byly vymezeny kraje s vynikajícím potenciálem – typ A (pouze dva kraje), kraje s dobrým potenciálem – typ B (sedm krajů) a kraje se slabším potenciálem – typ C (pět krajů). Vytvořené podtypy 1 – vyrovnaný a 2 – nevyrovnaný pak podávají </w:t>
      </w:r>
      <w:r>
        <w:rPr>
          <w:sz w:val="24"/>
          <w:szCs w:val="24"/>
        </w:rPr>
        <w:t xml:space="preserve">podrobnější </w:t>
      </w:r>
      <w:r w:rsidR="00A75E48">
        <w:rPr>
          <w:sz w:val="24"/>
          <w:szCs w:val="24"/>
        </w:rPr>
        <w:t>informaci o </w:t>
      </w:r>
      <w:r w:rsidRPr="00C24344">
        <w:rPr>
          <w:sz w:val="24"/>
          <w:szCs w:val="24"/>
        </w:rPr>
        <w:t>variabilitě </w:t>
      </w:r>
      <w:r>
        <w:rPr>
          <w:sz w:val="24"/>
          <w:szCs w:val="24"/>
        </w:rPr>
        <w:t xml:space="preserve">v rámci základního </w:t>
      </w:r>
      <w:r w:rsidRPr="00C24344">
        <w:rPr>
          <w:sz w:val="24"/>
          <w:szCs w:val="24"/>
        </w:rPr>
        <w:t xml:space="preserve">zařazení jednotlivých krajů. Provedená typologie poskytuje vstupní informace nezbytné pro vypracování dlouhodobé strategie regionálního rozvoje České republiky a navazující konkretizaci věcně strukturovaných krajských scénářů zohledňujících rozvojové podmínky jednotlivých krajů (při </w:t>
      </w:r>
      <w:r w:rsidRPr="00C24344">
        <w:rPr>
          <w:sz w:val="24"/>
          <w:lang w:eastAsia="en-US"/>
        </w:rPr>
        <w:t>rostoucí zá</w:t>
      </w:r>
      <w:r w:rsidR="00A75E48">
        <w:rPr>
          <w:sz w:val="24"/>
          <w:lang w:eastAsia="en-US"/>
        </w:rPr>
        <w:t>vislostí hospodářského růstu na </w:t>
      </w:r>
      <w:r w:rsidRPr="00C24344">
        <w:rPr>
          <w:sz w:val="24"/>
          <w:lang w:eastAsia="en-US"/>
        </w:rPr>
        <w:t xml:space="preserve">externích faktorech v podmínkách otevřené ekonomiky – interdependence </w:t>
      </w:r>
      <w:r>
        <w:rPr>
          <w:sz w:val="24"/>
          <w:lang w:eastAsia="en-US"/>
        </w:rPr>
        <w:t xml:space="preserve">je typickým rysem procesu </w:t>
      </w:r>
      <w:r w:rsidRPr="00C24344">
        <w:rPr>
          <w:sz w:val="24"/>
          <w:lang w:eastAsia="en-US"/>
        </w:rPr>
        <w:t xml:space="preserve">globalizace ekonomiky) </w:t>
      </w:r>
      <w:r w:rsidRPr="00C24344">
        <w:rPr>
          <w:sz w:val="24"/>
          <w:szCs w:val="24"/>
          <w:vertAlign w:val="superscript"/>
        </w:rPr>
        <w:footnoteReference w:id="21"/>
      </w:r>
      <w:r w:rsidRPr="00C24344">
        <w:rPr>
          <w:sz w:val="24"/>
          <w:lang w:eastAsia="en-US"/>
        </w:rPr>
        <w:t xml:space="preserve">. </w:t>
      </w:r>
    </w:p>
    <w:p w:rsidR="006A2747" w:rsidRPr="00813F95" w:rsidRDefault="006A2747" w:rsidP="000112D6">
      <w:pPr>
        <w:pStyle w:val="0T-Titulek"/>
      </w:pPr>
      <w:bookmarkStart w:id="92" w:name="_Toc360633910"/>
      <w:bookmarkStart w:id="93" w:name="_Toc382326449"/>
      <w:r w:rsidRPr="00813F95">
        <w:lastRenderedPageBreak/>
        <w:t>Tabulka 22: Celkové zhodnocení konkurenčního potenciálu českých krajů</w:t>
      </w:r>
      <w:bookmarkEnd w:id="92"/>
      <w:bookmarkEnd w:id="93"/>
    </w:p>
    <w:tbl>
      <w:tblPr>
        <w:tblW w:w="77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20"/>
        <w:gridCol w:w="1812"/>
        <w:gridCol w:w="1134"/>
        <w:gridCol w:w="1134"/>
        <w:gridCol w:w="1134"/>
        <w:gridCol w:w="1134"/>
      </w:tblGrid>
      <w:tr w:rsidR="006A2747" w:rsidRPr="00C24344" w:rsidTr="00DE18F9">
        <w:trPr>
          <w:trHeight w:hRule="exact" w:val="284"/>
          <w:jc w:val="center"/>
        </w:trPr>
        <w:tc>
          <w:tcPr>
            <w:tcW w:w="1420" w:type="dxa"/>
            <w:vMerge w:val="restart"/>
            <w:tcBorders>
              <w:top w:val="single" w:sz="12" w:space="0" w:color="auto"/>
            </w:tcBorders>
            <w:vAlign w:val="center"/>
          </w:tcPr>
          <w:p w:rsidR="006A2747" w:rsidRPr="00892411" w:rsidRDefault="006A2747" w:rsidP="00423120">
            <w:pPr>
              <w:keepNext/>
              <w:widowControl w:val="0"/>
              <w:jc w:val="center"/>
              <w:rPr>
                <w:rFonts w:asciiTheme="minorHAnsi" w:hAnsiTheme="minorHAnsi" w:cstheme="minorHAnsi"/>
                <w:b/>
              </w:rPr>
            </w:pPr>
            <w:r w:rsidRPr="00892411">
              <w:rPr>
                <w:rFonts w:asciiTheme="minorHAnsi" w:hAnsiTheme="minorHAnsi" w:cstheme="minorHAnsi"/>
                <w:b/>
              </w:rPr>
              <w:t>typ/podtyp</w:t>
            </w:r>
          </w:p>
        </w:tc>
        <w:tc>
          <w:tcPr>
            <w:tcW w:w="1812" w:type="dxa"/>
            <w:vMerge w:val="restart"/>
            <w:tcBorders>
              <w:top w:val="single" w:sz="12" w:space="0" w:color="auto"/>
            </w:tcBorders>
            <w:vAlign w:val="center"/>
          </w:tcPr>
          <w:p w:rsidR="006A2747" w:rsidRPr="00892411" w:rsidRDefault="006A2747" w:rsidP="00423120">
            <w:pPr>
              <w:keepNext/>
              <w:widowControl w:val="0"/>
              <w:rPr>
                <w:rFonts w:asciiTheme="minorHAnsi" w:hAnsiTheme="minorHAnsi" w:cstheme="minorHAnsi"/>
              </w:rPr>
            </w:pPr>
            <w:r w:rsidRPr="00892411">
              <w:rPr>
                <w:rFonts w:asciiTheme="minorHAnsi" w:hAnsiTheme="minorHAnsi" w:cstheme="minorHAnsi"/>
                <w:b/>
              </w:rPr>
              <w:t>kraj</w:t>
            </w:r>
          </w:p>
        </w:tc>
        <w:tc>
          <w:tcPr>
            <w:tcW w:w="4536" w:type="dxa"/>
            <w:gridSpan w:val="4"/>
            <w:tcBorders>
              <w:top w:val="single" w:sz="12" w:space="0" w:color="auto"/>
            </w:tcBorders>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b/>
              </w:rPr>
              <w:t>klasifikační skupiny</w:t>
            </w:r>
          </w:p>
        </w:tc>
      </w:tr>
      <w:tr w:rsidR="006A2747" w:rsidRPr="00C24344" w:rsidTr="00DE18F9">
        <w:trPr>
          <w:trHeight w:hRule="exact" w:val="284"/>
          <w:jc w:val="center"/>
        </w:trPr>
        <w:tc>
          <w:tcPr>
            <w:tcW w:w="1420" w:type="dxa"/>
            <w:vMerge/>
            <w:tcBorders>
              <w:bottom w:val="single" w:sz="12" w:space="0" w:color="auto"/>
            </w:tcBorders>
            <w:vAlign w:val="center"/>
          </w:tcPr>
          <w:p w:rsidR="006A2747" w:rsidRPr="00892411" w:rsidRDefault="006A2747" w:rsidP="00423120">
            <w:pPr>
              <w:keepNext/>
              <w:widowControl w:val="0"/>
              <w:jc w:val="center"/>
              <w:rPr>
                <w:rFonts w:asciiTheme="minorHAnsi" w:hAnsiTheme="minorHAnsi" w:cstheme="minorHAnsi"/>
                <w:b/>
              </w:rPr>
            </w:pPr>
          </w:p>
        </w:tc>
        <w:tc>
          <w:tcPr>
            <w:tcW w:w="1812" w:type="dxa"/>
            <w:vMerge/>
            <w:tcBorders>
              <w:bottom w:val="single" w:sz="12" w:space="0" w:color="auto"/>
            </w:tcBorders>
            <w:vAlign w:val="center"/>
          </w:tcPr>
          <w:p w:rsidR="006A2747" w:rsidRPr="00892411" w:rsidRDefault="006A2747" w:rsidP="00423120">
            <w:pPr>
              <w:keepNext/>
              <w:widowControl w:val="0"/>
              <w:rPr>
                <w:rFonts w:asciiTheme="minorHAnsi" w:hAnsiTheme="minorHAnsi" w:cstheme="minorHAnsi"/>
              </w:rPr>
            </w:pPr>
          </w:p>
        </w:tc>
        <w:tc>
          <w:tcPr>
            <w:tcW w:w="1134" w:type="dxa"/>
            <w:tcBorders>
              <w:bottom w:val="single" w:sz="12" w:space="0" w:color="auto"/>
            </w:tcBorders>
            <w:vAlign w:val="bottom"/>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b/>
                <w:lang w:eastAsia="en-US"/>
              </w:rPr>
              <w:t>KPP</w:t>
            </w:r>
          </w:p>
        </w:tc>
        <w:tc>
          <w:tcPr>
            <w:tcW w:w="1134" w:type="dxa"/>
            <w:tcBorders>
              <w:bottom w:val="single" w:sz="12" w:space="0" w:color="auto"/>
            </w:tcBorders>
            <w:vAlign w:val="bottom"/>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b/>
                <w:lang w:eastAsia="en-US"/>
              </w:rPr>
              <w:t>KSP</w:t>
            </w:r>
          </w:p>
        </w:tc>
        <w:tc>
          <w:tcPr>
            <w:tcW w:w="1134" w:type="dxa"/>
            <w:tcBorders>
              <w:bottom w:val="single" w:sz="12" w:space="0" w:color="auto"/>
            </w:tcBorders>
            <w:vAlign w:val="bottom"/>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b/>
                <w:i/>
                <w:lang w:eastAsia="en-US"/>
              </w:rPr>
              <w:t>VLZ</w:t>
            </w:r>
          </w:p>
        </w:tc>
        <w:tc>
          <w:tcPr>
            <w:tcW w:w="1134" w:type="dxa"/>
            <w:tcBorders>
              <w:bottom w:val="single" w:sz="12" w:space="0" w:color="auto"/>
            </w:tcBorders>
            <w:vAlign w:val="bottom"/>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b/>
                <w:i/>
                <w:lang w:eastAsia="en-US"/>
              </w:rPr>
              <w:t>IPF</w:t>
            </w:r>
          </w:p>
        </w:tc>
      </w:tr>
      <w:tr w:rsidR="006A2747" w:rsidRPr="00C24344" w:rsidTr="00DE18F9">
        <w:trPr>
          <w:trHeight w:hRule="exact" w:val="284"/>
          <w:jc w:val="center"/>
        </w:trPr>
        <w:tc>
          <w:tcPr>
            <w:tcW w:w="1420" w:type="dxa"/>
            <w:tcBorders>
              <w:top w:val="single" w:sz="12" w:space="0" w:color="auto"/>
            </w:tcBorders>
            <w:vAlign w:val="center"/>
          </w:tcPr>
          <w:p w:rsidR="006A2747" w:rsidRPr="00892411" w:rsidRDefault="006A2747" w:rsidP="00423120">
            <w:pPr>
              <w:keepNext/>
              <w:widowControl w:val="0"/>
              <w:jc w:val="center"/>
              <w:rPr>
                <w:rFonts w:asciiTheme="minorHAnsi" w:hAnsiTheme="minorHAnsi" w:cstheme="minorHAnsi"/>
                <w:b/>
              </w:rPr>
            </w:pPr>
            <w:r w:rsidRPr="00892411">
              <w:rPr>
                <w:rFonts w:asciiTheme="minorHAnsi" w:hAnsiTheme="minorHAnsi" w:cstheme="minorHAnsi"/>
                <w:b/>
              </w:rPr>
              <w:t>typ A</w:t>
            </w:r>
          </w:p>
        </w:tc>
        <w:tc>
          <w:tcPr>
            <w:tcW w:w="6348" w:type="dxa"/>
            <w:gridSpan w:val="5"/>
            <w:tcBorders>
              <w:top w:val="single" w:sz="12" w:space="0" w:color="auto"/>
            </w:tcBorders>
            <w:vAlign w:val="center"/>
          </w:tcPr>
          <w:p w:rsidR="006A2747" w:rsidRPr="00892411" w:rsidRDefault="006A2747" w:rsidP="00423120">
            <w:pPr>
              <w:keepNext/>
              <w:widowControl w:val="0"/>
              <w:jc w:val="center"/>
              <w:rPr>
                <w:rFonts w:asciiTheme="minorHAnsi" w:hAnsiTheme="minorHAnsi" w:cstheme="minorHAnsi"/>
              </w:rPr>
            </w:pPr>
          </w:p>
        </w:tc>
      </w:tr>
      <w:tr w:rsidR="006A2747" w:rsidRPr="00C24344" w:rsidTr="00DE18F9">
        <w:trPr>
          <w:trHeight w:hRule="exact" w:val="284"/>
          <w:jc w:val="center"/>
        </w:trPr>
        <w:tc>
          <w:tcPr>
            <w:tcW w:w="1420" w:type="dxa"/>
            <w:vAlign w:val="center"/>
          </w:tcPr>
          <w:p w:rsidR="006A2747" w:rsidRPr="00892411" w:rsidRDefault="006A2747" w:rsidP="00423120">
            <w:pPr>
              <w:keepNext/>
              <w:widowControl w:val="0"/>
              <w:jc w:val="center"/>
              <w:rPr>
                <w:rFonts w:asciiTheme="minorHAnsi" w:hAnsiTheme="minorHAnsi" w:cstheme="minorHAnsi"/>
                <w:b/>
                <w:i/>
              </w:rPr>
            </w:pPr>
            <w:r w:rsidRPr="00892411">
              <w:rPr>
                <w:rFonts w:asciiTheme="minorHAnsi" w:hAnsiTheme="minorHAnsi" w:cstheme="minorHAnsi"/>
                <w:b/>
                <w:i/>
              </w:rPr>
              <w:t>1</w:t>
            </w:r>
          </w:p>
        </w:tc>
        <w:tc>
          <w:tcPr>
            <w:tcW w:w="1812" w:type="dxa"/>
            <w:vAlign w:val="center"/>
          </w:tcPr>
          <w:p w:rsidR="006A2747" w:rsidRPr="00892411" w:rsidRDefault="006A2747" w:rsidP="00423120">
            <w:pPr>
              <w:keepNext/>
              <w:widowControl w:val="0"/>
              <w:rPr>
                <w:rFonts w:asciiTheme="minorHAnsi" w:hAnsiTheme="minorHAnsi" w:cstheme="minorHAnsi"/>
              </w:rPr>
            </w:pPr>
            <w:r w:rsidRPr="00892411">
              <w:rPr>
                <w:rFonts w:asciiTheme="minorHAnsi" w:hAnsiTheme="minorHAnsi" w:cstheme="minorHAnsi"/>
              </w:rPr>
              <w:t>Praha</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1</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1</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1</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1</w:t>
            </w:r>
          </w:p>
        </w:tc>
      </w:tr>
      <w:tr w:rsidR="006A2747" w:rsidRPr="00C24344" w:rsidTr="00DE18F9">
        <w:trPr>
          <w:trHeight w:hRule="exact" w:val="284"/>
          <w:jc w:val="center"/>
        </w:trPr>
        <w:tc>
          <w:tcPr>
            <w:tcW w:w="1420" w:type="dxa"/>
            <w:vAlign w:val="center"/>
          </w:tcPr>
          <w:p w:rsidR="006A2747" w:rsidRPr="00892411" w:rsidRDefault="006A2747" w:rsidP="00423120">
            <w:pPr>
              <w:keepNext/>
              <w:widowControl w:val="0"/>
              <w:jc w:val="center"/>
              <w:rPr>
                <w:rFonts w:asciiTheme="minorHAnsi" w:hAnsiTheme="minorHAnsi" w:cstheme="minorHAnsi"/>
                <w:b/>
                <w:i/>
              </w:rPr>
            </w:pPr>
            <w:r w:rsidRPr="00892411">
              <w:rPr>
                <w:rFonts w:asciiTheme="minorHAnsi" w:hAnsiTheme="minorHAnsi" w:cstheme="minorHAnsi"/>
                <w:b/>
                <w:i/>
              </w:rPr>
              <w:t>2</w:t>
            </w:r>
          </w:p>
        </w:tc>
        <w:tc>
          <w:tcPr>
            <w:tcW w:w="1812" w:type="dxa"/>
            <w:vAlign w:val="center"/>
          </w:tcPr>
          <w:p w:rsidR="006A2747" w:rsidRPr="00892411" w:rsidRDefault="006A2747" w:rsidP="00423120">
            <w:pPr>
              <w:keepNext/>
              <w:widowControl w:val="0"/>
              <w:rPr>
                <w:rFonts w:asciiTheme="minorHAnsi" w:hAnsiTheme="minorHAnsi" w:cstheme="minorHAnsi"/>
              </w:rPr>
            </w:pPr>
            <w:r w:rsidRPr="00892411">
              <w:rPr>
                <w:rFonts w:asciiTheme="minorHAnsi" w:hAnsiTheme="minorHAnsi" w:cstheme="minorHAnsi"/>
              </w:rPr>
              <w:t>Středočeský</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1</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1</w:t>
            </w:r>
          </w:p>
        </w:tc>
      </w:tr>
      <w:tr w:rsidR="006A2747" w:rsidRPr="00C24344" w:rsidTr="00DE18F9">
        <w:trPr>
          <w:trHeight w:hRule="exact" w:val="284"/>
          <w:jc w:val="center"/>
        </w:trPr>
        <w:tc>
          <w:tcPr>
            <w:tcW w:w="1420" w:type="dxa"/>
            <w:vAlign w:val="center"/>
          </w:tcPr>
          <w:p w:rsidR="006A2747" w:rsidRPr="00892411" w:rsidRDefault="006A2747" w:rsidP="00423120">
            <w:pPr>
              <w:keepNext/>
              <w:widowControl w:val="0"/>
              <w:jc w:val="center"/>
              <w:rPr>
                <w:rFonts w:asciiTheme="minorHAnsi" w:hAnsiTheme="minorHAnsi" w:cstheme="minorHAnsi"/>
                <w:b/>
              </w:rPr>
            </w:pPr>
            <w:r w:rsidRPr="00892411">
              <w:rPr>
                <w:rFonts w:asciiTheme="minorHAnsi" w:hAnsiTheme="minorHAnsi" w:cstheme="minorHAnsi"/>
                <w:b/>
              </w:rPr>
              <w:t>typ B</w:t>
            </w:r>
          </w:p>
        </w:tc>
        <w:tc>
          <w:tcPr>
            <w:tcW w:w="6348" w:type="dxa"/>
            <w:gridSpan w:val="5"/>
            <w:vAlign w:val="center"/>
          </w:tcPr>
          <w:p w:rsidR="006A2747" w:rsidRPr="00892411" w:rsidRDefault="006A2747" w:rsidP="00423120">
            <w:pPr>
              <w:keepNext/>
              <w:widowControl w:val="0"/>
              <w:jc w:val="center"/>
              <w:rPr>
                <w:rFonts w:asciiTheme="minorHAnsi" w:hAnsiTheme="minorHAnsi" w:cstheme="minorHAnsi"/>
              </w:rPr>
            </w:pPr>
          </w:p>
        </w:tc>
      </w:tr>
      <w:tr w:rsidR="006A2747" w:rsidRPr="00C24344" w:rsidTr="00DE18F9">
        <w:trPr>
          <w:trHeight w:hRule="exact" w:val="284"/>
          <w:jc w:val="center"/>
        </w:trPr>
        <w:tc>
          <w:tcPr>
            <w:tcW w:w="1420" w:type="dxa"/>
            <w:vAlign w:val="center"/>
          </w:tcPr>
          <w:p w:rsidR="006A2747" w:rsidRPr="00892411" w:rsidRDefault="006A2747" w:rsidP="00423120">
            <w:pPr>
              <w:keepNext/>
              <w:widowControl w:val="0"/>
              <w:jc w:val="center"/>
              <w:rPr>
                <w:rFonts w:asciiTheme="minorHAnsi" w:hAnsiTheme="minorHAnsi" w:cstheme="minorHAnsi"/>
                <w:b/>
                <w:i/>
              </w:rPr>
            </w:pPr>
            <w:r w:rsidRPr="00892411">
              <w:rPr>
                <w:rFonts w:asciiTheme="minorHAnsi" w:hAnsiTheme="minorHAnsi" w:cstheme="minorHAnsi"/>
                <w:b/>
                <w:i/>
              </w:rPr>
              <w:t>2</w:t>
            </w:r>
          </w:p>
        </w:tc>
        <w:tc>
          <w:tcPr>
            <w:tcW w:w="1812" w:type="dxa"/>
            <w:vAlign w:val="center"/>
          </w:tcPr>
          <w:p w:rsidR="006A2747" w:rsidRPr="00892411" w:rsidRDefault="006A2747" w:rsidP="00423120">
            <w:pPr>
              <w:keepNext/>
              <w:widowControl w:val="0"/>
              <w:rPr>
                <w:rFonts w:asciiTheme="minorHAnsi" w:hAnsiTheme="minorHAnsi" w:cstheme="minorHAnsi"/>
              </w:rPr>
            </w:pPr>
            <w:r w:rsidRPr="00892411">
              <w:rPr>
                <w:rFonts w:asciiTheme="minorHAnsi" w:hAnsiTheme="minorHAnsi" w:cstheme="minorHAnsi"/>
              </w:rPr>
              <w:t>Jihomoravský</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1</w:t>
            </w:r>
          </w:p>
        </w:tc>
      </w:tr>
      <w:tr w:rsidR="006A2747" w:rsidRPr="00C24344" w:rsidTr="00DE18F9">
        <w:trPr>
          <w:trHeight w:hRule="exact" w:val="284"/>
          <w:jc w:val="center"/>
        </w:trPr>
        <w:tc>
          <w:tcPr>
            <w:tcW w:w="1420" w:type="dxa"/>
            <w:vAlign w:val="center"/>
          </w:tcPr>
          <w:p w:rsidR="006A2747" w:rsidRPr="00892411" w:rsidRDefault="006A2747" w:rsidP="00423120">
            <w:pPr>
              <w:keepNext/>
              <w:jc w:val="center"/>
              <w:rPr>
                <w:rFonts w:asciiTheme="minorHAnsi" w:hAnsiTheme="minorHAnsi" w:cstheme="minorHAnsi"/>
                <w:b/>
                <w:i/>
                <w:lang w:eastAsia="en-US"/>
              </w:rPr>
            </w:pPr>
            <w:r w:rsidRPr="00892411">
              <w:rPr>
                <w:rFonts w:asciiTheme="minorHAnsi" w:hAnsiTheme="minorHAnsi" w:cstheme="minorHAnsi"/>
                <w:b/>
                <w:i/>
              </w:rPr>
              <w:t>2</w:t>
            </w:r>
          </w:p>
        </w:tc>
        <w:tc>
          <w:tcPr>
            <w:tcW w:w="1812" w:type="dxa"/>
            <w:vAlign w:val="center"/>
          </w:tcPr>
          <w:p w:rsidR="006A2747" w:rsidRPr="00892411" w:rsidRDefault="006A2747" w:rsidP="00423120">
            <w:pPr>
              <w:keepNext/>
              <w:widowControl w:val="0"/>
              <w:rPr>
                <w:rFonts w:asciiTheme="minorHAnsi" w:hAnsiTheme="minorHAnsi" w:cstheme="minorHAnsi"/>
              </w:rPr>
            </w:pPr>
            <w:r w:rsidRPr="00892411">
              <w:rPr>
                <w:rFonts w:asciiTheme="minorHAnsi" w:hAnsiTheme="minorHAnsi" w:cstheme="minorHAnsi"/>
              </w:rPr>
              <w:t>Plzeňský</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1</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r>
      <w:tr w:rsidR="006A2747" w:rsidRPr="00C24344" w:rsidTr="00DE18F9">
        <w:trPr>
          <w:trHeight w:hRule="exact" w:val="284"/>
          <w:jc w:val="center"/>
        </w:trPr>
        <w:tc>
          <w:tcPr>
            <w:tcW w:w="1420" w:type="dxa"/>
            <w:vAlign w:val="center"/>
          </w:tcPr>
          <w:p w:rsidR="006A2747" w:rsidRPr="00892411" w:rsidRDefault="006A2747" w:rsidP="00423120">
            <w:pPr>
              <w:keepNext/>
              <w:jc w:val="center"/>
              <w:rPr>
                <w:rFonts w:asciiTheme="minorHAnsi" w:hAnsiTheme="minorHAnsi" w:cstheme="minorHAnsi"/>
                <w:b/>
                <w:i/>
                <w:lang w:eastAsia="en-US"/>
              </w:rPr>
            </w:pPr>
            <w:r w:rsidRPr="00892411">
              <w:rPr>
                <w:rFonts w:asciiTheme="minorHAnsi" w:hAnsiTheme="minorHAnsi" w:cstheme="minorHAnsi"/>
                <w:b/>
                <w:i/>
              </w:rPr>
              <w:t>2</w:t>
            </w:r>
          </w:p>
        </w:tc>
        <w:tc>
          <w:tcPr>
            <w:tcW w:w="1812" w:type="dxa"/>
            <w:vAlign w:val="center"/>
          </w:tcPr>
          <w:p w:rsidR="006A2747" w:rsidRPr="00892411" w:rsidRDefault="006A2747" w:rsidP="00423120">
            <w:pPr>
              <w:keepNext/>
              <w:widowControl w:val="0"/>
              <w:rPr>
                <w:rFonts w:asciiTheme="minorHAnsi" w:hAnsiTheme="minorHAnsi" w:cstheme="minorHAnsi"/>
              </w:rPr>
            </w:pPr>
            <w:r w:rsidRPr="00892411">
              <w:rPr>
                <w:rFonts w:asciiTheme="minorHAnsi" w:hAnsiTheme="minorHAnsi" w:cstheme="minorHAnsi"/>
              </w:rPr>
              <w:t>Jihočeský Královéhradecký</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1</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r>
      <w:tr w:rsidR="006A2747" w:rsidRPr="00C24344" w:rsidTr="00DE18F9">
        <w:trPr>
          <w:trHeight w:hRule="exact" w:val="284"/>
          <w:jc w:val="center"/>
        </w:trPr>
        <w:tc>
          <w:tcPr>
            <w:tcW w:w="1420" w:type="dxa"/>
            <w:vAlign w:val="center"/>
          </w:tcPr>
          <w:p w:rsidR="006A2747" w:rsidRPr="00892411" w:rsidRDefault="006A2747" w:rsidP="00423120">
            <w:pPr>
              <w:keepNext/>
              <w:jc w:val="center"/>
              <w:rPr>
                <w:rFonts w:asciiTheme="minorHAnsi" w:hAnsiTheme="minorHAnsi" w:cstheme="minorHAnsi"/>
                <w:b/>
                <w:i/>
                <w:lang w:eastAsia="en-US"/>
              </w:rPr>
            </w:pPr>
            <w:r w:rsidRPr="00892411">
              <w:rPr>
                <w:rFonts w:asciiTheme="minorHAnsi" w:hAnsiTheme="minorHAnsi" w:cstheme="minorHAnsi"/>
                <w:b/>
                <w:i/>
              </w:rPr>
              <w:t>2</w:t>
            </w:r>
          </w:p>
        </w:tc>
        <w:tc>
          <w:tcPr>
            <w:tcW w:w="1812" w:type="dxa"/>
            <w:vAlign w:val="center"/>
          </w:tcPr>
          <w:p w:rsidR="006A2747" w:rsidRPr="00892411" w:rsidRDefault="006A2747" w:rsidP="00423120">
            <w:pPr>
              <w:keepNext/>
              <w:widowControl w:val="0"/>
              <w:rPr>
                <w:rFonts w:asciiTheme="minorHAnsi" w:hAnsiTheme="minorHAnsi" w:cstheme="minorHAnsi"/>
              </w:rPr>
            </w:pPr>
            <w:r w:rsidRPr="00892411">
              <w:rPr>
                <w:rFonts w:asciiTheme="minorHAnsi" w:hAnsiTheme="minorHAnsi" w:cstheme="minorHAnsi"/>
              </w:rPr>
              <w:t>Královéhradecký</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1</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r>
      <w:tr w:rsidR="006A2747" w:rsidRPr="00C24344" w:rsidTr="00DE18F9">
        <w:trPr>
          <w:trHeight w:hRule="exact" w:val="284"/>
          <w:jc w:val="center"/>
        </w:trPr>
        <w:tc>
          <w:tcPr>
            <w:tcW w:w="1420" w:type="dxa"/>
            <w:vAlign w:val="center"/>
          </w:tcPr>
          <w:p w:rsidR="006A2747" w:rsidRPr="00892411" w:rsidRDefault="006A2747" w:rsidP="00423120">
            <w:pPr>
              <w:keepNext/>
              <w:widowControl w:val="0"/>
              <w:jc w:val="center"/>
              <w:rPr>
                <w:rFonts w:asciiTheme="minorHAnsi" w:hAnsiTheme="minorHAnsi" w:cstheme="minorHAnsi"/>
                <w:b/>
                <w:i/>
              </w:rPr>
            </w:pPr>
            <w:r w:rsidRPr="00892411">
              <w:rPr>
                <w:rFonts w:asciiTheme="minorHAnsi" w:hAnsiTheme="minorHAnsi" w:cstheme="minorHAnsi"/>
                <w:b/>
                <w:i/>
              </w:rPr>
              <w:t>1</w:t>
            </w:r>
          </w:p>
        </w:tc>
        <w:tc>
          <w:tcPr>
            <w:tcW w:w="1812" w:type="dxa"/>
            <w:vAlign w:val="center"/>
          </w:tcPr>
          <w:p w:rsidR="006A2747" w:rsidRPr="00892411" w:rsidRDefault="006A2747" w:rsidP="00423120">
            <w:pPr>
              <w:keepNext/>
              <w:widowControl w:val="0"/>
              <w:rPr>
                <w:rFonts w:asciiTheme="minorHAnsi" w:hAnsiTheme="minorHAnsi" w:cstheme="minorHAnsi"/>
              </w:rPr>
            </w:pPr>
            <w:r w:rsidRPr="00892411">
              <w:rPr>
                <w:rFonts w:asciiTheme="minorHAnsi" w:hAnsiTheme="minorHAnsi" w:cstheme="minorHAnsi"/>
              </w:rPr>
              <w:t>Pardubický</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r>
      <w:tr w:rsidR="006A2747" w:rsidRPr="00C24344" w:rsidTr="00DE18F9">
        <w:trPr>
          <w:trHeight w:hRule="exact" w:val="284"/>
          <w:jc w:val="center"/>
        </w:trPr>
        <w:tc>
          <w:tcPr>
            <w:tcW w:w="1420" w:type="dxa"/>
            <w:vAlign w:val="center"/>
          </w:tcPr>
          <w:p w:rsidR="006A2747" w:rsidRPr="00892411" w:rsidRDefault="006A2747" w:rsidP="00423120">
            <w:pPr>
              <w:keepNext/>
              <w:widowControl w:val="0"/>
              <w:jc w:val="center"/>
              <w:rPr>
                <w:rFonts w:asciiTheme="minorHAnsi" w:hAnsiTheme="minorHAnsi" w:cstheme="minorHAnsi"/>
                <w:b/>
                <w:i/>
              </w:rPr>
            </w:pPr>
            <w:r w:rsidRPr="00892411">
              <w:rPr>
                <w:rFonts w:asciiTheme="minorHAnsi" w:hAnsiTheme="minorHAnsi" w:cstheme="minorHAnsi"/>
                <w:b/>
                <w:i/>
              </w:rPr>
              <w:t>1</w:t>
            </w:r>
          </w:p>
        </w:tc>
        <w:tc>
          <w:tcPr>
            <w:tcW w:w="1812" w:type="dxa"/>
            <w:vAlign w:val="center"/>
          </w:tcPr>
          <w:p w:rsidR="006A2747" w:rsidRPr="00892411" w:rsidRDefault="006A2747" w:rsidP="00423120">
            <w:pPr>
              <w:keepNext/>
              <w:widowControl w:val="0"/>
              <w:rPr>
                <w:rFonts w:asciiTheme="minorHAnsi" w:hAnsiTheme="minorHAnsi" w:cstheme="minorHAnsi"/>
              </w:rPr>
            </w:pPr>
            <w:r w:rsidRPr="00892411">
              <w:rPr>
                <w:rFonts w:asciiTheme="minorHAnsi" w:hAnsiTheme="minorHAnsi" w:cstheme="minorHAnsi"/>
              </w:rPr>
              <w:t>Liberecký</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r>
      <w:tr w:rsidR="006A2747" w:rsidRPr="00C24344" w:rsidTr="00DE18F9">
        <w:trPr>
          <w:trHeight w:hRule="exact" w:val="284"/>
          <w:jc w:val="center"/>
        </w:trPr>
        <w:tc>
          <w:tcPr>
            <w:tcW w:w="1420" w:type="dxa"/>
            <w:vAlign w:val="center"/>
          </w:tcPr>
          <w:p w:rsidR="006A2747" w:rsidRPr="00892411" w:rsidRDefault="006A2747" w:rsidP="00423120">
            <w:pPr>
              <w:keepNext/>
              <w:widowControl w:val="0"/>
              <w:jc w:val="center"/>
              <w:rPr>
                <w:rFonts w:asciiTheme="minorHAnsi" w:hAnsiTheme="minorHAnsi" w:cstheme="minorHAnsi"/>
                <w:b/>
                <w:i/>
              </w:rPr>
            </w:pPr>
            <w:r w:rsidRPr="00892411">
              <w:rPr>
                <w:rFonts w:asciiTheme="minorHAnsi" w:hAnsiTheme="minorHAnsi" w:cstheme="minorHAnsi"/>
                <w:b/>
                <w:i/>
              </w:rPr>
              <w:t>2</w:t>
            </w:r>
          </w:p>
        </w:tc>
        <w:tc>
          <w:tcPr>
            <w:tcW w:w="1812" w:type="dxa"/>
            <w:vAlign w:val="center"/>
          </w:tcPr>
          <w:p w:rsidR="006A2747" w:rsidRPr="00892411" w:rsidRDefault="006A2747" w:rsidP="00423120">
            <w:pPr>
              <w:keepNext/>
              <w:widowControl w:val="0"/>
              <w:rPr>
                <w:rFonts w:asciiTheme="minorHAnsi" w:hAnsiTheme="minorHAnsi" w:cstheme="minorHAnsi"/>
              </w:rPr>
            </w:pPr>
            <w:r w:rsidRPr="00892411">
              <w:rPr>
                <w:rFonts w:asciiTheme="minorHAnsi" w:hAnsiTheme="minorHAnsi" w:cstheme="minorHAnsi"/>
              </w:rPr>
              <w:t>Zlínský</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r>
      <w:tr w:rsidR="006A2747" w:rsidRPr="00C24344" w:rsidTr="00DE18F9">
        <w:trPr>
          <w:trHeight w:hRule="exact" w:val="284"/>
          <w:jc w:val="center"/>
        </w:trPr>
        <w:tc>
          <w:tcPr>
            <w:tcW w:w="1420" w:type="dxa"/>
            <w:vAlign w:val="center"/>
          </w:tcPr>
          <w:p w:rsidR="006A2747" w:rsidRPr="00892411" w:rsidRDefault="006A2747" w:rsidP="00423120">
            <w:pPr>
              <w:keepNext/>
              <w:widowControl w:val="0"/>
              <w:jc w:val="center"/>
              <w:rPr>
                <w:rFonts w:asciiTheme="minorHAnsi" w:hAnsiTheme="minorHAnsi" w:cstheme="minorHAnsi"/>
                <w:b/>
                <w:i/>
              </w:rPr>
            </w:pPr>
            <w:r w:rsidRPr="00892411">
              <w:rPr>
                <w:rFonts w:asciiTheme="minorHAnsi" w:hAnsiTheme="minorHAnsi" w:cstheme="minorHAnsi"/>
                <w:b/>
              </w:rPr>
              <w:t>typ C</w:t>
            </w:r>
          </w:p>
        </w:tc>
        <w:tc>
          <w:tcPr>
            <w:tcW w:w="6348" w:type="dxa"/>
            <w:gridSpan w:val="5"/>
            <w:vAlign w:val="center"/>
          </w:tcPr>
          <w:p w:rsidR="006A2747" w:rsidRPr="00892411" w:rsidRDefault="006A2747" w:rsidP="00423120">
            <w:pPr>
              <w:keepNext/>
              <w:widowControl w:val="0"/>
              <w:jc w:val="center"/>
              <w:rPr>
                <w:rFonts w:asciiTheme="minorHAnsi" w:hAnsiTheme="minorHAnsi" w:cstheme="minorHAnsi"/>
              </w:rPr>
            </w:pPr>
          </w:p>
        </w:tc>
      </w:tr>
      <w:tr w:rsidR="006A2747" w:rsidRPr="00C24344" w:rsidTr="00DE18F9">
        <w:trPr>
          <w:trHeight w:hRule="exact" w:val="284"/>
          <w:jc w:val="center"/>
        </w:trPr>
        <w:tc>
          <w:tcPr>
            <w:tcW w:w="1420" w:type="dxa"/>
            <w:vAlign w:val="center"/>
          </w:tcPr>
          <w:p w:rsidR="006A2747" w:rsidRPr="00892411" w:rsidRDefault="006A2747" w:rsidP="00423120">
            <w:pPr>
              <w:keepNext/>
              <w:widowControl w:val="0"/>
              <w:jc w:val="center"/>
              <w:rPr>
                <w:rFonts w:asciiTheme="minorHAnsi" w:hAnsiTheme="minorHAnsi" w:cstheme="minorHAnsi"/>
                <w:b/>
                <w:i/>
              </w:rPr>
            </w:pPr>
            <w:r w:rsidRPr="00892411">
              <w:rPr>
                <w:rFonts w:asciiTheme="minorHAnsi" w:hAnsiTheme="minorHAnsi" w:cstheme="minorHAnsi"/>
                <w:b/>
                <w:i/>
              </w:rPr>
              <w:t>2</w:t>
            </w:r>
          </w:p>
        </w:tc>
        <w:tc>
          <w:tcPr>
            <w:tcW w:w="1812" w:type="dxa"/>
            <w:vAlign w:val="center"/>
          </w:tcPr>
          <w:p w:rsidR="006A2747" w:rsidRPr="00892411" w:rsidRDefault="006A2747" w:rsidP="00423120">
            <w:pPr>
              <w:keepNext/>
              <w:widowControl w:val="0"/>
              <w:rPr>
                <w:rFonts w:asciiTheme="minorHAnsi" w:hAnsiTheme="minorHAnsi" w:cstheme="minorHAnsi"/>
              </w:rPr>
            </w:pPr>
            <w:r w:rsidRPr="00892411">
              <w:rPr>
                <w:rFonts w:asciiTheme="minorHAnsi" w:hAnsiTheme="minorHAnsi" w:cstheme="minorHAnsi"/>
              </w:rPr>
              <w:t>Vysočina</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r>
      <w:tr w:rsidR="006A2747" w:rsidRPr="00C24344" w:rsidTr="00DE18F9">
        <w:trPr>
          <w:trHeight w:hRule="exact" w:val="284"/>
          <w:jc w:val="center"/>
        </w:trPr>
        <w:tc>
          <w:tcPr>
            <w:tcW w:w="1420" w:type="dxa"/>
            <w:vAlign w:val="center"/>
          </w:tcPr>
          <w:p w:rsidR="006A2747" w:rsidRPr="00892411" w:rsidRDefault="006A2747" w:rsidP="00423120">
            <w:pPr>
              <w:keepNext/>
              <w:widowControl w:val="0"/>
              <w:jc w:val="center"/>
              <w:rPr>
                <w:rFonts w:asciiTheme="minorHAnsi" w:hAnsiTheme="minorHAnsi" w:cstheme="minorHAnsi"/>
                <w:b/>
                <w:i/>
              </w:rPr>
            </w:pPr>
            <w:r w:rsidRPr="00892411">
              <w:rPr>
                <w:rFonts w:asciiTheme="minorHAnsi" w:hAnsiTheme="minorHAnsi" w:cstheme="minorHAnsi"/>
                <w:b/>
                <w:i/>
              </w:rPr>
              <w:t>2</w:t>
            </w:r>
          </w:p>
        </w:tc>
        <w:tc>
          <w:tcPr>
            <w:tcW w:w="1812" w:type="dxa"/>
            <w:vAlign w:val="center"/>
          </w:tcPr>
          <w:p w:rsidR="006A2747" w:rsidRPr="00892411" w:rsidRDefault="006A2747" w:rsidP="00423120">
            <w:pPr>
              <w:keepNext/>
              <w:widowControl w:val="0"/>
              <w:rPr>
                <w:rFonts w:asciiTheme="minorHAnsi" w:hAnsiTheme="minorHAnsi" w:cstheme="minorHAnsi"/>
              </w:rPr>
            </w:pPr>
            <w:r w:rsidRPr="00892411">
              <w:rPr>
                <w:rFonts w:asciiTheme="minorHAnsi" w:hAnsiTheme="minorHAnsi" w:cstheme="minorHAnsi"/>
              </w:rPr>
              <w:t>Olomoucký</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2</w:t>
            </w:r>
          </w:p>
        </w:tc>
      </w:tr>
      <w:tr w:rsidR="006A2747" w:rsidRPr="00C24344" w:rsidTr="00DE18F9">
        <w:trPr>
          <w:trHeight w:hRule="exact" w:val="284"/>
          <w:jc w:val="center"/>
        </w:trPr>
        <w:tc>
          <w:tcPr>
            <w:tcW w:w="1420" w:type="dxa"/>
            <w:vAlign w:val="center"/>
          </w:tcPr>
          <w:p w:rsidR="006A2747" w:rsidRPr="00892411" w:rsidRDefault="006A2747" w:rsidP="00423120">
            <w:pPr>
              <w:keepNext/>
              <w:widowControl w:val="0"/>
              <w:jc w:val="center"/>
              <w:rPr>
                <w:rFonts w:asciiTheme="minorHAnsi" w:hAnsiTheme="minorHAnsi" w:cstheme="minorHAnsi"/>
                <w:b/>
                <w:i/>
              </w:rPr>
            </w:pPr>
            <w:r w:rsidRPr="00892411">
              <w:rPr>
                <w:rFonts w:asciiTheme="minorHAnsi" w:hAnsiTheme="minorHAnsi" w:cstheme="minorHAnsi"/>
                <w:b/>
                <w:i/>
              </w:rPr>
              <w:t>1</w:t>
            </w:r>
          </w:p>
        </w:tc>
        <w:tc>
          <w:tcPr>
            <w:tcW w:w="1812" w:type="dxa"/>
            <w:vAlign w:val="center"/>
          </w:tcPr>
          <w:p w:rsidR="006A2747" w:rsidRPr="00892411" w:rsidRDefault="006A2747" w:rsidP="00423120">
            <w:pPr>
              <w:keepNext/>
              <w:widowControl w:val="0"/>
              <w:rPr>
                <w:rFonts w:asciiTheme="minorHAnsi" w:hAnsiTheme="minorHAnsi" w:cstheme="minorHAnsi"/>
              </w:rPr>
            </w:pPr>
            <w:r w:rsidRPr="00892411">
              <w:rPr>
                <w:rFonts w:asciiTheme="minorHAnsi" w:hAnsiTheme="minorHAnsi" w:cstheme="minorHAnsi"/>
              </w:rPr>
              <w:t>Moravskoslezský</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r>
      <w:tr w:rsidR="006A2747" w:rsidRPr="00C24344" w:rsidTr="00DE18F9">
        <w:trPr>
          <w:trHeight w:hRule="exact" w:val="284"/>
          <w:jc w:val="center"/>
        </w:trPr>
        <w:tc>
          <w:tcPr>
            <w:tcW w:w="1420" w:type="dxa"/>
            <w:vAlign w:val="center"/>
          </w:tcPr>
          <w:p w:rsidR="006A2747" w:rsidRPr="00892411" w:rsidRDefault="006A2747" w:rsidP="00423120">
            <w:pPr>
              <w:keepNext/>
              <w:widowControl w:val="0"/>
              <w:jc w:val="center"/>
              <w:rPr>
                <w:rFonts w:asciiTheme="minorHAnsi" w:hAnsiTheme="minorHAnsi" w:cstheme="minorHAnsi"/>
                <w:b/>
                <w:i/>
              </w:rPr>
            </w:pPr>
            <w:r w:rsidRPr="00892411">
              <w:rPr>
                <w:rFonts w:asciiTheme="minorHAnsi" w:hAnsiTheme="minorHAnsi" w:cstheme="minorHAnsi"/>
                <w:b/>
                <w:i/>
              </w:rPr>
              <w:t>1</w:t>
            </w:r>
          </w:p>
        </w:tc>
        <w:tc>
          <w:tcPr>
            <w:tcW w:w="1812" w:type="dxa"/>
            <w:vAlign w:val="center"/>
          </w:tcPr>
          <w:p w:rsidR="006A2747" w:rsidRPr="00892411" w:rsidRDefault="006A2747" w:rsidP="00423120">
            <w:pPr>
              <w:keepNext/>
              <w:widowControl w:val="0"/>
              <w:rPr>
                <w:rFonts w:asciiTheme="minorHAnsi" w:hAnsiTheme="minorHAnsi" w:cstheme="minorHAnsi"/>
              </w:rPr>
            </w:pPr>
            <w:r w:rsidRPr="00892411">
              <w:rPr>
                <w:rFonts w:asciiTheme="minorHAnsi" w:hAnsiTheme="minorHAnsi" w:cstheme="minorHAnsi"/>
              </w:rPr>
              <w:t>Ústecký</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c>
          <w:tcPr>
            <w:tcW w:w="1134" w:type="dxa"/>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r>
      <w:tr w:rsidR="006A2747" w:rsidRPr="00C24344" w:rsidTr="00DE18F9">
        <w:trPr>
          <w:trHeight w:hRule="exact" w:val="284"/>
          <w:jc w:val="center"/>
        </w:trPr>
        <w:tc>
          <w:tcPr>
            <w:tcW w:w="1420" w:type="dxa"/>
            <w:tcBorders>
              <w:bottom w:val="single" w:sz="12" w:space="0" w:color="auto"/>
            </w:tcBorders>
            <w:vAlign w:val="center"/>
          </w:tcPr>
          <w:p w:rsidR="006A2747" w:rsidRPr="00892411" w:rsidRDefault="006A2747" w:rsidP="00423120">
            <w:pPr>
              <w:keepNext/>
              <w:widowControl w:val="0"/>
              <w:jc w:val="center"/>
              <w:rPr>
                <w:rFonts w:asciiTheme="minorHAnsi" w:hAnsiTheme="minorHAnsi" w:cstheme="minorHAnsi"/>
                <w:b/>
                <w:i/>
              </w:rPr>
            </w:pPr>
            <w:r w:rsidRPr="00892411">
              <w:rPr>
                <w:rFonts w:asciiTheme="minorHAnsi" w:hAnsiTheme="minorHAnsi" w:cstheme="minorHAnsi"/>
                <w:b/>
                <w:i/>
              </w:rPr>
              <w:t>1</w:t>
            </w:r>
          </w:p>
        </w:tc>
        <w:tc>
          <w:tcPr>
            <w:tcW w:w="1812" w:type="dxa"/>
            <w:tcBorders>
              <w:bottom w:val="single" w:sz="12" w:space="0" w:color="auto"/>
            </w:tcBorders>
            <w:vAlign w:val="center"/>
          </w:tcPr>
          <w:p w:rsidR="006A2747" w:rsidRPr="00892411" w:rsidRDefault="006A2747" w:rsidP="00423120">
            <w:pPr>
              <w:keepNext/>
              <w:widowControl w:val="0"/>
              <w:rPr>
                <w:rFonts w:asciiTheme="minorHAnsi" w:hAnsiTheme="minorHAnsi" w:cstheme="minorHAnsi"/>
              </w:rPr>
            </w:pPr>
            <w:r w:rsidRPr="00892411">
              <w:rPr>
                <w:rFonts w:asciiTheme="minorHAnsi" w:hAnsiTheme="minorHAnsi" w:cstheme="minorHAnsi"/>
              </w:rPr>
              <w:t>Karlovarský</w:t>
            </w:r>
          </w:p>
        </w:tc>
        <w:tc>
          <w:tcPr>
            <w:tcW w:w="1134" w:type="dxa"/>
            <w:tcBorders>
              <w:bottom w:val="single" w:sz="12" w:space="0" w:color="auto"/>
            </w:tcBorders>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c>
          <w:tcPr>
            <w:tcW w:w="1134" w:type="dxa"/>
            <w:tcBorders>
              <w:bottom w:val="single" w:sz="12" w:space="0" w:color="auto"/>
            </w:tcBorders>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c>
          <w:tcPr>
            <w:tcW w:w="1134" w:type="dxa"/>
            <w:tcBorders>
              <w:bottom w:val="single" w:sz="12" w:space="0" w:color="auto"/>
            </w:tcBorders>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c>
          <w:tcPr>
            <w:tcW w:w="1134" w:type="dxa"/>
            <w:tcBorders>
              <w:bottom w:val="single" w:sz="12" w:space="0" w:color="auto"/>
            </w:tcBorders>
            <w:vAlign w:val="center"/>
          </w:tcPr>
          <w:p w:rsidR="006A2747" w:rsidRPr="00892411" w:rsidRDefault="006A2747" w:rsidP="00423120">
            <w:pPr>
              <w:keepNext/>
              <w:widowControl w:val="0"/>
              <w:jc w:val="center"/>
              <w:rPr>
                <w:rFonts w:asciiTheme="minorHAnsi" w:hAnsiTheme="minorHAnsi" w:cstheme="minorHAnsi"/>
              </w:rPr>
            </w:pPr>
            <w:r w:rsidRPr="00892411">
              <w:rPr>
                <w:rFonts w:asciiTheme="minorHAnsi" w:hAnsiTheme="minorHAnsi" w:cstheme="minorHAnsi"/>
              </w:rPr>
              <w:t>3</w:t>
            </w:r>
          </w:p>
        </w:tc>
      </w:tr>
    </w:tbl>
    <w:p w:rsidR="00DF12F1" w:rsidRPr="00C24344" w:rsidRDefault="00DF12F1" w:rsidP="00423120">
      <w:pPr>
        <w:keepNext/>
        <w:widowControl w:val="0"/>
        <w:autoSpaceDE w:val="0"/>
        <w:autoSpaceDN w:val="0"/>
        <w:adjustRightInd w:val="0"/>
        <w:spacing w:line="240" w:lineRule="auto"/>
        <w:ind w:left="680" w:right="680"/>
        <w:jc w:val="center"/>
        <w:rPr>
          <w:rFonts w:ascii="Calibri" w:hAnsi="Calibri" w:cs="Calibri"/>
          <w:i/>
        </w:rPr>
      </w:pPr>
      <w:r w:rsidRPr="00C24344">
        <w:rPr>
          <w:rFonts w:ascii="Calibri" w:hAnsi="Calibri" w:cs="Calibri"/>
          <w:i/>
        </w:rPr>
        <w:t>Pramen: vlastní výzkum.</w:t>
      </w:r>
    </w:p>
    <w:p w:rsidR="006A2747" w:rsidRPr="00C24344" w:rsidRDefault="000112D6" w:rsidP="00423120">
      <w:pPr>
        <w:keepNext/>
        <w:autoSpaceDE w:val="0"/>
        <w:autoSpaceDN w:val="0"/>
        <w:adjustRightInd w:val="0"/>
        <w:ind w:firstLine="720"/>
        <w:jc w:val="both"/>
        <w:rPr>
          <w:sz w:val="24"/>
        </w:rPr>
      </w:pPr>
      <w:r w:rsidRPr="00C24344">
        <w:rPr>
          <w:sz w:val="24"/>
          <w:lang w:eastAsia="en-US"/>
        </w:rPr>
        <w:t xml:space="preserve">O reálném ekonomickém </w:t>
      </w:r>
      <w:r w:rsidR="006A2747" w:rsidRPr="00C24344">
        <w:rPr>
          <w:sz w:val="24"/>
          <w:lang w:eastAsia="en-US"/>
        </w:rPr>
        <w:t xml:space="preserve">využití konkurenčního potenciálu nejlépe vypovídá relativizovaný ukazatel HDP, který je s přihlédnutím k jeho roli základního indikátoru vývojové diferenciace společenských systémů účelné chápat jako </w:t>
      </w:r>
      <w:r w:rsidR="006A2747">
        <w:rPr>
          <w:sz w:val="24"/>
          <w:lang w:eastAsia="en-US"/>
        </w:rPr>
        <w:t xml:space="preserve">významnou </w:t>
      </w:r>
      <w:r w:rsidR="006A2747" w:rsidRPr="00C24344">
        <w:rPr>
          <w:sz w:val="24"/>
          <w:lang w:eastAsia="en-US"/>
        </w:rPr>
        <w:t xml:space="preserve">kontrolní proměnou. Na základě tohoto postupu pak lze </w:t>
      </w:r>
      <w:r w:rsidR="006A2747">
        <w:rPr>
          <w:sz w:val="24"/>
          <w:lang w:eastAsia="en-US"/>
        </w:rPr>
        <w:t xml:space="preserve">orientačně </w:t>
      </w:r>
      <w:r w:rsidR="006A2747" w:rsidRPr="00C24344">
        <w:rPr>
          <w:sz w:val="24"/>
          <w:lang w:eastAsia="en-US"/>
        </w:rPr>
        <w:t>posoudit nejen úroveň využití konkurenčního potenciálu jednotlivých regionů, ale i celkovou efektivnost regionální politiky za delší období – např. v dekádě do roku 2011 zaznamenaly nadprůměrné využití disponibilního potenciálu</w:t>
      </w:r>
      <w:r w:rsidR="00036975">
        <w:rPr>
          <w:sz w:val="24"/>
          <w:lang w:eastAsia="en-US"/>
        </w:rPr>
        <w:t xml:space="preserve"> zejména</w:t>
      </w:r>
      <w:r w:rsidR="006A2747" w:rsidRPr="00C24344">
        <w:rPr>
          <w:sz w:val="24"/>
          <w:lang w:eastAsia="en-US"/>
        </w:rPr>
        <w:t xml:space="preserve"> kraje Moravskoslezský a Vysočina a naopak jeho podprůměrné využití zejména kraje Liberecký a Zlínský. </w:t>
      </w:r>
    </w:p>
    <w:p w:rsidR="00C24344" w:rsidRPr="00A91347" w:rsidRDefault="00C24344" w:rsidP="004179AF">
      <w:pPr>
        <w:pStyle w:val="02-Nadpis2"/>
        <w:ind w:left="567" w:hanging="567"/>
        <w:rPr>
          <w:rFonts w:asciiTheme="majorHAnsi" w:hAnsiTheme="majorHAnsi"/>
          <w:sz w:val="24"/>
          <w:szCs w:val="24"/>
        </w:rPr>
      </w:pPr>
      <w:bookmarkStart w:id="94" w:name="_Toc382327202"/>
      <w:r w:rsidRPr="00A91347">
        <w:t>3.4. Teoretické přístupy k regionálnímu rozvoji – integrační teorie udržitelného regionálního rozvoje</w:t>
      </w:r>
      <w:bookmarkEnd w:id="94"/>
    </w:p>
    <w:p w:rsidR="006A2747" w:rsidRPr="00C24344" w:rsidRDefault="006A2747" w:rsidP="00423120">
      <w:pPr>
        <w:keepNext/>
        <w:widowControl w:val="0"/>
        <w:ind w:firstLine="720"/>
        <w:jc w:val="both"/>
        <w:textAlignment w:val="top"/>
        <w:rPr>
          <w:rFonts w:cs="TimesNewRomanPSMT"/>
          <w:color w:val="FF00FF"/>
          <w:sz w:val="24"/>
          <w:szCs w:val="24"/>
        </w:rPr>
      </w:pPr>
      <w:r w:rsidRPr="006827C1">
        <w:rPr>
          <w:sz w:val="24"/>
          <w:szCs w:val="24"/>
        </w:rPr>
        <w:t>Jak již bylo uvedeno</w:t>
      </w:r>
      <w:r w:rsidR="005623DE">
        <w:rPr>
          <w:sz w:val="24"/>
          <w:szCs w:val="24"/>
        </w:rPr>
        <w:t>,</w:t>
      </w:r>
      <w:r w:rsidRPr="006827C1">
        <w:rPr>
          <w:sz w:val="24"/>
          <w:szCs w:val="24"/>
        </w:rPr>
        <w:t xml:space="preserve"> mezoregionální úroveň lze považovat za </w:t>
      </w:r>
      <w:r>
        <w:rPr>
          <w:sz w:val="24"/>
          <w:szCs w:val="24"/>
        </w:rPr>
        <w:t xml:space="preserve">relevantní </w:t>
      </w:r>
      <w:r w:rsidRPr="006827C1">
        <w:rPr>
          <w:sz w:val="24"/>
          <w:szCs w:val="24"/>
        </w:rPr>
        <w:t xml:space="preserve">pro realizaci regionální politiky a v tomto kontextu je </w:t>
      </w:r>
      <w:r>
        <w:rPr>
          <w:sz w:val="24"/>
          <w:szCs w:val="24"/>
        </w:rPr>
        <w:t xml:space="preserve">dále </w:t>
      </w:r>
      <w:r w:rsidRPr="006827C1">
        <w:rPr>
          <w:sz w:val="24"/>
          <w:szCs w:val="24"/>
        </w:rPr>
        <w:t xml:space="preserve">uveden stručný přehled hlavních skupin teorií regionálního </w:t>
      </w:r>
      <w:r w:rsidRPr="00C5741E">
        <w:rPr>
          <w:sz w:val="24"/>
          <w:szCs w:val="24"/>
        </w:rPr>
        <w:t>rozvoje</w:t>
      </w:r>
      <w:r>
        <w:rPr>
          <w:sz w:val="24"/>
          <w:szCs w:val="24"/>
        </w:rPr>
        <w:t xml:space="preserve"> a následně je podrobněji komentována vlastní integrační teorie udržitelného regionálního rozvoje</w:t>
      </w:r>
      <w:r w:rsidRPr="00C5741E">
        <w:rPr>
          <w:sz w:val="24"/>
          <w:szCs w:val="24"/>
        </w:rPr>
        <w:t xml:space="preserve">. </w:t>
      </w:r>
      <w:r>
        <w:rPr>
          <w:rFonts w:cs="TimesNewRomanPSMT"/>
          <w:sz w:val="24"/>
          <w:szCs w:val="24"/>
        </w:rPr>
        <w:t>Z</w:t>
      </w:r>
      <w:r w:rsidRPr="00C24344">
        <w:rPr>
          <w:rFonts w:cs="TimesNewRomanPSMT"/>
          <w:sz w:val="24"/>
          <w:szCs w:val="24"/>
        </w:rPr>
        <w:t xml:space="preserve"> gnozeologického hlediska </w:t>
      </w:r>
      <w:r>
        <w:rPr>
          <w:rFonts w:cs="TimesNewRomanPSMT"/>
          <w:sz w:val="24"/>
          <w:szCs w:val="24"/>
        </w:rPr>
        <w:t>je na tomto místě účelné</w:t>
      </w:r>
      <w:r w:rsidRPr="00C24344">
        <w:rPr>
          <w:rFonts w:cs="TimesNewRomanPSMT"/>
          <w:sz w:val="24"/>
          <w:szCs w:val="24"/>
        </w:rPr>
        <w:t xml:space="preserve"> poznamenat, že hlavní přínosy teorií regionálního rozvoje lze v souladu s</w:t>
      </w:r>
      <w:r>
        <w:rPr>
          <w:rFonts w:cs="TimesNewRomanPSMT"/>
          <w:sz w:val="24"/>
          <w:szCs w:val="24"/>
        </w:rPr>
        <w:t xml:space="preserve"> trvalými </w:t>
      </w:r>
      <w:r w:rsidRPr="00C24344">
        <w:rPr>
          <w:rFonts w:cs="TimesNewRomanPSMT"/>
          <w:sz w:val="24"/>
          <w:szCs w:val="24"/>
        </w:rPr>
        <w:t xml:space="preserve">nejistotami </w:t>
      </w:r>
      <w:r>
        <w:rPr>
          <w:rFonts w:cs="TimesNewRomanPSMT"/>
          <w:sz w:val="24"/>
          <w:szCs w:val="24"/>
        </w:rPr>
        <w:t xml:space="preserve">ohledně </w:t>
      </w:r>
      <w:r w:rsidRPr="00C24344">
        <w:rPr>
          <w:rFonts w:cs="TimesNewRomanPSMT"/>
          <w:sz w:val="24"/>
          <w:szCs w:val="24"/>
        </w:rPr>
        <w:t xml:space="preserve">budoucího vývoje spatřovat spíše v objasňování </w:t>
      </w:r>
      <w:r>
        <w:rPr>
          <w:rFonts w:cs="TimesNewRomanPSMT"/>
          <w:sz w:val="24"/>
          <w:szCs w:val="24"/>
        </w:rPr>
        <w:t xml:space="preserve">prostorového </w:t>
      </w:r>
      <w:r w:rsidRPr="00C24344">
        <w:rPr>
          <w:rFonts w:cs="TimesNewRomanPSMT"/>
          <w:sz w:val="24"/>
          <w:szCs w:val="24"/>
        </w:rPr>
        <w:t xml:space="preserve">působení zákonitostí socioekonomického rozvoje než v jednoznačném </w:t>
      </w:r>
      <w:r>
        <w:rPr>
          <w:rFonts w:cs="TimesNewRomanPSMT"/>
          <w:sz w:val="24"/>
          <w:szCs w:val="24"/>
        </w:rPr>
        <w:t xml:space="preserve">a tedy i trvalém </w:t>
      </w:r>
      <w:r w:rsidRPr="00C24344">
        <w:rPr>
          <w:rFonts w:cs="TimesNewRomanPSMT"/>
          <w:sz w:val="24"/>
          <w:szCs w:val="24"/>
        </w:rPr>
        <w:t>vysvětlení jeho kauzality</w:t>
      </w:r>
      <w:r>
        <w:rPr>
          <w:rFonts w:cs="TimesNewRomanPSMT"/>
          <w:sz w:val="24"/>
          <w:szCs w:val="24"/>
        </w:rPr>
        <w:t>.</w:t>
      </w:r>
      <w:r w:rsidRPr="00C24344">
        <w:rPr>
          <w:rFonts w:cs="TimesNewRomanPSMT"/>
          <w:sz w:val="24"/>
          <w:szCs w:val="24"/>
        </w:rPr>
        <w:t xml:space="preserve"> </w:t>
      </w:r>
    </w:p>
    <w:p w:rsidR="006A2747" w:rsidRPr="00C24344" w:rsidRDefault="006A2747" w:rsidP="00423120">
      <w:pPr>
        <w:keepNext/>
        <w:widowControl w:val="0"/>
        <w:ind w:firstLine="720"/>
        <w:jc w:val="both"/>
        <w:textAlignment w:val="top"/>
        <w:rPr>
          <w:rFonts w:cs="TimesNewRomanPSMT"/>
          <w:sz w:val="24"/>
          <w:szCs w:val="18"/>
        </w:rPr>
      </w:pPr>
      <w:r>
        <w:rPr>
          <w:sz w:val="24"/>
          <w:szCs w:val="24"/>
        </w:rPr>
        <w:t xml:space="preserve">Přehled vybraných teorií lze začít </w:t>
      </w:r>
      <w:r w:rsidRPr="00C24344">
        <w:rPr>
          <w:rFonts w:cs="TimesNewRomanPSMT"/>
          <w:sz w:val="24"/>
          <w:szCs w:val="20"/>
        </w:rPr>
        <w:t>teoriemi endogenního růstu</w:t>
      </w:r>
      <w:r>
        <w:rPr>
          <w:sz w:val="24"/>
          <w:szCs w:val="24"/>
        </w:rPr>
        <w:t xml:space="preserve">, které lze </w:t>
      </w:r>
      <w:r w:rsidRPr="00C24344">
        <w:rPr>
          <w:rFonts w:cs="TimesNewRomanPSMT"/>
          <w:sz w:val="24"/>
          <w:szCs w:val="20"/>
        </w:rPr>
        <w:t xml:space="preserve">účelně propojit </w:t>
      </w:r>
      <w:r>
        <w:rPr>
          <w:sz w:val="24"/>
          <w:szCs w:val="24"/>
        </w:rPr>
        <w:t>s (p</w:t>
      </w:r>
      <w:r>
        <w:rPr>
          <w:rFonts w:cs="TimesNewRomanPSMT"/>
          <w:sz w:val="24"/>
          <w:szCs w:val="20"/>
        </w:rPr>
        <w:t xml:space="preserve">oněkud vágním) konceptem udržitelného </w:t>
      </w:r>
      <w:r w:rsidRPr="00C5741E">
        <w:rPr>
          <w:rFonts w:cs="TimesNewRomanPSMT"/>
          <w:sz w:val="24"/>
          <w:szCs w:val="20"/>
        </w:rPr>
        <w:t>společenského</w:t>
      </w:r>
      <w:r>
        <w:rPr>
          <w:rFonts w:cs="TimesNewRomanPSMT"/>
          <w:sz w:val="24"/>
          <w:szCs w:val="20"/>
        </w:rPr>
        <w:t xml:space="preserve"> rozvoje</w:t>
      </w:r>
      <w:r w:rsidR="005623DE">
        <w:rPr>
          <w:rFonts w:cs="TimesNewRomanPSMT"/>
          <w:sz w:val="24"/>
          <w:szCs w:val="20"/>
        </w:rPr>
        <w:t xml:space="preserve">. </w:t>
      </w:r>
      <w:r>
        <w:rPr>
          <w:rFonts w:cs="TimesNewRomanPSMT"/>
          <w:sz w:val="24"/>
          <w:szCs w:val="20"/>
        </w:rPr>
        <w:t>Tyto teorie totiž</w:t>
      </w:r>
      <w:r w:rsidR="00036975">
        <w:rPr>
          <w:rFonts w:cs="TimesNewRomanPSMT"/>
          <w:sz w:val="24"/>
          <w:szCs w:val="20"/>
        </w:rPr>
        <w:t xml:space="preserve"> </w:t>
      </w:r>
      <w:r w:rsidRPr="00C24344">
        <w:rPr>
          <w:rFonts w:cs="TimesNewRomanPSMT"/>
          <w:sz w:val="24"/>
          <w:szCs w:val="20"/>
        </w:rPr>
        <w:lastRenderedPageBreak/>
        <w:t xml:space="preserve">reagují na skutečnost, že starší </w:t>
      </w:r>
      <w:r>
        <w:rPr>
          <w:rFonts w:cs="TimesNewRomanPSMT"/>
          <w:sz w:val="24"/>
          <w:szCs w:val="20"/>
        </w:rPr>
        <w:t xml:space="preserve">neoklasické </w:t>
      </w:r>
      <w:r w:rsidRPr="00C24344">
        <w:rPr>
          <w:rFonts w:cs="TimesNewRomanPSMT"/>
          <w:sz w:val="24"/>
          <w:szCs w:val="20"/>
        </w:rPr>
        <w:t>teorie exogenního růstu (předpokládající automatické obnovování ekonomické rovnováhy při plném využití výrobních zdrojů) nejsou schopny uspokojivě interpretovat dlouhodobý růst produkce, neboť růst kapitálové vybavenosti podle nich vede k následnému poklesu výnosů. E</w:t>
      </w:r>
      <w:r w:rsidR="00A75E48">
        <w:rPr>
          <w:rFonts w:cs="TimesNewRomanPSMT"/>
          <w:sz w:val="24"/>
          <w:szCs w:val="20"/>
        </w:rPr>
        <w:t>ndogenní teorie kladou důraz na </w:t>
      </w:r>
      <w:r w:rsidRPr="00C24344">
        <w:rPr>
          <w:rFonts w:cs="TimesNewRomanPSMT"/>
          <w:sz w:val="24"/>
          <w:szCs w:val="20"/>
        </w:rPr>
        <w:t xml:space="preserve">internalizaci významných </w:t>
      </w:r>
      <w:r>
        <w:rPr>
          <w:rFonts w:cs="TimesNewRomanPSMT"/>
          <w:sz w:val="24"/>
          <w:szCs w:val="20"/>
        </w:rPr>
        <w:t xml:space="preserve">kvalitativních </w:t>
      </w:r>
      <w:r w:rsidRPr="00C24344">
        <w:rPr>
          <w:rFonts w:cs="TimesNewRomanPSMT"/>
          <w:sz w:val="24"/>
          <w:szCs w:val="20"/>
        </w:rPr>
        <w:t xml:space="preserve">faktorů ovlivňujících ekonomický růst, které byly v Solowově neoklasickém růstovém modelu uvažovány jako </w:t>
      </w:r>
      <w:r>
        <w:rPr>
          <w:rFonts w:cs="TimesNewRomanPSMT"/>
          <w:sz w:val="24"/>
          <w:szCs w:val="20"/>
        </w:rPr>
        <w:t xml:space="preserve">všeobecný </w:t>
      </w:r>
      <w:r w:rsidRPr="00C24344">
        <w:rPr>
          <w:rFonts w:cs="TimesNewRomanPSMT"/>
          <w:sz w:val="24"/>
          <w:szCs w:val="20"/>
        </w:rPr>
        <w:t>exogenní faktor „technologi</w:t>
      </w:r>
      <w:r>
        <w:rPr>
          <w:rFonts w:cs="TimesNewRomanPSMT"/>
          <w:sz w:val="24"/>
          <w:szCs w:val="20"/>
        </w:rPr>
        <w:t>cký pokrok</w:t>
      </w:r>
      <w:r w:rsidRPr="00C24344">
        <w:rPr>
          <w:rFonts w:cs="TimesNewRomanPSMT"/>
          <w:sz w:val="24"/>
          <w:szCs w:val="20"/>
        </w:rPr>
        <w:t xml:space="preserve">“ (jde o neměřitelný reziduální faktor, kterému jsou přičítány rozdíly mezi skutečným růstem HDP a odpovídajícím příspěvkem </w:t>
      </w:r>
      <w:r>
        <w:rPr>
          <w:rFonts w:cs="TimesNewRomanPSMT"/>
          <w:sz w:val="24"/>
          <w:szCs w:val="20"/>
        </w:rPr>
        <w:t>hlavních</w:t>
      </w:r>
      <w:r w:rsidRPr="00C24344">
        <w:rPr>
          <w:rFonts w:cs="TimesNewRomanPSMT"/>
          <w:sz w:val="24"/>
          <w:szCs w:val="20"/>
        </w:rPr>
        <w:t xml:space="preserve"> výrobních faktorů</w:t>
      </w:r>
      <w:r w:rsidR="005862FC">
        <w:rPr>
          <w:rFonts w:cs="TimesNewRomanPSMT"/>
          <w:sz w:val="24"/>
          <w:szCs w:val="20"/>
        </w:rPr>
        <w:t>,</w:t>
      </w:r>
      <w:r w:rsidRPr="00C24344">
        <w:rPr>
          <w:rFonts w:cs="TimesNewRomanPSMT"/>
          <w:sz w:val="24"/>
          <w:szCs w:val="20"/>
        </w:rPr>
        <w:t xml:space="preserve"> tj. práce a kapitálu). V souladu s tím je pro ně charakteristick</w:t>
      </w:r>
      <w:r>
        <w:rPr>
          <w:rFonts w:cs="TimesNewRomanPSMT"/>
          <w:sz w:val="24"/>
          <w:szCs w:val="20"/>
        </w:rPr>
        <w:t>é</w:t>
      </w:r>
      <w:r w:rsidR="00036975">
        <w:rPr>
          <w:rFonts w:cs="TimesNewRomanPSMT"/>
          <w:sz w:val="24"/>
          <w:szCs w:val="20"/>
        </w:rPr>
        <w:t xml:space="preserve"> </w:t>
      </w:r>
      <w:r w:rsidRPr="00C24344">
        <w:rPr>
          <w:rFonts w:cs="TimesNewRomanPSMT"/>
          <w:sz w:val="24"/>
          <w:szCs w:val="20"/>
        </w:rPr>
        <w:t>přelévání ekonomických efektů spojených s tvorbou pozitivních externalit</w:t>
      </w:r>
      <w:r>
        <w:rPr>
          <w:rFonts w:cs="TimesNewRomanPSMT"/>
          <w:sz w:val="24"/>
          <w:szCs w:val="20"/>
        </w:rPr>
        <w:t xml:space="preserve"> generovaných především rozvojem vzdělanosti, vědy a výzkumu</w:t>
      </w:r>
      <w:r w:rsidRPr="00C24344">
        <w:rPr>
          <w:rFonts w:cs="TimesNewRomanPSMT"/>
          <w:sz w:val="24"/>
          <w:szCs w:val="20"/>
        </w:rPr>
        <w:t xml:space="preserve">, které zajišťují individuální i společenskou návratnost vynaloženého kapitálu (výnosy z </w:t>
      </w:r>
      <w:r>
        <w:rPr>
          <w:rFonts w:cs="TimesNewRomanPSMT"/>
          <w:sz w:val="24"/>
          <w:szCs w:val="20"/>
        </w:rPr>
        <w:t>rozsahu</w:t>
      </w:r>
      <w:r w:rsidRPr="00C24344">
        <w:rPr>
          <w:rFonts w:cs="TimesNewRomanPSMT"/>
          <w:sz w:val="24"/>
          <w:szCs w:val="20"/>
        </w:rPr>
        <w:t xml:space="preserve"> mají tedy, ceteris paribus, rostoucí charakter)</w:t>
      </w:r>
      <w:r>
        <w:rPr>
          <w:rFonts w:cs="TimesNewRomanPSMT"/>
          <w:sz w:val="24"/>
          <w:szCs w:val="20"/>
        </w:rPr>
        <w:t xml:space="preserve"> </w:t>
      </w:r>
      <w:r>
        <w:rPr>
          <w:rStyle w:val="Znakapoznpodarou"/>
          <w:sz w:val="24"/>
          <w:szCs w:val="20"/>
        </w:rPr>
        <w:footnoteReference w:id="22"/>
      </w:r>
      <w:r w:rsidRPr="00C24344">
        <w:rPr>
          <w:rFonts w:cs="TimesNewRomanPSMT"/>
          <w:sz w:val="24"/>
          <w:szCs w:val="20"/>
        </w:rPr>
        <w:t>.</w:t>
      </w:r>
      <w:r w:rsidRPr="00C24344">
        <w:rPr>
          <w:rFonts w:cs="TimesNewRomanPSMT"/>
          <w:sz w:val="24"/>
          <w:szCs w:val="12"/>
        </w:rPr>
        <w:t xml:space="preserve"> Obvykle jsou uváděny </w:t>
      </w:r>
      <w:r w:rsidRPr="00C24344">
        <w:rPr>
          <w:rFonts w:cs="TimesNewRomanPSMT"/>
          <w:sz w:val="24"/>
          <w:szCs w:val="20"/>
        </w:rPr>
        <w:t xml:space="preserve">dva hlavní příklady endogenních modelů: Lucasův model orientovaný na akumulaci lidského kapitálu (Lucas, </w:t>
      </w:r>
      <w:r w:rsidRPr="007E685C">
        <w:rPr>
          <w:rFonts w:cs="TimesNewRomanPSMT"/>
          <w:sz w:val="24"/>
          <w:szCs w:val="20"/>
        </w:rPr>
        <w:t xml:space="preserve">1988) a Romerův model orientovaný na akumulaci znalostního kapitálu </w:t>
      </w:r>
      <w:r>
        <w:rPr>
          <w:rFonts w:cs="TimesNewRomanPSMT"/>
          <w:sz w:val="24"/>
          <w:szCs w:val="20"/>
        </w:rPr>
        <w:t xml:space="preserve">prostřednictvím inovací </w:t>
      </w:r>
      <w:r w:rsidRPr="007E685C">
        <w:rPr>
          <w:rFonts w:cs="TimesNewRomanPSMT"/>
          <w:sz w:val="24"/>
          <w:szCs w:val="20"/>
        </w:rPr>
        <w:t>(Romer, 19</w:t>
      </w:r>
      <w:r>
        <w:rPr>
          <w:rFonts w:cs="TimesNewRomanPSMT"/>
          <w:sz w:val="24"/>
          <w:szCs w:val="20"/>
        </w:rPr>
        <w:t>90</w:t>
      </w:r>
      <w:r w:rsidRPr="007E685C">
        <w:rPr>
          <w:rFonts w:cs="TimesNewRomanPSMT"/>
          <w:sz w:val="24"/>
          <w:szCs w:val="20"/>
        </w:rPr>
        <w:t>).</w:t>
      </w:r>
      <w:r w:rsidRPr="007E685C">
        <w:rPr>
          <w:rFonts w:cs="TimesNewRomanPSMT"/>
          <w:sz w:val="24"/>
          <w:szCs w:val="12"/>
        </w:rPr>
        <w:t xml:space="preserve"> </w:t>
      </w:r>
      <w:r w:rsidRPr="007E685C">
        <w:rPr>
          <w:rFonts w:cs="TimesNewRomanPSMT"/>
          <w:sz w:val="24"/>
          <w:szCs w:val="18"/>
        </w:rPr>
        <w:t xml:space="preserve">Klíčovým předpokladem obou modelů je, že </w:t>
      </w:r>
      <w:r>
        <w:rPr>
          <w:rFonts w:cs="TimesNewRomanPSMT"/>
          <w:sz w:val="24"/>
          <w:szCs w:val="18"/>
        </w:rPr>
        <w:t xml:space="preserve">vědomosti </w:t>
      </w:r>
      <w:r w:rsidRPr="007E685C">
        <w:rPr>
          <w:rFonts w:cs="TimesNewRomanPSMT"/>
          <w:sz w:val="24"/>
          <w:szCs w:val="18"/>
        </w:rPr>
        <w:t xml:space="preserve">zvyšují </w:t>
      </w:r>
      <w:r>
        <w:rPr>
          <w:rFonts w:cs="TimesNewRomanPSMT"/>
          <w:sz w:val="24"/>
          <w:szCs w:val="18"/>
        </w:rPr>
        <w:t xml:space="preserve">úroveň </w:t>
      </w:r>
      <w:r w:rsidRPr="007E685C">
        <w:rPr>
          <w:rFonts w:cs="TimesNewRomanPSMT"/>
          <w:sz w:val="24"/>
          <w:szCs w:val="18"/>
        </w:rPr>
        <w:t>mezní</w:t>
      </w:r>
      <w:r>
        <w:rPr>
          <w:rFonts w:cs="TimesNewRomanPSMT"/>
          <w:sz w:val="24"/>
          <w:szCs w:val="18"/>
        </w:rPr>
        <w:t>ho</w:t>
      </w:r>
      <w:r w:rsidRPr="007E685C">
        <w:rPr>
          <w:rFonts w:cs="TimesNewRomanPSMT"/>
          <w:sz w:val="24"/>
          <w:szCs w:val="18"/>
        </w:rPr>
        <w:t xml:space="preserve"> produkt</w:t>
      </w:r>
      <w:r>
        <w:rPr>
          <w:rFonts w:cs="TimesNewRomanPSMT"/>
          <w:sz w:val="24"/>
          <w:szCs w:val="18"/>
        </w:rPr>
        <w:t>u.</w:t>
      </w:r>
      <w:r w:rsidRPr="007E685C">
        <w:rPr>
          <w:rFonts w:cs="TimesNewRomanPSMT"/>
          <w:sz w:val="24"/>
          <w:szCs w:val="18"/>
        </w:rPr>
        <w:t xml:space="preserve"> Neoklasické teorie pracují s nabídkově orientovanými modely ekonomického </w:t>
      </w:r>
      <w:r w:rsidRPr="002C6AFE">
        <w:rPr>
          <w:rFonts w:cs="TimesNewRomanPSMT"/>
          <w:sz w:val="24"/>
          <w:szCs w:val="18"/>
        </w:rPr>
        <w:t>růstu a v tomto směru k nim</w:t>
      </w:r>
      <w:r w:rsidRPr="002C6AFE">
        <w:rPr>
          <w:rFonts w:cs="TimesNewRomanPSMT"/>
          <w:sz w:val="24"/>
          <w:szCs w:val="20"/>
        </w:rPr>
        <w:t xml:space="preserve"> lze </w:t>
      </w:r>
      <w:r>
        <w:rPr>
          <w:rFonts w:cs="TimesNewRomanPSMT"/>
          <w:sz w:val="24"/>
          <w:szCs w:val="20"/>
        </w:rPr>
        <w:t xml:space="preserve">rovněž </w:t>
      </w:r>
      <w:r w:rsidRPr="002C6AFE">
        <w:rPr>
          <w:rFonts w:cs="TimesNewRomanPSMT"/>
          <w:sz w:val="24"/>
          <w:szCs w:val="20"/>
        </w:rPr>
        <w:t>přiřadit Porterovu</w:t>
      </w:r>
      <w:r w:rsidRPr="002C6AFE">
        <w:rPr>
          <w:rFonts w:cs="TimesNewRomanPSMT"/>
          <w:sz w:val="24"/>
          <w:szCs w:val="18"/>
        </w:rPr>
        <w:t xml:space="preserve"> </w:t>
      </w:r>
      <w:r w:rsidRPr="002C6AFE">
        <w:rPr>
          <w:rFonts w:cs="TimesNewRomanPSMT"/>
          <w:sz w:val="24"/>
          <w:szCs w:val="20"/>
        </w:rPr>
        <w:t xml:space="preserve">mikroekonomickou teorii konkurenceschopnosti </w:t>
      </w:r>
      <w:r w:rsidRPr="002C6AFE">
        <w:rPr>
          <w:rFonts w:eastAsia="Calibri"/>
          <w:sz w:val="24"/>
          <w:szCs w:val="24"/>
          <w:lang w:eastAsia="en-US"/>
        </w:rPr>
        <w:t>známou jako diamant konkurenční výhody, jehož vrcholy tvoří podmínky faktorů, firemní strategie, související a podpůrná odvětví, podmínky poptávky, role vlády a náhoda</w:t>
      </w:r>
      <w:r w:rsidR="00D621AC">
        <w:rPr>
          <w:rFonts w:cs="TimesNewRomanPSMT"/>
          <w:sz w:val="24"/>
          <w:szCs w:val="18"/>
        </w:rPr>
        <w:t xml:space="preserve"> (Porter, 1990)</w:t>
      </w:r>
      <w:r w:rsidRPr="002C6AFE">
        <w:rPr>
          <w:rFonts w:cs="TimesNewRomanPSMT"/>
          <w:sz w:val="24"/>
          <w:szCs w:val="18"/>
        </w:rPr>
        <w:t xml:space="preserve"> a rovněž Krugmanovu teorii nové ekonomické geografie (Krugman, 1991). </w:t>
      </w:r>
    </w:p>
    <w:p w:rsidR="006A2747" w:rsidRPr="00C24344" w:rsidRDefault="006A2747" w:rsidP="00BE7408">
      <w:pPr>
        <w:keepNext/>
        <w:widowControl w:val="0"/>
        <w:ind w:firstLine="720"/>
        <w:jc w:val="both"/>
        <w:textAlignment w:val="top"/>
        <w:rPr>
          <w:sz w:val="24"/>
          <w:szCs w:val="24"/>
        </w:rPr>
      </w:pPr>
      <w:r w:rsidRPr="00C24344">
        <w:rPr>
          <w:rFonts w:cs="TimesNewRomanPSMT"/>
          <w:sz w:val="24"/>
          <w:szCs w:val="18"/>
        </w:rPr>
        <w:t>Druhou základní skupinu regionálních teorií ekonomického růstu tvoří poptávkově orientované teorie, které v souladu</w:t>
      </w:r>
      <w:r w:rsidR="00D35D20">
        <w:rPr>
          <w:rFonts w:cs="TimesNewRomanPSMT"/>
          <w:sz w:val="24"/>
          <w:szCs w:val="18"/>
        </w:rPr>
        <w:t xml:space="preserve"> </w:t>
      </w:r>
      <w:r w:rsidRPr="00C24344">
        <w:rPr>
          <w:rFonts w:cs="TimesNewRomanPSMT"/>
          <w:sz w:val="24"/>
          <w:szCs w:val="18"/>
        </w:rPr>
        <w:t>s</w:t>
      </w:r>
      <w:r w:rsidR="00D35D20">
        <w:rPr>
          <w:rFonts w:cs="TimesNewRomanPSMT"/>
          <w:sz w:val="24"/>
          <w:szCs w:val="18"/>
        </w:rPr>
        <w:t xml:space="preserve">e svým </w:t>
      </w:r>
      <w:r w:rsidRPr="00C24344">
        <w:rPr>
          <w:rFonts w:cs="TimesNewRomanPSMT"/>
          <w:sz w:val="24"/>
          <w:szCs w:val="18"/>
        </w:rPr>
        <w:t xml:space="preserve">keynesiánským založením zdůrazňují rozhodující vliv poptávky na ekonomický růst a dále jeho nerovnoměrný </w:t>
      </w:r>
      <w:r w:rsidRPr="00CB0734">
        <w:rPr>
          <w:rFonts w:cs="TimesNewRomanPSMT"/>
          <w:sz w:val="24"/>
          <w:szCs w:val="18"/>
        </w:rPr>
        <w:t>charakter</w:t>
      </w:r>
      <w:r w:rsidR="00356838" w:rsidRPr="00CB0734">
        <w:rPr>
          <w:rFonts w:cs="TimesNewRomanPSMT"/>
          <w:sz w:val="24"/>
          <w:szCs w:val="18"/>
        </w:rPr>
        <w:t>.</w:t>
      </w:r>
      <w:r w:rsidRPr="00CB0734">
        <w:rPr>
          <w:rFonts w:cs="TimesNewRomanPSMT"/>
          <w:sz w:val="24"/>
          <w:szCs w:val="18"/>
        </w:rPr>
        <w:t xml:space="preserve"> Z regionálního pohledu jsou příslušné modely často označovány jako modely centrum – periferie. Z teorií</w:t>
      </w:r>
      <w:r w:rsidRPr="00C24344">
        <w:rPr>
          <w:rFonts w:cs="TimesNewRomanPSMT"/>
          <w:sz w:val="24"/>
          <w:szCs w:val="18"/>
        </w:rPr>
        <w:t xml:space="preserve"> </w:t>
      </w:r>
      <w:r>
        <w:rPr>
          <w:rFonts w:cs="TimesNewRomanPSMT"/>
          <w:sz w:val="24"/>
          <w:szCs w:val="18"/>
        </w:rPr>
        <w:t xml:space="preserve">této skupiny </w:t>
      </w:r>
      <w:r w:rsidR="00D35D20">
        <w:rPr>
          <w:rFonts w:cs="TimesNewRomanPSMT"/>
          <w:sz w:val="24"/>
          <w:szCs w:val="18"/>
        </w:rPr>
        <w:t xml:space="preserve">je </w:t>
      </w:r>
      <w:r w:rsidRPr="00C24344">
        <w:rPr>
          <w:rFonts w:cs="TimesNewRomanPSMT"/>
          <w:sz w:val="24"/>
          <w:szCs w:val="18"/>
        </w:rPr>
        <w:t xml:space="preserve">inspirativní </w:t>
      </w:r>
      <w:r w:rsidR="00D621AC">
        <w:rPr>
          <w:sz w:val="24"/>
          <w:szCs w:val="24"/>
        </w:rPr>
        <w:t>zejména Perrouxova</w:t>
      </w:r>
      <w:r w:rsidRPr="00C24344">
        <w:rPr>
          <w:sz w:val="24"/>
          <w:szCs w:val="24"/>
        </w:rPr>
        <w:t xml:space="preserve"> </w:t>
      </w:r>
      <w:r w:rsidRPr="00C24344">
        <w:rPr>
          <w:rFonts w:cs="TimesNewRomanPSMT"/>
          <w:sz w:val="24"/>
          <w:szCs w:val="18"/>
        </w:rPr>
        <w:t>t</w:t>
      </w:r>
      <w:r w:rsidR="00D621AC">
        <w:rPr>
          <w:sz w:val="24"/>
          <w:szCs w:val="24"/>
        </w:rPr>
        <w:t>eorie</w:t>
      </w:r>
      <w:r w:rsidRPr="00C24344">
        <w:rPr>
          <w:sz w:val="24"/>
          <w:szCs w:val="24"/>
        </w:rPr>
        <w:t xml:space="preserve"> růstových pólů (</w:t>
      </w:r>
      <w:r w:rsidRPr="00C24344">
        <w:rPr>
          <w:rFonts w:cs="TimesNewRomanPSMT"/>
          <w:sz w:val="24"/>
          <w:szCs w:val="20"/>
        </w:rPr>
        <w:t>1955),</w:t>
      </w:r>
      <w:r w:rsidR="00D621AC">
        <w:rPr>
          <w:sz w:val="24"/>
          <w:szCs w:val="24"/>
        </w:rPr>
        <w:t xml:space="preserve"> Myrdalova teorie</w:t>
      </w:r>
      <w:r w:rsidRPr="00C24344">
        <w:rPr>
          <w:sz w:val="24"/>
          <w:szCs w:val="24"/>
        </w:rPr>
        <w:t xml:space="preserve"> kumulativních příčin (</w:t>
      </w:r>
      <w:r w:rsidRPr="00C24344">
        <w:rPr>
          <w:rFonts w:cs="TimesNewRomanPSMT"/>
          <w:sz w:val="24"/>
          <w:szCs w:val="20"/>
        </w:rPr>
        <w:t xml:space="preserve">1957) </w:t>
      </w:r>
      <w:r w:rsidR="00D621AC">
        <w:rPr>
          <w:sz w:val="24"/>
          <w:szCs w:val="24"/>
        </w:rPr>
        <w:t>a Hirschmanova teorie</w:t>
      </w:r>
      <w:r w:rsidRPr="00C24344">
        <w:rPr>
          <w:sz w:val="24"/>
          <w:szCs w:val="24"/>
        </w:rPr>
        <w:t xml:space="preserve"> nerovnoměrného rozvoje (1958). První z nich vyzdvihuje klíčový význam pólů rozvoje pro (dlouhodobý) ekonomický růst, který se prostřednictvím kooperačních vazeb přenáší z pólů rozvoje do jejich okolí, čímž dochází ke zvyšování keynesiánského regionálního multiplikátoru</w:t>
      </w:r>
      <w:r>
        <w:rPr>
          <w:sz w:val="24"/>
          <w:szCs w:val="24"/>
        </w:rPr>
        <w:t xml:space="preserve"> daného pozitivním vlivem zvýšení poptávky na výdaje</w:t>
      </w:r>
      <w:r w:rsidR="00D621AC">
        <w:rPr>
          <w:sz w:val="24"/>
          <w:szCs w:val="24"/>
        </w:rPr>
        <w:t>,</w:t>
      </w:r>
      <w:r>
        <w:rPr>
          <w:sz w:val="24"/>
          <w:szCs w:val="24"/>
        </w:rPr>
        <w:t xml:space="preserve"> a tedy i na regionální HDP. </w:t>
      </w:r>
      <w:r w:rsidRPr="00C24344">
        <w:rPr>
          <w:sz w:val="24"/>
          <w:szCs w:val="24"/>
        </w:rPr>
        <w:t>Následující</w:t>
      </w:r>
      <w:r>
        <w:rPr>
          <w:sz w:val="24"/>
          <w:szCs w:val="24"/>
        </w:rPr>
        <w:t xml:space="preserve"> </w:t>
      </w:r>
      <w:r w:rsidRPr="00C24344">
        <w:rPr>
          <w:sz w:val="24"/>
          <w:szCs w:val="24"/>
        </w:rPr>
        <w:t>dvě teorie významně přispěly především k objasnění kumulativního mechanismu vytváření nerovnováh</w:t>
      </w:r>
      <w:r w:rsidR="00BA6F21">
        <w:rPr>
          <w:sz w:val="24"/>
          <w:szCs w:val="24"/>
        </w:rPr>
        <w:t>,</w:t>
      </w:r>
      <w:r w:rsidRPr="00C24344">
        <w:rPr>
          <w:sz w:val="24"/>
          <w:szCs w:val="24"/>
        </w:rPr>
        <w:t xml:space="preserve"> resp. disparit v regionálním rozvoji včetně šíření pozitivních spread effects a negativních backwash effects</w:t>
      </w:r>
      <w:r>
        <w:rPr>
          <w:sz w:val="24"/>
          <w:szCs w:val="24"/>
        </w:rPr>
        <w:t xml:space="preserve"> (příliv</w:t>
      </w:r>
      <w:r w:rsidR="00BA6F21">
        <w:rPr>
          <w:sz w:val="24"/>
          <w:szCs w:val="24"/>
        </w:rPr>
        <w:t>,</w:t>
      </w:r>
      <w:r>
        <w:rPr>
          <w:sz w:val="24"/>
          <w:szCs w:val="24"/>
        </w:rPr>
        <w:t xml:space="preserve"> resp. odliv kapitálu a práce z regionů</w:t>
      </w:r>
      <w:r w:rsidRPr="00C24344">
        <w:rPr>
          <w:sz w:val="24"/>
          <w:szCs w:val="24"/>
        </w:rPr>
        <w:t>) efektů. Podle Myrdala má tento proces tři fáze:</w:t>
      </w:r>
      <w:r w:rsidRPr="00C24344">
        <w:rPr>
          <w:rFonts w:eastAsia="Wingdings-Regular" w:cs="Wingdings-Regular"/>
          <w:sz w:val="24"/>
          <w:szCs w:val="24"/>
        </w:rPr>
        <w:t xml:space="preserve"> </w:t>
      </w:r>
      <w:r w:rsidRPr="00C24344">
        <w:rPr>
          <w:sz w:val="24"/>
          <w:szCs w:val="24"/>
          <w:lang w:eastAsia="en-US"/>
        </w:rPr>
        <w:t>selekce úspěšných regionů spojená zejména s obdobím recese příp. s  významnými geopolitickými změnami, polarizace spojená s ekonomic</w:t>
      </w:r>
      <w:r w:rsidR="00A75E48">
        <w:rPr>
          <w:sz w:val="24"/>
          <w:szCs w:val="24"/>
          <w:lang w:eastAsia="en-US"/>
        </w:rPr>
        <w:t>kou expanzí úspěšných regionů a </w:t>
      </w:r>
      <w:r w:rsidRPr="00C24344">
        <w:rPr>
          <w:sz w:val="24"/>
          <w:szCs w:val="24"/>
          <w:lang w:eastAsia="en-US"/>
        </w:rPr>
        <w:t>integrace spojená s difúzí pozitivních efektů z úspěšných regionů zejména v období konjunktury</w:t>
      </w:r>
      <w:r>
        <w:rPr>
          <w:sz w:val="24"/>
          <w:szCs w:val="24"/>
          <w:lang w:eastAsia="en-US"/>
        </w:rPr>
        <w:t xml:space="preserve"> (difúze efektů opačného znaménka podporuje desintegraci)</w:t>
      </w:r>
      <w:r w:rsidRPr="00C24344">
        <w:rPr>
          <w:sz w:val="24"/>
          <w:szCs w:val="24"/>
        </w:rPr>
        <w:t xml:space="preserve">. </w:t>
      </w:r>
    </w:p>
    <w:p w:rsidR="006A2747" w:rsidRPr="00C24344" w:rsidRDefault="006A2747" w:rsidP="00423120">
      <w:pPr>
        <w:keepNext/>
        <w:widowControl w:val="0"/>
        <w:ind w:firstLine="720"/>
        <w:jc w:val="both"/>
        <w:textAlignment w:val="top"/>
        <w:rPr>
          <w:color w:val="FF0000"/>
          <w:sz w:val="24"/>
          <w:szCs w:val="24"/>
        </w:rPr>
      </w:pPr>
      <w:r w:rsidRPr="00C24344">
        <w:rPr>
          <w:sz w:val="24"/>
          <w:szCs w:val="24"/>
        </w:rPr>
        <w:t>Diskutovaný koncept rostoucích výnos</w:t>
      </w:r>
      <w:r>
        <w:rPr>
          <w:sz w:val="24"/>
          <w:szCs w:val="24"/>
        </w:rPr>
        <w:t>ů</w:t>
      </w:r>
      <w:r w:rsidRPr="00C24344">
        <w:rPr>
          <w:sz w:val="24"/>
          <w:szCs w:val="24"/>
        </w:rPr>
        <w:t xml:space="preserve"> z rozsahu </w:t>
      </w:r>
      <w:r>
        <w:rPr>
          <w:sz w:val="24"/>
          <w:szCs w:val="24"/>
        </w:rPr>
        <w:t>zdůrazňující</w:t>
      </w:r>
      <w:r w:rsidRPr="00C24344">
        <w:rPr>
          <w:sz w:val="24"/>
          <w:szCs w:val="24"/>
        </w:rPr>
        <w:t xml:space="preserve"> rozšíření pojetí </w:t>
      </w:r>
      <w:r w:rsidRPr="00C24344">
        <w:rPr>
          <w:sz w:val="24"/>
          <w:szCs w:val="24"/>
        </w:rPr>
        <w:lastRenderedPageBreak/>
        <w:t>kapitálu o lidský</w:t>
      </w:r>
      <w:r w:rsidR="00BA6F21">
        <w:rPr>
          <w:sz w:val="24"/>
          <w:szCs w:val="24"/>
        </w:rPr>
        <w:t>,</w:t>
      </w:r>
      <w:r w:rsidRPr="00C24344">
        <w:rPr>
          <w:sz w:val="24"/>
          <w:szCs w:val="24"/>
        </w:rPr>
        <w:t xml:space="preserve"> resp. znalostní kapitál a dále trvalá pozornost věnovaná prostorové difúzi pozitivních a negativních efektů v interakci s procesy konvergence a divergence v regionálním rozvoji vedly i k zahájení širšího diskurzu o rozvojové roli</w:t>
      </w:r>
      <w:r w:rsidRPr="00C24344">
        <w:rPr>
          <w:color w:val="0000FF"/>
          <w:sz w:val="24"/>
          <w:szCs w:val="24"/>
        </w:rPr>
        <w:t xml:space="preserve"> </w:t>
      </w:r>
      <w:r w:rsidR="00A75E48">
        <w:rPr>
          <w:sz w:val="24"/>
          <w:szCs w:val="24"/>
        </w:rPr>
        <w:t>kvalitativních a </w:t>
      </w:r>
      <w:r w:rsidRPr="00C24344">
        <w:rPr>
          <w:sz w:val="24"/>
          <w:szCs w:val="24"/>
        </w:rPr>
        <w:t xml:space="preserve">v jejich rámci </w:t>
      </w:r>
      <w:r>
        <w:rPr>
          <w:sz w:val="24"/>
          <w:szCs w:val="24"/>
        </w:rPr>
        <w:t xml:space="preserve">pak zvláště </w:t>
      </w:r>
      <w:r w:rsidRPr="00C24344">
        <w:rPr>
          <w:sz w:val="24"/>
          <w:szCs w:val="24"/>
        </w:rPr>
        <w:t xml:space="preserve">institucionálních faktorů v regionálním rozvoji (Blažek, Uhlíř, 2002). Z významných institucionálních teorií je třeba uvést </w:t>
      </w:r>
      <w:r w:rsidR="001163B1">
        <w:rPr>
          <w:sz w:val="24"/>
          <w:szCs w:val="24"/>
        </w:rPr>
        <w:t>zejména</w:t>
      </w:r>
      <w:r w:rsidRPr="00C24344">
        <w:rPr>
          <w:sz w:val="24"/>
          <w:szCs w:val="24"/>
        </w:rPr>
        <w:t xml:space="preserve"> teorii učících se regionů (Lundvall, 1992).</w:t>
      </w:r>
      <w:r w:rsidRPr="00C24344">
        <w:rPr>
          <w:color w:val="0000FF"/>
          <w:sz w:val="24"/>
          <w:szCs w:val="24"/>
        </w:rPr>
        <w:t xml:space="preserve"> </w:t>
      </w:r>
      <w:r w:rsidRPr="00C24344">
        <w:rPr>
          <w:sz w:val="24"/>
          <w:szCs w:val="24"/>
        </w:rPr>
        <w:t>V tomto kontextu je dále užitečné zmíni</w:t>
      </w:r>
      <w:r w:rsidR="00A75E48">
        <w:rPr>
          <w:sz w:val="24"/>
          <w:szCs w:val="24"/>
        </w:rPr>
        <w:t>t i vybrané manažerské teorie a </w:t>
      </w:r>
      <w:r w:rsidRPr="00C24344">
        <w:rPr>
          <w:sz w:val="24"/>
          <w:szCs w:val="24"/>
        </w:rPr>
        <w:t>přístupy, ze kterých pokládáme za podnětn</w:t>
      </w:r>
      <w:r>
        <w:rPr>
          <w:sz w:val="24"/>
          <w:szCs w:val="24"/>
        </w:rPr>
        <w:t>ou</w:t>
      </w:r>
      <w:r w:rsidRPr="00C24344">
        <w:rPr>
          <w:sz w:val="24"/>
          <w:szCs w:val="24"/>
        </w:rPr>
        <w:t xml:space="preserve"> zejména stakeholderovskou teorii (zdůrazňující etické a další zájmy subjektů zainteresovaných na rozvoji firem mimo vlastní okruh jejích akcionářů</w:t>
      </w:r>
      <w:r>
        <w:rPr>
          <w:sz w:val="24"/>
          <w:szCs w:val="24"/>
        </w:rPr>
        <w:t>)</w:t>
      </w:r>
      <w:r w:rsidRPr="00C24344">
        <w:rPr>
          <w:sz w:val="24"/>
          <w:szCs w:val="24"/>
        </w:rPr>
        <w:t xml:space="preserve"> a dále různé přístupy kladoucí důraz na společenskou </w:t>
      </w:r>
      <w:r w:rsidRPr="00C24344">
        <w:rPr>
          <w:rFonts w:cs="TimesNewRomanPSMT"/>
          <w:sz w:val="24"/>
          <w:szCs w:val="20"/>
        </w:rPr>
        <w:t>z</w:t>
      </w:r>
      <w:r w:rsidRPr="00C24344">
        <w:rPr>
          <w:sz w:val="24"/>
          <w:szCs w:val="24"/>
        </w:rPr>
        <w:t xml:space="preserve">odpovědnost firem. Z „domácích“ teorií pak lze v této souvislosti uvést Hamplovu ekonomicko-geografickou teorii hierarchie reality, poukazující na </w:t>
      </w:r>
      <w:r>
        <w:rPr>
          <w:sz w:val="24"/>
          <w:szCs w:val="24"/>
        </w:rPr>
        <w:t>specifické</w:t>
      </w:r>
      <w:r w:rsidR="00A75E48">
        <w:rPr>
          <w:sz w:val="24"/>
          <w:szCs w:val="24"/>
        </w:rPr>
        <w:t xml:space="preserve"> působení divergenčních a </w:t>
      </w:r>
      <w:r w:rsidRPr="00C24344">
        <w:rPr>
          <w:sz w:val="24"/>
          <w:szCs w:val="24"/>
        </w:rPr>
        <w:t>konvergenčních procesů v regionálním rozvoji</w:t>
      </w:r>
      <w:r w:rsidR="00D621AC">
        <w:rPr>
          <w:sz w:val="24"/>
          <w:szCs w:val="24"/>
        </w:rPr>
        <w:t>,</w:t>
      </w:r>
      <w:r w:rsidRPr="00C24344">
        <w:rPr>
          <w:sz w:val="24"/>
          <w:szCs w:val="24"/>
        </w:rPr>
        <w:t xml:space="preserve"> </w:t>
      </w:r>
      <w:r>
        <w:rPr>
          <w:sz w:val="24"/>
          <w:szCs w:val="24"/>
        </w:rPr>
        <w:t>kde dochází k</w:t>
      </w:r>
      <w:r w:rsidRPr="00C24344">
        <w:rPr>
          <w:sz w:val="24"/>
          <w:szCs w:val="24"/>
        </w:rPr>
        <w:t xml:space="preserve"> vytváření stále nových nositelů diferenciace, zatímco u vývojově nižších jevů dochází ke snižování rozdílů mezi regiony</w:t>
      </w:r>
      <w:r w:rsidRPr="00C24344">
        <w:rPr>
          <w:color w:val="0000FF"/>
          <w:sz w:val="24"/>
          <w:szCs w:val="24"/>
        </w:rPr>
        <w:t xml:space="preserve"> </w:t>
      </w:r>
      <w:r w:rsidRPr="00C24344">
        <w:rPr>
          <w:sz w:val="24"/>
          <w:szCs w:val="24"/>
        </w:rPr>
        <w:t xml:space="preserve">(Hampl, </w:t>
      </w:r>
      <w:r w:rsidRPr="006A6B6D">
        <w:rPr>
          <w:sz w:val="24"/>
          <w:szCs w:val="24"/>
        </w:rPr>
        <w:t>1988,</w:t>
      </w:r>
      <w:r w:rsidR="00036975">
        <w:rPr>
          <w:sz w:val="24"/>
          <w:szCs w:val="24"/>
        </w:rPr>
        <w:t xml:space="preserve"> 1996). V tomto ohledu lze</w:t>
      </w:r>
      <w:r w:rsidRPr="006A6B6D">
        <w:rPr>
          <w:sz w:val="24"/>
          <w:szCs w:val="24"/>
        </w:rPr>
        <w:t xml:space="preserve"> připomenout</w:t>
      </w:r>
      <w:r w:rsidR="00A75E48">
        <w:rPr>
          <w:sz w:val="24"/>
          <w:szCs w:val="24"/>
        </w:rPr>
        <w:t xml:space="preserve"> i teorii ziskových cyklů od </w:t>
      </w:r>
      <w:r w:rsidR="00036975">
        <w:rPr>
          <w:sz w:val="24"/>
          <w:szCs w:val="24"/>
        </w:rPr>
        <w:t xml:space="preserve">Markusenové, podle které je nejvyššího zisku </w:t>
      </w:r>
      <w:r w:rsidRPr="006A6B6D">
        <w:rPr>
          <w:sz w:val="24"/>
          <w:szCs w:val="24"/>
        </w:rPr>
        <w:t>dosahov</w:t>
      </w:r>
      <w:r w:rsidR="00A75E48">
        <w:rPr>
          <w:sz w:val="24"/>
          <w:szCs w:val="24"/>
        </w:rPr>
        <w:t>áno při jejich uvedení na trh a </w:t>
      </w:r>
      <w:r w:rsidRPr="006A6B6D">
        <w:rPr>
          <w:sz w:val="24"/>
          <w:szCs w:val="24"/>
        </w:rPr>
        <w:t xml:space="preserve">následně dochází v souladu s rostoucí konkurencí a postupnou standardizací těchto výrobků a služeb k jeho poklesu. </w:t>
      </w:r>
    </w:p>
    <w:p w:rsidR="00207EC0" w:rsidRDefault="00207EC0" w:rsidP="00423120">
      <w:pPr>
        <w:keepNext/>
        <w:widowControl w:val="0"/>
        <w:ind w:firstLine="720"/>
        <w:jc w:val="both"/>
        <w:rPr>
          <w:sz w:val="24"/>
          <w:szCs w:val="24"/>
        </w:rPr>
      </w:pPr>
      <w:r w:rsidRPr="00207EC0">
        <w:rPr>
          <w:sz w:val="24"/>
          <w:szCs w:val="24"/>
        </w:rPr>
        <w:t>Uvedené teorie představovaly významnou inspiraci pro vytvoření vlastního empiricky verifikovaného přístupu, který je charakteristický důrazem na integrované regionální modelování hospodářského a sociálního rozvoje. Pod pojmem hospodářský rozvoj zde rozumíme zlepšování ekonomických fundamentů kvality života obyvatel dané</w:t>
      </w:r>
      <w:r>
        <w:rPr>
          <w:sz w:val="24"/>
          <w:szCs w:val="24"/>
        </w:rPr>
        <w:t xml:space="preserve">ho území (indukované </w:t>
      </w:r>
      <w:r w:rsidRPr="00207EC0">
        <w:rPr>
          <w:sz w:val="24"/>
          <w:szCs w:val="24"/>
        </w:rPr>
        <w:t>zejména vědecko-technickým a sociálním pokrokem), přičemž jeho dlouhodobá udržitelnost se nachází v přímé úměře s prohlubováním resp. obnovováním vnitřní (stimulace harmonických vztahů v rámci společenských systémů) i vnější (regulace disharmonických vztahů společenských a přírodních systémů) rovnováhy odrážející vývojové tendence ekonomické, sociální i environmentální komponenty společenského rozvoje. Hospodářský rozvoj je tedy komplexnějším pojmem než hospodářský růst, neboť klade dů</w:t>
      </w:r>
      <w:r w:rsidR="00A75E48">
        <w:rPr>
          <w:sz w:val="24"/>
          <w:szCs w:val="24"/>
        </w:rPr>
        <w:t>raz na </w:t>
      </w:r>
      <w:r w:rsidRPr="00207EC0">
        <w:rPr>
          <w:sz w:val="24"/>
          <w:szCs w:val="24"/>
        </w:rPr>
        <w:t>kvalitativní změny a jejich šíření ve společnosti prost</w:t>
      </w:r>
      <w:r w:rsidR="00A75E48">
        <w:rPr>
          <w:sz w:val="24"/>
          <w:szCs w:val="24"/>
        </w:rPr>
        <w:t xml:space="preserve">řednictvím dělby práce (včetně </w:t>
      </w:r>
      <w:r w:rsidRPr="00207EC0">
        <w:rPr>
          <w:sz w:val="24"/>
          <w:szCs w:val="24"/>
        </w:rPr>
        <w:t xml:space="preserve">aktivit veřejné správy a samosprávy). Pokud jde o klasickou otázku, zda v regionálním rozvoji dominuje konvergence či divergence zastáváme názor, že trvalé převládnutí jednoho z těchto procesů by bylo v rozporu s obecnou teorií společenských systémů a vedlo by tak k jejich degradaci. V reálném světě proto logicky dochází k časově a územně proměnlivému prolínání obou procesů (viz též Hampl, 2010), což koresponduje s výchozími předpoklady endogenních modelů hospodářského růstu. Za hlavního nositele divergence je přitom považován privátní sektor a za hlavního nositele konvergence pak veřejný sektor, mezi jehož základní role patří i regulace negativních dopadů generovaných tržními mechanismy. </w:t>
      </w:r>
    </w:p>
    <w:p w:rsidR="00207EC0" w:rsidRPr="00207EC0" w:rsidRDefault="00207EC0" w:rsidP="00207EC0">
      <w:pPr>
        <w:keepNext/>
        <w:widowControl w:val="0"/>
        <w:spacing w:before="200" w:after="0"/>
        <w:ind w:firstLine="720"/>
        <w:jc w:val="both"/>
        <w:rPr>
          <w:rFonts w:cs="TimesNewRomanPS-BoldItalicMT"/>
          <w:bCs/>
          <w:iCs/>
          <w:sz w:val="24"/>
          <w:szCs w:val="20"/>
        </w:rPr>
      </w:pPr>
      <w:bookmarkStart w:id="95" w:name="_Toc360633885"/>
      <w:r w:rsidRPr="00207EC0">
        <w:rPr>
          <w:sz w:val="24"/>
          <w:szCs w:val="24"/>
        </w:rPr>
        <w:t xml:space="preserve">Vypracované modely interpretují působení zákonitostí vývojové a s ní úzce propojené hierarchické diferenciace společenských systémů formujících základní rámec fungování ekonomiky, jejichž nejvýznamnějším prostorovým projevem je konstituování dynamických systému pólů a os rozvoje. Tyto modely na rozdíl od předchozích modelů umožňují jejich exaktní identifikaci: nadprůměrné hodnoty KPP (v interakci a funkční pozicí v systému veřejné správy a dále IPF) v případě pólů rozvoje a významné pozitivní odchylky reálných </w:t>
      </w:r>
      <w:r w:rsidRPr="00207EC0">
        <w:rPr>
          <w:sz w:val="24"/>
          <w:szCs w:val="24"/>
        </w:rPr>
        <w:lastRenderedPageBreak/>
        <w:t>od</w:t>
      </w:r>
      <w:r w:rsidR="00A75E48">
        <w:rPr>
          <w:sz w:val="24"/>
          <w:szCs w:val="24"/>
        </w:rPr>
        <w:t> </w:t>
      </w:r>
      <w:r w:rsidRPr="00207EC0">
        <w:rPr>
          <w:sz w:val="24"/>
          <w:szCs w:val="24"/>
        </w:rPr>
        <w:t>teoretických hodnot KPP (v interakci s KSP a dále VLZ) v případě rozvojových os. Póly rozvoje představují hlavní nositele aglomeračních výhod a šíření různorodých ekonomických a sociálních efektů (akumulovaných v KPP i KSP) a osy rozvoje pak hlavní kanály jejich šíření do okolního prostoru</w:t>
      </w:r>
      <w:r w:rsidRPr="00207EC0">
        <w:rPr>
          <w:rFonts w:cs="TimesNewRomanPSMT"/>
          <w:sz w:val="24"/>
          <w:szCs w:val="20"/>
        </w:rPr>
        <w:t xml:space="preserve"> – v rámci zpracované případové studie České republiky bylo vymezeno celkem devět rozvojových os národního významu a šestnáct rozvojových os regionálního významu (Viturka a kol., 2010)</w:t>
      </w:r>
      <w:r w:rsidRPr="00207EC0">
        <w:rPr>
          <w:sz w:val="24"/>
          <w:szCs w:val="24"/>
        </w:rPr>
        <w:t>. S tím spojené p</w:t>
      </w:r>
      <w:r w:rsidRPr="00207EC0">
        <w:rPr>
          <w:rFonts w:cs="TimesNewRomanPSMT"/>
          <w:sz w:val="24"/>
          <w:szCs w:val="20"/>
        </w:rPr>
        <w:t xml:space="preserve">rohlubování územní dělby práce a zvyšování propojenosti regionů pak mění způsoby dosahování optimální alokace zdrojů, zvyšuje mobilitu výrobních faktorů, urychluje transfer znalostí a rozšiřuje tak hranice výrobních možností firem a rozvojový potenciál dotčených regionů) </w:t>
      </w:r>
      <w:r w:rsidRPr="00207EC0">
        <w:rPr>
          <w:sz w:val="24"/>
          <w:szCs w:val="20"/>
          <w:vertAlign w:val="superscript"/>
        </w:rPr>
        <w:footnoteReference w:id="23"/>
      </w:r>
      <w:r w:rsidRPr="00207EC0">
        <w:rPr>
          <w:rFonts w:cs="TimesNewRomanPSMT"/>
          <w:sz w:val="24"/>
          <w:szCs w:val="20"/>
        </w:rPr>
        <w:t>. Výše uvedené skutečnosti potvrzují rozhodující roli pólů rozvoje jako hlavn</w:t>
      </w:r>
      <w:r w:rsidR="00A75E48">
        <w:rPr>
          <w:rFonts w:cs="TimesNewRomanPSMT"/>
          <w:sz w:val="24"/>
          <w:szCs w:val="20"/>
        </w:rPr>
        <w:t>ích organizátorů ekonomických i </w:t>
      </w:r>
      <w:r w:rsidRPr="00207EC0">
        <w:rPr>
          <w:rFonts w:cs="TimesNewRomanPSMT"/>
          <w:sz w:val="24"/>
          <w:szCs w:val="20"/>
        </w:rPr>
        <w:t>sociálních interakcí odrážejících jejich integrační potenciál (viz dále). Na tomto základě lze objektivně posoudit základní rozdíly v úrovni ekonomického rozvoje jednotlivých regionů, které představují vstupní informaci pro objektivní stanovení relevantních cílů regionální politiky.</w:t>
      </w:r>
      <w:r w:rsidRPr="00207EC0">
        <w:rPr>
          <w:rFonts w:cs="Tahoma"/>
          <w:sz w:val="24"/>
          <w:szCs w:val="24"/>
        </w:rPr>
        <w:t xml:space="preserve"> Komplexní s</w:t>
      </w:r>
      <w:r w:rsidRPr="00207EC0">
        <w:rPr>
          <w:sz w:val="24"/>
          <w:szCs w:val="24"/>
        </w:rPr>
        <w:t>yntéza výsledků analýzy KPP (včetně doplňkových komponent) umožnila sestavit první prostorový model generalizující dosavadní výsledky hospodářského rozvoje České republiky včetně percepce rozvojového potenciálu krajů a jejich mikroregionů.</w:t>
      </w:r>
    </w:p>
    <w:p w:rsidR="006A2747" w:rsidRPr="00C24344" w:rsidRDefault="00B57263" w:rsidP="000112D6">
      <w:pPr>
        <w:pStyle w:val="0G-Titulek"/>
        <w:widowControl w:val="0"/>
        <w:ind w:firstLine="0"/>
        <w:rPr>
          <w:b w:val="0"/>
        </w:rPr>
      </w:pPr>
      <w:bookmarkStart w:id="96" w:name="_Toc382326820"/>
      <w:r w:rsidRPr="00D9501F">
        <w:rPr>
          <w:noProof/>
          <w:lang w:val="en-GB" w:eastAsia="en-GB"/>
        </w:rPr>
        <w:drawing>
          <wp:anchor distT="0" distB="0" distL="114300" distR="114300" simplePos="0" relativeHeight="251665408" behindDoc="1" locked="0" layoutInCell="1" allowOverlap="0" wp14:anchorId="60E9A865" wp14:editId="7EEE0893">
            <wp:simplePos x="0" y="0"/>
            <wp:positionH relativeFrom="column">
              <wp:align>center</wp:align>
            </wp:positionH>
            <wp:positionV relativeFrom="paragraph">
              <wp:posOffset>156845</wp:posOffset>
            </wp:positionV>
            <wp:extent cx="5944870" cy="3895725"/>
            <wp:effectExtent l="0" t="0" r="0" b="0"/>
            <wp:wrapTight wrapText="bothSides">
              <wp:wrapPolygon edited="0">
                <wp:start x="0" y="0"/>
                <wp:lineTo x="0" y="21442"/>
                <wp:lineTo x="21526" y="21442"/>
                <wp:lineTo x="21526" y="0"/>
                <wp:lineTo x="0" y="0"/>
              </wp:wrapPolygon>
            </wp:wrapTight>
            <wp:docPr id="57" name="Obrázek 57" descr="=_iso-8859-2_B_UHJvc3Rvcm92_SBtb2RlbCByb3p2b2pvdulobyBwb3RlbmNp4Wx1IHJlZ2lvbvkgyGVza+kgcmVwdWJsaWt5X2NiX2JleiBu4Xp2dS5wb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_iso-8859-2_B_UHJvc3Rvcm92_SBtb2RlbCByb3p2b2pvdulobyBwb3RlbmNp4Wx1IHJlZ2lvbvkgyGVza+kgcmVwdWJsaWt5X2NiX2JleiBu4Xp2dS5wbm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4870" cy="3895725"/>
                    </a:xfrm>
                    <a:prstGeom prst="rect">
                      <a:avLst/>
                    </a:prstGeom>
                    <a:noFill/>
                  </pic:spPr>
                </pic:pic>
              </a:graphicData>
            </a:graphic>
            <wp14:sizeRelH relativeFrom="margin">
              <wp14:pctWidth>0</wp14:pctWidth>
            </wp14:sizeRelH>
            <wp14:sizeRelV relativeFrom="margin">
              <wp14:pctHeight>0</wp14:pctHeight>
            </wp14:sizeRelV>
          </wp:anchor>
        </w:drawing>
      </w:r>
      <w:r w:rsidR="006A2747" w:rsidRPr="00D9501F">
        <w:t>Obrázek</w:t>
      </w:r>
      <w:r w:rsidR="006A2747" w:rsidRPr="00D9501F">
        <w:rPr>
          <w:b w:val="0"/>
        </w:rPr>
        <w:t xml:space="preserve"> </w:t>
      </w:r>
      <w:r w:rsidR="006A2747" w:rsidRPr="00D9501F">
        <w:t xml:space="preserve">16: Dynamický </w:t>
      </w:r>
      <w:r w:rsidR="006A2747" w:rsidRPr="003E7C9F">
        <w:t>model rozvojového potenciálu regionů České republiky</w:t>
      </w:r>
      <w:bookmarkEnd w:id="95"/>
      <w:bookmarkEnd w:id="96"/>
      <w:r w:rsidR="006A2747" w:rsidRPr="00C24344">
        <w:rPr>
          <w:b w:val="0"/>
        </w:rPr>
        <w:t xml:space="preserve"> </w:t>
      </w:r>
    </w:p>
    <w:p w:rsidR="006A2747" w:rsidRPr="00C24344" w:rsidRDefault="006A2747" w:rsidP="00423120">
      <w:pPr>
        <w:keepNext/>
        <w:widowControl w:val="0"/>
        <w:autoSpaceDE w:val="0"/>
        <w:autoSpaceDN w:val="0"/>
        <w:adjustRightInd w:val="0"/>
        <w:jc w:val="center"/>
        <w:rPr>
          <w:rFonts w:ascii="Calibri" w:hAnsi="Calibri" w:cs="Calibri"/>
          <w:i/>
        </w:rPr>
      </w:pPr>
      <w:r w:rsidRPr="00C24344">
        <w:rPr>
          <w:rFonts w:ascii="Calibri" w:hAnsi="Calibri" w:cs="Calibri"/>
          <w:i/>
        </w:rPr>
        <w:t>Pramen: vlastní výzkum.</w:t>
      </w:r>
    </w:p>
    <w:p w:rsidR="006A2747" w:rsidRPr="00B65131" w:rsidRDefault="00207EC0" w:rsidP="00207EC0">
      <w:pPr>
        <w:keepNext/>
        <w:widowControl w:val="0"/>
        <w:ind w:firstLine="720"/>
        <w:jc w:val="both"/>
        <w:textAlignment w:val="top"/>
        <w:rPr>
          <w:sz w:val="24"/>
          <w:szCs w:val="24"/>
        </w:rPr>
      </w:pPr>
      <w:r w:rsidRPr="00B65131">
        <w:rPr>
          <w:rFonts w:cs="TimesNewRomanPSMT"/>
          <w:sz w:val="24"/>
          <w:szCs w:val="20"/>
        </w:rPr>
        <w:t xml:space="preserve">Vypracované modely hodnocení KPP a KSP, </w:t>
      </w:r>
      <w:r w:rsidRPr="00B65131">
        <w:rPr>
          <w:rFonts w:cs="TimesNewRomanPS-BoldItalicMT"/>
          <w:bCs/>
          <w:iCs/>
          <w:sz w:val="24"/>
          <w:szCs w:val="20"/>
        </w:rPr>
        <w:t>jejichž reálnou vypovídací hodnotu dokumentuje i</w:t>
      </w:r>
      <w:r w:rsidRPr="00B65131">
        <w:rPr>
          <w:rFonts w:cs="TimesNewRomanPSMT"/>
          <w:sz w:val="24"/>
          <w:szCs w:val="20"/>
        </w:rPr>
        <w:t xml:space="preserve"> prezentovaný dynamický model hodnocení rozvojového potenciálu regionů</w:t>
      </w:r>
      <w:r w:rsidRPr="00B65131">
        <w:rPr>
          <w:rFonts w:cs="TimesNewRomanPS-BoldItalicMT"/>
          <w:bCs/>
          <w:iCs/>
          <w:sz w:val="24"/>
          <w:szCs w:val="20"/>
        </w:rPr>
        <w:t xml:space="preserve"> </w:t>
      </w:r>
      <w:r w:rsidRPr="00B65131">
        <w:rPr>
          <w:rFonts w:cs="TimesNewRomanPSMT"/>
          <w:sz w:val="24"/>
          <w:szCs w:val="20"/>
        </w:rPr>
        <w:lastRenderedPageBreak/>
        <w:t xml:space="preserve">tvoří fundamentální součást integrační teorie udržitelného regionálního rozvoje. Tato originální teorie prezentuje holistický pohled na působení výše uvedených společenských </w:t>
      </w:r>
      <w:r w:rsidRPr="00B65131">
        <w:rPr>
          <w:sz w:val="24"/>
          <w:szCs w:val="24"/>
        </w:rPr>
        <w:t xml:space="preserve">zákonitostí formujících dlouhodobý rozvoj regionů v podmínkách otevřené ekonomiky </w:t>
      </w:r>
      <w:r w:rsidRPr="00B65131">
        <w:rPr>
          <w:rFonts w:cs="TimesNewRomanPSMT"/>
          <w:sz w:val="24"/>
          <w:szCs w:val="20"/>
        </w:rPr>
        <w:t>(Viturka, 2011). Její l</w:t>
      </w:r>
      <w:r w:rsidRPr="00B65131">
        <w:rPr>
          <w:rFonts w:cs="TimesNewRomanPS-BoldMT"/>
          <w:bCs/>
          <w:sz w:val="24"/>
          <w:szCs w:val="20"/>
        </w:rPr>
        <w:t xml:space="preserve">ogiku lze systematicky popsat následujícím způsobem: </w:t>
      </w:r>
      <w:r w:rsidRPr="00B65131">
        <w:rPr>
          <w:rFonts w:cs="TimesNewRomanPS-BoldMT"/>
          <w:bCs/>
          <w:sz w:val="24"/>
          <w:szCs w:val="24"/>
        </w:rPr>
        <w:t xml:space="preserve">rozvoj regionů v dlouhém období je v souladu s kauzální závislostí mezi podmínkami a výsledky podnikání determinován úrovní KPP a s ní oboustrannými vazbami propojené KSP, přičemž jeho udržitelnost závisí na úrovni integrace a adaptability regionů. </w:t>
      </w:r>
      <w:r w:rsidRPr="00B65131">
        <w:rPr>
          <w:rFonts w:cs="TimesNewRomanPS-BoldMT"/>
          <w:bCs/>
          <w:sz w:val="24"/>
          <w:szCs w:val="20"/>
        </w:rPr>
        <w:t>Zvyšování kvality podnikatelského prostředí stimuluje rozvoj podnikatelský</w:t>
      </w:r>
      <w:r w:rsidR="00A75E48">
        <w:rPr>
          <w:rFonts w:cs="TimesNewRomanPS-BoldMT"/>
          <w:bCs/>
          <w:sz w:val="24"/>
          <w:szCs w:val="20"/>
        </w:rPr>
        <w:t>ch aktivit a alokaci domácího i </w:t>
      </w:r>
      <w:r w:rsidRPr="00B65131">
        <w:rPr>
          <w:rFonts w:cs="TimesNewRomanPS-BoldMT"/>
          <w:bCs/>
          <w:sz w:val="24"/>
          <w:szCs w:val="20"/>
        </w:rPr>
        <w:t xml:space="preserve">zahraničního kapitálu s příznivými dopady na zaměstnanost a tvorbu inovací jako významných faktorů kvality života. Hlavním prostorovým projevem těchto procesů je </w:t>
      </w:r>
      <w:r w:rsidRPr="00B65131">
        <w:rPr>
          <w:rFonts w:cs="TimesNewRomanPS-BoldMT"/>
          <w:b/>
          <w:bCs/>
          <w:i/>
          <w:sz w:val="24"/>
          <w:szCs w:val="20"/>
        </w:rPr>
        <w:t xml:space="preserve">ekonomická </w:t>
      </w:r>
      <w:r w:rsidRPr="00B65131">
        <w:rPr>
          <w:b/>
          <w:i/>
          <w:sz w:val="24"/>
          <w:szCs w:val="24"/>
        </w:rPr>
        <w:t>diferenciace</w:t>
      </w:r>
      <w:r w:rsidRPr="00B65131">
        <w:rPr>
          <w:sz w:val="24"/>
          <w:szCs w:val="24"/>
        </w:rPr>
        <w:t xml:space="preserve"> regionů, která odráží rozhodující tendence v jejich hospodářském rozvoji </w:t>
      </w:r>
      <w:r w:rsidRPr="00B65131">
        <w:rPr>
          <w:rFonts w:cs="TimesNewRomanPS-BoldMT"/>
          <w:bCs/>
          <w:sz w:val="24"/>
          <w:szCs w:val="20"/>
        </w:rPr>
        <w:t>(ze strukturálního pohledu</w:t>
      </w:r>
      <w:r w:rsidRPr="00B65131">
        <w:rPr>
          <w:sz w:val="24"/>
          <w:szCs w:val="24"/>
        </w:rPr>
        <w:t xml:space="preserve"> přitom platí, že znalostně orientovaná odvětví obvykle dosahují vyšší produktivity výrobních faktorů</w:t>
      </w:r>
      <w:r w:rsidR="00B65131" w:rsidRPr="00B65131">
        <w:rPr>
          <w:sz w:val="24"/>
          <w:szCs w:val="24"/>
        </w:rPr>
        <w:t>,</w:t>
      </w:r>
      <w:r w:rsidRPr="00B65131">
        <w:rPr>
          <w:sz w:val="24"/>
          <w:szCs w:val="24"/>
        </w:rPr>
        <w:t xml:space="preserve"> a tedy i vyšší úrovně tvorby přidané hodnoty). Tato kontinuálně probíhající diferenciace v interakci se sociálními příp. přírodními faktory determinuje </w:t>
      </w:r>
      <w:r w:rsidRPr="00B65131">
        <w:rPr>
          <w:b/>
          <w:i/>
          <w:sz w:val="24"/>
          <w:szCs w:val="24"/>
        </w:rPr>
        <w:t>hierarchické postavení</w:t>
      </w:r>
      <w:r w:rsidRPr="00B65131">
        <w:rPr>
          <w:sz w:val="24"/>
          <w:szCs w:val="24"/>
        </w:rPr>
        <w:t xml:space="preserve"> jednotlivých regionů a sídel (ovlivňující v duchu teorie centrálních míst tvorbu pozitivních a negativních externalit). Intenzita využití ekonomického potenciálu území se pak odvíjí od úspěšnosti specializace výroby a služeb (determinované konkurenčním boje</w:t>
      </w:r>
      <w:r w:rsidR="00B65131" w:rsidRPr="00B65131">
        <w:rPr>
          <w:sz w:val="24"/>
          <w:szCs w:val="24"/>
        </w:rPr>
        <w:t>m</w:t>
      </w:r>
      <w:r w:rsidRPr="00B65131">
        <w:rPr>
          <w:sz w:val="24"/>
          <w:szCs w:val="24"/>
        </w:rPr>
        <w:t xml:space="preserve"> firem) a z ní vycházející územní dělby práce. Její nedílnou součástí je vytváření elementárních n</w:t>
      </w:r>
      <w:r w:rsidRPr="00B65131">
        <w:rPr>
          <w:rFonts w:cs="TimesNewRomanPS-BoldMT"/>
          <w:bCs/>
          <w:sz w:val="24"/>
          <w:szCs w:val="20"/>
        </w:rPr>
        <w:t>odálních regionů (</w:t>
      </w:r>
      <w:r w:rsidRPr="00B65131">
        <w:rPr>
          <w:sz w:val="24"/>
          <w:szCs w:val="24"/>
        </w:rPr>
        <w:t>formujících</w:t>
      </w:r>
      <w:r w:rsidRPr="00B65131">
        <w:rPr>
          <w:rFonts w:cs="TimesNewRomanPS-BoldMT"/>
          <w:bCs/>
          <w:sz w:val="24"/>
          <w:szCs w:val="20"/>
        </w:rPr>
        <w:t xml:space="preserve"> mikroregionální hierarchickou úroveň), které v souladu s působením procesů vyššího řádu tvoří základní stavební prvky prostorových systémů </w:t>
      </w:r>
      <w:r w:rsidRPr="00B65131">
        <w:rPr>
          <w:sz w:val="24"/>
          <w:szCs w:val="24"/>
        </w:rPr>
        <w:t>pólů a os rozvoje (formujících</w:t>
      </w:r>
      <w:r w:rsidRPr="00B65131">
        <w:rPr>
          <w:rFonts w:cs="TimesNewRomanPS-BoldMT"/>
          <w:bCs/>
          <w:sz w:val="24"/>
          <w:szCs w:val="20"/>
        </w:rPr>
        <w:t xml:space="preserve"> me</w:t>
      </w:r>
      <w:r w:rsidR="00A75E48">
        <w:rPr>
          <w:rFonts w:cs="TimesNewRomanPS-BoldMT"/>
          <w:bCs/>
          <w:sz w:val="24"/>
          <w:szCs w:val="20"/>
        </w:rPr>
        <w:t>zoregionální a do určité míry i </w:t>
      </w:r>
      <w:r w:rsidRPr="00B65131">
        <w:rPr>
          <w:rFonts w:cs="TimesNewRomanPS-BoldMT"/>
          <w:bCs/>
          <w:sz w:val="24"/>
          <w:szCs w:val="20"/>
        </w:rPr>
        <w:t>makroregionální hierarchickou úroveň). Synergické efekty generované těmito procesy zvyšují mobilitu výrobních faktorů, urychlují transfer znalostí a dovedností a podporují tvorbu podnikatelských sítí a klastrů (viz dále). V souladu s tím vytvářejí tak nové rozvojové příležitosti</w:t>
      </w:r>
      <w:r w:rsidR="00B65131" w:rsidRPr="00B65131">
        <w:rPr>
          <w:rFonts w:cs="TimesNewRomanPS-BoldMT"/>
          <w:bCs/>
          <w:sz w:val="24"/>
          <w:szCs w:val="20"/>
        </w:rPr>
        <w:t>,</w:t>
      </w:r>
      <w:r w:rsidRPr="00B65131">
        <w:rPr>
          <w:rFonts w:cs="TimesNewRomanPS-BoldMT"/>
          <w:bCs/>
          <w:sz w:val="24"/>
          <w:szCs w:val="20"/>
        </w:rPr>
        <w:t xml:space="preserve"> resp. eliminují rozvojová ohrožení, čímž výrazně přispívají k prohlubování integrace ekonomiky s pozitivními vlivy na konkurenceschopnost a udržitelnost regionálního rozvoje. </w:t>
      </w:r>
      <w:r w:rsidRPr="00B65131">
        <w:rPr>
          <w:sz w:val="24"/>
          <w:szCs w:val="24"/>
        </w:rPr>
        <w:t xml:space="preserve">Výše popsané procesy tvoří podstatu mechanismu regionální socioekonomické diferenciace jako </w:t>
      </w:r>
      <w:r w:rsidRPr="00B65131">
        <w:rPr>
          <w:rFonts w:cs="TimesNewRomanPS-BoldMT"/>
          <w:bCs/>
          <w:sz w:val="24"/>
          <w:szCs w:val="24"/>
        </w:rPr>
        <w:t>nedílné součásti evoluce</w:t>
      </w:r>
      <w:r w:rsidR="00B65131" w:rsidRPr="00B65131">
        <w:rPr>
          <w:rFonts w:cs="TimesNewRomanPS-BoldMT"/>
          <w:bCs/>
          <w:sz w:val="24"/>
          <w:szCs w:val="24"/>
        </w:rPr>
        <w:t>,</w:t>
      </w:r>
      <w:r w:rsidRPr="00B65131">
        <w:rPr>
          <w:rFonts w:cs="TimesNewRomanPS-BoldMT"/>
          <w:bCs/>
          <w:sz w:val="24"/>
          <w:szCs w:val="24"/>
        </w:rPr>
        <w:t xml:space="preserve"> tj. vývoje od nižších/méně komplexních jevů k vyšším/více komplexním jevům. </w:t>
      </w:r>
      <w:r w:rsidRPr="00B65131">
        <w:rPr>
          <w:rFonts w:cs="TimesNewRomanPS-BoldMT"/>
          <w:bCs/>
          <w:sz w:val="24"/>
          <w:szCs w:val="20"/>
        </w:rPr>
        <w:t>Výsledky modelování prostorových vztahů mezi kvalitou podnikatelského prostředí a kvalitou sociálního prostředí, zahrnujících v sobě i relevantní environmentální faktory</w:t>
      </w:r>
      <w:r w:rsidR="00B65131" w:rsidRPr="00B65131">
        <w:rPr>
          <w:rFonts w:cs="TimesNewRomanPS-BoldMT"/>
          <w:bCs/>
          <w:sz w:val="24"/>
          <w:szCs w:val="20"/>
        </w:rPr>
        <w:t>,</w:t>
      </w:r>
      <w:r w:rsidRPr="00B65131">
        <w:rPr>
          <w:rFonts w:cs="TimesNewRomanPS-BoldMT"/>
          <w:bCs/>
          <w:sz w:val="24"/>
          <w:szCs w:val="20"/>
        </w:rPr>
        <w:t xml:space="preserve"> ve shodě s řadou dalších analýz (viz např. Harvey, 1985) naznačují, že dosažení stavu </w:t>
      </w:r>
      <w:r w:rsidRPr="00B65131">
        <w:rPr>
          <w:rFonts w:cs="TimesNewRomanPS-BoldMT"/>
          <w:b/>
          <w:bCs/>
          <w:i/>
          <w:sz w:val="24"/>
          <w:szCs w:val="20"/>
        </w:rPr>
        <w:t xml:space="preserve">dynamické rovnováhy </w:t>
      </w:r>
      <w:r w:rsidRPr="00B65131">
        <w:rPr>
          <w:rFonts w:cs="TimesNewRomanPS-BoldMT"/>
          <w:bCs/>
          <w:sz w:val="24"/>
          <w:szCs w:val="20"/>
        </w:rPr>
        <w:t>významně závisí na</w:t>
      </w:r>
      <w:r w:rsidR="00B65131" w:rsidRPr="00B65131">
        <w:rPr>
          <w:rFonts w:cs="TimesNewRomanPS-BoldMT"/>
          <w:bCs/>
          <w:sz w:val="24"/>
          <w:szCs w:val="20"/>
        </w:rPr>
        <w:t xml:space="preserve"> institucionální regulaci</w:t>
      </w:r>
      <w:r w:rsidRPr="00B65131">
        <w:rPr>
          <w:rFonts w:cs="TimesNewRomanPS-BoldMT"/>
          <w:bCs/>
          <w:sz w:val="24"/>
          <w:szCs w:val="20"/>
        </w:rPr>
        <w:t xml:space="preserve"> nepříznivých dopadů na kvalitu života indukovaných působením tržních mechanizmů </w:t>
      </w:r>
      <w:r w:rsidRPr="00B65131">
        <w:rPr>
          <w:rStyle w:val="Znakapoznpodarou"/>
          <w:bCs/>
          <w:sz w:val="24"/>
          <w:szCs w:val="20"/>
        </w:rPr>
        <w:footnoteReference w:id="24"/>
      </w:r>
      <w:r w:rsidRPr="00B65131">
        <w:rPr>
          <w:rFonts w:cs="TimesNewRomanPS-BoldMT"/>
          <w:bCs/>
          <w:sz w:val="24"/>
          <w:szCs w:val="20"/>
        </w:rPr>
        <w:t>. Ze společenského pohledu tak obecně platí, že bez vyvážených sociálních vztahů lze jen stěží dosáhnou</w:t>
      </w:r>
      <w:r w:rsidR="00B65131" w:rsidRPr="00B65131">
        <w:rPr>
          <w:rFonts w:cs="TimesNewRomanPS-BoldMT"/>
          <w:bCs/>
          <w:sz w:val="24"/>
          <w:szCs w:val="20"/>
        </w:rPr>
        <w:t>t</w:t>
      </w:r>
      <w:r w:rsidRPr="00B65131">
        <w:rPr>
          <w:rFonts w:cs="TimesNewRomanPS-BoldMT"/>
          <w:bCs/>
          <w:sz w:val="24"/>
          <w:szCs w:val="20"/>
        </w:rPr>
        <w:t xml:space="preserve"> vyváženého ekonomického růstu a r</w:t>
      </w:r>
      <w:r w:rsidR="00B65131" w:rsidRPr="00B65131">
        <w:rPr>
          <w:sz w:val="24"/>
          <w:szCs w:val="24"/>
        </w:rPr>
        <w:t>ovnováhy</w:t>
      </w:r>
      <w:r w:rsidRPr="00B65131">
        <w:rPr>
          <w:sz w:val="24"/>
          <w:szCs w:val="24"/>
        </w:rPr>
        <w:t xml:space="preserve"> mezi hospodář</w:t>
      </w:r>
      <w:r w:rsidR="00A75E48">
        <w:rPr>
          <w:sz w:val="24"/>
          <w:szCs w:val="24"/>
        </w:rPr>
        <w:t>ským rozvojem a </w:t>
      </w:r>
      <w:r w:rsidR="00B65131" w:rsidRPr="00B65131">
        <w:rPr>
          <w:sz w:val="24"/>
          <w:szCs w:val="24"/>
        </w:rPr>
        <w:t>kvalitou života. P</w:t>
      </w:r>
      <w:r w:rsidRPr="00B65131">
        <w:rPr>
          <w:sz w:val="24"/>
          <w:szCs w:val="24"/>
        </w:rPr>
        <w:t xml:space="preserve">roto považujeme za </w:t>
      </w:r>
      <w:r w:rsidRPr="00B65131">
        <w:rPr>
          <w:rFonts w:cs="Arial"/>
          <w:sz w:val="24"/>
          <w:lang w:eastAsia="en-US"/>
        </w:rPr>
        <w:t>conditio sine qua non d</w:t>
      </w:r>
      <w:r w:rsidRPr="00B65131">
        <w:rPr>
          <w:sz w:val="24"/>
          <w:szCs w:val="24"/>
        </w:rPr>
        <w:t>louhodobé udržitelnosti regionálního rozvoje. Tento závěr v podstatě korespondu</w:t>
      </w:r>
      <w:r w:rsidR="00A75E48">
        <w:rPr>
          <w:sz w:val="24"/>
          <w:szCs w:val="24"/>
        </w:rPr>
        <w:t>je se samoorganizační teorií N. </w:t>
      </w:r>
      <w:r w:rsidRPr="00B65131">
        <w:rPr>
          <w:sz w:val="24"/>
          <w:szCs w:val="24"/>
        </w:rPr>
        <w:t xml:space="preserve">Luhmanna (1982), podle které společenské systémy mohou reprodukovat sami sebe, pokud existuje dynamická komunikace mezi jejich elementy (podobné myšlenky zobecňující rozvojové přínosy dobrovolné kooperace firem nalézáme již u F. Hayeka). Z praktického pohledu lze proces samoorganizace chápat jako aktuální výsledek vzájemného působení </w:t>
      </w:r>
      <w:r w:rsidRPr="00B65131">
        <w:rPr>
          <w:sz w:val="24"/>
          <w:szCs w:val="24"/>
        </w:rPr>
        <w:lastRenderedPageBreak/>
        <w:t xml:space="preserve">pozitivních a negativních vztahů, díky kterým narůstá komplexita vnitřní organizace společenského systému, a to na všech jeho funkčně stabilizovaných hierarchických úrovních. </w:t>
      </w:r>
    </w:p>
    <w:p w:rsidR="00B57263" w:rsidRDefault="00395AE1" w:rsidP="00B57263">
      <w:pPr>
        <w:keepNext/>
        <w:widowControl w:val="0"/>
        <w:ind w:firstLine="720"/>
        <w:jc w:val="both"/>
        <w:textAlignment w:val="top"/>
        <w:rPr>
          <w:sz w:val="24"/>
          <w:szCs w:val="24"/>
        </w:rPr>
      </w:pPr>
      <w:r>
        <w:rPr>
          <w:sz w:val="24"/>
          <w:szCs w:val="24"/>
        </w:rPr>
        <w:t>Zahrnutí fenoménu dynamické rovnováhy zdůrazňuje</w:t>
      </w:r>
      <w:r w:rsidRPr="00943168">
        <w:rPr>
          <w:sz w:val="24"/>
          <w:szCs w:val="24"/>
        </w:rPr>
        <w:t xml:space="preserve"> na</w:t>
      </w:r>
      <w:r w:rsidRPr="002547D9">
        <w:rPr>
          <w:sz w:val="24"/>
          <w:szCs w:val="24"/>
        </w:rPr>
        <w:t>dčasov</w:t>
      </w:r>
      <w:r>
        <w:rPr>
          <w:sz w:val="24"/>
          <w:szCs w:val="24"/>
        </w:rPr>
        <w:t xml:space="preserve">ý rozměr </w:t>
      </w:r>
      <w:r w:rsidRPr="002547D9">
        <w:rPr>
          <w:sz w:val="24"/>
          <w:szCs w:val="24"/>
        </w:rPr>
        <w:t>diskutované teorie</w:t>
      </w:r>
      <w:r>
        <w:rPr>
          <w:sz w:val="24"/>
          <w:szCs w:val="24"/>
        </w:rPr>
        <w:t xml:space="preserve"> posilující její</w:t>
      </w:r>
      <w:r w:rsidRPr="002547D9">
        <w:rPr>
          <w:sz w:val="24"/>
          <w:szCs w:val="24"/>
        </w:rPr>
        <w:t xml:space="preserve"> strategi</w:t>
      </w:r>
      <w:r>
        <w:rPr>
          <w:sz w:val="24"/>
          <w:szCs w:val="24"/>
        </w:rPr>
        <w:t xml:space="preserve">cké </w:t>
      </w:r>
      <w:r w:rsidRPr="002547D9">
        <w:rPr>
          <w:sz w:val="24"/>
          <w:szCs w:val="24"/>
        </w:rPr>
        <w:t>konsekvence</w:t>
      </w:r>
      <w:r>
        <w:rPr>
          <w:sz w:val="24"/>
          <w:szCs w:val="24"/>
        </w:rPr>
        <w:t xml:space="preserve"> – </w:t>
      </w:r>
      <w:r w:rsidRPr="002547D9">
        <w:rPr>
          <w:sz w:val="24"/>
          <w:szCs w:val="24"/>
        </w:rPr>
        <w:t>za prioritní otázku regionálního rozvoje není považována kvantifikace</w:t>
      </w:r>
      <w:r>
        <w:rPr>
          <w:sz w:val="24"/>
          <w:szCs w:val="24"/>
        </w:rPr>
        <w:t xml:space="preserve"> </w:t>
      </w:r>
      <w:r w:rsidRPr="002547D9">
        <w:rPr>
          <w:sz w:val="24"/>
          <w:szCs w:val="24"/>
        </w:rPr>
        <w:t>perspektivních růstových trendů, nýbrž optimalizace</w:t>
      </w:r>
      <w:r>
        <w:rPr>
          <w:sz w:val="24"/>
          <w:szCs w:val="24"/>
        </w:rPr>
        <w:t xml:space="preserve"> vzájemných </w:t>
      </w:r>
      <w:r w:rsidRPr="002547D9">
        <w:rPr>
          <w:sz w:val="24"/>
          <w:szCs w:val="24"/>
        </w:rPr>
        <w:t>vztah</w:t>
      </w:r>
      <w:r>
        <w:rPr>
          <w:sz w:val="24"/>
          <w:szCs w:val="24"/>
        </w:rPr>
        <w:t>ů jeho hlavních komponent</w:t>
      </w:r>
      <w:r w:rsidRPr="002547D9">
        <w:rPr>
          <w:sz w:val="24"/>
          <w:szCs w:val="24"/>
        </w:rPr>
        <w:t xml:space="preserve"> naplňující ideu </w:t>
      </w:r>
      <w:r>
        <w:rPr>
          <w:sz w:val="24"/>
          <w:szCs w:val="24"/>
        </w:rPr>
        <w:t>vyváženého</w:t>
      </w:r>
      <w:r w:rsidRPr="002547D9">
        <w:rPr>
          <w:sz w:val="24"/>
          <w:szCs w:val="24"/>
        </w:rPr>
        <w:t xml:space="preserve"> a udržitelného rozvoje (</w:t>
      </w:r>
      <w:r>
        <w:rPr>
          <w:sz w:val="24"/>
          <w:szCs w:val="24"/>
        </w:rPr>
        <w:t xml:space="preserve">viz </w:t>
      </w:r>
      <w:r w:rsidRPr="002547D9">
        <w:rPr>
          <w:sz w:val="24"/>
          <w:szCs w:val="24"/>
        </w:rPr>
        <w:t>Territorial agenda EU 2020).</w:t>
      </w:r>
      <w:r w:rsidRPr="00395AE1">
        <w:rPr>
          <w:sz w:val="24"/>
          <w:szCs w:val="24"/>
        </w:rPr>
        <w:t xml:space="preserve"> </w:t>
      </w:r>
      <w:r>
        <w:rPr>
          <w:sz w:val="24"/>
          <w:szCs w:val="24"/>
        </w:rPr>
        <w:t>V</w:t>
      </w:r>
      <w:r w:rsidRPr="002547D9">
        <w:rPr>
          <w:sz w:val="24"/>
          <w:szCs w:val="24"/>
        </w:rPr>
        <w:t xml:space="preserve"> souladu s holistickým chápáním udržitelnosti </w:t>
      </w:r>
      <w:r w:rsidRPr="002547D9">
        <w:rPr>
          <w:sz w:val="24"/>
          <w:szCs w:val="24"/>
          <w:lang w:eastAsia="en-GB"/>
        </w:rPr>
        <w:t xml:space="preserve">(Hooling, 2001) </w:t>
      </w:r>
      <w:r>
        <w:rPr>
          <w:sz w:val="24"/>
          <w:szCs w:val="24"/>
          <w:lang w:eastAsia="en-GB"/>
        </w:rPr>
        <w:t xml:space="preserve">je </w:t>
      </w:r>
      <w:r w:rsidRPr="002547D9">
        <w:rPr>
          <w:sz w:val="24"/>
          <w:szCs w:val="24"/>
        </w:rPr>
        <w:t xml:space="preserve">položen důraz na vnitřní </w:t>
      </w:r>
      <w:r w:rsidRPr="002547D9">
        <w:rPr>
          <w:sz w:val="24"/>
          <w:szCs w:val="24"/>
          <w:lang w:eastAsia="en-GB"/>
        </w:rPr>
        <w:t>potenciál,</w:t>
      </w:r>
      <w:r>
        <w:rPr>
          <w:sz w:val="24"/>
          <w:szCs w:val="24"/>
          <w:lang w:eastAsia="en-GB"/>
        </w:rPr>
        <w:t xml:space="preserve"> </w:t>
      </w:r>
      <w:r w:rsidRPr="002547D9">
        <w:rPr>
          <w:sz w:val="24"/>
          <w:szCs w:val="24"/>
          <w:lang w:eastAsia="en-GB"/>
        </w:rPr>
        <w:t xml:space="preserve">propojenost a adaptabilitu regionů a </w:t>
      </w:r>
      <w:r>
        <w:rPr>
          <w:sz w:val="24"/>
          <w:szCs w:val="24"/>
        </w:rPr>
        <w:t>prioritním</w:t>
      </w:r>
      <w:r w:rsidRPr="002547D9">
        <w:rPr>
          <w:sz w:val="24"/>
          <w:szCs w:val="24"/>
        </w:rPr>
        <w:t xml:space="preserve"> společenským cílem je pak zabránit </w:t>
      </w:r>
      <w:r>
        <w:rPr>
          <w:sz w:val="24"/>
          <w:szCs w:val="24"/>
        </w:rPr>
        <w:t>degradaci</w:t>
      </w:r>
      <w:r w:rsidRPr="002547D9">
        <w:rPr>
          <w:sz w:val="24"/>
          <w:szCs w:val="24"/>
        </w:rPr>
        <w:t xml:space="preserve"> rozvojových schopností regionů</w:t>
      </w:r>
      <w:r>
        <w:rPr>
          <w:sz w:val="24"/>
          <w:szCs w:val="24"/>
        </w:rPr>
        <w:t xml:space="preserve"> – v této souvislosti poukazuje známý český ekonom T. Sedláček (2012) na skutečnost, že v důsledku správné anticipace problému </w:t>
      </w:r>
      <w:r w:rsidRPr="00A879F0">
        <w:rPr>
          <w:sz w:val="24"/>
          <w:szCs w:val="24"/>
        </w:rPr>
        <w:t xml:space="preserve">a jeho relevantního behaviorálního průmětu dochází k efektu tzv. sebe-vylučujícího se proroctví, kdy lidská prozíravost a předvídavost zabrání naplnění původně negativní predikce </w:t>
      </w:r>
      <w:r>
        <w:rPr>
          <w:sz w:val="24"/>
          <w:szCs w:val="24"/>
        </w:rPr>
        <w:t>dalšího</w:t>
      </w:r>
      <w:r w:rsidRPr="00A879F0">
        <w:rPr>
          <w:sz w:val="24"/>
          <w:szCs w:val="24"/>
        </w:rPr>
        <w:t xml:space="preserve"> </w:t>
      </w:r>
      <w:r>
        <w:rPr>
          <w:sz w:val="24"/>
          <w:szCs w:val="24"/>
        </w:rPr>
        <w:t>vývoje.</w:t>
      </w:r>
      <w:bookmarkStart w:id="97" w:name="_Toc360633886"/>
    </w:p>
    <w:p w:rsidR="00B57263" w:rsidRDefault="00B57263" w:rsidP="00B57263">
      <w:pPr>
        <w:keepNext/>
        <w:widowControl w:val="0"/>
        <w:spacing w:after="0"/>
        <w:ind w:firstLine="720"/>
        <w:jc w:val="both"/>
        <w:textAlignment w:val="top"/>
        <w:rPr>
          <w:sz w:val="24"/>
          <w:szCs w:val="24"/>
        </w:rPr>
      </w:pPr>
      <w:r>
        <w:rPr>
          <w:noProof/>
          <w:lang w:val="en-GB" w:eastAsia="en-GB"/>
        </w:rPr>
        <w:drawing>
          <wp:anchor distT="0" distB="0" distL="114300" distR="114300" simplePos="0" relativeHeight="251753472" behindDoc="0" locked="0" layoutInCell="1" allowOverlap="1" wp14:anchorId="0CCBE019" wp14:editId="0460D9C1">
            <wp:simplePos x="0" y="0"/>
            <wp:positionH relativeFrom="column">
              <wp:posOffset>395605</wp:posOffset>
            </wp:positionH>
            <wp:positionV relativeFrom="paragraph">
              <wp:posOffset>66675</wp:posOffset>
            </wp:positionV>
            <wp:extent cx="3924300" cy="2569845"/>
            <wp:effectExtent l="0" t="0" r="0" b="0"/>
            <wp:wrapSquare wrapText="bothSides"/>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4300" cy="2569845"/>
                    </a:xfrm>
                    <a:prstGeom prst="rect">
                      <a:avLst/>
                    </a:prstGeom>
                    <a:noFill/>
                  </pic:spPr>
                </pic:pic>
              </a:graphicData>
            </a:graphic>
            <wp14:sizeRelH relativeFrom="margin">
              <wp14:pctWidth>0</wp14:pctWidth>
            </wp14:sizeRelH>
            <wp14:sizeRelV relativeFrom="margin">
              <wp14:pctHeight>0</wp14:pctHeight>
            </wp14:sizeRelV>
          </wp:anchor>
        </w:drawing>
      </w:r>
    </w:p>
    <w:p w:rsidR="006A2747" w:rsidRPr="00395AE1" w:rsidRDefault="00395AE1" w:rsidP="00251737">
      <w:pPr>
        <w:pStyle w:val="0G-Titulek"/>
      </w:pPr>
      <w:r>
        <w:br w:type="textWrapping" w:clear="all"/>
      </w:r>
      <w:bookmarkStart w:id="98" w:name="_Toc382326821"/>
      <w:r w:rsidR="006A2747">
        <w:t>Ob</w:t>
      </w:r>
      <w:r w:rsidR="006A2747" w:rsidRPr="00535458">
        <w:t xml:space="preserve">rázek 17: Explanační </w:t>
      </w:r>
      <w:r w:rsidR="006A2747">
        <w:t>schéma</w:t>
      </w:r>
      <w:r w:rsidR="006A2747" w:rsidRPr="00535458">
        <w:t xml:space="preserve"> integrační teorie udržitelného regionálního rozvoje</w:t>
      </w:r>
      <w:bookmarkEnd w:id="98"/>
    </w:p>
    <w:p w:rsidR="006A2747" w:rsidRPr="00C24344" w:rsidRDefault="006A2747" w:rsidP="00423120">
      <w:pPr>
        <w:keepNext/>
        <w:widowControl w:val="0"/>
        <w:jc w:val="center"/>
        <w:rPr>
          <w:rFonts w:cs="TimesNewRomanPS-BoldMT"/>
          <w:bCs/>
          <w:sz w:val="24"/>
          <w:szCs w:val="20"/>
        </w:rPr>
      </w:pPr>
      <w:r w:rsidRPr="00C24344">
        <w:rPr>
          <w:rFonts w:ascii="Calibri" w:hAnsi="Calibri" w:cs="Calibri"/>
          <w:i/>
        </w:rPr>
        <w:t>Pramen: vlastní výzkum.</w:t>
      </w:r>
    </w:p>
    <w:bookmarkEnd w:id="97"/>
    <w:p w:rsidR="006A2747" w:rsidRPr="00C24344" w:rsidRDefault="006A2747" w:rsidP="00B57263">
      <w:pPr>
        <w:keepNext/>
        <w:widowControl w:val="0"/>
        <w:spacing w:after="120"/>
        <w:ind w:firstLine="720"/>
        <w:jc w:val="both"/>
        <w:rPr>
          <w:color w:val="0000FF"/>
          <w:sz w:val="24"/>
          <w:szCs w:val="24"/>
        </w:rPr>
      </w:pPr>
      <w:r>
        <w:rPr>
          <w:sz w:val="24"/>
          <w:szCs w:val="24"/>
        </w:rPr>
        <w:t>Do</w:t>
      </w:r>
      <w:r w:rsidRPr="00C24344">
        <w:rPr>
          <w:sz w:val="24"/>
          <w:szCs w:val="24"/>
        </w:rPr>
        <w:t xml:space="preserve">brou </w:t>
      </w:r>
      <w:r>
        <w:rPr>
          <w:sz w:val="24"/>
          <w:szCs w:val="24"/>
        </w:rPr>
        <w:t xml:space="preserve">vypovídací </w:t>
      </w:r>
      <w:r w:rsidRPr="00C24344">
        <w:rPr>
          <w:sz w:val="24"/>
          <w:szCs w:val="24"/>
        </w:rPr>
        <w:t xml:space="preserve">schopnost a </w:t>
      </w:r>
      <w:r>
        <w:rPr>
          <w:sz w:val="24"/>
          <w:szCs w:val="24"/>
        </w:rPr>
        <w:t xml:space="preserve">celkovou </w:t>
      </w:r>
      <w:r w:rsidRPr="00C24344">
        <w:rPr>
          <w:sz w:val="24"/>
          <w:szCs w:val="24"/>
        </w:rPr>
        <w:t xml:space="preserve">konzistentnost vytvořené teorie dokládají následující empiricky ověřené skutečnosti </w:t>
      </w:r>
      <w:r w:rsidRPr="00C24344">
        <w:rPr>
          <w:sz w:val="24"/>
          <w:szCs w:val="24"/>
          <w:vertAlign w:val="superscript"/>
        </w:rPr>
        <w:footnoteReference w:id="25"/>
      </w:r>
      <w:r w:rsidRPr="00C24344">
        <w:rPr>
          <w:sz w:val="24"/>
          <w:szCs w:val="24"/>
        </w:rPr>
        <w:t>:</w:t>
      </w:r>
    </w:p>
    <w:p w:rsidR="006A2747" w:rsidRPr="00C24344" w:rsidRDefault="006A2747" w:rsidP="00423120">
      <w:pPr>
        <w:keepNext/>
        <w:widowControl w:val="0"/>
        <w:numPr>
          <w:ilvl w:val="0"/>
          <w:numId w:val="17"/>
        </w:numPr>
        <w:autoSpaceDE w:val="0"/>
        <w:autoSpaceDN w:val="0"/>
        <w:adjustRightInd w:val="0"/>
        <w:ind w:left="284" w:hanging="284"/>
        <w:contextualSpacing/>
        <w:jc w:val="both"/>
        <w:rPr>
          <w:sz w:val="24"/>
          <w:szCs w:val="24"/>
        </w:rPr>
      </w:pPr>
      <w:r w:rsidRPr="00C24344">
        <w:rPr>
          <w:sz w:val="24"/>
          <w:szCs w:val="24"/>
        </w:rPr>
        <w:t xml:space="preserve">silné pozitivní vazby KPP a HDP </w:t>
      </w:r>
    </w:p>
    <w:p w:rsidR="006A2747" w:rsidRPr="00C24344" w:rsidRDefault="006A2747" w:rsidP="00423120">
      <w:pPr>
        <w:keepNext/>
        <w:widowControl w:val="0"/>
        <w:numPr>
          <w:ilvl w:val="0"/>
          <w:numId w:val="17"/>
        </w:numPr>
        <w:autoSpaceDE w:val="0"/>
        <w:autoSpaceDN w:val="0"/>
        <w:adjustRightInd w:val="0"/>
        <w:ind w:left="284" w:hanging="284"/>
        <w:contextualSpacing/>
        <w:jc w:val="both"/>
        <w:rPr>
          <w:sz w:val="24"/>
          <w:szCs w:val="24"/>
        </w:rPr>
      </w:pPr>
      <w:r w:rsidRPr="00C24344">
        <w:rPr>
          <w:sz w:val="24"/>
          <w:szCs w:val="24"/>
        </w:rPr>
        <w:t xml:space="preserve">pozitivní vazby KPP s VLZ a IPF </w:t>
      </w:r>
    </w:p>
    <w:p w:rsidR="006A2747" w:rsidRPr="00C24344" w:rsidRDefault="006A2747" w:rsidP="00423120">
      <w:pPr>
        <w:keepNext/>
        <w:widowControl w:val="0"/>
        <w:numPr>
          <w:ilvl w:val="0"/>
          <w:numId w:val="17"/>
        </w:numPr>
        <w:autoSpaceDE w:val="0"/>
        <w:autoSpaceDN w:val="0"/>
        <w:adjustRightInd w:val="0"/>
        <w:ind w:left="284" w:hanging="284"/>
        <w:contextualSpacing/>
        <w:jc w:val="both"/>
        <w:rPr>
          <w:sz w:val="24"/>
          <w:szCs w:val="24"/>
        </w:rPr>
      </w:pPr>
      <w:r w:rsidRPr="00C24344">
        <w:rPr>
          <w:sz w:val="24"/>
          <w:szCs w:val="24"/>
        </w:rPr>
        <w:t xml:space="preserve">pozitivní vazby KSP a </w:t>
      </w:r>
      <w:r>
        <w:rPr>
          <w:sz w:val="24"/>
          <w:szCs w:val="24"/>
        </w:rPr>
        <w:t>migrační</w:t>
      </w:r>
      <w:r w:rsidRPr="00C24344">
        <w:rPr>
          <w:sz w:val="24"/>
          <w:szCs w:val="24"/>
        </w:rPr>
        <w:t xml:space="preserve"> atraktivity </w:t>
      </w:r>
    </w:p>
    <w:p w:rsidR="006A2747" w:rsidRPr="00C24344" w:rsidRDefault="006A2747" w:rsidP="00423120">
      <w:pPr>
        <w:keepNext/>
        <w:widowControl w:val="0"/>
        <w:numPr>
          <w:ilvl w:val="0"/>
          <w:numId w:val="17"/>
        </w:numPr>
        <w:autoSpaceDE w:val="0"/>
        <w:autoSpaceDN w:val="0"/>
        <w:adjustRightInd w:val="0"/>
        <w:ind w:left="284" w:hanging="284"/>
        <w:contextualSpacing/>
        <w:jc w:val="both"/>
        <w:rPr>
          <w:sz w:val="24"/>
          <w:szCs w:val="24"/>
        </w:rPr>
      </w:pPr>
      <w:r>
        <w:rPr>
          <w:sz w:val="24"/>
          <w:szCs w:val="24"/>
        </w:rPr>
        <w:t xml:space="preserve">prokázaná </w:t>
      </w:r>
      <w:r w:rsidRPr="00C24344">
        <w:rPr>
          <w:sz w:val="24"/>
          <w:szCs w:val="24"/>
        </w:rPr>
        <w:t xml:space="preserve">závislost </w:t>
      </w:r>
      <w:r>
        <w:rPr>
          <w:sz w:val="24"/>
          <w:szCs w:val="24"/>
        </w:rPr>
        <w:t xml:space="preserve">mezi </w:t>
      </w:r>
      <w:r w:rsidRPr="00C24344">
        <w:rPr>
          <w:sz w:val="24"/>
          <w:szCs w:val="24"/>
        </w:rPr>
        <w:t>KPP</w:t>
      </w:r>
      <w:r>
        <w:rPr>
          <w:sz w:val="24"/>
          <w:szCs w:val="24"/>
        </w:rPr>
        <w:t xml:space="preserve"> </w:t>
      </w:r>
      <w:r w:rsidR="00CB0734">
        <w:rPr>
          <w:sz w:val="24"/>
          <w:szCs w:val="24"/>
        </w:rPr>
        <w:t>(</w:t>
      </w:r>
      <w:r>
        <w:rPr>
          <w:sz w:val="24"/>
          <w:szCs w:val="24"/>
        </w:rPr>
        <w:t xml:space="preserve">a s menší intenzitou i </w:t>
      </w:r>
      <w:r w:rsidRPr="00C24344">
        <w:rPr>
          <w:sz w:val="24"/>
          <w:szCs w:val="24"/>
        </w:rPr>
        <w:t>KSP</w:t>
      </w:r>
      <w:r w:rsidR="00CB0734">
        <w:rPr>
          <w:sz w:val="24"/>
          <w:szCs w:val="24"/>
        </w:rPr>
        <w:t>)</w:t>
      </w:r>
      <w:r w:rsidRPr="00C24344">
        <w:rPr>
          <w:sz w:val="24"/>
          <w:szCs w:val="24"/>
        </w:rPr>
        <w:t xml:space="preserve"> a významov</w:t>
      </w:r>
      <w:r>
        <w:rPr>
          <w:sz w:val="24"/>
          <w:szCs w:val="24"/>
        </w:rPr>
        <w:t>ou</w:t>
      </w:r>
      <w:r w:rsidRPr="00C24344">
        <w:rPr>
          <w:sz w:val="24"/>
          <w:szCs w:val="24"/>
        </w:rPr>
        <w:t xml:space="preserve"> poz</w:t>
      </w:r>
      <w:r>
        <w:rPr>
          <w:sz w:val="24"/>
          <w:szCs w:val="24"/>
        </w:rPr>
        <w:t>i</w:t>
      </w:r>
      <w:r w:rsidRPr="00C24344">
        <w:rPr>
          <w:sz w:val="24"/>
          <w:szCs w:val="24"/>
        </w:rPr>
        <w:t>c</w:t>
      </w:r>
      <w:r>
        <w:rPr>
          <w:sz w:val="24"/>
          <w:szCs w:val="24"/>
        </w:rPr>
        <w:t>í mikro</w:t>
      </w:r>
      <w:r w:rsidRPr="00C24344">
        <w:rPr>
          <w:sz w:val="24"/>
          <w:szCs w:val="24"/>
        </w:rPr>
        <w:t>regionů</w:t>
      </w:r>
      <w:r>
        <w:rPr>
          <w:sz w:val="24"/>
          <w:szCs w:val="24"/>
        </w:rPr>
        <w:t>.</w:t>
      </w:r>
    </w:p>
    <w:p w:rsidR="006A2747" w:rsidRPr="00C24344" w:rsidRDefault="006A2747" w:rsidP="00423120">
      <w:pPr>
        <w:keepNext/>
        <w:widowControl w:val="0"/>
        <w:numPr>
          <w:ilvl w:val="0"/>
          <w:numId w:val="17"/>
        </w:numPr>
        <w:autoSpaceDE w:val="0"/>
        <w:autoSpaceDN w:val="0"/>
        <w:adjustRightInd w:val="0"/>
        <w:ind w:left="284" w:hanging="284"/>
        <w:contextualSpacing/>
        <w:jc w:val="both"/>
        <w:rPr>
          <w:sz w:val="24"/>
          <w:szCs w:val="24"/>
        </w:rPr>
      </w:pPr>
      <w:r w:rsidRPr="00C24344">
        <w:rPr>
          <w:sz w:val="24"/>
          <w:szCs w:val="24"/>
        </w:rPr>
        <w:t xml:space="preserve">využitelnost modelu KPP </w:t>
      </w:r>
      <w:r>
        <w:rPr>
          <w:sz w:val="24"/>
          <w:szCs w:val="24"/>
        </w:rPr>
        <w:t xml:space="preserve">a rovněž modelu KSP </w:t>
      </w:r>
      <w:r w:rsidRPr="00C24344">
        <w:rPr>
          <w:sz w:val="24"/>
          <w:szCs w:val="24"/>
        </w:rPr>
        <w:t xml:space="preserve">pro exaktní vymezení </w:t>
      </w:r>
      <w:r>
        <w:rPr>
          <w:sz w:val="24"/>
          <w:szCs w:val="24"/>
        </w:rPr>
        <w:t xml:space="preserve">prostorových systémů </w:t>
      </w:r>
      <w:r w:rsidRPr="00C24344">
        <w:rPr>
          <w:sz w:val="24"/>
          <w:szCs w:val="24"/>
        </w:rPr>
        <w:t>pólů a os rozvoje</w:t>
      </w:r>
      <w:r>
        <w:rPr>
          <w:sz w:val="24"/>
          <w:szCs w:val="24"/>
        </w:rPr>
        <w:t>.</w:t>
      </w:r>
    </w:p>
    <w:p w:rsidR="00B57263" w:rsidRDefault="00B57263" w:rsidP="00B57263">
      <w:pPr>
        <w:keepNext/>
        <w:widowControl w:val="0"/>
        <w:spacing w:after="120"/>
        <w:jc w:val="both"/>
        <w:rPr>
          <w:rFonts w:cs="TimesNewRomanPSMT"/>
          <w:sz w:val="24"/>
          <w:szCs w:val="24"/>
        </w:rPr>
      </w:pPr>
    </w:p>
    <w:p w:rsidR="00B53981" w:rsidRDefault="006A2747" w:rsidP="00B57263">
      <w:pPr>
        <w:keepNext/>
        <w:widowControl w:val="0"/>
        <w:spacing w:after="120"/>
        <w:ind w:firstLine="720"/>
        <w:jc w:val="both"/>
        <w:rPr>
          <w:rFonts w:cs="TimesNewRomanPSMT"/>
          <w:sz w:val="24"/>
          <w:szCs w:val="24"/>
        </w:rPr>
      </w:pPr>
      <w:r w:rsidRPr="00C24344">
        <w:rPr>
          <w:rFonts w:cs="TimesNewRomanPSMT"/>
          <w:sz w:val="24"/>
          <w:szCs w:val="24"/>
        </w:rPr>
        <w:lastRenderedPageBreak/>
        <w:t xml:space="preserve">Její zasazení do </w:t>
      </w:r>
      <w:r>
        <w:rPr>
          <w:rFonts w:cs="TimesNewRomanPSMT"/>
          <w:sz w:val="24"/>
          <w:szCs w:val="24"/>
        </w:rPr>
        <w:t xml:space="preserve">formálně dobře propracovaného </w:t>
      </w:r>
      <w:r w:rsidRPr="00C24344">
        <w:rPr>
          <w:rFonts w:cs="TimesNewRomanPSMT"/>
          <w:sz w:val="24"/>
          <w:szCs w:val="24"/>
        </w:rPr>
        <w:t xml:space="preserve">explanačního rámce endogenních </w:t>
      </w:r>
      <w:r w:rsidRPr="0016316C">
        <w:rPr>
          <w:rFonts w:cs="TimesNewRomanPSMT"/>
          <w:sz w:val="24"/>
          <w:szCs w:val="24"/>
        </w:rPr>
        <w:t xml:space="preserve">teorií hospodářského růstu </w:t>
      </w:r>
      <w:r>
        <w:rPr>
          <w:rFonts w:cs="TimesNewRomanPSMT"/>
          <w:sz w:val="24"/>
          <w:szCs w:val="24"/>
        </w:rPr>
        <w:t xml:space="preserve">(integrační teorii lze chápat i jako širší prostorové rozvedení těchto teorií) </w:t>
      </w:r>
      <w:r w:rsidRPr="0016316C">
        <w:rPr>
          <w:sz w:val="24"/>
          <w:szCs w:val="24"/>
        </w:rPr>
        <w:t>pak</w:t>
      </w:r>
      <w:r w:rsidRPr="0016316C">
        <w:rPr>
          <w:rFonts w:cs="TimesNewRomanPSMT"/>
          <w:sz w:val="24"/>
          <w:szCs w:val="24"/>
        </w:rPr>
        <w:t xml:space="preserve"> lze demonstrovat pomocí následující regionální modifikace produkční funkce:</w:t>
      </w:r>
    </w:p>
    <w:p w:rsidR="006A2747" w:rsidRPr="00B53981" w:rsidRDefault="00B53981" w:rsidP="00570C45">
      <w:pPr>
        <w:keepNext/>
        <w:widowControl w:val="0"/>
        <w:spacing w:after="120"/>
        <w:ind w:left="57"/>
        <w:jc w:val="center"/>
        <w:rPr>
          <w:rFonts w:cs="TimesNewRomanPSMT"/>
          <w:i/>
          <w:sz w:val="24"/>
          <w:szCs w:val="24"/>
        </w:rPr>
      </w:pPr>
      <w:r w:rsidRPr="00B53981">
        <w:rPr>
          <w:rFonts w:cs="TimesNewRomanPSMT"/>
          <w:i/>
          <w:sz w:val="24"/>
          <w:szCs w:val="24"/>
        </w:rPr>
        <w:t>Y</w:t>
      </w:r>
      <w:r w:rsidRPr="00B53981">
        <w:rPr>
          <w:rFonts w:cs="TimesNewRomanPSMT"/>
          <w:i/>
          <w:sz w:val="24"/>
          <w:szCs w:val="24"/>
          <w:vertAlign w:val="subscript"/>
        </w:rPr>
        <w:t xml:space="preserve">r </w:t>
      </w:r>
      <w:r w:rsidRPr="00B53981">
        <w:rPr>
          <w:rFonts w:cs="TimesNewRomanPSMT"/>
          <w:i/>
          <w:sz w:val="24"/>
          <w:szCs w:val="24"/>
        </w:rPr>
        <w:t xml:space="preserve">= A </w:t>
      </w:r>
      <w:r w:rsidRPr="00B53981">
        <w:rPr>
          <w:i/>
          <w:sz w:val="24"/>
          <w:szCs w:val="24"/>
          <w:vertAlign w:val="subscript"/>
        </w:rPr>
        <w:t>*</w:t>
      </w:r>
      <w:r w:rsidRPr="00B53981">
        <w:rPr>
          <w:rFonts w:cs="TimesNewRomanPSMT"/>
          <w:i/>
          <w:sz w:val="24"/>
          <w:szCs w:val="24"/>
        </w:rPr>
        <w:t xml:space="preserve"> f (L</w:t>
      </w:r>
      <w:r w:rsidRPr="00B53981">
        <w:rPr>
          <w:rFonts w:cs="TimesNewRomanPSMT"/>
          <w:i/>
          <w:sz w:val="24"/>
          <w:szCs w:val="24"/>
          <w:vertAlign w:val="superscript"/>
        </w:rPr>
        <w:t>a</w:t>
      </w:r>
      <w:r w:rsidRPr="00B53981">
        <w:rPr>
          <w:rFonts w:cs="TimesNewRomanPSMT"/>
          <w:i/>
          <w:sz w:val="24"/>
          <w:szCs w:val="24"/>
        </w:rPr>
        <w:t>, K </w:t>
      </w:r>
      <w:r w:rsidRPr="00B53981">
        <w:rPr>
          <w:i/>
          <w:sz w:val="24"/>
          <w:szCs w:val="24"/>
          <w:vertAlign w:val="superscript"/>
        </w:rPr>
        <w:t>b</w:t>
      </w:r>
      <w:r w:rsidRPr="00B53981">
        <w:rPr>
          <w:i/>
          <w:sz w:val="24"/>
          <w:szCs w:val="24"/>
        </w:rPr>
        <w:t>, I</w:t>
      </w:r>
      <w:r w:rsidRPr="00B53981">
        <w:rPr>
          <w:i/>
          <w:sz w:val="24"/>
          <w:szCs w:val="24"/>
          <w:vertAlign w:val="superscript"/>
        </w:rPr>
        <w:t xml:space="preserve"> x</w:t>
      </w:r>
      <w:r w:rsidRPr="00B53981">
        <w:rPr>
          <w:i/>
          <w:sz w:val="24"/>
          <w:szCs w:val="24"/>
        </w:rPr>
        <w:t>)</w:t>
      </w:r>
    </w:p>
    <w:p w:rsidR="006A2747" w:rsidRPr="009178D9" w:rsidRDefault="006A2747" w:rsidP="00395AE1">
      <w:pPr>
        <w:keepNext/>
        <w:widowControl w:val="0"/>
        <w:spacing w:after="0"/>
        <w:ind w:left="284"/>
        <w:jc w:val="both"/>
        <w:rPr>
          <w:rFonts w:cs="TimesNewRomanPSMT"/>
          <w:sz w:val="24"/>
          <w:szCs w:val="24"/>
        </w:rPr>
      </w:pPr>
      <w:r w:rsidRPr="009178D9">
        <w:rPr>
          <w:rFonts w:cs="TimesNewRomanPSMT"/>
          <w:i/>
          <w:sz w:val="24"/>
          <w:szCs w:val="24"/>
        </w:rPr>
        <w:t>Y</w:t>
      </w:r>
      <w:r w:rsidRPr="00087EBC">
        <w:rPr>
          <w:rFonts w:cs="TimesNewRomanPSMT"/>
          <w:i/>
          <w:sz w:val="24"/>
          <w:szCs w:val="24"/>
          <w:vertAlign w:val="subscript"/>
        </w:rPr>
        <w:t>r</w:t>
      </w:r>
      <w:r w:rsidRPr="009178D9">
        <w:rPr>
          <w:rFonts w:cs="TimesNewRomanPSMT"/>
          <w:i/>
          <w:sz w:val="24"/>
          <w:szCs w:val="24"/>
        </w:rPr>
        <w:t xml:space="preserve"> </w:t>
      </w:r>
      <w:r w:rsidRPr="009178D9">
        <w:rPr>
          <w:rFonts w:cs="TimesNewRomanPSMT"/>
          <w:sz w:val="24"/>
          <w:szCs w:val="24"/>
        </w:rPr>
        <w:t xml:space="preserve">– úroveň regionálního výstupu </w:t>
      </w:r>
    </w:p>
    <w:p w:rsidR="006A2747" w:rsidRPr="009178D9" w:rsidRDefault="006A2747" w:rsidP="00395AE1">
      <w:pPr>
        <w:keepNext/>
        <w:widowControl w:val="0"/>
        <w:spacing w:after="0"/>
        <w:ind w:left="284"/>
        <w:jc w:val="both"/>
        <w:rPr>
          <w:rFonts w:cs="TimesNewRomanPSMT"/>
          <w:sz w:val="24"/>
          <w:szCs w:val="24"/>
        </w:rPr>
      </w:pPr>
      <w:r w:rsidRPr="009178D9">
        <w:rPr>
          <w:rFonts w:cs="TimesNewRomanPSMT"/>
          <w:i/>
          <w:sz w:val="24"/>
          <w:szCs w:val="24"/>
        </w:rPr>
        <w:t xml:space="preserve">A </w:t>
      </w:r>
      <w:r w:rsidRPr="009178D9">
        <w:rPr>
          <w:rFonts w:cs="TimesNewRomanPSMT"/>
          <w:sz w:val="24"/>
          <w:szCs w:val="24"/>
        </w:rPr>
        <w:t>– souhrnná proměnná (územně vázané faktory rozvoje)</w:t>
      </w:r>
    </w:p>
    <w:p w:rsidR="006A2747" w:rsidRDefault="006A2747" w:rsidP="00395AE1">
      <w:pPr>
        <w:keepNext/>
        <w:widowControl w:val="0"/>
        <w:spacing w:after="0"/>
        <w:ind w:left="851" w:hanging="567"/>
        <w:jc w:val="both"/>
        <w:rPr>
          <w:rFonts w:cs="TimesNewRomanPSMT"/>
          <w:i/>
          <w:sz w:val="24"/>
          <w:szCs w:val="24"/>
        </w:rPr>
      </w:pPr>
      <w:r>
        <w:rPr>
          <w:rFonts w:cs="TimesNewRomanPSMT"/>
          <w:i/>
          <w:sz w:val="24"/>
          <w:szCs w:val="24"/>
        </w:rPr>
        <w:t xml:space="preserve">L </w:t>
      </w:r>
      <w:r w:rsidRPr="009178D9">
        <w:rPr>
          <w:rFonts w:cs="TimesNewRomanPSMT"/>
          <w:sz w:val="24"/>
          <w:szCs w:val="24"/>
        </w:rPr>
        <w:t>–</w:t>
      </w:r>
      <w:r>
        <w:rPr>
          <w:rFonts w:cs="TimesNewRomanPSMT"/>
          <w:sz w:val="24"/>
          <w:szCs w:val="24"/>
        </w:rPr>
        <w:t xml:space="preserve"> práce (</w:t>
      </w:r>
      <w:r w:rsidRPr="004C6C8D">
        <w:rPr>
          <w:rFonts w:cs="TimesNewRomanPSMT"/>
          <w:i/>
          <w:sz w:val="24"/>
          <w:szCs w:val="24"/>
        </w:rPr>
        <w:t>a</w:t>
      </w:r>
      <w:r>
        <w:rPr>
          <w:rFonts w:cs="TimesNewRomanPSMT"/>
          <w:i/>
          <w:sz w:val="24"/>
          <w:szCs w:val="24"/>
        </w:rPr>
        <w:t xml:space="preserve"> </w:t>
      </w:r>
      <w:r w:rsidRPr="009178D9">
        <w:rPr>
          <w:rFonts w:cs="TimesNewRomanPSMT"/>
          <w:sz w:val="24"/>
          <w:szCs w:val="24"/>
        </w:rPr>
        <w:t>–</w:t>
      </w:r>
      <w:r>
        <w:rPr>
          <w:rFonts w:cs="TimesNewRomanPSMT"/>
          <w:sz w:val="24"/>
          <w:szCs w:val="24"/>
        </w:rPr>
        <w:t xml:space="preserve"> </w:t>
      </w:r>
      <w:r w:rsidRPr="009178D9">
        <w:rPr>
          <w:sz w:val="24"/>
          <w:szCs w:val="24"/>
        </w:rPr>
        <w:t>elasticit</w:t>
      </w:r>
      <w:r>
        <w:rPr>
          <w:sz w:val="24"/>
          <w:szCs w:val="24"/>
        </w:rPr>
        <w:t>a</w:t>
      </w:r>
      <w:r w:rsidRPr="009178D9">
        <w:rPr>
          <w:sz w:val="24"/>
          <w:szCs w:val="24"/>
        </w:rPr>
        <w:t xml:space="preserve"> </w:t>
      </w:r>
      <w:r>
        <w:rPr>
          <w:sz w:val="24"/>
          <w:szCs w:val="24"/>
        </w:rPr>
        <w:t>substituce práce)</w:t>
      </w:r>
      <w:r w:rsidRPr="009178D9">
        <w:rPr>
          <w:sz w:val="24"/>
          <w:szCs w:val="24"/>
        </w:rPr>
        <w:t xml:space="preserve"> </w:t>
      </w:r>
    </w:p>
    <w:p w:rsidR="006A2747" w:rsidRDefault="006A2747" w:rsidP="00395AE1">
      <w:pPr>
        <w:keepNext/>
        <w:widowControl w:val="0"/>
        <w:spacing w:after="0"/>
        <w:ind w:left="851" w:hanging="567"/>
        <w:jc w:val="both"/>
        <w:rPr>
          <w:sz w:val="24"/>
          <w:szCs w:val="24"/>
        </w:rPr>
      </w:pPr>
      <w:r w:rsidRPr="009178D9">
        <w:rPr>
          <w:rFonts w:cs="TimesNewRomanPSMT"/>
          <w:i/>
          <w:sz w:val="24"/>
          <w:szCs w:val="24"/>
        </w:rPr>
        <w:t>K</w:t>
      </w:r>
      <w:r>
        <w:rPr>
          <w:rFonts w:cs="TimesNewRomanPSMT"/>
          <w:i/>
          <w:sz w:val="24"/>
          <w:szCs w:val="24"/>
        </w:rPr>
        <w:t xml:space="preserve"> </w:t>
      </w:r>
      <w:r w:rsidRPr="009178D9">
        <w:rPr>
          <w:rFonts w:cs="TimesNewRomanPSMT"/>
          <w:sz w:val="24"/>
          <w:szCs w:val="24"/>
        </w:rPr>
        <w:t>–</w:t>
      </w:r>
      <w:r>
        <w:rPr>
          <w:rFonts w:cs="TimesNewRomanPSMT"/>
          <w:sz w:val="24"/>
          <w:szCs w:val="24"/>
        </w:rPr>
        <w:t xml:space="preserve"> </w:t>
      </w:r>
      <w:r w:rsidRPr="009178D9">
        <w:rPr>
          <w:rFonts w:cs="TimesNewRomanPSMT"/>
          <w:sz w:val="24"/>
          <w:szCs w:val="24"/>
        </w:rPr>
        <w:t>kapitál</w:t>
      </w:r>
      <w:r>
        <w:rPr>
          <w:rFonts w:cs="TimesNewRomanPSMT"/>
          <w:sz w:val="24"/>
          <w:szCs w:val="24"/>
        </w:rPr>
        <w:t xml:space="preserve"> (</w:t>
      </w:r>
      <w:r w:rsidRPr="004C6C8D">
        <w:rPr>
          <w:rFonts w:cs="TimesNewRomanPSMT"/>
          <w:i/>
          <w:sz w:val="24"/>
          <w:szCs w:val="24"/>
        </w:rPr>
        <w:t>b</w:t>
      </w:r>
      <w:r w:rsidRPr="009178D9">
        <w:rPr>
          <w:rFonts w:cs="TimesNewRomanPSMT"/>
          <w:sz w:val="24"/>
          <w:szCs w:val="24"/>
        </w:rPr>
        <w:t xml:space="preserve"> –</w:t>
      </w:r>
      <w:r>
        <w:rPr>
          <w:rFonts w:cs="TimesNewRomanPSMT"/>
          <w:sz w:val="24"/>
          <w:szCs w:val="24"/>
        </w:rPr>
        <w:t xml:space="preserve"> </w:t>
      </w:r>
      <w:r w:rsidRPr="009178D9">
        <w:rPr>
          <w:sz w:val="24"/>
          <w:szCs w:val="24"/>
        </w:rPr>
        <w:t>elasticit</w:t>
      </w:r>
      <w:r>
        <w:rPr>
          <w:sz w:val="24"/>
          <w:szCs w:val="24"/>
        </w:rPr>
        <w:t>a</w:t>
      </w:r>
      <w:r w:rsidRPr="009178D9">
        <w:rPr>
          <w:sz w:val="24"/>
          <w:szCs w:val="24"/>
        </w:rPr>
        <w:t xml:space="preserve"> </w:t>
      </w:r>
      <w:r>
        <w:rPr>
          <w:sz w:val="24"/>
          <w:szCs w:val="24"/>
        </w:rPr>
        <w:t>substituce kapitálu)</w:t>
      </w:r>
      <w:r w:rsidRPr="009178D9">
        <w:rPr>
          <w:sz w:val="24"/>
          <w:szCs w:val="24"/>
        </w:rPr>
        <w:t xml:space="preserve"> </w:t>
      </w:r>
    </w:p>
    <w:p w:rsidR="006A2747" w:rsidRDefault="006A2747" w:rsidP="00395AE1">
      <w:pPr>
        <w:keepNext/>
        <w:widowControl w:val="0"/>
        <w:ind w:left="624" w:hanging="340"/>
        <w:jc w:val="both"/>
        <w:rPr>
          <w:sz w:val="24"/>
          <w:szCs w:val="24"/>
        </w:rPr>
      </w:pPr>
      <w:r>
        <w:rPr>
          <w:rFonts w:cs="TimesNewRomanPSMT"/>
          <w:i/>
          <w:sz w:val="24"/>
          <w:szCs w:val="24"/>
        </w:rPr>
        <w:t xml:space="preserve">I </w:t>
      </w:r>
      <w:r w:rsidRPr="009178D9">
        <w:rPr>
          <w:rFonts w:cs="TimesNewRomanPSMT"/>
          <w:sz w:val="24"/>
          <w:szCs w:val="24"/>
        </w:rPr>
        <w:t>–</w:t>
      </w:r>
      <w:r>
        <w:rPr>
          <w:rFonts w:cs="TimesNewRomanPSMT"/>
          <w:sz w:val="24"/>
          <w:szCs w:val="24"/>
        </w:rPr>
        <w:t xml:space="preserve"> inovace (</w:t>
      </w:r>
      <w:r w:rsidRPr="004C6C8D">
        <w:rPr>
          <w:rFonts w:cs="TimesNewRomanPSMT"/>
          <w:i/>
          <w:sz w:val="24"/>
          <w:szCs w:val="24"/>
        </w:rPr>
        <w:t xml:space="preserve">x </w:t>
      </w:r>
      <w:r w:rsidRPr="009178D9">
        <w:rPr>
          <w:rFonts w:cs="TimesNewRomanPSMT"/>
          <w:sz w:val="24"/>
          <w:szCs w:val="24"/>
        </w:rPr>
        <w:t>–</w:t>
      </w:r>
      <w:r>
        <w:rPr>
          <w:rFonts w:cs="TimesNewRomanPSMT"/>
          <w:sz w:val="24"/>
          <w:szCs w:val="24"/>
        </w:rPr>
        <w:t xml:space="preserve"> pozitivní externality generované inovacemi</w:t>
      </w:r>
      <w:r w:rsidR="00BA6F21">
        <w:rPr>
          <w:rFonts w:cs="TimesNewRomanPSMT"/>
          <w:sz w:val="24"/>
          <w:szCs w:val="24"/>
        </w:rPr>
        <w:t>,</w:t>
      </w:r>
      <w:r>
        <w:rPr>
          <w:rFonts w:cs="TimesNewRomanPSMT"/>
          <w:sz w:val="24"/>
          <w:szCs w:val="24"/>
        </w:rPr>
        <w:t xml:space="preserve"> resp. rozvojem znalostního kapitálu</w:t>
      </w:r>
      <w:r w:rsidR="0020586D">
        <w:rPr>
          <w:sz w:val="24"/>
          <w:szCs w:val="24"/>
        </w:rPr>
        <w:t>)</w:t>
      </w:r>
    </w:p>
    <w:p w:rsidR="006A2747" w:rsidRPr="00CB6D2E" w:rsidRDefault="006A2747" w:rsidP="00395AE1">
      <w:pPr>
        <w:keepNext/>
        <w:widowControl w:val="0"/>
        <w:ind w:firstLine="624"/>
        <w:jc w:val="both"/>
        <w:rPr>
          <w:rFonts w:cs="TimesNewRomanPSMT"/>
          <w:color w:val="FF0000"/>
          <w:sz w:val="24"/>
          <w:szCs w:val="24"/>
        </w:rPr>
      </w:pPr>
      <w:r w:rsidRPr="00940F88">
        <w:rPr>
          <w:rFonts w:cs="TimesNewRomanPSMT"/>
          <w:sz w:val="24"/>
          <w:szCs w:val="24"/>
        </w:rPr>
        <w:t>V tomto kontextu je komponenta KPP součástí souhrnné proměnné A (vzhledem k regionální dimenzi dané produkční funkce je zde abstrahováno od územně volných</w:t>
      </w:r>
      <w:r w:rsidR="0020586D" w:rsidRPr="00940F88">
        <w:rPr>
          <w:rFonts w:cs="TimesNewRomanPSMT"/>
          <w:sz w:val="24"/>
          <w:szCs w:val="24"/>
        </w:rPr>
        <w:t>,</w:t>
      </w:r>
      <w:r w:rsidRPr="00940F88">
        <w:rPr>
          <w:rFonts w:cs="TimesNewRomanPSMT"/>
          <w:sz w:val="24"/>
          <w:szCs w:val="24"/>
        </w:rPr>
        <w:t xml:space="preserve"> a tedy jednotně</w:t>
      </w:r>
      <w:r w:rsidR="00BA6F21" w:rsidRPr="00940F88">
        <w:rPr>
          <w:rFonts w:cs="TimesNewRomanPSMT"/>
          <w:sz w:val="24"/>
          <w:szCs w:val="24"/>
        </w:rPr>
        <w:t>,</w:t>
      </w:r>
      <w:r w:rsidRPr="00940F88">
        <w:rPr>
          <w:rFonts w:cs="TimesNewRomanPSMT"/>
          <w:sz w:val="24"/>
          <w:szCs w:val="24"/>
        </w:rPr>
        <w:t xml:space="preserve"> resp. standardizovaným </w:t>
      </w:r>
      <w:r w:rsidR="00B53981">
        <w:rPr>
          <w:rFonts w:cs="TimesNewRomanPSMT"/>
          <w:sz w:val="24"/>
          <w:szCs w:val="24"/>
        </w:rPr>
        <w:t>způsobem působících faktorů). D</w:t>
      </w:r>
      <w:r w:rsidRPr="00940F88">
        <w:rPr>
          <w:rFonts w:cs="TimesNewRomanPSMT"/>
          <w:sz w:val="24"/>
          <w:szCs w:val="24"/>
        </w:rPr>
        <w:t>oplňkové komponenty VLZ a IPF, které je možné systémově chápat jako „spojovací můstek“ mezi základními komponentami KPP a KSP, jsou integrovány v rámci proměnných L (reflexe vlivu odvětvové struktury na regionální zaměstnanost)</w:t>
      </w:r>
      <w:r w:rsidR="00BA6F21" w:rsidRPr="00940F88">
        <w:rPr>
          <w:rFonts w:cs="TimesNewRomanPSMT"/>
          <w:sz w:val="24"/>
          <w:szCs w:val="24"/>
        </w:rPr>
        <w:t>,</w:t>
      </w:r>
      <w:r w:rsidRPr="00940F88">
        <w:rPr>
          <w:rFonts w:cs="TimesNewRomanPSMT"/>
          <w:sz w:val="24"/>
          <w:szCs w:val="24"/>
        </w:rPr>
        <w:t xml:space="preserve"> resp. I (reflexe vlivu tvorby, transferu a akumulace inovací na regionální rozvoj). Funkce</w:t>
      </w:r>
      <w:r w:rsidRPr="00CB6D2E">
        <w:rPr>
          <w:rFonts w:cs="TimesNewRomanPSMT"/>
          <w:sz w:val="24"/>
          <w:szCs w:val="24"/>
        </w:rPr>
        <w:t xml:space="preserve"> předpokládá rostoucí výnosy z </w:t>
      </w:r>
      <w:r w:rsidR="00395AE1">
        <w:rPr>
          <w:rFonts w:cs="TimesNewRomanPSMT"/>
          <w:sz w:val="24"/>
          <w:szCs w:val="24"/>
        </w:rPr>
        <w:t>rozsahu, tj. a + b + </w:t>
      </w:r>
      <w:r w:rsidR="008D5AFA">
        <w:rPr>
          <w:rFonts w:cs="TimesNewRomanPSMT"/>
          <w:sz w:val="24"/>
          <w:szCs w:val="24"/>
        </w:rPr>
        <w:t>x</w:t>
      </w:r>
      <w:r w:rsidR="00395AE1">
        <w:rPr>
          <w:rFonts w:cs="TimesNewRomanPSMT"/>
          <w:sz w:val="24"/>
          <w:szCs w:val="24"/>
        </w:rPr>
        <w:t> </w:t>
      </w:r>
      <w:r w:rsidRPr="00CB6D2E">
        <w:rPr>
          <w:rFonts w:cs="TimesNewRomanPSMT"/>
          <w:sz w:val="24"/>
          <w:szCs w:val="24"/>
        </w:rPr>
        <w:sym w:font="Symbol" w:char="F03E"/>
      </w:r>
      <w:r w:rsidR="00395AE1">
        <w:rPr>
          <w:rFonts w:cs="TimesNewRomanPSMT"/>
          <w:sz w:val="24"/>
          <w:szCs w:val="24"/>
        </w:rPr>
        <w:t> </w:t>
      </w:r>
      <w:r w:rsidRPr="00CB6D2E">
        <w:rPr>
          <w:rFonts w:cs="TimesNewRomanPSMT"/>
          <w:sz w:val="24"/>
          <w:szCs w:val="24"/>
        </w:rPr>
        <w:t>1.</w:t>
      </w:r>
    </w:p>
    <w:p w:rsidR="006A2747" w:rsidRPr="000A2C6C" w:rsidRDefault="006A2747" w:rsidP="00B57263">
      <w:pPr>
        <w:keepNext/>
        <w:widowControl w:val="0"/>
        <w:spacing w:after="120"/>
        <w:ind w:firstLine="720"/>
        <w:jc w:val="both"/>
        <w:rPr>
          <w:rFonts w:cs="TimesNewRomanPSMT"/>
          <w:color w:val="00B050"/>
          <w:sz w:val="24"/>
          <w:szCs w:val="24"/>
        </w:rPr>
      </w:pPr>
      <w:r>
        <w:rPr>
          <w:rFonts w:cs="TimesNewRomanPSMT"/>
          <w:sz w:val="24"/>
          <w:szCs w:val="24"/>
        </w:rPr>
        <w:t>Pokud jde o matematické vyjádření vypovídací</w:t>
      </w:r>
      <w:r w:rsidR="006132C6">
        <w:rPr>
          <w:rFonts w:cs="TimesNewRomanPSMT"/>
          <w:sz w:val="24"/>
          <w:szCs w:val="24"/>
        </w:rPr>
        <w:t>ch</w:t>
      </w:r>
      <w:r>
        <w:rPr>
          <w:rFonts w:cs="TimesNewRomanPSMT"/>
          <w:sz w:val="24"/>
          <w:szCs w:val="24"/>
        </w:rPr>
        <w:t xml:space="preserve"> schopnost</w:t>
      </w:r>
      <w:r w:rsidR="006132C6">
        <w:rPr>
          <w:rFonts w:cs="TimesNewRomanPSMT"/>
          <w:sz w:val="24"/>
          <w:szCs w:val="24"/>
        </w:rPr>
        <w:t>í</w:t>
      </w:r>
      <w:r w:rsidR="005602D7">
        <w:rPr>
          <w:rFonts w:cs="TimesNewRomanPSMT"/>
          <w:sz w:val="24"/>
          <w:szCs w:val="24"/>
        </w:rPr>
        <w:t xml:space="preserve"> </w:t>
      </w:r>
      <w:r>
        <w:rPr>
          <w:rFonts w:cs="TimesNewRomanPSMT"/>
          <w:sz w:val="24"/>
          <w:szCs w:val="24"/>
        </w:rPr>
        <w:t xml:space="preserve">teorie, je třeba připomenout, že integrační </w:t>
      </w:r>
      <w:r w:rsidRPr="00C24344">
        <w:rPr>
          <w:rFonts w:cs="TimesNewRomanPSMT"/>
          <w:sz w:val="24"/>
          <w:szCs w:val="24"/>
        </w:rPr>
        <w:t xml:space="preserve">potenciál nodálních </w:t>
      </w:r>
      <w:r>
        <w:rPr>
          <w:rFonts w:cs="TimesNewRomanPSMT"/>
          <w:sz w:val="24"/>
          <w:szCs w:val="24"/>
        </w:rPr>
        <w:t>center</w:t>
      </w:r>
      <w:r w:rsidRPr="00C24344">
        <w:rPr>
          <w:rFonts w:cs="TimesNewRomanPSMT"/>
          <w:sz w:val="24"/>
          <w:szCs w:val="24"/>
        </w:rPr>
        <w:t xml:space="preserve"> </w:t>
      </w:r>
      <w:r>
        <w:rPr>
          <w:rFonts w:cs="TimesNewRomanPSMT"/>
          <w:sz w:val="24"/>
          <w:szCs w:val="24"/>
        </w:rPr>
        <w:t xml:space="preserve">definujících příslušné </w:t>
      </w:r>
      <w:r w:rsidRPr="00C24344">
        <w:rPr>
          <w:rFonts w:cs="TimesNewRomanPSMT"/>
          <w:sz w:val="24"/>
          <w:szCs w:val="24"/>
        </w:rPr>
        <w:t>mikroregion</w:t>
      </w:r>
      <w:r>
        <w:rPr>
          <w:rFonts w:cs="TimesNewRomanPSMT"/>
          <w:sz w:val="24"/>
          <w:szCs w:val="24"/>
        </w:rPr>
        <w:t xml:space="preserve">y byl </w:t>
      </w:r>
      <w:r w:rsidRPr="00C24344">
        <w:rPr>
          <w:rFonts w:cs="TimesNewRomanPSMT"/>
          <w:sz w:val="24"/>
          <w:szCs w:val="24"/>
        </w:rPr>
        <w:t xml:space="preserve">odhadnut prostřednictvím </w:t>
      </w:r>
      <w:r>
        <w:rPr>
          <w:rFonts w:cs="TimesNewRomanPSMT"/>
          <w:sz w:val="24"/>
          <w:szCs w:val="24"/>
        </w:rPr>
        <w:t xml:space="preserve">výpočtu </w:t>
      </w:r>
      <w:r w:rsidRPr="00C24344">
        <w:rPr>
          <w:rFonts w:cs="TimesNewRomanPSMT"/>
          <w:sz w:val="24"/>
          <w:szCs w:val="24"/>
        </w:rPr>
        <w:t xml:space="preserve">mezní míry mobility pracovních sil určené poměrem mezi přírůstkem příjmů a přírůstkem nákladů </w:t>
      </w:r>
      <w:r>
        <w:rPr>
          <w:rFonts w:cs="TimesNewRomanPSMT"/>
          <w:sz w:val="24"/>
          <w:szCs w:val="24"/>
        </w:rPr>
        <w:t>při</w:t>
      </w:r>
      <w:r w:rsidRPr="00C24344">
        <w:rPr>
          <w:rFonts w:cs="TimesNewRomanPSMT"/>
          <w:sz w:val="24"/>
          <w:szCs w:val="24"/>
        </w:rPr>
        <w:t xml:space="preserve"> dojíždění do zaměstnání</w:t>
      </w:r>
      <w:r>
        <w:rPr>
          <w:rFonts w:cs="TimesNewRomanPSMT"/>
          <w:sz w:val="24"/>
          <w:szCs w:val="24"/>
        </w:rPr>
        <w:t>, uvedené již v</w:t>
      </w:r>
      <w:r w:rsidRPr="00C24344">
        <w:rPr>
          <w:rFonts w:cs="TimesNewRomanPSMT"/>
          <w:sz w:val="24"/>
          <w:szCs w:val="24"/>
        </w:rPr>
        <w:t xml:space="preserve"> část</w:t>
      </w:r>
      <w:r>
        <w:rPr>
          <w:rFonts w:cs="TimesNewRomanPSMT"/>
          <w:sz w:val="24"/>
          <w:szCs w:val="24"/>
        </w:rPr>
        <w:t>i</w:t>
      </w:r>
      <w:r w:rsidRPr="00C24344">
        <w:rPr>
          <w:rFonts w:cs="TimesNewRomanPSMT"/>
          <w:sz w:val="24"/>
          <w:szCs w:val="24"/>
        </w:rPr>
        <w:t xml:space="preserve"> 2.4. Na mezoregionální úrovni pak lze </w:t>
      </w:r>
      <w:r>
        <w:rPr>
          <w:rFonts w:cs="TimesNewRomanPSMT"/>
          <w:sz w:val="24"/>
          <w:szCs w:val="24"/>
        </w:rPr>
        <w:t xml:space="preserve">v souladu s profilujícími </w:t>
      </w:r>
      <w:r w:rsidRPr="000A2C6C">
        <w:rPr>
          <w:rFonts w:cs="TimesNewRomanPSMT"/>
          <w:sz w:val="24"/>
          <w:szCs w:val="24"/>
        </w:rPr>
        <w:t xml:space="preserve">produkčními interakcemi konstruovat </w:t>
      </w:r>
      <w:r>
        <w:rPr>
          <w:rFonts w:cs="TimesNewRomanPSMT"/>
          <w:sz w:val="24"/>
          <w:szCs w:val="24"/>
        </w:rPr>
        <w:t xml:space="preserve">komparativní </w:t>
      </w:r>
      <w:r w:rsidRPr="000A2C6C">
        <w:rPr>
          <w:rFonts w:cs="TimesNewRomanPSMT"/>
          <w:sz w:val="24"/>
          <w:szCs w:val="24"/>
        </w:rPr>
        <w:t>model integračního potenciálu (P</w:t>
      </w:r>
      <w:r w:rsidRPr="000A2C6C">
        <w:rPr>
          <w:rFonts w:cs="TimesNewRomanPSMT"/>
          <w:sz w:val="24"/>
          <w:szCs w:val="24"/>
          <w:vertAlign w:val="subscript"/>
        </w:rPr>
        <w:t>ij</w:t>
      </w:r>
      <w:r w:rsidRPr="000A2C6C">
        <w:rPr>
          <w:rFonts w:cs="TimesNewRomanPSMT"/>
          <w:sz w:val="24"/>
          <w:szCs w:val="24"/>
        </w:rPr>
        <w:t>) vztažen</w:t>
      </w:r>
      <w:r>
        <w:rPr>
          <w:rFonts w:cs="TimesNewRomanPSMT"/>
          <w:sz w:val="24"/>
          <w:szCs w:val="24"/>
        </w:rPr>
        <w:t xml:space="preserve">ý </w:t>
      </w:r>
      <w:r w:rsidRPr="000A2C6C">
        <w:rPr>
          <w:rFonts w:cs="TimesNewRomanPSMT"/>
          <w:sz w:val="24"/>
          <w:szCs w:val="24"/>
        </w:rPr>
        <w:t>k pólům rozvoje jako “motorům“ regionální</w:t>
      </w:r>
      <w:r>
        <w:rPr>
          <w:rFonts w:cs="TimesNewRomanPSMT"/>
          <w:sz w:val="24"/>
          <w:szCs w:val="24"/>
        </w:rPr>
        <w:t>ho</w:t>
      </w:r>
      <w:r w:rsidRPr="000A2C6C">
        <w:rPr>
          <w:rFonts w:cs="TimesNewRomanPSMT"/>
          <w:sz w:val="24"/>
          <w:szCs w:val="24"/>
        </w:rPr>
        <w:t xml:space="preserve"> </w:t>
      </w:r>
      <w:r>
        <w:rPr>
          <w:rFonts w:cs="TimesNewRomanPSMT"/>
          <w:sz w:val="24"/>
          <w:szCs w:val="24"/>
        </w:rPr>
        <w:t>rozvoje</w:t>
      </w:r>
      <w:r w:rsidRPr="000A2C6C">
        <w:rPr>
          <w:rFonts w:cs="TimesNewRomanPSMT"/>
          <w:sz w:val="24"/>
          <w:szCs w:val="24"/>
        </w:rPr>
        <w:t xml:space="preserve">, který lze matematicky zapsat následujícím způsobem: </w:t>
      </w:r>
    </w:p>
    <w:p w:rsidR="006A2747" w:rsidRPr="000A2C6C" w:rsidRDefault="006A2747" w:rsidP="00570C45">
      <w:pPr>
        <w:keepNext/>
        <w:widowControl w:val="0"/>
        <w:spacing w:after="120"/>
        <w:jc w:val="center"/>
        <w:rPr>
          <w:rFonts w:cs="TimesNewRomanPSMT"/>
          <w:color w:val="00B050"/>
          <w:sz w:val="24"/>
          <w:szCs w:val="24"/>
        </w:rPr>
      </w:pPr>
      <w:r w:rsidRPr="000A2C6C">
        <w:rPr>
          <w:i/>
          <w:color w:val="00B050"/>
          <w:position w:val="-26"/>
          <w:sz w:val="24"/>
          <w:szCs w:val="24"/>
          <w:vertAlign w:val="subscript"/>
          <w:lang w:eastAsia="en-US"/>
        </w:rPr>
        <w:object w:dxaOrig="1180" w:dyaOrig="639">
          <v:shape id="_x0000_i1031" type="#_x0000_t75" style="width:66pt;height:31.5pt" o:ole="">
            <v:imagedata r:id="rId46" o:title=""/>
          </v:shape>
          <o:OLEObject Type="Embed" ProgID="Equation.3" ShapeID="_x0000_i1031" DrawAspect="Content" ObjectID="_1456295319" r:id="rId47"/>
        </w:object>
      </w:r>
      <w:r w:rsidRPr="00B57263">
        <w:rPr>
          <w:i/>
          <w:sz w:val="24"/>
          <w:szCs w:val="24"/>
          <w:lang w:eastAsia="en-US"/>
        </w:rPr>
        <w:t>,</w:t>
      </w:r>
    </w:p>
    <w:p w:rsidR="006A2747" w:rsidRDefault="006A2747" w:rsidP="00423120">
      <w:pPr>
        <w:keepNext/>
        <w:widowControl w:val="0"/>
        <w:jc w:val="both"/>
        <w:rPr>
          <w:rFonts w:cs="TimesNewRomanPSMT"/>
          <w:sz w:val="24"/>
          <w:szCs w:val="24"/>
        </w:rPr>
      </w:pPr>
      <w:r w:rsidRPr="000A2C6C">
        <w:rPr>
          <w:sz w:val="24"/>
          <w:szCs w:val="24"/>
          <w:lang w:eastAsia="en-US"/>
        </w:rPr>
        <w:t xml:space="preserve">kde proměnné </w:t>
      </w:r>
      <w:r w:rsidRPr="00FB6F81">
        <w:rPr>
          <w:i/>
          <w:sz w:val="24"/>
          <w:szCs w:val="24"/>
          <w:lang w:eastAsia="en-US"/>
        </w:rPr>
        <w:t>p</w:t>
      </w:r>
      <w:r w:rsidRPr="00FB6F81">
        <w:rPr>
          <w:i/>
          <w:sz w:val="24"/>
          <w:szCs w:val="24"/>
          <w:vertAlign w:val="subscript"/>
          <w:lang w:eastAsia="en-US"/>
        </w:rPr>
        <w:t>i</w:t>
      </w:r>
      <w:r w:rsidRPr="000A2C6C">
        <w:rPr>
          <w:sz w:val="24"/>
          <w:szCs w:val="24"/>
          <w:vertAlign w:val="subscript"/>
          <w:lang w:eastAsia="en-US"/>
        </w:rPr>
        <w:t xml:space="preserve"> </w:t>
      </w:r>
      <w:r w:rsidRPr="000A2C6C">
        <w:rPr>
          <w:sz w:val="24"/>
          <w:szCs w:val="24"/>
          <w:lang w:eastAsia="en-US"/>
        </w:rPr>
        <w:t xml:space="preserve">a </w:t>
      </w:r>
      <w:r w:rsidRPr="00FB6F81">
        <w:rPr>
          <w:i/>
          <w:sz w:val="24"/>
          <w:szCs w:val="24"/>
          <w:lang w:eastAsia="en-US"/>
        </w:rPr>
        <w:t>p</w:t>
      </w:r>
      <w:r w:rsidRPr="00FB6F81">
        <w:rPr>
          <w:i/>
          <w:sz w:val="24"/>
          <w:szCs w:val="24"/>
          <w:vertAlign w:val="subscript"/>
          <w:lang w:eastAsia="en-US"/>
        </w:rPr>
        <w:t>j</w:t>
      </w:r>
      <w:r w:rsidRPr="000A2C6C">
        <w:rPr>
          <w:sz w:val="24"/>
          <w:szCs w:val="24"/>
          <w:vertAlign w:val="subscript"/>
          <w:lang w:eastAsia="en-US"/>
        </w:rPr>
        <w:t xml:space="preserve"> </w:t>
      </w:r>
      <w:r w:rsidRPr="000A2C6C">
        <w:rPr>
          <w:sz w:val="24"/>
          <w:szCs w:val="24"/>
          <w:lang w:eastAsia="en-US"/>
        </w:rPr>
        <w:t xml:space="preserve">vyjadřují hodnoty KPP zkoumaných </w:t>
      </w:r>
      <w:r>
        <w:rPr>
          <w:sz w:val="24"/>
          <w:szCs w:val="24"/>
          <w:lang w:eastAsia="en-US"/>
        </w:rPr>
        <w:t xml:space="preserve">(sousedících) </w:t>
      </w:r>
      <w:r w:rsidRPr="000A2C6C">
        <w:rPr>
          <w:sz w:val="24"/>
          <w:szCs w:val="24"/>
          <w:lang w:eastAsia="en-US"/>
        </w:rPr>
        <w:t xml:space="preserve">pólu rozvoje, proměnná </w:t>
      </w:r>
      <w:r w:rsidRPr="00FB6F81">
        <w:rPr>
          <w:i/>
          <w:sz w:val="24"/>
          <w:szCs w:val="24"/>
          <w:lang w:eastAsia="en-US"/>
        </w:rPr>
        <w:t>d</w:t>
      </w:r>
      <w:r w:rsidRPr="00FB6F81">
        <w:rPr>
          <w:i/>
          <w:sz w:val="24"/>
          <w:szCs w:val="24"/>
          <w:vertAlign w:val="subscript"/>
          <w:lang w:eastAsia="en-US"/>
        </w:rPr>
        <w:t>ij</w:t>
      </w:r>
      <w:r w:rsidRPr="000A2C6C">
        <w:rPr>
          <w:sz w:val="24"/>
          <w:szCs w:val="24"/>
          <w:lang w:eastAsia="en-US"/>
        </w:rPr>
        <w:t xml:space="preserve"> jejich fyzickou vzdálenost (</w:t>
      </w:r>
      <w:r>
        <w:rPr>
          <w:sz w:val="24"/>
          <w:szCs w:val="24"/>
          <w:lang w:eastAsia="en-US"/>
        </w:rPr>
        <w:t xml:space="preserve">vyhodnocenou na základě </w:t>
      </w:r>
      <w:r w:rsidRPr="000A2C6C">
        <w:rPr>
          <w:sz w:val="24"/>
          <w:szCs w:val="24"/>
          <w:lang w:eastAsia="en-US"/>
        </w:rPr>
        <w:t>nejrychlejší</w:t>
      </w:r>
      <w:r>
        <w:rPr>
          <w:sz w:val="24"/>
          <w:szCs w:val="24"/>
          <w:lang w:eastAsia="en-US"/>
        </w:rPr>
        <w:t>ho</w:t>
      </w:r>
      <w:r w:rsidRPr="000A2C6C">
        <w:rPr>
          <w:sz w:val="24"/>
          <w:szCs w:val="24"/>
          <w:lang w:eastAsia="en-US"/>
        </w:rPr>
        <w:t xml:space="preserve"> silniční</w:t>
      </w:r>
      <w:r>
        <w:rPr>
          <w:sz w:val="24"/>
          <w:szCs w:val="24"/>
          <w:lang w:eastAsia="en-US"/>
        </w:rPr>
        <w:t>ho</w:t>
      </w:r>
      <w:r w:rsidRPr="000A2C6C">
        <w:rPr>
          <w:sz w:val="24"/>
          <w:szCs w:val="24"/>
          <w:lang w:eastAsia="en-US"/>
        </w:rPr>
        <w:t xml:space="preserve"> spojení) a proměnná </w:t>
      </w:r>
      <w:r w:rsidRPr="00FB6F81">
        <w:rPr>
          <w:i/>
          <w:sz w:val="24"/>
          <w:szCs w:val="24"/>
          <w:lang w:eastAsia="en-US"/>
        </w:rPr>
        <w:t>s</w:t>
      </w:r>
      <w:r w:rsidRPr="00FB6F81">
        <w:rPr>
          <w:i/>
          <w:sz w:val="24"/>
          <w:szCs w:val="24"/>
          <w:vertAlign w:val="subscript"/>
          <w:lang w:eastAsia="en-US"/>
        </w:rPr>
        <w:t>ij</w:t>
      </w:r>
      <w:r w:rsidRPr="000A2C6C">
        <w:rPr>
          <w:sz w:val="24"/>
          <w:szCs w:val="24"/>
          <w:lang w:eastAsia="en-US"/>
        </w:rPr>
        <w:t xml:space="preserve"> pak jejich sociální </w:t>
      </w:r>
      <w:r w:rsidRPr="00F350EF">
        <w:rPr>
          <w:sz w:val="24"/>
          <w:szCs w:val="24"/>
          <w:lang w:eastAsia="en-US"/>
        </w:rPr>
        <w:t xml:space="preserve">vzdálenost </w:t>
      </w:r>
      <w:r w:rsidRPr="00F350EF">
        <w:rPr>
          <w:rFonts w:cs="TimesNewRomanPSMT"/>
          <w:sz w:val="24"/>
          <w:szCs w:val="18"/>
        </w:rPr>
        <w:t>odrážející míru podobnosti sociálních struktur</w:t>
      </w:r>
      <w:r w:rsidRPr="00F350EF">
        <w:rPr>
          <w:sz w:val="24"/>
          <w:szCs w:val="24"/>
          <w:lang w:eastAsia="en-US"/>
        </w:rPr>
        <w:t xml:space="preserve"> (</w:t>
      </w:r>
      <w:r>
        <w:rPr>
          <w:sz w:val="24"/>
          <w:szCs w:val="24"/>
          <w:lang w:eastAsia="en-US"/>
        </w:rPr>
        <w:t xml:space="preserve">vyhodnocenou na základě </w:t>
      </w:r>
      <w:r w:rsidRPr="00F350EF">
        <w:rPr>
          <w:sz w:val="24"/>
          <w:szCs w:val="24"/>
          <w:lang w:eastAsia="en-US"/>
        </w:rPr>
        <w:t>rozdíl</w:t>
      </w:r>
      <w:r>
        <w:rPr>
          <w:sz w:val="24"/>
          <w:szCs w:val="24"/>
          <w:lang w:eastAsia="en-US"/>
        </w:rPr>
        <w:t>u</w:t>
      </w:r>
      <w:r w:rsidRPr="00F350EF">
        <w:rPr>
          <w:sz w:val="24"/>
          <w:szCs w:val="24"/>
          <w:lang w:eastAsia="en-US"/>
        </w:rPr>
        <w:t xml:space="preserve"> </w:t>
      </w:r>
      <w:r w:rsidR="00B53981">
        <w:rPr>
          <w:sz w:val="24"/>
          <w:szCs w:val="24"/>
          <w:lang w:eastAsia="en-US"/>
        </w:rPr>
        <w:t>příslušných hodnot</w:t>
      </w:r>
      <w:r w:rsidRPr="008E3547">
        <w:rPr>
          <w:sz w:val="24"/>
          <w:szCs w:val="24"/>
          <w:lang w:eastAsia="en-US"/>
        </w:rPr>
        <w:t xml:space="preserve"> KSP) </w:t>
      </w:r>
      <w:r w:rsidRPr="008E3547">
        <w:rPr>
          <w:rStyle w:val="Znakapoznpodarou"/>
          <w:sz w:val="24"/>
          <w:szCs w:val="24"/>
          <w:lang w:eastAsia="en-US"/>
        </w:rPr>
        <w:footnoteReference w:id="26"/>
      </w:r>
      <w:r w:rsidRPr="008E3547">
        <w:rPr>
          <w:sz w:val="24"/>
          <w:szCs w:val="24"/>
          <w:lang w:eastAsia="en-US"/>
        </w:rPr>
        <w:t>.</w:t>
      </w:r>
      <w:r w:rsidRPr="008E3547">
        <w:rPr>
          <w:rFonts w:cs="TimesNewRomanPSMT"/>
          <w:sz w:val="24"/>
          <w:szCs w:val="24"/>
        </w:rPr>
        <w:t xml:space="preserve"> </w:t>
      </w:r>
    </w:p>
    <w:p w:rsidR="00B53981" w:rsidRPr="00B53981" w:rsidRDefault="00B53981" w:rsidP="00B57263">
      <w:pPr>
        <w:keepNext/>
        <w:widowControl w:val="0"/>
        <w:spacing w:before="100" w:after="120"/>
        <w:ind w:firstLine="720"/>
        <w:jc w:val="both"/>
        <w:rPr>
          <w:rFonts w:cs="TimesNewRomanPSMT"/>
          <w:sz w:val="24"/>
          <w:szCs w:val="24"/>
        </w:rPr>
      </w:pPr>
      <w:r w:rsidRPr="00B53981">
        <w:rPr>
          <w:rFonts w:cs="TimesNewRomanPSMT"/>
          <w:sz w:val="24"/>
          <w:szCs w:val="24"/>
        </w:rPr>
        <w:t xml:space="preserve">Formování rozvojových os národního i regionálního významu pochopitelně odráží dosavadní rozvojové tendence mezilehlých (sousedících) mikroregionů </w:t>
      </w:r>
      <w:r w:rsidRPr="00B53981">
        <w:rPr>
          <w:rFonts w:cs="TimesNewRomanPSMT"/>
          <w:i/>
          <w:sz w:val="24"/>
          <w:szCs w:val="24"/>
        </w:rPr>
        <w:t>Mij</w:t>
      </w:r>
      <w:r w:rsidRPr="00B53981">
        <w:rPr>
          <w:rFonts w:cs="TimesNewRomanPSMT"/>
          <w:sz w:val="24"/>
          <w:szCs w:val="24"/>
        </w:rPr>
        <w:t xml:space="preserve">, které lze v kontextu příslušných pólů rozvoje vyhodnotit pomocí srovnání vážených poměrů kladných a záporných odchylek skutečných hodnot KPP od teoreticky příslušných hodnot: </w:t>
      </w:r>
    </w:p>
    <w:p w:rsidR="00B53981" w:rsidRPr="00B53981" w:rsidRDefault="00B53981" w:rsidP="00570C45">
      <w:pPr>
        <w:keepNext/>
        <w:widowControl w:val="0"/>
        <w:spacing w:after="0" w:line="240" w:lineRule="auto"/>
        <w:jc w:val="center"/>
        <w:rPr>
          <w:i/>
          <w:sz w:val="24"/>
          <w:szCs w:val="24"/>
          <w:lang w:eastAsia="en-US"/>
        </w:rPr>
      </w:pPr>
      <w:r w:rsidRPr="00B53981">
        <w:rPr>
          <w:i/>
          <w:position w:val="-32"/>
          <w:sz w:val="24"/>
          <w:szCs w:val="24"/>
          <w:vertAlign w:val="subscript"/>
          <w:lang w:eastAsia="en-US"/>
        </w:rPr>
        <w:object w:dxaOrig="2060" w:dyaOrig="760">
          <v:shape id="_x0000_i1032" type="#_x0000_t75" style="width:84pt;height:37.5pt" o:ole="">
            <v:imagedata r:id="rId48" o:title=""/>
          </v:shape>
          <o:OLEObject Type="Embed" ProgID="Equation.3" ShapeID="_x0000_i1032" DrawAspect="Content" ObjectID="_1456295320" r:id="rId49"/>
        </w:object>
      </w:r>
      <w:r w:rsidR="00B57263">
        <w:rPr>
          <w:i/>
          <w:sz w:val="24"/>
          <w:szCs w:val="24"/>
          <w:vertAlign w:val="subscript"/>
          <w:lang w:eastAsia="en-US"/>
        </w:rPr>
        <w:t>,</w:t>
      </w:r>
    </w:p>
    <w:p w:rsidR="00B53981" w:rsidRPr="00B53981" w:rsidRDefault="00B53981" w:rsidP="00B53981">
      <w:pPr>
        <w:keepNext/>
        <w:widowControl w:val="0"/>
        <w:spacing w:before="100" w:after="100"/>
        <w:jc w:val="both"/>
        <w:rPr>
          <w:sz w:val="24"/>
          <w:szCs w:val="24"/>
        </w:rPr>
      </w:pPr>
      <w:r w:rsidRPr="00B53981">
        <w:rPr>
          <w:rFonts w:cs="TimesNewRomanPSMT"/>
          <w:sz w:val="24"/>
          <w:szCs w:val="24"/>
        </w:rPr>
        <w:lastRenderedPageBreak/>
        <w:t xml:space="preserve">kde zápis </w:t>
      </w:r>
      <w:r w:rsidRPr="00B53981">
        <w:rPr>
          <w:rFonts w:cs="TimesNewRomanPSMT"/>
          <w:i/>
          <w:sz w:val="24"/>
          <w:szCs w:val="24"/>
        </w:rPr>
        <w:t>a*v</w:t>
      </w:r>
      <w:r w:rsidRPr="00B53981">
        <w:rPr>
          <w:rFonts w:cs="TimesNewRomanPSMT"/>
          <w:sz w:val="24"/>
          <w:szCs w:val="24"/>
        </w:rPr>
        <w:t xml:space="preserve"> představuje součin kladných odchylek stimulujících vznik os rozvoje a zápis </w:t>
      </w:r>
      <w:r w:rsidRPr="00B53981">
        <w:rPr>
          <w:rFonts w:cs="TimesNewRomanPSMT"/>
          <w:i/>
          <w:sz w:val="24"/>
          <w:szCs w:val="24"/>
        </w:rPr>
        <w:t>b*v</w:t>
      </w:r>
      <w:r w:rsidRPr="00B53981">
        <w:rPr>
          <w:rFonts w:cs="TimesNewRomanPSMT"/>
          <w:sz w:val="24"/>
          <w:szCs w:val="24"/>
        </w:rPr>
        <w:t xml:space="preserve"> součin opačně působících záporných odchylek, vážených v obou případech počtem obyvatel příslušných mikroregionů (v nejednoznačných případech je užitečné zohlednit hodnoty </w:t>
      </w:r>
      <w:proofErr w:type="gramStart"/>
      <w:r w:rsidRPr="00B53981">
        <w:rPr>
          <w:rFonts w:cs="TimesNewRomanPSMT"/>
          <w:sz w:val="24"/>
          <w:szCs w:val="24"/>
        </w:rPr>
        <w:t>VLZ,  příp.</w:t>
      </w:r>
      <w:proofErr w:type="gramEnd"/>
      <w:r w:rsidRPr="00B53981">
        <w:rPr>
          <w:rFonts w:cs="TimesNewRomanPSMT"/>
          <w:sz w:val="24"/>
          <w:szCs w:val="24"/>
        </w:rPr>
        <w:t xml:space="preserve"> pracovní podřízenost mikroregionů).</w:t>
      </w:r>
    </w:p>
    <w:p w:rsidR="00D166E2" w:rsidRDefault="00EC5DE1" w:rsidP="00B57263">
      <w:pPr>
        <w:keepNext/>
        <w:widowControl w:val="0"/>
        <w:spacing w:after="120"/>
        <w:ind w:firstLine="720"/>
        <w:jc w:val="both"/>
        <w:rPr>
          <w:sz w:val="24"/>
          <w:szCs w:val="24"/>
        </w:rPr>
      </w:pPr>
      <w:r w:rsidRPr="00EC5DE1">
        <w:rPr>
          <w:sz w:val="24"/>
          <w:szCs w:val="24"/>
        </w:rPr>
        <w:t xml:space="preserve">Jako poslední pak lze uvést matematický zápis vyjadřující dosaženou úroveň dynamické rovnováhy společenských systémů na příkladu vybraného regionu </w:t>
      </w:r>
      <w:r w:rsidRPr="00EC5DE1">
        <w:rPr>
          <w:i/>
          <w:sz w:val="24"/>
          <w:szCs w:val="24"/>
        </w:rPr>
        <w:t>Ri</w:t>
      </w:r>
      <w:r w:rsidRPr="00EC5DE1">
        <w:rPr>
          <w:sz w:val="24"/>
          <w:szCs w:val="24"/>
        </w:rPr>
        <w:t xml:space="preserve"> z pohledu konceptu udržitelného rozvoje a vycházející z jednoduchého souhrnného ukazatele označen</w:t>
      </w:r>
      <w:r w:rsidR="00D166E2">
        <w:rPr>
          <w:sz w:val="24"/>
          <w:szCs w:val="24"/>
        </w:rPr>
        <w:t>ého jako hrubou míru rovnováhy.</w:t>
      </w:r>
    </w:p>
    <w:p w:rsidR="00D166E2" w:rsidRDefault="00EC5DE1" w:rsidP="00934D1C">
      <w:pPr>
        <w:keepNext/>
        <w:widowControl w:val="0"/>
        <w:spacing w:after="120"/>
        <w:jc w:val="center"/>
        <w:rPr>
          <w:sz w:val="24"/>
          <w:szCs w:val="24"/>
        </w:rPr>
      </w:pPr>
      <w:r w:rsidRPr="00EC5DE1">
        <w:rPr>
          <w:i/>
          <w:position w:val="-24"/>
          <w:sz w:val="24"/>
          <w:szCs w:val="24"/>
          <w:vertAlign w:val="subscript"/>
          <w:lang w:eastAsia="en-US"/>
        </w:rPr>
        <w:object w:dxaOrig="2400" w:dyaOrig="600">
          <v:shape id="_x0000_i1033" type="#_x0000_t75" style="width:133.5pt;height:30pt" o:ole="">
            <v:imagedata r:id="rId50" o:title=""/>
          </v:shape>
          <o:OLEObject Type="Embed" ProgID="Equation.3" ShapeID="_x0000_i1033" DrawAspect="Content" ObjectID="_1456295321" r:id="rId51"/>
        </w:object>
      </w:r>
      <w:r w:rsidRPr="00EC5DE1">
        <w:rPr>
          <w:i/>
          <w:sz w:val="24"/>
          <w:szCs w:val="24"/>
          <w:vertAlign w:val="subscript"/>
          <w:lang w:eastAsia="en-US"/>
        </w:rPr>
        <w:t>,</w:t>
      </w:r>
    </w:p>
    <w:p w:rsidR="00D166E2" w:rsidRDefault="00EC5DE1" w:rsidP="00423120">
      <w:pPr>
        <w:keepNext/>
        <w:widowControl w:val="0"/>
        <w:ind w:firstLine="720"/>
        <w:jc w:val="both"/>
        <w:rPr>
          <w:sz w:val="24"/>
          <w:szCs w:val="24"/>
        </w:rPr>
      </w:pPr>
      <w:r w:rsidRPr="00EC5DE1">
        <w:rPr>
          <w:sz w:val="24"/>
          <w:szCs w:val="24"/>
        </w:rPr>
        <w:t xml:space="preserve">kde výraz </w:t>
      </w:r>
      <w:r w:rsidRPr="00EC5DE1">
        <w:rPr>
          <w:i/>
          <w:sz w:val="24"/>
          <w:szCs w:val="24"/>
        </w:rPr>
        <w:t>x</w:t>
      </w:r>
      <w:r w:rsidRPr="00EC5DE1">
        <w:rPr>
          <w:i/>
          <w:sz w:val="24"/>
          <w:szCs w:val="24"/>
          <w:vertAlign w:val="subscript"/>
        </w:rPr>
        <w:t>i</w:t>
      </w:r>
      <w:r w:rsidRPr="00EC5DE1">
        <w:rPr>
          <w:i/>
          <w:sz w:val="24"/>
          <w:szCs w:val="24"/>
        </w:rPr>
        <w:t xml:space="preserve"> – </w:t>
      </w:r>
      <w:r w:rsidRPr="00EC5DE1">
        <w:rPr>
          <w:i/>
        </w:rPr>
        <w:sym w:font="Symbol" w:char="F06D"/>
      </w:r>
      <w:r w:rsidRPr="00EC5DE1">
        <w:t xml:space="preserve"> </w:t>
      </w:r>
      <w:r w:rsidRPr="00EC5DE1">
        <w:rPr>
          <w:sz w:val="24"/>
          <w:szCs w:val="24"/>
        </w:rPr>
        <w:t xml:space="preserve">vyjadřuje odchylku KPP a výraz </w:t>
      </w:r>
      <w:r w:rsidRPr="00EC5DE1">
        <w:rPr>
          <w:i/>
          <w:sz w:val="24"/>
          <w:szCs w:val="24"/>
        </w:rPr>
        <w:t>y</w:t>
      </w:r>
      <w:r w:rsidRPr="00EC5DE1">
        <w:rPr>
          <w:i/>
          <w:sz w:val="24"/>
          <w:szCs w:val="24"/>
          <w:vertAlign w:val="subscript"/>
        </w:rPr>
        <w:t>i</w:t>
      </w:r>
      <w:r w:rsidRPr="00EC5DE1">
        <w:rPr>
          <w:i/>
          <w:sz w:val="24"/>
          <w:szCs w:val="24"/>
        </w:rPr>
        <w:t xml:space="preserve"> – </w:t>
      </w:r>
      <w:r w:rsidRPr="00EC5DE1">
        <w:rPr>
          <w:i/>
        </w:rPr>
        <w:sym w:font="Symbol" w:char="F06D"/>
      </w:r>
      <w:r w:rsidRPr="00EC5DE1">
        <w:rPr>
          <w:i/>
          <w:sz w:val="24"/>
          <w:szCs w:val="24"/>
        </w:rPr>
        <w:t xml:space="preserve"> </w:t>
      </w:r>
      <w:r w:rsidRPr="00EC5DE1">
        <w:rPr>
          <w:sz w:val="24"/>
          <w:szCs w:val="24"/>
        </w:rPr>
        <w:t xml:space="preserve">pak odchylku KSP daného regionu </w:t>
      </w:r>
      <w:r w:rsidRPr="00EC5DE1">
        <w:rPr>
          <w:i/>
          <w:sz w:val="24"/>
          <w:szCs w:val="24"/>
        </w:rPr>
        <w:t xml:space="preserve">i </w:t>
      </w:r>
      <w:r w:rsidRPr="00EC5DE1">
        <w:rPr>
          <w:sz w:val="24"/>
          <w:szCs w:val="24"/>
        </w:rPr>
        <w:t>od příslušného regionálního průměru</w:t>
      </w:r>
      <w:r w:rsidRPr="00EC5DE1">
        <w:rPr>
          <w:i/>
          <w:sz w:val="24"/>
          <w:szCs w:val="24"/>
        </w:rPr>
        <w:t xml:space="preserve"> </w:t>
      </w:r>
      <w:r w:rsidRPr="00EC5DE1">
        <w:rPr>
          <w:i/>
        </w:rPr>
        <w:sym w:font="Symbol" w:char="F06D"/>
      </w:r>
      <w:r w:rsidRPr="00EC5DE1">
        <w:rPr>
          <w:sz w:val="24"/>
          <w:szCs w:val="24"/>
        </w:rPr>
        <w:t xml:space="preserve">. </w:t>
      </w:r>
    </w:p>
    <w:p w:rsidR="006A2747" w:rsidRPr="00D166E2" w:rsidRDefault="006A2747" w:rsidP="00423120">
      <w:pPr>
        <w:keepNext/>
        <w:widowControl w:val="0"/>
        <w:ind w:firstLine="720"/>
        <w:jc w:val="both"/>
        <w:rPr>
          <w:sz w:val="24"/>
          <w:szCs w:val="24"/>
        </w:rPr>
      </w:pPr>
      <w:r>
        <w:rPr>
          <w:sz w:val="24"/>
          <w:szCs w:val="24"/>
        </w:rPr>
        <w:t>U</w:t>
      </w:r>
      <w:r w:rsidRPr="009E03A0">
        <w:rPr>
          <w:sz w:val="24"/>
          <w:szCs w:val="24"/>
        </w:rPr>
        <w:t xml:space="preserve">vedené informace </w:t>
      </w:r>
      <w:r>
        <w:rPr>
          <w:sz w:val="24"/>
          <w:szCs w:val="24"/>
        </w:rPr>
        <w:t xml:space="preserve">je užitečné </w:t>
      </w:r>
      <w:r w:rsidRPr="009E03A0">
        <w:rPr>
          <w:sz w:val="24"/>
          <w:szCs w:val="24"/>
        </w:rPr>
        <w:t>doplnit v tom smyslu, že zatímco vznik a dynamika pólů rozvoje jsou především výsledkem historického vývoje a samoorganizace ekonomiky (pokusy o iniciaci vzniku nových pólů rozvoje byly obvykle neúspěšné), pak podpora tvorby a prohlubování rozvojových os představuje významnou příležitost pro rozvoj regionů. Šíření pozitivních rozvojových efektů z pólů rozvoje</w:t>
      </w:r>
      <w:r w:rsidR="00B53981">
        <w:rPr>
          <w:sz w:val="24"/>
          <w:szCs w:val="24"/>
        </w:rPr>
        <w:t xml:space="preserve">, </w:t>
      </w:r>
      <w:r w:rsidRPr="009E03A0">
        <w:rPr>
          <w:sz w:val="24"/>
          <w:szCs w:val="24"/>
        </w:rPr>
        <w:t>příp</w:t>
      </w:r>
      <w:r>
        <w:rPr>
          <w:sz w:val="24"/>
          <w:szCs w:val="24"/>
        </w:rPr>
        <w:t xml:space="preserve">. </w:t>
      </w:r>
      <w:r w:rsidRPr="009E03A0">
        <w:rPr>
          <w:sz w:val="24"/>
          <w:szCs w:val="24"/>
        </w:rPr>
        <w:t>rozvojových os národního významu</w:t>
      </w:r>
      <w:r w:rsidR="00B53981">
        <w:rPr>
          <w:sz w:val="24"/>
          <w:szCs w:val="24"/>
        </w:rPr>
        <w:t>,</w:t>
      </w:r>
      <w:r w:rsidRPr="009E03A0">
        <w:rPr>
          <w:sz w:val="24"/>
          <w:szCs w:val="24"/>
        </w:rPr>
        <w:t xml:space="preserve"> totiž přispívá ke snižování regionálních disparit</w:t>
      </w:r>
      <w:r>
        <w:rPr>
          <w:sz w:val="24"/>
          <w:szCs w:val="24"/>
        </w:rPr>
        <w:t xml:space="preserve"> a zvyšování organičnosti celého systému</w:t>
      </w:r>
      <w:r w:rsidRPr="009E03A0">
        <w:rPr>
          <w:sz w:val="24"/>
          <w:szCs w:val="24"/>
        </w:rPr>
        <w:t>, neboť</w:t>
      </w:r>
      <w:r w:rsidRPr="009E03A0">
        <w:rPr>
          <w:rFonts w:cs="TimesNewRomanPSMT"/>
          <w:sz w:val="24"/>
          <w:szCs w:val="20"/>
        </w:rPr>
        <w:t xml:space="preserve"> jejich prostřednictvím </w:t>
      </w:r>
      <w:r w:rsidRPr="009E03A0">
        <w:rPr>
          <w:sz w:val="24"/>
          <w:szCs w:val="20"/>
        </w:rPr>
        <w:t xml:space="preserve">jsou překonávány rozvojové limity generované nedostatečnou nabídkou </w:t>
      </w:r>
      <w:r w:rsidRPr="009A4848">
        <w:rPr>
          <w:sz w:val="24"/>
          <w:szCs w:val="20"/>
        </w:rPr>
        <w:t>či naopak přílišným využíváním výrobních zdrojů. N</w:t>
      </w:r>
      <w:r w:rsidRPr="009A4848">
        <w:rPr>
          <w:sz w:val="24"/>
          <w:szCs w:val="24"/>
        </w:rPr>
        <w:t xml:space="preserve">a mezoregionální úrovni jde </w:t>
      </w:r>
      <w:r>
        <w:rPr>
          <w:sz w:val="24"/>
          <w:szCs w:val="24"/>
        </w:rPr>
        <w:t>v tomto směru</w:t>
      </w:r>
      <w:r w:rsidRPr="009A4848">
        <w:rPr>
          <w:sz w:val="24"/>
          <w:szCs w:val="24"/>
        </w:rPr>
        <w:t xml:space="preserve"> o integraci na bázi produkčních interakcí realizujících se prostřednictvím </w:t>
      </w:r>
      <w:r w:rsidRPr="001D698C">
        <w:rPr>
          <w:sz w:val="24"/>
          <w:szCs w:val="24"/>
        </w:rPr>
        <w:t>dodavatelsko-odběratelských vztahů</w:t>
      </w:r>
      <w:r>
        <w:rPr>
          <w:sz w:val="24"/>
          <w:szCs w:val="24"/>
        </w:rPr>
        <w:t>,</w:t>
      </w:r>
      <w:r w:rsidRPr="001D698C">
        <w:rPr>
          <w:sz w:val="24"/>
          <w:szCs w:val="24"/>
        </w:rPr>
        <w:t xml:space="preserve"> formalizovaných </w:t>
      </w:r>
      <w:r>
        <w:rPr>
          <w:sz w:val="24"/>
          <w:szCs w:val="24"/>
        </w:rPr>
        <w:t xml:space="preserve">v řadě případů </w:t>
      </w:r>
      <w:r w:rsidRPr="001D698C">
        <w:rPr>
          <w:sz w:val="24"/>
          <w:szCs w:val="24"/>
        </w:rPr>
        <w:t xml:space="preserve">v rámci partnerských sítí spolupracujících firem (networking) </w:t>
      </w:r>
      <w:r>
        <w:rPr>
          <w:sz w:val="24"/>
          <w:szCs w:val="24"/>
        </w:rPr>
        <w:t xml:space="preserve">– </w:t>
      </w:r>
      <w:r w:rsidRPr="001D698C">
        <w:rPr>
          <w:sz w:val="24"/>
          <w:szCs w:val="24"/>
        </w:rPr>
        <w:t>o</w:t>
      </w:r>
      <w:r w:rsidRPr="001D698C">
        <w:rPr>
          <w:rFonts w:cs="TimesNewRomanPSMT"/>
          <w:sz w:val="24"/>
          <w:szCs w:val="24"/>
        </w:rPr>
        <w:t>proti převládajícímu mínění si ve většině rozvinutých zemí lokální a regionální ekonomika</w:t>
      </w:r>
      <w:r>
        <w:rPr>
          <w:rFonts w:cs="TimesNewRomanPSMT"/>
          <w:sz w:val="24"/>
          <w:szCs w:val="24"/>
        </w:rPr>
        <w:t>,</w:t>
      </w:r>
      <w:r w:rsidRPr="001D698C">
        <w:rPr>
          <w:rFonts w:cs="TimesNewRomanPSMT"/>
          <w:sz w:val="24"/>
          <w:szCs w:val="24"/>
        </w:rPr>
        <w:t xml:space="preserve"> </w:t>
      </w:r>
      <w:r>
        <w:rPr>
          <w:rFonts w:cs="TimesNewRomanPSMT"/>
          <w:sz w:val="24"/>
          <w:szCs w:val="24"/>
        </w:rPr>
        <w:t xml:space="preserve">v jejímž rámci jsou pochopitelněji </w:t>
      </w:r>
      <w:r w:rsidR="00B53981">
        <w:rPr>
          <w:rFonts w:cs="TimesNewRomanPSMT"/>
          <w:sz w:val="24"/>
          <w:szCs w:val="24"/>
        </w:rPr>
        <w:t>nejpočetněji zastoupené</w:t>
      </w:r>
      <w:r w:rsidRPr="001D698C">
        <w:rPr>
          <w:rFonts w:cs="TimesNewRomanPSMT"/>
          <w:sz w:val="24"/>
          <w:szCs w:val="24"/>
        </w:rPr>
        <w:t xml:space="preserve"> mal</w:t>
      </w:r>
      <w:r>
        <w:rPr>
          <w:rFonts w:cs="TimesNewRomanPSMT"/>
          <w:sz w:val="24"/>
          <w:szCs w:val="24"/>
        </w:rPr>
        <w:t xml:space="preserve">é </w:t>
      </w:r>
      <w:r w:rsidRPr="001D698C">
        <w:rPr>
          <w:rFonts w:cs="TimesNewRomanPSMT"/>
          <w:sz w:val="24"/>
          <w:szCs w:val="24"/>
        </w:rPr>
        <w:t xml:space="preserve">a střední </w:t>
      </w:r>
      <w:r>
        <w:rPr>
          <w:rFonts w:cs="TimesNewRomanPSMT"/>
          <w:sz w:val="24"/>
          <w:szCs w:val="24"/>
        </w:rPr>
        <w:t xml:space="preserve">firmy, </w:t>
      </w:r>
      <w:r w:rsidRPr="001D698C">
        <w:rPr>
          <w:rFonts w:cs="TimesNewRomanPSMT"/>
          <w:sz w:val="24"/>
          <w:szCs w:val="24"/>
        </w:rPr>
        <w:t xml:space="preserve">zachovává </w:t>
      </w:r>
      <w:r>
        <w:rPr>
          <w:rFonts w:cs="TimesNewRomanPSMT"/>
          <w:sz w:val="24"/>
          <w:szCs w:val="24"/>
        </w:rPr>
        <w:t>zhruba</w:t>
      </w:r>
      <w:r w:rsidRPr="001D698C">
        <w:rPr>
          <w:rFonts w:cs="TimesNewRomanPSMT"/>
          <w:sz w:val="24"/>
          <w:szCs w:val="24"/>
        </w:rPr>
        <w:t xml:space="preserve"> 2/3 podíl na tvorbě přidané hodnoty (v České republice </w:t>
      </w:r>
      <w:r>
        <w:rPr>
          <w:rFonts w:cs="TimesNewRomanPSMT"/>
          <w:sz w:val="24"/>
          <w:szCs w:val="24"/>
        </w:rPr>
        <w:t>cca</w:t>
      </w:r>
      <w:r w:rsidRPr="001D698C">
        <w:rPr>
          <w:rFonts w:cs="TimesNewRomanPSMT"/>
          <w:sz w:val="24"/>
          <w:szCs w:val="24"/>
        </w:rPr>
        <w:t xml:space="preserve"> 60 %). </w:t>
      </w:r>
      <w:r>
        <w:rPr>
          <w:rFonts w:cs="TimesNewRomanPSMT"/>
          <w:sz w:val="24"/>
          <w:szCs w:val="24"/>
        </w:rPr>
        <w:t>V tomto kontextu je potřebné upozornit na skutečnost, že s</w:t>
      </w:r>
      <w:r w:rsidRPr="001D698C">
        <w:rPr>
          <w:sz w:val="24"/>
          <w:szCs w:val="24"/>
        </w:rPr>
        <w:t xml:space="preserve">ystémová analýza profilujících typů interakcí </w:t>
      </w:r>
      <w:r>
        <w:rPr>
          <w:sz w:val="24"/>
          <w:szCs w:val="24"/>
        </w:rPr>
        <w:t xml:space="preserve">v linii </w:t>
      </w:r>
      <w:r w:rsidRPr="001D698C">
        <w:rPr>
          <w:sz w:val="24"/>
          <w:szCs w:val="20"/>
        </w:rPr>
        <w:t xml:space="preserve">lokální </w:t>
      </w:r>
      <w:r>
        <w:rPr>
          <w:sz w:val="24"/>
          <w:szCs w:val="20"/>
        </w:rPr>
        <w:t>až</w:t>
      </w:r>
      <w:r w:rsidRPr="001D698C">
        <w:rPr>
          <w:sz w:val="24"/>
          <w:szCs w:val="20"/>
        </w:rPr>
        <w:t xml:space="preserve"> globální </w:t>
      </w:r>
      <w:r w:rsidRPr="001D698C">
        <w:rPr>
          <w:sz w:val="24"/>
          <w:szCs w:val="24"/>
        </w:rPr>
        <w:t>hierarchick</w:t>
      </w:r>
      <w:r>
        <w:rPr>
          <w:sz w:val="24"/>
          <w:szCs w:val="24"/>
        </w:rPr>
        <w:t>á</w:t>
      </w:r>
      <w:r w:rsidRPr="001D698C">
        <w:rPr>
          <w:sz w:val="24"/>
          <w:szCs w:val="20"/>
        </w:rPr>
        <w:t xml:space="preserve"> úroveň</w:t>
      </w:r>
      <w:r>
        <w:rPr>
          <w:sz w:val="24"/>
          <w:szCs w:val="20"/>
        </w:rPr>
        <w:t xml:space="preserve"> je přirozenou </w:t>
      </w:r>
      <w:r w:rsidRPr="001D698C">
        <w:rPr>
          <w:sz w:val="24"/>
          <w:szCs w:val="20"/>
        </w:rPr>
        <w:t>součást</w:t>
      </w:r>
      <w:r>
        <w:rPr>
          <w:sz w:val="24"/>
          <w:szCs w:val="20"/>
        </w:rPr>
        <w:t>í</w:t>
      </w:r>
      <w:r w:rsidRPr="001D698C">
        <w:rPr>
          <w:sz w:val="24"/>
          <w:szCs w:val="20"/>
        </w:rPr>
        <w:t xml:space="preserve"> prezentované teorie regionálního rozvoje </w:t>
      </w:r>
      <w:r>
        <w:rPr>
          <w:sz w:val="24"/>
          <w:szCs w:val="20"/>
        </w:rPr>
        <w:t xml:space="preserve">(podrobněji </w:t>
      </w:r>
      <w:r>
        <w:rPr>
          <w:sz w:val="24"/>
          <w:szCs w:val="24"/>
        </w:rPr>
        <w:t>viz</w:t>
      </w:r>
      <w:r w:rsidRPr="001D698C">
        <w:rPr>
          <w:sz w:val="24"/>
          <w:szCs w:val="24"/>
        </w:rPr>
        <w:t> </w:t>
      </w:r>
      <w:r w:rsidRPr="001D698C">
        <w:rPr>
          <w:sz w:val="24"/>
          <w:szCs w:val="20"/>
        </w:rPr>
        <w:t>část 2.4.</w:t>
      </w:r>
      <w:r>
        <w:rPr>
          <w:sz w:val="24"/>
          <w:szCs w:val="20"/>
        </w:rPr>
        <w:t xml:space="preserve">). </w:t>
      </w:r>
      <w:r w:rsidRPr="00940F88">
        <w:rPr>
          <w:rFonts w:cs="TimesNewRomanPSMT"/>
          <w:sz w:val="24"/>
          <w:szCs w:val="24"/>
        </w:rPr>
        <w:t xml:space="preserve">Jimi generované synergické efekty přispívají k </w:t>
      </w:r>
      <w:r w:rsidRPr="00940F88">
        <w:rPr>
          <w:sz w:val="24"/>
          <w:szCs w:val="20"/>
        </w:rPr>
        <w:t>naplňování</w:t>
      </w:r>
      <w:r w:rsidRPr="00940F88">
        <w:rPr>
          <w:sz w:val="24"/>
          <w:szCs w:val="24"/>
        </w:rPr>
        <w:t xml:space="preserve"> evropské ide</w:t>
      </w:r>
      <w:r w:rsidR="00D166E2" w:rsidRPr="00940F88">
        <w:rPr>
          <w:sz w:val="24"/>
          <w:szCs w:val="24"/>
        </w:rPr>
        <w:t>je</w:t>
      </w:r>
      <w:r w:rsidRPr="00940F88">
        <w:rPr>
          <w:sz w:val="24"/>
          <w:szCs w:val="24"/>
        </w:rPr>
        <w:t xml:space="preserve"> vzájemně se posilujících center polycentrických sídelních systémů, k</w:t>
      </w:r>
      <w:r w:rsidR="00A75E48">
        <w:rPr>
          <w:sz w:val="24"/>
          <w:szCs w:val="24"/>
        </w:rPr>
        <w:t>dy firmy v rozvojových pólech s </w:t>
      </w:r>
      <w:r w:rsidRPr="00940F88">
        <w:rPr>
          <w:sz w:val="24"/>
          <w:szCs w:val="24"/>
        </w:rPr>
        <w:t xml:space="preserve">diverzifikovanou ekonomikou a nadprůměrným potenciálem externích úspor mají </w:t>
      </w:r>
      <w:r w:rsidR="00940F88" w:rsidRPr="00940F88">
        <w:rPr>
          <w:sz w:val="24"/>
          <w:szCs w:val="24"/>
        </w:rPr>
        <w:t xml:space="preserve">vhodné předpoklady </w:t>
      </w:r>
      <w:r w:rsidRPr="00940F88">
        <w:rPr>
          <w:sz w:val="24"/>
          <w:szCs w:val="24"/>
        </w:rPr>
        <w:t>pro produkci nových výr</w:t>
      </w:r>
      <w:r w:rsidR="00940F88" w:rsidRPr="00940F88">
        <w:rPr>
          <w:sz w:val="24"/>
          <w:szCs w:val="24"/>
        </w:rPr>
        <w:t>obků a vyšších služeb. F</w:t>
      </w:r>
      <w:r w:rsidRPr="00940F88">
        <w:rPr>
          <w:sz w:val="24"/>
          <w:szCs w:val="24"/>
        </w:rPr>
        <w:t>irmy v podřízených centrech se specializovanou ekonomikou</w:t>
      </w:r>
      <w:r w:rsidR="00940F88" w:rsidRPr="00940F88">
        <w:rPr>
          <w:sz w:val="24"/>
          <w:szCs w:val="24"/>
        </w:rPr>
        <w:t xml:space="preserve"> pak</w:t>
      </w:r>
      <w:r w:rsidRPr="00940F88">
        <w:rPr>
          <w:sz w:val="24"/>
          <w:szCs w:val="24"/>
        </w:rPr>
        <w:t xml:space="preserve"> mají vhodné předpoklady</w:t>
      </w:r>
      <w:r w:rsidR="00395BBA">
        <w:rPr>
          <w:sz w:val="24"/>
          <w:szCs w:val="24"/>
        </w:rPr>
        <w:t xml:space="preserve"> zejména</w:t>
      </w:r>
      <w:r w:rsidR="00E2599D" w:rsidRPr="00940F88">
        <w:rPr>
          <w:sz w:val="24"/>
          <w:szCs w:val="24"/>
        </w:rPr>
        <w:t xml:space="preserve"> </w:t>
      </w:r>
      <w:r w:rsidRPr="00940F88">
        <w:rPr>
          <w:sz w:val="24"/>
          <w:szCs w:val="24"/>
        </w:rPr>
        <w:t xml:space="preserve">pro produkci standardizovaných výrobků a služeb </w:t>
      </w:r>
      <w:r w:rsidRPr="00940F88">
        <w:rPr>
          <w:rFonts w:cs="TimesNewRomanPSMT"/>
          <w:sz w:val="24"/>
          <w:szCs w:val="24"/>
        </w:rPr>
        <w:t>založené na k</w:t>
      </w:r>
      <w:r w:rsidRPr="00940F88">
        <w:rPr>
          <w:sz w:val="24"/>
          <w:szCs w:val="24"/>
        </w:rPr>
        <w:t>odifikovaných znalostech, jejíž efektivitu výrazně zvyšuje využívání interních úspor z rozsahu. Tento závěr</w:t>
      </w:r>
      <w:r>
        <w:rPr>
          <w:sz w:val="24"/>
          <w:szCs w:val="24"/>
        </w:rPr>
        <w:t xml:space="preserve"> je ovšem </w:t>
      </w:r>
      <w:r w:rsidRPr="00721FEE">
        <w:rPr>
          <w:sz w:val="24"/>
          <w:szCs w:val="24"/>
        </w:rPr>
        <w:t xml:space="preserve">v podmínkách </w:t>
      </w:r>
      <w:r w:rsidRPr="00A45449">
        <w:rPr>
          <w:sz w:val="24"/>
          <w:szCs w:val="24"/>
        </w:rPr>
        <w:t xml:space="preserve">globální ekonomiky </w:t>
      </w:r>
      <w:r>
        <w:rPr>
          <w:sz w:val="24"/>
          <w:szCs w:val="24"/>
        </w:rPr>
        <w:t xml:space="preserve">výrazně modifikován </w:t>
      </w:r>
      <w:r>
        <w:rPr>
          <w:rFonts w:cs="TimesNewRomanPS-BoldItalicMT"/>
          <w:bCs/>
          <w:iCs/>
          <w:sz w:val="24"/>
          <w:szCs w:val="20"/>
        </w:rPr>
        <w:t>procesem</w:t>
      </w:r>
      <w:r w:rsidRPr="00A45449">
        <w:rPr>
          <w:rFonts w:cs="TimesNewRomanPS-BoldItalicMT"/>
          <w:bCs/>
          <w:iCs/>
          <w:sz w:val="24"/>
          <w:szCs w:val="20"/>
        </w:rPr>
        <w:t xml:space="preserve"> oddělování řízení od vlastní výroby</w:t>
      </w:r>
      <w:r>
        <w:rPr>
          <w:rFonts w:cs="TimesNewRomanPS-BoldItalicMT"/>
          <w:bCs/>
          <w:iCs/>
          <w:sz w:val="24"/>
          <w:szCs w:val="20"/>
        </w:rPr>
        <w:t xml:space="preserve">, čímž dochází k jisté </w:t>
      </w:r>
      <w:r>
        <w:rPr>
          <w:sz w:val="24"/>
          <w:szCs w:val="24"/>
        </w:rPr>
        <w:t>relativizaci</w:t>
      </w:r>
      <w:r w:rsidRPr="00A45449">
        <w:rPr>
          <w:sz w:val="24"/>
          <w:szCs w:val="24"/>
        </w:rPr>
        <w:t xml:space="preserve"> hierarchických úrovní </w:t>
      </w:r>
      <w:r>
        <w:rPr>
          <w:sz w:val="24"/>
          <w:szCs w:val="24"/>
        </w:rPr>
        <w:t xml:space="preserve">regionů v návaznosti na jejich </w:t>
      </w:r>
      <w:r w:rsidRPr="00A45449">
        <w:rPr>
          <w:sz w:val="24"/>
          <w:szCs w:val="24"/>
        </w:rPr>
        <w:t>vertikální integrac</w:t>
      </w:r>
      <w:r>
        <w:rPr>
          <w:sz w:val="24"/>
          <w:szCs w:val="24"/>
        </w:rPr>
        <w:t>i</w:t>
      </w:r>
      <w:r w:rsidRPr="00A45449">
        <w:rPr>
          <w:sz w:val="24"/>
          <w:szCs w:val="24"/>
        </w:rPr>
        <w:t xml:space="preserve"> </w:t>
      </w:r>
      <w:r>
        <w:rPr>
          <w:sz w:val="24"/>
          <w:szCs w:val="24"/>
        </w:rPr>
        <w:t xml:space="preserve">reflektující systém </w:t>
      </w:r>
      <w:r w:rsidRPr="00A45449">
        <w:rPr>
          <w:sz w:val="24"/>
          <w:szCs w:val="24"/>
        </w:rPr>
        <w:t xml:space="preserve">řízení produkčních řetězců </w:t>
      </w:r>
      <w:r>
        <w:rPr>
          <w:sz w:val="24"/>
          <w:szCs w:val="24"/>
        </w:rPr>
        <w:t xml:space="preserve">v rámci </w:t>
      </w:r>
      <w:r w:rsidRPr="00A45449">
        <w:rPr>
          <w:sz w:val="24"/>
          <w:szCs w:val="24"/>
        </w:rPr>
        <w:t>nadnárodních firem</w:t>
      </w:r>
      <w:r>
        <w:rPr>
          <w:sz w:val="24"/>
          <w:szCs w:val="24"/>
        </w:rPr>
        <w:t xml:space="preserve">. </w:t>
      </w:r>
    </w:p>
    <w:p w:rsidR="006A2747" w:rsidRPr="00407870" w:rsidRDefault="006A2747" w:rsidP="00423120">
      <w:pPr>
        <w:keepNext/>
        <w:widowControl w:val="0"/>
        <w:jc w:val="both"/>
        <w:rPr>
          <w:rFonts w:cs="Tahoma"/>
          <w:b/>
          <w:bCs/>
          <w:sz w:val="24"/>
          <w:szCs w:val="24"/>
        </w:rPr>
      </w:pPr>
      <w:r w:rsidRPr="00407870">
        <w:rPr>
          <w:rFonts w:cs="Tahoma"/>
          <w:b/>
          <w:bCs/>
          <w:sz w:val="24"/>
          <w:szCs w:val="24"/>
        </w:rPr>
        <w:t xml:space="preserve">Partnerské sítě a klastry </w:t>
      </w:r>
    </w:p>
    <w:p w:rsidR="006A2747" w:rsidRPr="00346BAE" w:rsidRDefault="006A2747" w:rsidP="00423120">
      <w:pPr>
        <w:keepNext/>
        <w:widowControl w:val="0"/>
        <w:ind w:firstLine="720"/>
        <w:jc w:val="both"/>
        <w:rPr>
          <w:sz w:val="24"/>
          <w:szCs w:val="24"/>
        </w:rPr>
      </w:pPr>
      <w:r w:rsidRPr="00346BAE">
        <w:rPr>
          <w:sz w:val="24"/>
          <w:szCs w:val="24"/>
        </w:rPr>
        <w:t xml:space="preserve">V daném kontextu je potřebné podrobněji zmínit specifickou formu integrace spojenou s vytvářením </w:t>
      </w:r>
      <w:r>
        <w:rPr>
          <w:sz w:val="24"/>
          <w:szCs w:val="24"/>
        </w:rPr>
        <w:t xml:space="preserve">partnerských sítí firem a </w:t>
      </w:r>
      <w:r w:rsidRPr="00346BAE">
        <w:rPr>
          <w:sz w:val="24"/>
          <w:szCs w:val="24"/>
        </w:rPr>
        <w:t xml:space="preserve">podnikatelských klastrů. </w:t>
      </w:r>
      <w:r>
        <w:rPr>
          <w:sz w:val="24"/>
          <w:szCs w:val="24"/>
        </w:rPr>
        <w:t xml:space="preserve">Za </w:t>
      </w:r>
      <w:r w:rsidRPr="00346BAE">
        <w:rPr>
          <w:sz w:val="24"/>
          <w:szCs w:val="24"/>
        </w:rPr>
        <w:t xml:space="preserve">klíčový znak </w:t>
      </w:r>
      <w:r w:rsidRPr="00346BAE">
        <w:rPr>
          <w:sz w:val="24"/>
          <w:szCs w:val="24"/>
        </w:rPr>
        <w:lastRenderedPageBreak/>
        <w:t xml:space="preserve">rozlišení klastru </w:t>
      </w:r>
      <w:r>
        <w:rPr>
          <w:sz w:val="24"/>
          <w:szCs w:val="24"/>
        </w:rPr>
        <w:t xml:space="preserve">od </w:t>
      </w:r>
      <w:r w:rsidRPr="00346BAE">
        <w:rPr>
          <w:sz w:val="24"/>
          <w:szCs w:val="24"/>
        </w:rPr>
        <w:t xml:space="preserve">partnerské sítě </w:t>
      </w:r>
      <w:r>
        <w:rPr>
          <w:sz w:val="24"/>
          <w:szCs w:val="24"/>
        </w:rPr>
        <w:t xml:space="preserve">pokládá </w:t>
      </w:r>
      <w:r w:rsidRPr="00346BAE">
        <w:rPr>
          <w:sz w:val="24"/>
          <w:szCs w:val="24"/>
        </w:rPr>
        <w:t>Kovárník (2008) produkc</w:t>
      </w:r>
      <w:r>
        <w:rPr>
          <w:sz w:val="24"/>
          <w:szCs w:val="24"/>
        </w:rPr>
        <w:t>i</w:t>
      </w:r>
      <w:r w:rsidRPr="00346BAE">
        <w:rPr>
          <w:sz w:val="24"/>
          <w:szCs w:val="24"/>
        </w:rPr>
        <w:t xml:space="preserve"> inovací. V</w:t>
      </w:r>
      <w:r>
        <w:rPr>
          <w:sz w:val="24"/>
          <w:szCs w:val="24"/>
        </w:rPr>
        <w:t> obou případech</w:t>
      </w:r>
      <w:r w:rsidRPr="00346BAE">
        <w:rPr>
          <w:sz w:val="24"/>
          <w:szCs w:val="24"/>
        </w:rPr>
        <w:t xml:space="preserve"> hraje zásadní roli optimální počet firem, neboť při </w:t>
      </w:r>
      <w:r>
        <w:rPr>
          <w:sz w:val="24"/>
          <w:szCs w:val="24"/>
        </w:rPr>
        <w:t xml:space="preserve">jejich </w:t>
      </w:r>
      <w:r w:rsidRPr="00346BAE">
        <w:rPr>
          <w:sz w:val="24"/>
          <w:szCs w:val="24"/>
        </w:rPr>
        <w:t xml:space="preserve">nadměrném počtu dochází k rychlému růstu konkurence zvyšující mzdové náklady, které </w:t>
      </w:r>
      <w:r>
        <w:rPr>
          <w:sz w:val="24"/>
          <w:szCs w:val="24"/>
        </w:rPr>
        <w:t xml:space="preserve">mohou </w:t>
      </w:r>
      <w:r w:rsidRPr="00346BAE">
        <w:rPr>
          <w:sz w:val="24"/>
          <w:szCs w:val="24"/>
        </w:rPr>
        <w:t>převýš</w:t>
      </w:r>
      <w:r>
        <w:rPr>
          <w:sz w:val="24"/>
          <w:szCs w:val="24"/>
        </w:rPr>
        <w:t>it</w:t>
      </w:r>
      <w:r w:rsidRPr="00346BAE">
        <w:rPr>
          <w:sz w:val="24"/>
          <w:szCs w:val="24"/>
        </w:rPr>
        <w:t xml:space="preserve"> výnosy získané předchozím snížením nákladů</w:t>
      </w:r>
      <w:r>
        <w:rPr>
          <w:sz w:val="24"/>
          <w:szCs w:val="24"/>
        </w:rPr>
        <w:t xml:space="preserve"> díky</w:t>
      </w:r>
      <w:r w:rsidRPr="00346BAE">
        <w:rPr>
          <w:sz w:val="24"/>
          <w:szCs w:val="24"/>
        </w:rPr>
        <w:t xml:space="preserve"> </w:t>
      </w:r>
      <w:r>
        <w:rPr>
          <w:sz w:val="24"/>
          <w:szCs w:val="24"/>
        </w:rPr>
        <w:t xml:space="preserve">zvýšení </w:t>
      </w:r>
      <w:r w:rsidRPr="00346BAE">
        <w:rPr>
          <w:sz w:val="24"/>
          <w:szCs w:val="24"/>
        </w:rPr>
        <w:t>specializac</w:t>
      </w:r>
      <w:r>
        <w:rPr>
          <w:sz w:val="24"/>
          <w:szCs w:val="24"/>
        </w:rPr>
        <w:t>e</w:t>
      </w:r>
      <w:r w:rsidRPr="00346BAE">
        <w:rPr>
          <w:sz w:val="24"/>
          <w:szCs w:val="24"/>
        </w:rPr>
        <w:t xml:space="preserve"> (O´Sullivan, 2009). Vytváření </w:t>
      </w:r>
      <w:r>
        <w:rPr>
          <w:sz w:val="24"/>
          <w:szCs w:val="24"/>
        </w:rPr>
        <w:t>sítí</w:t>
      </w:r>
      <w:r w:rsidR="00BA6F21">
        <w:rPr>
          <w:sz w:val="24"/>
          <w:szCs w:val="24"/>
        </w:rPr>
        <w:t>,</w:t>
      </w:r>
      <w:r>
        <w:rPr>
          <w:sz w:val="24"/>
          <w:szCs w:val="24"/>
        </w:rPr>
        <w:t xml:space="preserve"> resp. </w:t>
      </w:r>
      <w:r w:rsidRPr="00346BAE">
        <w:rPr>
          <w:sz w:val="24"/>
          <w:szCs w:val="24"/>
        </w:rPr>
        <w:t xml:space="preserve">klastrů je atraktivní zvláště pro malé firmy, které </w:t>
      </w:r>
      <w:r>
        <w:rPr>
          <w:sz w:val="24"/>
          <w:szCs w:val="24"/>
        </w:rPr>
        <w:t>tak</w:t>
      </w:r>
      <w:r w:rsidRPr="00346BAE">
        <w:rPr>
          <w:sz w:val="24"/>
          <w:szCs w:val="24"/>
        </w:rPr>
        <w:t xml:space="preserve"> mohou výrazně zvýšit svoji tržní sílu</w:t>
      </w:r>
      <w:r>
        <w:rPr>
          <w:sz w:val="24"/>
          <w:szCs w:val="24"/>
        </w:rPr>
        <w:t>. Jde obvykle</w:t>
      </w:r>
      <w:r w:rsidRPr="00346BAE">
        <w:rPr>
          <w:sz w:val="24"/>
          <w:szCs w:val="24"/>
        </w:rPr>
        <w:t xml:space="preserve"> </w:t>
      </w:r>
      <w:r>
        <w:rPr>
          <w:sz w:val="24"/>
          <w:szCs w:val="24"/>
        </w:rPr>
        <w:t xml:space="preserve">o spontánní proces </w:t>
      </w:r>
      <w:r w:rsidRPr="00346BAE">
        <w:rPr>
          <w:sz w:val="24"/>
          <w:szCs w:val="24"/>
        </w:rPr>
        <w:t xml:space="preserve">na základě principu </w:t>
      </w:r>
      <w:r>
        <w:rPr>
          <w:sz w:val="24"/>
          <w:szCs w:val="24"/>
        </w:rPr>
        <w:t>b</w:t>
      </w:r>
      <w:r w:rsidRPr="00346BAE">
        <w:rPr>
          <w:sz w:val="24"/>
          <w:szCs w:val="24"/>
        </w:rPr>
        <w:t>ottom-up</w:t>
      </w:r>
      <w:r>
        <w:rPr>
          <w:sz w:val="24"/>
          <w:szCs w:val="24"/>
        </w:rPr>
        <w:t xml:space="preserve">, kdy </w:t>
      </w:r>
      <w:r w:rsidRPr="00346BAE">
        <w:rPr>
          <w:sz w:val="24"/>
          <w:szCs w:val="24"/>
        </w:rPr>
        <w:t xml:space="preserve">hlavním iniciátorem </w:t>
      </w:r>
      <w:r>
        <w:rPr>
          <w:sz w:val="24"/>
          <w:szCs w:val="24"/>
        </w:rPr>
        <w:t xml:space="preserve">je </w:t>
      </w:r>
      <w:r w:rsidRPr="00346BAE">
        <w:rPr>
          <w:sz w:val="24"/>
          <w:szCs w:val="24"/>
        </w:rPr>
        <w:t xml:space="preserve">soukromý sektor </w:t>
      </w:r>
      <w:r>
        <w:rPr>
          <w:sz w:val="24"/>
          <w:szCs w:val="24"/>
        </w:rPr>
        <w:t xml:space="preserve">příp. </w:t>
      </w:r>
      <w:r w:rsidRPr="00346BAE">
        <w:rPr>
          <w:sz w:val="24"/>
          <w:szCs w:val="24"/>
        </w:rPr>
        <w:t xml:space="preserve">specificky zaměřená instituce veřejného sektoru (např. vysoká škola, výzkumný ústav apod.). Druhý způsob vzniku </w:t>
      </w:r>
      <w:r>
        <w:rPr>
          <w:sz w:val="24"/>
          <w:szCs w:val="24"/>
        </w:rPr>
        <w:t xml:space="preserve">na základě </w:t>
      </w:r>
      <w:r w:rsidRPr="00346BAE">
        <w:rPr>
          <w:sz w:val="24"/>
          <w:szCs w:val="24"/>
        </w:rPr>
        <w:t>princip</w:t>
      </w:r>
      <w:r>
        <w:rPr>
          <w:sz w:val="24"/>
          <w:szCs w:val="24"/>
        </w:rPr>
        <w:t>u</w:t>
      </w:r>
      <w:r w:rsidRPr="00346BAE">
        <w:rPr>
          <w:sz w:val="24"/>
          <w:szCs w:val="24"/>
        </w:rPr>
        <w:t xml:space="preserve"> top-down</w:t>
      </w:r>
      <w:r>
        <w:rPr>
          <w:sz w:val="24"/>
          <w:szCs w:val="24"/>
        </w:rPr>
        <w:t xml:space="preserve"> se týká </w:t>
      </w:r>
      <w:r w:rsidRPr="00346BAE">
        <w:rPr>
          <w:sz w:val="24"/>
          <w:szCs w:val="24"/>
        </w:rPr>
        <w:t>klastrů</w:t>
      </w:r>
      <w:r>
        <w:rPr>
          <w:sz w:val="24"/>
          <w:szCs w:val="24"/>
        </w:rPr>
        <w:t xml:space="preserve">, kdy </w:t>
      </w:r>
      <w:r w:rsidRPr="00346BAE">
        <w:rPr>
          <w:sz w:val="24"/>
          <w:szCs w:val="24"/>
        </w:rPr>
        <w:t>iniciátorem vzniku</w:t>
      </w:r>
      <w:r>
        <w:rPr>
          <w:sz w:val="24"/>
          <w:szCs w:val="24"/>
        </w:rPr>
        <w:t xml:space="preserve"> </w:t>
      </w:r>
      <w:r w:rsidRPr="00346BAE">
        <w:rPr>
          <w:sz w:val="24"/>
          <w:szCs w:val="24"/>
        </w:rPr>
        <w:t xml:space="preserve">je výlučně veřejný sektor </w:t>
      </w:r>
      <w:r>
        <w:rPr>
          <w:sz w:val="24"/>
          <w:szCs w:val="24"/>
        </w:rPr>
        <w:t xml:space="preserve">či instituce </w:t>
      </w:r>
      <w:r w:rsidRPr="00346BAE">
        <w:rPr>
          <w:sz w:val="24"/>
          <w:szCs w:val="24"/>
        </w:rPr>
        <w:t>veřejné správy (Kovárník, Kala, 2010). Od tohoto způsobu vzniku klastrů lze též částečně odv</w:t>
      </w:r>
      <w:r w:rsidR="00A75E48">
        <w:rPr>
          <w:sz w:val="24"/>
          <w:szCs w:val="24"/>
        </w:rPr>
        <w:t>odit rozdílnost mezi klastrem a </w:t>
      </w:r>
      <w:r w:rsidRPr="00346BAE">
        <w:rPr>
          <w:sz w:val="24"/>
          <w:szCs w:val="24"/>
        </w:rPr>
        <w:t xml:space="preserve">klastrovou iniciativou. Zatímco klastr jako takový </w:t>
      </w:r>
      <w:r>
        <w:rPr>
          <w:sz w:val="24"/>
          <w:szCs w:val="24"/>
        </w:rPr>
        <w:t xml:space="preserve">může být </w:t>
      </w:r>
      <w:r w:rsidRPr="00346BAE">
        <w:rPr>
          <w:sz w:val="24"/>
          <w:szCs w:val="24"/>
        </w:rPr>
        <w:t xml:space="preserve">tvořen pouze institucemi soukromého sektoru, v klastrové iniciativě musí být zastoupeny i </w:t>
      </w:r>
      <w:r>
        <w:rPr>
          <w:sz w:val="24"/>
          <w:szCs w:val="24"/>
        </w:rPr>
        <w:t>instituce</w:t>
      </w:r>
      <w:r w:rsidRPr="00346BAE">
        <w:rPr>
          <w:sz w:val="24"/>
          <w:szCs w:val="24"/>
        </w:rPr>
        <w:t xml:space="preserve"> veřejné správy či vědy a výzkumu (Kovárník, 2008). Nezanedbatelnou okolností vzniku klastrů je i výskyt st</w:t>
      </w:r>
      <w:r>
        <w:rPr>
          <w:sz w:val="24"/>
          <w:szCs w:val="24"/>
        </w:rPr>
        <w:t>a</w:t>
      </w:r>
      <w:r w:rsidRPr="00346BAE">
        <w:rPr>
          <w:sz w:val="24"/>
          <w:szCs w:val="24"/>
        </w:rPr>
        <w:t>rt-up a spin-off firem s</w:t>
      </w:r>
      <w:r>
        <w:rPr>
          <w:sz w:val="24"/>
          <w:szCs w:val="24"/>
        </w:rPr>
        <w:t xml:space="preserve"> rozvojovým </w:t>
      </w:r>
      <w:r w:rsidRPr="00346BAE">
        <w:rPr>
          <w:sz w:val="24"/>
          <w:szCs w:val="24"/>
        </w:rPr>
        <w:t xml:space="preserve">potenciálem, přičemž ve druhém případě se mohou malé inovativní firmy s určitým specifickým know-how odlučovat od zavedených </w:t>
      </w:r>
      <w:r>
        <w:rPr>
          <w:sz w:val="24"/>
          <w:szCs w:val="24"/>
        </w:rPr>
        <w:t xml:space="preserve">firem </w:t>
      </w:r>
      <w:r w:rsidRPr="00346BAE">
        <w:rPr>
          <w:sz w:val="24"/>
          <w:szCs w:val="24"/>
        </w:rPr>
        <w:t>(Buček, Rehák, Hudec, 2012)</w:t>
      </w:r>
      <w:r>
        <w:rPr>
          <w:sz w:val="24"/>
          <w:szCs w:val="24"/>
        </w:rPr>
        <w:t>. Významným</w:t>
      </w:r>
      <w:r w:rsidRPr="00346BAE">
        <w:rPr>
          <w:sz w:val="24"/>
          <w:szCs w:val="24"/>
        </w:rPr>
        <w:t xml:space="preserve"> problémem dle Kovárníka (2008) je právní forma klastrů, pro kterou v České republi</w:t>
      </w:r>
      <w:r>
        <w:rPr>
          <w:sz w:val="24"/>
          <w:szCs w:val="24"/>
        </w:rPr>
        <w:t>ce</w:t>
      </w:r>
      <w:r w:rsidRPr="00346BAE">
        <w:rPr>
          <w:sz w:val="24"/>
          <w:szCs w:val="24"/>
        </w:rPr>
        <w:t xml:space="preserve"> platí, že musí být formálně institucionalizovaná</w:t>
      </w:r>
      <w:r>
        <w:rPr>
          <w:sz w:val="24"/>
          <w:szCs w:val="24"/>
        </w:rPr>
        <w:t>.</w:t>
      </w:r>
      <w:r w:rsidRPr="00346BAE">
        <w:rPr>
          <w:sz w:val="24"/>
          <w:szCs w:val="24"/>
        </w:rPr>
        <w:t xml:space="preserve"> </w:t>
      </w:r>
      <w:r>
        <w:rPr>
          <w:sz w:val="24"/>
          <w:szCs w:val="24"/>
        </w:rPr>
        <w:t>J</w:t>
      </w:r>
      <w:r w:rsidRPr="00346BAE">
        <w:rPr>
          <w:sz w:val="24"/>
          <w:szCs w:val="24"/>
        </w:rPr>
        <w:t xml:space="preserve">ako </w:t>
      </w:r>
      <w:r>
        <w:rPr>
          <w:sz w:val="24"/>
          <w:szCs w:val="24"/>
        </w:rPr>
        <w:t xml:space="preserve">hlavní </w:t>
      </w:r>
      <w:r w:rsidRPr="00346BAE">
        <w:rPr>
          <w:sz w:val="24"/>
          <w:szCs w:val="24"/>
        </w:rPr>
        <w:t>důvod uvádí možnost získ</w:t>
      </w:r>
      <w:r>
        <w:rPr>
          <w:sz w:val="24"/>
          <w:szCs w:val="24"/>
        </w:rPr>
        <w:t xml:space="preserve">ání </w:t>
      </w:r>
      <w:r w:rsidRPr="00346BAE">
        <w:rPr>
          <w:sz w:val="24"/>
          <w:szCs w:val="24"/>
        </w:rPr>
        <w:t>dotace, kter</w:t>
      </w:r>
      <w:r>
        <w:rPr>
          <w:sz w:val="24"/>
          <w:szCs w:val="24"/>
        </w:rPr>
        <w:t xml:space="preserve">á je </w:t>
      </w:r>
      <w:r w:rsidR="00F02F7A">
        <w:rPr>
          <w:sz w:val="24"/>
          <w:szCs w:val="24"/>
        </w:rPr>
        <w:t>podmíněna</w:t>
      </w:r>
      <w:r w:rsidRPr="00346BAE">
        <w:rPr>
          <w:sz w:val="24"/>
          <w:szCs w:val="24"/>
        </w:rPr>
        <w:t xml:space="preserve"> právě právní subjektivitou klastru</w:t>
      </w:r>
      <w:r>
        <w:rPr>
          <w:sz w:val="24"/>
          <w:szCs w:val="24"/>
        </w:rPr>
        <w:t>. Naproti tomu americký ekonom</w:t>
      </w:r>
      <w:r w:rsidRPr="00346BAE">
        <w:rPr>
          <w:sz w:val="24"/>
          <w:szCs w:val="24"/>
        </w:rPr>
        <w:t xml:space="preserve"> </w:t>
      </w:r>
      <w:r>
        <w:rPr>
          <w:sz w:val="24"/>
          <w:szCs w:val="24"/>
        </w:rPr>
        <w:t xml:space="preserve">M. </w:t>
      </w:r>
      <w:r w:rsidRPr="00346BAE">
        <w:rPr>
          <w:sz w:val="24"/>
          <w:szCs w:val="24"/>
        </w:rPr>
        <w:t>Porter</w:t>
      </w:r>
      <w:r>
        <w:rPr>
          <w:sz w:val="24"/>
          <w:szCs w:val="24"/>
        </w:rPr>
        <w:t xml:space="preserve"> (</w:t>
      </w:r>
      <w:r w:rsidRPr="00346BAE">
        <w:rPr>
          <w:sz w:val="24"/>
          <w:szCs w:val="24"/>
        </w:rPr>
        <w:t>1990</w:t>
      </w:r>
      <w:r>
        <w:rPr>
          <w:sz w:val="24"/>
          <w:szCs w:val="24"/>
        </w:rPr>
        <w:t>) právní identitu klastru nepokládá za podstatnou – j</w:t>
      </w:r>
      <w:r w:rsidRPr="00346BAE">
        <w:rPr>
          <w:sz w:val="24"/>
          <w:szCs w:val="24"/>
        </w:rPr>
        <w:t>ako příklad uv</w:t>
      </w:r>
      <w:r>
        <w:rPr>
          <w:sz w:val="24"/>
          <w:szCs w:val="24"/>
        </w:rPr>
        <w:t>ádí</w:t>
      </w:r>
      <w:r w:rsidRPr="00346BAE">
        <w:rPr>
          <w:sz w:val="24"/>
          <w:szCs w:val="24"/>
        </w:rPr>
        <w:t xml:space="preserve"> firmu, která</w:t>
      </w:r>
      <w:r>
        <w:rPr>
          <w:sz w:val="24"/>
          <w:szCs w:val="24"/>
        </w:rPr>
        <w:t xml:space="preserve"> </w:t>
      </w:r>
      <w:r w:rsidRPr="00346BAE">
        <w:rPr>
          <w:sz w:val="24"/>
          <w:szCs w:val="24"/>
        </w:rPr>
        <w:t>získá dotaci z</w:t>
      </w:r>
      <w:r>
        <w:rPr>
          <w:sz w:val="24"/>
          <w:szCs w:val="24"/>
        </w:rPr>
        <w:t> nějakého veřejného</w:t>
      </w:r>
      <w:r w:rsidR="00A75E48">
        <w:rPr>
          <w:sz w:val="24"/>
          <w:szCs w:val="24"/>
        </w:rPr>
        <w:t xml:space="preserve"> programu a </w:t>
      </w:r>
      <w:r>
        <w:rPr>
          <w:sz w:val="24"/>
          <w:szCs w:val="24"/>
        </w:rPr>
        <w:t>do</w:t>
      </w:r>
      <w:r w:rsidR="00A75E48">
        <w:rPr>
          <w:sz w:val="24"/>
          <w:szCs w:val="24"/>
        </w:rPr>
        <w:t> </w:t>
      </w:r>
      <w:r w:rsidRPr="00346BAE">
        <w:rPr>
          <w:sz w:val="24"/>
          <w:szCs w:val="24"/>
        </w:rPr>
        <w:t>řešení daného projektu pak zapojí</w:t>
      </w:r>
      <w:r>
        <w:rPr>
          <w:sz w:val="24"/>
          <w:szCs w:val="24"/>
        </w:rPr>
        <w:t xml:space="preserve"> i další</w:t>
      </w:r>
      <w:r w:rsidRPr="00346BAE">
        <w:rPr>
          <w:sz w:val="24"/>
          <w:szCs w:val="24"/>
        </w:rPr>
        <w:t xml:space="preserve"> partnery, kterými mohou být firmy, univerzity nebo jiné veřejné instituce. Obdobně může být tímto iniciátorem, který je oficiálním příjemcem dotace i univerzita</w:t>
      </w:r>
      <w:r>
        <w:rPr>
          <w:sz w:val="24"/>
          <w:szCs w:val="24"/>
        </w:rPr>
        <w:t xml:space="preserve"> </w:t>
      </w:r>
      <w:r w:rsidRPr="00346BAE">
        <w:rPr>
          <w:sz w:val="24"/>
          <w:szCs w:val="24"/>
        </w:rPr>
        <w:t>spolupracuj</w:t>
      </w:r>
      <w:r>
        <w:rPr>
          <w:sz w:val="24"/>
          <w:szCs w:val="24"/>
        </w:rPr>
        <w:t>ící</w:t>
      </w:r>
      <w:r w:rsidRPr="00346BAE">
        <w:rPr>
          <w:sz w:val="24"/>
          <w:szCs w:val="24"/>
        </w:rPr>
        <w:t xml:space="preserve"> s několika firmami </w:t>
      </w:r>
      <w:r>
        <w:rPr>
          <w:sz w:val="24"/>
          <w:szCs w:val="24"/>
        </w:rPr>
        <w:t>či</w:t>
      </w:r>
      <w:r w:rsidRPr="00346BAE">
        <w:rPr>
          <w:sz w:val="24"/>
          <w:szCs w:val="24"/>
        </w:rPr>
        <w:t xml:space="preserve"> vědeck</w:t>
      </w:r>
      <w:r>
        <w:rPr>
          <w:sz w:val="24"/>
          <w:szCs w:val="24"/>
        </w:rPr>
        <w:t>ými</w:t>
      </w:r>
      <w:r w:rsidRPr="00346BAE">
        <w:rPr>
          <w:sz w:val="24"/>
          <w:szCs w:val="24"/>
        </w:rPr>
        <w:t xml:space="preserve"> instituc</w:t>
      </w:r>
      <w:r>
        <w:rPr>
          <w:sz w:val="24"/>
          <w:szCs w:val="24"/>
        </w:rPr>
        <w:t>emi</w:t>
      </w:r>
      <w:r w:rsidR="00F02F7A">
        <w:rPr>
          <w:sz w:val="24"/>
          <w:szCs w:val="24"/>
        </w:rPr>
        <w:t xml:space="preserve"> </w:t>
      </w:r>
      <w:r>
        <w:rPr>
          <w:sz w:val="24"/>
          <w:szCs w:val="24"/>
        </w:rPr>
        <w:t>(t</w:t>
      </w:r>
      <w:r w:rsidRPr="00346BAE">
        <w:rPr>
          <w:sz w:val="24"/>
          <w:szCs w:val="24"/>
        </w:rPr>
        <w:t>ato spolupráce není podmíněna získáním dotace, ale může být iniciátorem dlouhodobějších partnerských vztahů</w:t>
      </w:r>
      <w:r>
        <w:rPr>
          <w:sz w:val="24"/>
          <w:szCs w:val="24"/>
        </w:rPr>
        <w:t>). Jako h</w:t>
      </w:r>
      <w:r w:rsidRPr="00346BAE">
        <w:rPr>
          <w:sz w:val="24"/>
          <w:szCs w:val="24"/>
        </w:rPr>
        <w:t xml:space="preserve">lavními přínosy rozvoje </w:t>
      </w:r>
      <w:r>
        <w:rPr>
          <w:sz w:val="24"/>
          <w:szCs w:val="24"/>
        </w:rPr>
        <w:t xml:space="preserve">partnerských sítí a </w:t>
      </w:r>
      <w:r w:rsidRPr="00346BAE">
        <w:rPr>
          <w:sz w:val="24"/>
          <w:szCs w:val="24"/>
        </w:rPr>
        <w:t xml:space="preserve">klastrů pro jednotlivé firmy a </w:t>
      </w:r>
      <w:r>
        <w:rPr>
          <w:sz w:val="24"/>
          <w:szCs w:val="24"/>
        </w:rPr>
        <w:t>tedy</w:t>
      </w:r>
      <w:r w:rsidRPr="00346BAE">
        <w:rPr>
          <w:sz w:val="24"/>
          <w:szCs w:val="24"/>
        </w:rPr>
        <w:t xml:space="preserve"> i regiony kde sídlí lze označit následující oblasti</w:t>
      </w:r>
      <w:r>
        <w:rPr>
          <w:sz w:val="24"/>
          <w:szCs w:val="24"/>
        </w:rPr>
        <w:t xml:space="preserve"> </w:t>
      </w:r>
      <w:r w:rsidRPr="00346BAE">
        <w:rPr>
          <w:sz w:val="24"/>
          <w:szCs w:val="24"/>
        </w:rPr>
        <w:t xml:space="preserve">(Kovárník, 2008): </w:t>
      </w:r>
    </w:p>
    <w:p w:rsidR="006A2747" w:rsidRDefault="00B57263" w:rsidP="00423120">
      <w:pPr>
        <w:keepNext/>
        <w:widowControl w:val="0"/>
        <w:spacing w:line="240" w:lineRule="auto"/>
        <w:jc w:val="both"/>
      </w:pPr>
      <w:r>
        <w:rPr>
          <w:noProof/>
          <w:lang w:val="en-GB" w:eastAsia="en-GB"/>
        </w:rPr>
        <w:drawing>
          <wp:inline distT="0" distB="0" distL="0" distR="0" wp14:anchorId="128E7D35" wp14:editId="7F6627A7">
            <wp:extent cx="5657850" cy="1600200"/>
            <wp:effectExtent l="0" t="3810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6A2747" w:rsidRDefault="006A2747" w:rsidP="00B57263">
      <w:pPr>
        <w:pStyle w:val="0G-Titulek"/>
        <w:widowControl w:val="0"/>
        <w:ind w:firstLine="0"/>
      </w:pPr>
      <w:bookmarkStart w:id="99" w:name="_Toc360633887"/>
      <w:bookmarkStart w:id="100" w:name="_Toc382326822"/>
      <w:r w:rsidRPr="00D9501F">
        <w:t xml:space="preserve">Obrázek 18: Schéma </w:t>
      </w:r>
      <w:r>
        <w:t>aktivit partnerských sítí a klastrů</w:t>
      </w:r>
      <w:bookmarkEnd w:id="99"/>
      <w:bookmarkEnd w:id="100"/>
    </w:p>
    <w:p w:rsidR="006A2747" w:rsidRPr="00346BAE" w:rsidRDefault="006A2747" w:rsidP="00423120">
      <w:pPr>
        <w:keepNext/>
        <w:widowControl w:val="0"/>
        <w:jc w:val="center"/>
        <w:rPr>
          <w:rFonts w:ascii="Calibri" w:hAnsi="Calibri" w:cs="Calibri"/>
          <w:i/>
        </w:rPr>
      </w:pPr>
      <w:r w:rsidRPr="00346BAE">
        <w:rPr>
          <w:rFonts w:ascii="Calibri" w:hAnsi="Calibri" w:cs="Calibri"/>
          <w:i/>
        </w:rPr>
        <w:t>Pramen: Kovárník, 2008, vlastní úpravy</w:t>
      </w:r>
      <w:r>
        <w:rPr>
          <w:rFonts w:ascii="Calibri" w:hAnsi="Calibri" w:cs="Calibri"/>
          <w:i/>
        </w:rPr>
        <w:t>.</w:t>
      </w:r>
    </w:p>
    <w:p w:rsidR="006A2747" w:rsidRPr="00346BAE" w:rsidRDefault="006A2747" w:rsidP="00B57263">
      <w:pPr>
        <w:keepNext/>
        <w:widowControl w:val="0"/>
        <w:ind w:firstLine="720"/>
        <w:jc w:val="both"/>
        <w:rPr>
          <w:sz w:val="24"/>
          <w:szCs w:val="24"/>
        </w:rPr>
      </w:pPr>
      <w:r>
        <w:rPr>
          <w:sz w:val="24"/>
          <w:szCs w:val="24"/>
        </w:rPr>
        <w:t>V</w:t>
      </w:r>
      <w:r w:rsidRPr="00346BAE">
        <w:rPr>
          <w:sz w:val="24"/>
          <w:szCs w:val="24"/>
        </w:rPr>
        <w:t xml:space="preserve"> návaznosti na rozlišení klastrů oproti partnerským sítím lze </w:t>
      </w:r>
      <w:r>
        <w:rPr>
          <w:sz w:val="24"/>
          <w:szCs w:val="24"/>
        </w:rPr>
        <w:t xml:space="preserve">odpovídající </w:t>
      </w:r>
      <w:r w:rsidRPr="00346BAE">
        <w:rPr>
          <w:sz w:val="24"/>
          <w:szCs w:val="24"/>
        </w:rPr>
        <w:t xml:space="preserve">přínosy rozdělit do dvou skupin, z nichž první </w:t>
      </w:r>
      <w:r>
        <w:rPr>
          <w:sz w:val="24"/>
          <w:szCs w:val="24"/>
        </w:rPr>
        <w:t>zahrnuje přínosy typické pro</w:t>
      </w:r>
      <w:r w:rsidRPr="00346BAE">
        <w:rPr>
          <w:sz w:val="24"/>
          <w:szCs w:val="24"/>
        </w:rPr>
        <w:t xml:space="preserve"> partnerské sítě </w:t>
      </w:r>
      <w:r>
        <w:rPr>
          <w:sz w:val="24"/>
          <w:szCs w:val="24"/>
        </w:rPr>
        <w:t>a</w:t>
      </w:r>
      <w:r w:rsidRPr="00346BAE">
        <w:rPr>
          <w:sz w:val="24"/>
          <w:szCs w:val="24"/>
        </w:rPr>
        <w:t xml:space="preserve"> druh</w:t>
      </w:r>
      <w:r>
        <w:rPr>
          <w:sz w:val="24"/>
          <w:szCs w:val="24"/>
        </w:rPr>
        <w:t>á</w:t>
      </w:r>
      <w:r w:rsidRPr="00346BAE">
        <w:rPr>
          <w:sz w:val="24"/>
          <w:szCs w:val="24"/>
        </w:rPr>
        <w:t xml:space="preserve"> </w:t>
      </w:r>
      <w:r w:rsidRPr="000961B7">
        <w:rPr>
          <w:sz w:val="24"/>
          <w:szCs w:val="24"/>
        </w:rPr>
        <w:t>přínosy typické pro klastry. V první skupině budou přínosy v oblasti výroby</w:t>
      </w:r>
      <w:r w:rsidR="00BA6F21">
        <w:rPr>
          <w:sz w:val="24"/>
          <w:szCs w:val="24"/>
        </w:rPr>
        <w:t>,</w:t>
      </w:r>
      <w:r w:rsidRPr="000961B7">
        <w:rPr>
          <w:sz w:val="24"/>
          <w:szCs w:val="24"/>
        </w:rPr>
        <w:t xml:space="preserve"> resp. dodavatelsko-odběratelských vztahů (např. možnost přím</w:t>
      </w:r>
      <w:r>
        <w:rPr>
          <w:sz w:val="24"/>
          <w:szCs w:val="24"/>
        </w:rPr>
        <w:t>é</w:t>
      </w:r>
      <w:r w:rsidRPr="000961B7">
        <w:rPr>
          <w:sz w:val="24"/>
          <w:szCs w:val="24"/>
        </w:rPr>
        <w:t xml:space="preserve"> komunik</w:t>
      </w:r>
      <w:r>
        <w:rPr>
          <w:sz w:val="24"/>
          <w:szCs w:val="24"/>
        </w:rPr>
        <w:t xml:space="preserve">ace </w:t>
      </w:r>
      <w:r w:rsidRPr="000961B7">
        <w:rPr>
          <w:sz w:val="24"/>
          <w:szCs w:val="24"/>
        </w:rPr>
        <w:t>s výrobním oddělením</w:t>
      </w:r>
      <w:r w:rsidRPr="00261C9D">
        <w:rPr>
          <w:sz w:val="24"/>
          <w:szCs w:val="24"/>
        </w:rPr>
        <w:t xml:space="preserve"> </w:t>
      </w:r>
      <w:r w:rsidRPr="000961B7">
        <w:rPr>
          <w:sz w:val="24"/>
          <w:szCs w:val="24"/>
        </w:rPr>
        <w:t>klíčových zákazníků</w:t>
      </w:r>
      <w:r w:rsidRPr="00346BAE">
        <w:rPr>
          <w:sz w:val="24"/>
          <w:szCs w:val="24"/>
        </w:rPr>
        <w:t xml:space="preserve">, </w:t>
      </w:r>
      <w:r>
        <w:rPr>
          <w:sz w:val="24"/>
          <w:szCs w:val="24"/>
        </w:rPr>
        <w:t>ne</w:t>
      </w:r>
      <w:r w:rsidRPr="00346BAE">
        <w:rPr>
          <w:sz w:val="24"/>
          <w:szCs w:val="24"/>
        </w:rPr>
        <w:t xml:space="preserve"> pouze s obchodním či zákaznickým oddělením</w:t>
      </w:r>
      <w:r>
        <w:rPr>
          <w:sz w:val="24"/>
          <w:szCs w:val="24"/>
        </w:rPr>
        <w:t xml:space="preserve"> či</w:t>
      </w:r>
      <w:r w:rsidRPr="00346BAE">
        <w:rPr>
          <w:sz w:val="24"/>
          <w:szCs w:val="24"/>
        </w:rPr>
        <w:t xml:space="preserve"> možnost zřízení přístupu do informačního systému </w:t>
      </w:r>
      <w:r>
        <w:rPr>
          <w:sz w:val="24"/>
          <w:szCs w:val="24"/>
        </w:rPr>
        <w:t>partnera</w:t>
      </w:r>
      <w:r w:rsidRPr="00346BAE">
        <w:rPr>
          <w:sz w:val="24"/>
          <w:szCs w:val="24"/>
        </w:rPr>
        <w:t xml:space="preserve">), logistiky (např. umístění odloučeného pracoviště </w:t>
      </w:r>
      <w:r w:rsidRPr="00346BAE">
        <w:rPr>
          <w:sz w:val="24"/>
          <w:szCs w:val="24"/>
        </w:rPr>
        <w:lastRenderedPageBreak/>
        <w:t xml:space="preserve">dodavatele logistických služeb do výrobních a expedičních prostor klienta), financí (např. možnost zjednodušit fakturaci </w:t>
      </w:r>
      <w:r>
        <w:rPr>
          <w:sz w:val="24"/>
          <w:szCs w:val="24"/>
        </w:rPr>
        <w:t>pomocí</w:t>
      </w:r>
      <w:r w:rsidRPr="00346BAE">
        <w:rPr>
          <w:sz w:val="24"/>
          <w:szCs w:val="24"/>
        </w:rPr>
        <w:t xml:space="preserve"> využívání stejného účetního systému)</w:t>
      </w:r>
      <w:r>
        <w:rPr>
          <w:sz w:val="24"/>
          <w:szCs w:val="24"/>
        </w:rPr>
        <w:t xml:space="preserve"> nebo</w:t>
      </w:r>
      <w:r w:rsidRPr="00346BAE">
        <w:rPr>
          <w:sz w:val="24"/>
          <w:szCs w:val="24"/>
        </w:rPr>
        <w:t xml:space="preserve"> řízení lidských zdrojů (např. možnost společného školení zaměstnanců). Druhou skupinu pak </w:t>
      </w:r>
      <w:r>
        <w:rPr>
          <w:sz w:val="24"/>
          <w:szCs w:val="24"/>
        </w:rPr>
        <w:t xml:space="preserve">tvoří přínosy </w:t>
      </w:r>
      <w:r w:rsidRPr="00346BAE">
        <w:rPr>
          <w:sz w:val="24"/>
          <w:szCs w:val="24"/>
        </w:rPr>
        <w:t>charakterizují</w:t>
      </w:r>
      <w:r>
        <w:rPr>
          <w:sz w:val="24"/>
          <w:szCs w:val="24"/>
        </w:rPr>
        <w:t>cí</w:t>
      </w:r>
      <w:r w:rsidRPr="00346BAE">
        <w:rPr>
          <w:sz w:val="24"/>
          <w:szCs w:val="24"/>
        </w:rPr>
        <w:t xml:space="preserve"> klastr</w:t>
      </w:r>
      <w:r>
        <w:rPr>
          <w:sz w:val="24"/>
          <w:szCs w:val="24"/>
        </w:rPr>
        <w:t>y</w:t>
      </w:r>
      <w:r w:rsidRPr="00346BAE">
        <w:rPr>
          <w:sz w:val="24"/>
          <w:szCs w:val="24"/>
        </w:rPr>
        <w:t>. Jedná se o projektov</w:t>
      </w:r>
      <w:r>
        <w:rPr>
          <w:sz w:val="24"/>
          <w:szCs w:val="24"/>
        </w:rPr>
        <w:t>ou</w:t>
      </w:r>
      <w:r w:rsidRPr="00346BAE">
        <w:rPr>
          <w:sz w:val="24"/>
          <w:szCs w:val="24"/>
        </w:rPr>
        <w:t xml:space="preserve"> činnost (podávání žádostí, organizace a realizace projektů, sdílení výsledků či benefitů), marketing (společný postup </w:t>
      </w:r>
      <w:r>
        <w:rPr>
          <w:sz w:val="24"/>
          <w:szCs w:val="24"/>
        </w:rPr>
        <w:t>při</w:t>
      </w:r>
      <w:r w:rsidRPr="00346BAE">
        <w:rPr>
          <w:sz w:val="24"/>
          <w:szCs w:val="24"/>
        </w:rPr>
        <w:t xml:space="preserve"> prezentac</w:t>
      </w:r>
      <w:r>
        <w:rPr>
          <w:sz w:val="24"/>
          <w:szCs w:val="24"/>
        </w:rPr>
        <w:t>i</w:t>
      </w:r>
      <w:r w:rsidRPr="00346BAE">
        <w:rPr>
          <w:sz w:val="24"/>
          <w:szCs w:val="24"/>
        </w:rPr>
        <w:t xml:space="preserve"> produktů </w:t>
      </w:r>
      <w:r>
        <w:rPr>
          <w:sz w:val="24"/>
          <w:szCs w:val="24"/>
        </w:rPr>
        <w:t>včetně</w:t>
      </w:r>
      <w:r w:rsidRPr="00346BAE">
        <w:rPr>
          <w:sz w:val="24"/>
          <w:szCs w:val="24"/>
        </w:rPr>
        <w:t xml:space="preserve"> shod</w:t>
      </w:r>
      <w:r>
        <w:rPr>
          <w:sz w:val="24"/>
          <w:szCs w:val="24"/>
        </w:rPr>
        <w:t>y</w:t>
      </w:r>
      <w:r w:rsidRPr="00346BAE">
        <w:rPr>
          <w:sz w:val="24"/>
          <w:szCs w:val="24"/>
        </w:rPr>
        <w:t xml:space="preserve"> na cílových trzích apod.), výzkum a vývoj (</w:t>
      </w:r>
      <w:r>
        <w:rPr>
          <w:sz w:val="24"/>
          <w:szCs w:val="24"/>
        </w:rPr>
        <w:t xml:space="preserve">příklad </w:t>
      </w:r>
      <w:r w:rsidRPr="00346BAE">
        <w:rPr>
          <w:sz w:val="24"/>
          <w:szCs w:val="24"/>
        </w:rPr>
        <w:t xml:space="preserve">nejužší spolupráce </w:t>
      </w:r>
      <w:r>
        <w:rPr>
          <w:sz w:val="24"/>
          <w:szCs w:val="24"/>
        </w:rPr>
        <w:t xml:space="preserve">spojené se </w:t>
      </w:r>
      <w:r w:rsidRPr="00346BAE">
        <w:rPr>
          <w:sz w:val="24"/>
          <w:szCs w:val="24"/>
        </w:rPr>
        <w:t>sdílení</w:t>
      </w:r>
      <w:r>
        <w:rPr>
          <w:sz w:val="24"/>
          <w:szCs w:val="24"/>
        </w:rPr>
        <w:t>m</w:t>
      </w:r>
      <w:r w:rsidRPr="00346BAE">
        <w:rPr>
          <w:sz w:val="24"/>
          <w:szCs w:val="24"/>
        </w:rPr>
        <w:t xml:space="preserve"> nejcitlivějších</w:t>
      </w:r>
      <w:r>
        <w:rPr>
          <w:sz w:val="24"/>
          <w:szCs w:val="24"/>
        </w:rPr>
        <w:t xml:space="preserve"> </w:t>
      </w:r>
      <w:r w:rsidRPr="00346BAE">
        <w:rPr>
          <w:sz w:val="24"/>
          <w:szCs w:val="24"/>
        </w:rPr>
        <w:t xml:space="preserve">informací týkajících se zkušeností se stávajícími produkty </w:t>
      </w:r>
      <w:r>
        <w:rPr>
          <w:sz w:val="24"/>
          <w:szCs w:val="24"/>
        </w:rPr>
        <w:t>včetně</w:t>
      </w:r>
      <w:r w:rsidRPr="00346BAE">
        <w:rPr>
          <w:sz w:val="24"/>
          <w:szCs w:val="24"/>
        </w:rPr>
        <w:t xml:space="preserve"> know-how, které j</w:t>
      </w:r>
      <w:r>
        <w:rPr>
          <w:sz w:val="24"/>
          <w:szCs w:val="24"/>
        </w:rPr>
        <w:t>e</w:t>
      </w:r>
      <w:r w:rsidRPr="00346BAE">
        <w:rPr>
          <w:sz w:val="24"/>
          <w:szCs w:val="24"/>
        </w:rPr>
        <w:t xml:space="preserve"> pro tvorbu inovací klíčové).</w:t>
      </w:r>
      <w:r>
        <w:rPr>
          <w:sz w:val="24"/>
          <w:szCs w:val="24"/>
        </w:rPr>
        <w:t xml:space="preserve"> </w:t>
      </w:r>
      <w:r w:rsidRPr="00346BAE">
        <w:rPr>
          <w:sz w:val="24"/>
          <w:szCs w:val="24"/>
        </w:rPr>
        <w:t xml:space="preserve">Jako </w:t>
      </w:r>
      <w:r>
        <w:rPr>
          <w:sz w:val="24"/>
          <w:szCs w:val="24"/>
        </w:rPr>
        <w:t xml:space="preserve">významnou </w:t>
      </w:r>
      <w:r w:rsidRPr="00346BAE">
        <w:rPr>
          <w:sz w:val="24"/>
          <w:szCs w:val="24"/>
        </w:rPr>
        <w:t xml:space="preserve">bariéru vzniku klastrů </w:t>
      </w:r>
      <w:r>
        <w:rPr>
          <w:sz w:val="24"/>
          <w:szCs w:val="24"/>
        </w:rPr>
        <w:t xml:space="preserve">i partnerských sítí </w:t>
      </w:r>
      <w:r w:rsidRPr="00346BAE">
        <w:rPr>
          <w:sz w:val="24"/>
          <w:szCs w:val="24"/>
        </w:rPr>
        <w:t>lze</w:t>
      </w:r>
      <w:r>
        <w:rPr>
          <w:sz w:val="24"/>
          <w:szCs w:val="24"/>
        </w:rPr>
        <w:t xml:space="preserve"> v</w:t>
      </w:r>
      <w:r w:rsidRPr="00346BAE">
        <w:rPr>
          <w:sz w:val="24"/>
          <w:szCs w:val="24"/>
        </w:rPr>
        <w:t xml:space="preserve"> podmínkách Č</w:t>
      </w:r>
      <w:r>
        <w:rPr>
          <w:sz w:val="24"/>
          <w:szCs w:val="24"/>
        </w:rPr>
        <w:t>eské republiky</w:t>
      </w:r>
      <w:r w:rsidRPr="00346BAE">
        <w:rPr>
          <w:sz w:val="24"/>
          <w:szCs w:val="24"/>
        </w:rPr>
        <w:t xml:space="preserve"> identifikovat nedůvěru mezi firmami </w:t>
      </w:r>
      <w:r>
        <w:rPr>
          <w:sz w:val="24"/>
          <w:szCs w:val="24"/>
        </w:rPr>
        <w:t xml:space="preserve">generovanou </w:t>
      </w:r>
      <w:r w:rsidRPr="00346BAE">
        <w:rPr>
          <w:sz w:val="24"/>
          <w:szCs w:val="24"/>
        </w:rPr>
        <w:t xml:space="preserve">různými kauzami </w:t>
      </w:r>
      <w:r>
        <w:rPr>
          <w:sz w:val="24"/>
          <w:szCs w:val="24"/>
        </w:rPr>
        <w:t>zhoršujícími</w:t>
      </w:r>
      <w:r w:rsidRPr="00346BAE">
        <w:rPr>
          <w:sz w:val="24"/>
          <w:szCs w:val="24"/>
        </w:rPr>
        <w:t xml:space="preserve"> celkové vnímání podnikatelského sektoru</w:t>
      </w:r>
      <w:r>
        <w:rPr>
          <w:sz w:val="24"/>
          <w:szCs w:val="24"/>
        </w:rPr>
        <w:t xml:space="preserve"> </w:t>
      </w:r>
      <w:r w:rsidRPr="00346BAE">
        <w:rPr>
          <w:sz w:val="24"/>
          <w:szCs w:val="24"/>
        </w:rPr>
        <w:t>(Kovárník, 2008)</w:t>
      </w:r>
      <w:r>
        <w:rPr>
          <w:sz w:val="24"/>
          <w:szCs w:val="24"/>
        </w:rPr>
        <w:t xml:space="preserve">, která snižuje potenciální efekty </w:t>
      </w:r>
      <w:r w:rsidRPr="00346BAE">
        <w:rPr>
          <w:sz w:val="24"/>
          <w:szCs w:val="24"/>
        </w:rPr>
        <w:t xml:space="preserve">ze vzájemné vertikální či horizontální spolupráce </w:t>
      </w:r>
      <w:r>
        <w:rPr>
          <w:sz w:val="24"/>
          <w:szCs w:val="24"/>
        </w:rPr>
        <w:t xml:space="preserve">mezi </w:t>
      </w:r>
      <w:r w:rsidRPr="00346BAE">
        <w:rPr>
          <w:sz w:val="24"/>
          <w:szCs w:val="24"/>
        </w:rPr>
        <w:t xml:space="preserve">firmami </w:t>
      </w:r>
      <w:r>
        <w:rPr>
          <w:sz w:val="24"/>
          <w:szCs w:val="24"/>
        </w:rPr>
        <w:t xml:space="preserve">s příp. účastí </w:t>
      </w:r>
      <w:r w:rsidRPr="00346BAE">
        <w:rPr>
          <w:sz w:val="24"/>
          <w:szCs w:val="24"/>
        </w:rPr>
        <w:t>veřejného sektoru</w:t>
      </w:r>
      <w:r>
        <w:rPr>
          <w:sz w:val="24"/>
          <w:szCs w:val="24"/>
        </w:rPr>
        <w:t>.</w:t>
      </w:r>
      <w:r w:rsidRPr="00346BAE">
        <w:rPr>
          <w:sz w:val="24"/>
          <w:szCs w:val="24"/>
        </w:rPr>
        <w:t xml:space="preserve"> </w:t>
      </w:r>
    </w:p>
    <w:p w:rsidR="006A2747" w:rsidRDefault="006A2747" w:rsidP="00B57263">
      <w:pPr>
        <w:keepNext/>
        <w:widowControl w:val="0"/>
        <w:spacing w:after="120"/>
        <w:ind w:firstLine="720"/>
        <w:jc w:val="both"/>
        <w:rPr>
          <w:sz w:val="24"/>
          <w:szCs w:val="24"/>
        </w:rPr>
      </w:pPr>
      <w:r>
        <w:rPr>
          <w:sz w:val="24"/>
          <w:szCs w:val="24"/>
        </w:rPr>
        <w:t xml:space="preserve">V další části je pozornost koncentrována na problematiku klastrů jako významného nástroje podpory regionálního rozvoje. </w:t>
      </w:r>
      <w:r w:rsidRPr="00346BAE">
        <w:rPr>
          <w:sz w:val="24"/>
          <w:szCs w:val="24"/>
        </w:rPr>
        <w:t xml:space="preserve">Studium klastrů musí reflektovat několik různých oblastí či úhlů pohledu, které vyplývají z charakteru klastrů a způsobu jejich fungování. Jsou to </w:t>
      </w:r>
      <w:r>
        <w:rPr>
          <w:sz w:val="24"/>
          <w:szCs w:val="24"/>
        </w:rPr>
        <w:t xml:space="preserve">zejména </w:t>
      </w:r>
      <w:r w:rsidRPr="00346BAE">
        <w:rPr>
          <w:sz w:val="24"/>
          <w:szCs w:val="24"/>
        </w:rPr>
        <w:t>aktéři (členové klastrů), vazby aktérů v klastru, výkonnost klastru, komparace klastrů, vazby mezi klastry a regionální kontext (Henning, Moodysson, Nilsson, 2010</w:t>
      </w:r>
      <w:r>
        <w:rPr>
          <w:sz w:val="24"/>
          <w:szCs w:val="24"/>
        </w:rPr>
        <w:t>)</w:t>
      </w:r>
      <w:r w:rsidRPr="00346BAE">
        <w:rPr>
          <w:sz w:val="24"/>
          <w:szCs w:val="24"/>
        </w:rPr>
        <w:t>.  Základním kamenem vzniku klastrů jsou jednotliví aktéři</w:t>
      </w:r>
      <w:r>
        <w:rPr>
          <w:sz w:val="24"/>
          <w:szCs w:val="24"/>
        </w:rPr>
        <w:t xml:space="preserve"> </w:t>
      </w:r>
      <w:r w:rsidRPr="00346BAE">
        <w:rPr>
          <w:sz w:val="24"/>
          <w:szCs w:val="24"/>
        </w:rPr>
        <w:t>nebo iniciátoři klastrů. Z</w:t>
      </w:r>
      <w:r>
        <w:rPr>
          <w:sz w:val="24"/>
          <w:szCs w:val="24"/>
        </w:rPr>
        <w:t xml:space="preserve"> těchto</w:t>
      </w:r>
      <w:r w:rsidRPr="00346BAE">
        <w:rPr>
          <w:sz w:val="24"/>
          <w:szCs w:val="24"/>
        </w:rPr>
        <w:t xml:space="preserve"> </w:t>
      </w:r>
      <w:r>
        <w:rPr>
          <w:sz w:val="24"/>
          <w:szCs w:val="24"/>
        </w:rPr>
        <w:t>aktérů</w:t>
      </w:r>
      <w:r w:rsidRPr="00346BAE">
        <w:rPr>
          <w:sz w:val="24"/>
          <w:szCs w:val="24"/>
        </w:rPr>
        <w:t xml:space="preserve"> jsou samozřejmě </w:t>
      </w:r>
      <w:r>
        <w:rPr>
          <w:sz w:val="24"/>
          <w:szCs w:val="24"/>
        </w:rPr>
        <w:t xml:space="preserve">nejvýznamnější </w:t>
      </w:r>
      <w:r w:rsidRPr="00346BAE">
        <w:rPr>
          <w:sz w:val="24"/>
          <w:szCs w:val="24"/>
        </w:rPr>
        <w:t>soukromé firmy</w:t>
      </w:r>
      <w:r>
        <w:rPr>
          <w:sz w:val="24"/>
          <w:szCs w:val="24"/>
        </w:rPr>
        <w:t>,</w:t>
      </w:r>
      <w:r w:rsidRPr="00346BAE">
        <w:rPr>
          <w:sz w:val="24"/>
          <w:szCs w:val="24"/>
        </w:rPr>
        <w:t xml:space="preserve"> </w:t>
      </w:r>
      <w:r w:rsidR="00A75E48">
        <w:rPr>
          <w:sz w:val="24"/>
          <w:szCs w:val="24"/>
        </w:rPr>
        <w:t>ale významnou roli mohou hrát i </w:t>
      </w:r>
      <w:r>
        <w:rPr>
          <w:sz w:val="24"/>
          <w:szCs w:val="24"/>
        </w:rPr>
        <w:t>aktéři</w:t>
      </w:r>
      <w:r w:rsidRPr="00346BAE">
        <w:rPr>
          <w:sz w:val="24"/>
          <w:szCs w:val="24"/>
        </w:rPr>
        <w:t xml:space="preserve"> z neziskového </w:t>
      </w:r>
      <w:r>
        <w:rPr>
          <w:sz w:val="24"/>
          <w:szCs w:val="24"/>
        </w:rPr>
        <w:t>(</w:t>
      </w:r>
      <w:r w:rsidRPr="00346BAE">
        <w:rPr>
          <w:sz w:val="24"/>
          <w:szCs w:val="24"/>
        </w:rPr>
        <w:t xml:space="preserve">např. </w:t>
      </w:r>
      <w:r>
        <w:rPr>
          <w:sz w:val="24"/>
          <w:szCs w:val="24"/>
        </w:rPr>
        <w:t>vysoce</w:t>
      </w:r>
      <w:r w:rsidRPr="00346BAE">
        <w:rPr>
          <w:sz w:val="24"/>
          <w:szCs w:val="24"/>
        </w:rPr>
        <w:t xml:space="preserve"> </w:t>
      </w:r>
      <w:r>
        <w:rPr>
          <w:sz w:val="24"/>
          <w:szCs w:val="24"/>
        </w:rPr>
        <w:t>specializované instituce)</w:t>
      </w:r>
      <w:r w:rsidRPr="00346BAE">
        <w:rPr>
          <w:sz w:val="24"/>
          <w:szCs w:val="24"/>
        </w:rPr>
        <w:t xml:space="preserve"> </w:t>
      </w:r>
      <w:r>
        <w:rPr>
          <w:sz w:val="24"/>
          <w:szCs w:val="24"/>
        </w:rPr>
        <w:t xml:space="preserve">či </w:t>
      </w:r>
      <w:r w:rsidRPr="00346BAE">
        <w:rPr>
          <w:sz w:val="24"/>
          <w:szCs w:val="24"/>
        </w:rPr>
        <w:t xml:space="preserve">veřejného sektoru </w:t>
      </w:r>
      <w:r>
        <w:rPr>
          <w:sz w:val="24"/>
          <w:szCs w:val="24"/>
        </w:rPr>
        <w:t>(</w:t>
      </w:r>
      <w:r w:rsidRPr="00346BAE">
        <w:rPr>
          <w:sz w:val="24"/>
          <w:szCs w:val="24"/>
        </w:rPr>
        <w:t>zástupc</w:t>
      </w:r>
      <w:r>
        <w:rPr>
          <w:sz w:val="24"/>
          <w:szCs w:val="24"/>
        </w:rPr>
        <w:t>i</w:t>
      </w:r>
      <w:r w:rsidRPr="00346BAE">
        <w:rPr>
          <w:sz w:val="24"/>
          <w:szCs w:val="24"/>
        </w:rPr>
        <w:t xml:space="preserve"> státní správy </w:t>
      </w:r>
      <w:r>
        <w:rPr>
          <w:sz w:val="24"/>
          <w:szCs w:val="24"/>
        </w:rPr>
        <w:t>a</w:t>
      </w:r>
      <w:r w:rsidRPr="00346BAE">
        <w:rPr>
          <w:sz w:val="24"/>
          <w:szCs w:val="24"/>
        </w:rPr>
        <w:t xml:space="preserve"> samosprávy, univerzity </w:t>
      </w:r>
      <w:r>
        <w:rPr>
          <w:sz w:val="24"/>
          <w:szCs w:val="24"/>
        </w:rPr>
        <w:t xml:space="preserve">a </w:t>
      </w:r>
      <w:r w:rsidRPr="00346BAE">
        <w:rPr>
          <w:sz w:val="24"/>
          <w:szCs w:val="24"/>
        </w:rPr>
        <w:t xml:space="preserve">výzkumné organizace, </w:t>
      </w:r>
      <w:r>
        <w:rPr>
          <w:sz w:val="24"/>
          <w:szCs w:val="24"/>
        </w:rPr>
        <w:t>místní akční skupiny</w:t>
      </w:r>
      <w:r w:rsidRPr="00346BAE">
        <w:rPr>
          <w:sz w:val="24"/>
          <w:szCs w:val="24"/>
        </w:rPr>
        <w:t xml:space="preserve"> </w:t>
      </w:r>
      <w:r>
        <w:rPr>
          <w:sz w:val="24"/>
          <w:szCs w:val="24"/>
        </w:rPr>
        <w:t xml:space="preserve">atd.). Významnou </w:t>
      </w:r>
      <w:r w:rsidRPr="00346BAE">
        <w:rPr>
          <w:sz w:val="24"/>
          <w:szCs w:val="24"/>
        </w:rPr>
        <w:t>problémovou oblastí je studium vazeb mezi aktéry v rámci klastru. Tyto vazby mohou významně ovlivňovat zaměření klastru v</w:t>
      </w:r>
      <w:r>
        <w:rPr>
          <w:sz w:val="24"/>
          <w:szCs w:val="24"/>
        </w:rPr>
        <w:t>e</w:t>
      </w:r>
      <w:r w:rsidRPr="00346BAE">
        <w:rPr>
          <w:sz w:val="24"/>
          <w:szCs w:val="24"/>
        </w:rPr>
        <w:t xml:space="preserve">  výše uvedených oblastech. </w:t>
      </w:r>
      <w:r>
        <w:rPr>
          <w:sz w:val="24"/>
          <w:szCs w:val="24"/>
        </w:rPr>
        <w:t>Příslušné</w:t>
      </w:r>
      <w:r w:rsidRPr="00346BAE">
        <w:rPr>
          <w:sz w:val="24"/>
          <w:szCs w:val="24"/>
        </w:rPr>
        <w:t xml:space="preserve"> struktury mohou reflektovat např. klíčové postavení jednoho člena klastru nebo několika členů, kteří </w:t>
      </w:r>
      <w:r>
        <w:rPr>
          <w:sz w:val="24"/>
          <w:szCs w:val="24"/>
        </w:rPr>
        <w:t xml:space="preserve">pak mají rozhodující slovo při určování </w:t>
      </w:r>
      <w:r w:rsidRPr="00346BAE">
        <w:rPr>
          <w:sz w:val="24"/>
          <w:szCs w:val="24"/>
        </w:rPr>
        <w:t>priorit</w:t>
      </w:r>
      <w:r>
        <w:rPr>
          <w:sz w:val="24"/>
          <w:szCs w:val="24"/>
        </w:rPr>
        <w:t xml:space="preserve"> (tyto priority </w:t>
      </w:r>
      <w:r w:rsidRPr="00346BAE">
        <w:rPr>
          <w:sz w:val="24"/>
          <w:szCs w:val="24"/>
        </w:rPr>
        <w:t>však musí realizovat způsobem</w:t>
      </w:r>
      <w:r>
        <w:rPr>
          <w:sz w:val="24"/>
          <w:szCs w:val="24"/>
        </w:rPr>
        <w:t xml:space="preserve"> </w:t>
      </w:r>
      <w:r w:rsidRPr="00346BAE">
        <w:rPr>
          <w:sz w:val="24"/>
          <w:szCs w:val="24"/>
        </w:rPr>
        <w:t>přináše</w:t>
      </w:r>
      <w:r>
        <w:rPr>
          <w:sz w:val="24"/>
          <w:szCs w:val="24"/>
        </w:rPr>
        <w:t>jícím</w:t>
      </w:r>
      <w:r w:rsidRPr="00346BAE">
        <w:rPr>
          <w:sz w:val="24"/>
          <w:szCs w:val="24"/>
        </w:rPr>
        <w:t xml:space="preserve"> prospěch i zbývajícím členům klastru</w:t>
      </w:r>
      <w:r>
        <w:rPr>
          <w:sz w:val="24"/>
          <w:szCs w:val="24"/>
        </w:rPr>
        <w:t xml:space="preserve">). Častým </w:t>
      </w:r>
      <w:r w:rsidRPr="00346BAE">
        <w:rPr>
          <w:sz w:val="24"/>
          <w:szCs w:val="24"/>
        </w:rPr>
        <w:t>případem j</w:t>
      </w:r>
      <w:r>
        <w:rPr>
          <w:sz w:val="24"/>
          <w:szCs w:val="24"/>
        </w:rPr>
        <w:t>sou</w:t>
      </w:r>
      <w:r w:rsidRPr="00346BAE">
        <w:rPr>
          <w:sz w:val="24"/>
          <w:szCs w:val="24"/>
        </w:rPr>
        <w:t xml:space="preserve"> pak klastr</w:t>
      </w:r>
      <w:r>
        <w:rPr>
          <w:sz w:val="24"/>
          <w:szCs w:val="24"/>
        </w:rPr>
        <w:t>y</w:t>
      </w:r>
      <w:r w:rsidRPr="00346BAE">
        <w:rPr>
          <w:sz w:val="24"/>
          <w:szCs w:val="24"/>
        </w:rPr>
        <w:t xml:space="preserve">, </w:t>
      </w:r>
      <w:r>
        <w:rPr>
          <w:sz w:val="24"/>
          <w:szCs w:val="24"/>
        </w:rPr>
        <w:t xml:space="preserve">kde </w:t>
      </w:r>
      <w:r w:rsidRPr="00346BAE">
        <w:rPr>
          <w:sz w:val="24"/>
          <w:szCs w:val="24"/>
        </w:rPr>
        <w:t>všichni aktéři hrají vyrovnanou roli</w:t>
      </w:r>
      <w:r>
        <w:rPr>
          <w:sz w:val="24"/>
          <w:szCs w:val="24"/>
        </w:rPr>
        <w:t xml:space="preserve"> s</w:t>
      </w:r>
      <w:r w:rsidRPr="00346BAE">
        <w:rPr>
          <w:sz w:val="24"/>
          <w:szCs w:val="24"/>
        </w:rPr>
        <w:t xml:space="preserve"> odpovídajícím vlivem na stanovování priorit</w:t>
      </w:r>
      <w:r>
        <w:rPr>
          <w:sz w:val="24"/>
          <w:szCs w:val="24"/>
        </w:rPr>
        <w:t xml:space="preserve"> </w:t>
      </w:r>
      <w:r w:rsidRPr="00346BAE">
        <w:rPr>
          <w:sz w:val="24"/>
          <w:szCs w:val="24"/>
        </w:rPr>
        <w:t>přijím</w:t>
      </w:r>
      <w:r>
        <w:rPr>
          <w:sz w:val="24"/>
          <w:szCs w:val="24"/>
        </w:rPr>
        <w:t>aných konsensuálním způsobem.</w:t>
      </w:r>
      <w:r w:rsidRPr="00DE614D">
        <w:rPr>
          <w:sz w:val="24"/>
          <w:szCs w:val="24"/>
        </w:rPr>
        <w:t xml:space="preserve"> </w:t>
      </w:r>
      <w:r>
        <w:rPr>
          <w:sz w:val="24"/>
          <w:szCs w:val="24"/>
        </w:rPr>
        <w:t xml:space="preserve">Mezi významné </w:t>
      </w:r>
      <w:r w:rsidRPr="00346BAE">
        <w:rPr>
          <w:sz w:val="24"/>
          <w:szCs w:val="24"/>
        </w:rPr>
        <w:t>úhl</w:t>
      </w:r>
      <w:r>
        <w:rPr>
          <w:sz w:val="24"/>
          <w:szCs w:val="24"/>
        </w:rPr>
        <w:t>y</w:t>
      </w:r>
      <w:r w:rsidRPr="00346BAE">
        <w:rPr>
          <w:sz w:val="24"/>
          <w:szCs w:val="24"/>
        </w:rPr>
        <w:t xml:space="preserve"> pohledu </w:t>
      </w:r>
      <w:r>
        <w:rPr>
          <w:sz w:val="24"/>
          <w:szCs w:val="24"/>
        </w:rPr>
        <w:t xml:space="preserve">pak logicky patří </w:t>
      </w:r>
      <w:r w:rsidRPr="00346BAE">
        <w:rPr>
          <w:sz w:val="24"/>
          <w:szCs w:val="24"/>
        </w:rPr>
        <w:t xml:space="preserve">hodnocení výkonnosti klastru. </w:t>
      </w:r>
      <w:r>
        <w:rPr>
          <w:sz w:val="24"/>
          <w:szCs w:val="24"/>
        </w:rPr>
        <w:t xml:space="preserve">Zde je </w:t>
      </w:r>
      <w:r w:rsidRPr="00346BAE">
        <w:rPr>
          <w:sz w:val="24"/>
          <w:szCs w:val="24"/>
        </w:rPr>
        <w:t>nutné podotknout, že jednotliví aktéři provozují vlastní ekonomickou činnost, u které lze standardními způsoby měřit ziskovost. Klastr z tohoto pohledu představuje snahu o zlepšení institucionálního prostředí obklopující</w:t>
      </w:r>
      <w:r>
        <w:rPr>
          <w:sz w:val="24"/>
          <w:szCs w:val="24"/>
        </w:rPr>
        <w:t>ho</w:t>
      </w:r>
      <w:r w:rsidRPr="00346BAE">
        <w:rPr>
          <w:sz w:val="24"/>
          <w:szCs w:val="24"/>
        </w:rPr>
        <w:t xml:space="preserve"> jednotlivé aktéry působící v určitém odvětví a území. Samozřejmě i zde lze uvažovat o </w:t>
      </w:r>
      <w:r>
        <w:rPr>
          <w:sz w:val="24"/>
          <w:szCs w:val="24"/>
        </w:rPr>
        <w:t>přínosech</w:t>
      </w:r>
      <w:r w:rsidRPr="00346BAE">
        <w:rPr>
          <w:sz w:val="24"/>
          <w:szCs w:val="24"/>
        </w:rPr>
        <w:t xml:space="preserve"> např. vývoje určitého produktu a následně o měření jím</w:t>
      </w:r>
      <w:r>
        <w:rPr>
          <w:sz w:val="24"/>
          <w:szCs w:val="24"/>
        </w:rPr>
        <w:t xml:space="preserve"> </w:t>
      </w:r>
      <w:r w:rsidRPr="00346BAE">
        <w:rPr>
          <w:sz w:val="24"/>
          <w:szCs w:val="24"/>
        </w:rPr>
        <w:t>indukovaného zisku či navýšení obratu</w:t>
      </w:r>
      <w:r>
        <w:rPr>
          <w:sz w:val="24"/>
          <w:szCs w:val="24"/>
        </w:rPr>
        <w:t>.</w:t>
      </w:r>
      <w:r w:rsidRPr="00346BAE">
        <w:rPr>
          <w:sz w:val="24"/>
          <w:szCs w:val="24"/>
        </w:rPr>
        <w:t xml:space="preserve"> </w:t>
      </w:r>
      <w:r>
        <w:rPr>
          <w:sz w:val="24"/>
          <w:szCs w:val="24"/>
        </w:rPr>
        <w:t xml:space="preserve">Pokud pak jde o </w:t>
      </w:r>
      <w:r w:rsidRPr="00346BAE">
        <w:rPr>
          <w:sz w:val="24"/>
          <w:szCs w:val="24"/>
        </w:rPr>
        <w:t xml:space="preserve">srovnávání </w:t>
      </w:r>
      <w:r>
        <w:rPr>
          <w:sz w:val="24"/>
          <w:szCs w:val="24"/>
        </w:rPr>
        <w:t>dosažených</w:t>
      </w:r>
      <w:r w:rsidRPr="00346BAE">
        <w:rPr>
          <w:sz w:val="24"/>
          <w:szCs w:val="24"/>
        </w:rPr>
        <w:t xml:space="preserve"> výsledků</w:t>
      </w:r>
      <w:r>
        <w:rPr>
          <w:sz w:val="24"/>
          <w:szCs w:val="24"/>
        </w:rPr>
        <w:t xml:space="preserve">, </w:t>
      </w:r>
      <w:r w:rsidRPr="00346BAE">
        <w:rPr>
          <w:sz w:val="24"/>
          <w:szCs w:val="24"/>
        </w:rPr>
        <w:t xml:space="preserve">je nutné </w:t>
      </w:r>
      <w:r>
        <w:rPr>
          <w:sz w:val="24"/>
          <w:szCs w:val="24"/>
        </w:rPr>
        <w:t>upozornit na skutečnost</w:t>
      </w:r>
      <w:r w:rsidRPr="00346BAE">
        <w:rPr>
          <w:sz w:val="24"/>
          <w:szCs w:val="24"/>
        </w:rPr>
        <w:t>, že klastry jsou vymezené věcně a prostorově. Tato hlediska musí být vždy zohled</w:t>
      </w:r>
      <w:r>
        <w:rPr>
          <w:sz w:val="24"/>
          <w:szCs w:val="24"/>
        </w:rPr>
        <w:t>něna,</w:t>
      </w:r>
      <w:r w:rsidRPr="00346BAE">
        <w:rPr>
          <w:sz w:val="24"/>
          <w:szCs w:val="24"/>
        </w:rPr>
        <w:t xml:space="preserve"> neboť věcné vymezení může zároveň determinovat geografické rozložení klastru</w:t>
      </w:r>
      <w:r>
        <w:rPr>
          <w:sz w:val="24"/>
          <w:szCs w:val="24"/>
        </w:rPr>
        <w:t xml:space="preserve"> – v</w:t>
      </w:r>
      <w:r w:rsidRPr="00346BAE">
        <w:rPr>
          <w:sz w:val="24"/>
          <w:szCs w:val="24"/>
        </w:rPr>
        <w:t xml:space="preserve"> některých odvětvích je možné vazby mezi aktéry </w:t>
      </w:r>
      <w:r>
        <w:rPr>
          <w:sz w:val="24"/>
          <w:szCs w:val="24"/>
        </w:rPr>
        <w:t xml:space="preserve">klastru </w:t>
      </w:r>
      <w:r w:rsidRPr="00346BAE">
        <w:rPr>
          <w:sz w:val="24"/>
          <w:szCs w:val="24"/>
        </w:rPr>
        <w:t xml:space="preserve">realizovat na větší vzdálenosti než </w:t>
      </w:r>
      <w:r>
        <w:rPr>
          <w:sz w:val="24"/>
          <w:szCs w:val="24"/>
        </w:rPr>
        <w:t>v</w:t>
      </w:r>
      <w:r w:rsidRPr="00346BAE">
        <w:rPr>
          <w:sz w:val="24"/>
          <w:szCs w:val="24"/>
        </w:rPr>
        <w:t xml:space="preserve"> jiných (např. IT v</w:t>
      </w:r>
      <w:r>
        <w:rPr>
          <w:sz w:val="24"/>
          <w:szCs w:val="24"/>
        </w:rPr>
        <w:t xml:space="preserve">ersus </w:t>
      </w:r>
      <w:r w:rsidRPr="00346BAE">
        <w:rPr>
          <w:sz w:val="24"/>
          <w:szCs w:val="24"/>
        </w:rPr>
        <w:t xml:space="preserve">vinařství). Srovnávání výsledků je tak omezeno odvětvovým i geografickým rozlišením a </w:t>
      </w:r>
      <w:r>
        <w:rPr>
          <w:sz w:val="24"/>
          <w:szCs w:val="24"/>
        </w:rPr>
        <w:t>rovněž</w:t>
      </w:r>
      <w:r w:rsidRPr="00346BAE">
        <w:rPr>
          <w:sz w:val="24"/>
          <w:szCs w:val="24"/>
        </w:rPr>
        <w:t xml:space="preserve"> návazností klastru na </w:t>
      </w:r>
      <w:r>
        <w:rPr>
          <w:sz w:val="24"/>
          <w:szCs w:val="24"/>
        </w:rPr>
        <w:t xml:space="preserve">určitou </w:t>
      </w:r>
      <w:r w:rsidRPr="00346BAE">
        <w:rPr>
          <w:sz w:val="24"/>
          <w:szCs w:val="24"/>
        </w:rPr>
        <w:t>hospodářskou tradici</w:t>
      </w:r>
      <w:r>
        <w:rPr>
          <w:sz w:val="24"/>
          <w:szCs w:val="24"/>
        </w:rPr>
        <w:t>.</w:t>
      </w:r>
      <w:r w:rsidRPr="00346BAE">
        <w:rPr>
          <w:sz w:val="24"/>
          <w:szCs w:val="24"/>
        </w:rPr>
        <w:t xml:space="preserve"> Důležit</w:t>
      </w:r>
      <w:r>
        <w:rPr>
          <w:sz w:val="24"/>
          <w:szCs w:val="24"/>
        </w:rPr>
        <w:t>ou otázkou</w:t>
      </w:r>
      <w:r w:rsidRPr="00346BAE">
        <w:rPr>
          <w:sz w:val="24"/>
          <w:szCs w:val="24"/>
        </w:rPr>
        <w:t xml:space="preserve"> jsou vazby mezi jednotlivými klastry</w:t>
      </w:r>
      <w:r>
        <w:rPr>
          <w:sz w:val="24"/>
          <w:szCs w:val="24"/>
        </w:rPr>
        <w:t xml:space="preserve">, kde </w:t>
      </w:r>
      <w:r w:rsidRPr="00346BAE">
        <w:rPr>
          <w:sz w:val="24"/>
          <w:szCs w:val="24"/>
        </w:rPr>
        <w:t>mohou v zásadě nastat následující případy</w:t>
      </w:r>
      <w:r>
        <w:rPr>
          <w:sz w:val="24"/>
          <w:szCs w:val="24"/>
        </w:rPr>
        <w:t>:</w:t>
      </w:r>
    </w:p>
    <w:p w:rsidR="006A2747" w:rsidRDefault="006A2747" w:rsidP="00423120">
      <w:pPr>
        <w:pStyle w:val="Odstavecseseznamem"/>
        <w:keepNext/>
        <w:widowControl w:val="0"/>
        <w:numPr>
          <w:ilvl w:val="0"/>
          <w:numId w:val="6"/>
        </w:numPr>
        <w:ind w:left="357" w:hanging="357"/>
        <w:jc w:val="both"/>
        <w:rPr>
          <w:sz w:val="24"/>
          <w:szCs w:val="24"/>
        </w:rPr>
      </w:pPr>
      <w:r w:rsidRPr="00346BAE">
        <w:rPr>
          <w:sz w:val="24"/>
          <w:szCs w:val="24"/>
        </w:rPr>
        <w:t>klastry působí ve stejném odvětví, ale v jiném regionu</w:t>
      </w:r>
      <w:r>
        <w:rPr>
          <w:sz w:val="24"/>
          <w:szCs w:val="24"/>
        </w:rPr>
        <w:t>,</w:t>
      </w:r>
    </w:p>
    <w:p w:rsidR="006A2747" w:rsidRDefault="006A2747" w:rsidP="00423120">
      <w:pPr>
        <w:pStyle w:val="Odstavecseseznamem"/>
        <w:keepNext/>
        <w:widowControl w:val="0"/>
        <w:numPr>
          <w:ilvl w:val="0"/>
          <w:numId w:val="6"/>
        </w:numPr>
        <w:jc w:val="both"/>
        <w:rPr>
          <w:sz w:val="24"/>
          <w:szCs w:val="24"/>
        </w:rPr>
      </w:pPr>
      <w:r>
        <w:rPr>
          <w:sz w:val="24"/>
          <w:szCs w:val="24"/>
        </w:rPr>
        <w:t>k</w:t>
      </w:r>
      <w:r w:rsidRPr="00346BAE">
        <w:rPr>
          <w:sz w:val="24"/>
          <w:szCs w:val="24"/>
        </w:rPr>
        <w:t>lastry působí v jiném odvětví, ale ve stejném regionu</w:t>
      </w:r>
      <w:r>
        <w:rPr>
          <w:sz w:val="24"/>
          <w:szCs w:val="24"/>
        </w:rPr>
        <w:t>,</w:t>
      </w:r>
    </w:p>
    <w:p w:rsidR="006A2747" w:rsidRDefault="006A2747" w:rsidP="00423120">
      <w:pPr>
        <w:pStyle w:val="Odstavecseseznamem"/>
        <w:keepNext/>
        <w:widowControl w:val="0"/>
        <w:numPr>
          <w:ilvl w:val="0"/>
          <w:numId w:val="6"/>
        </w:numPr>
        <w:ind w:left="357" w:hanging="357"/>
        <w:jc w:val="both"/>
        <w:rPr>
          <w:sz w:val="24"/>
          <w:szCs w:val="24"/>
        </w:rPr>
      </w:pPr>
      <w:r w:rsidRPr="00346BAE">
        <w:rPr>
          <w:sz w:val="24"/>
          <w:szCs w:val="24"/>
        </w:rPr>
        <w:t>klastry působí v jiném odvětví a v jiném regionu.</w:t>
      </w:r>
    </w:p>
    <w:p w:rsidR="006A2747" w:rsidRDefault="006A2747" w:rsidP="00423120">
      <w:pPr>
        <w:keepNext/>
        <w:widowControl w:val="0"/>
        <w:ind w:firstLine="357"/>
        <w:jc w:val="both"/>
        <w:rPr>
          <w:sz w:val="24"/>
          <w:szCs w:val="24"/>
        </w:rPr>
      </w:pPr>
      <w:r w:rsidRPr="00346BAE">
        <w:rPr>
          <w:sz w:val="24"/>
          <w:szCs w:val="24"/>
        </w:rPr>
        <w:lastRenderedPageBreak/>
        <w:t xml:space="preserve">V prvním případě </w:t>
      </w:r>
      <w:r>
        <w:rPr>
          <w:sz w:val="24"/>
          <w:szCs w:val="24"/>
        </w:rPr>
        <w:t xml:space="preserve">se </w:t>
      </w:r>
      <w:r w:rsidRPr="00346BAE">
        <w:rPr>
          <w:sz w:val="24"/>
          <w:szCs w:val="24"/>
        </w:rPr>
        <w:t xml:space="preserve">mohou mezi klastry </w:t>
      </w:r>
      <w:r>
        <w:rPr>
          <w:sz w:val="24"/>
          <w:szCs w:val="24"/>
        </w:rPr>
        <w:t>rozvinout</w:t>
      </w:r>
      <w:r w:rsidRPr="00346BAE">
        <w:rPr>
          <w:sz w:val="24"/>
          <w:szCs w:val="24"/>
        </w:rPr>
        <w:t xml:space="preserve"> vazby konkurenční (např. při prosazování produktů na určitý nový trh) nebo kooperativní (např. z důvodu společn</w:t>
      </w:r>
      <w:r>
        <w:rPr>
          <w:sz w:val="24"/>
          <w:szCs w:val="24"/>
        </w:rPr>
        <w:t>ých</w:t>
      </w:r>
      <w:r w:rsidRPr="00346BAE">
        <w:rPr>
          <w:sz w:val="24"/>
          <w:szCs w:val="24"/>
        </w:rPr>
        <w:t xml:space="preserve"> zájm</w:t>
      </w:r>
      <w:r>
        <w:rPr>
          <w:sz w:val="24"/>
          <w:szCs w:val="24"/>
        </w:rPr>
        <w:t>ů</w:t>
      </w:r>
      <w:r w:rsidRPr="00346BAE">
        <w:rPr>
          <w:sz w:val="24"/>
          <w:szCs w:val="24"/>
        </w:rPr>
        <w:t xml:space="preserve"> </w:t>
      </w:r>
      <w:r>
        <w:rPr>
          <w:sz w:val="24"/>
          <w:szCs w:val="24"/>
        </w:rPr>
        <w:t>při</w:t>
      </w:r>
      <w:r w:rsidRPr="00346BAE">
        <w:rPr>
          <w:sz w:val="24"/>
          <w:szCs w:val="24"/>
        </w:rPr>
        <w:t xml:space="preserve"> ovlivňování národního legislativního rámce) </w:t>
      </w:r>
      <w:r>
        <w:rPr>
          <w:sz w:val="24"/>
          <w:szCs w:val="24"/>
        </w:rPr>
        <w:t xml:space="preserve">příp. </w:t>
      </w:r>
      <w:r w:rsidRPr="00346BAE">
        <w:rPr>
          <w:sz w:val="24"/>
          <w:szCs w:val="24"/>
        </w:rPr>
        <w:t xml:space="preserve">vazby neutrální. </w:t>
      </w:r>
      <w:r>
        <w:rPr>
          <w:sz w:val="24"/>
          <w:szCs w:val="24"/>
        </w:rPr>
        <w:t>V</w:t>
      </w:r>
      <w:r w:rsidRPr="00346BAE">
        <w:rPr>
          <w:sz w:val="24"/>
          <w:szCs w:val="24"/>
        </w:rPr>
        <w:t xml:space="preserve">zájemné kooperativní působení jednotlivých klastrů z různých regionů lze označit jako „cluster clouding“, který prostřednictvím principů konkurence a spolupráce může být nositelem významných synergických efektů v regionu, ale i na národní či v některých případech </w:t>
      </w:r>
      <w:r w:rsidR="00A75E48">
        <w:rPr>
          <w:sz w:val="24"/>
          <w:szCs w:val="24"/>
        </w:rPr>
        <w:t>i </w:t>
      </w:r>
      <w:r w:rsidRPr="00346BAE">
        <w:rPr>
          <w:sz w:val="24"/>
          <w:szCs w:val="24"/>
        </w:rPr>
        <w:t>nadnárodní úrovni.</w:t>
      </w:r>
      <w:r>
        <w:rPr>
          <w:sz w:val="24"/>
          <w:szCs w:val="24"/>
        </w:rPr>
        <w:t xml:space="preserve"> </w:t>
      </w:r>
      <w:r w:rsidRPr="00346BAE">
        <w:rPr>
          <w:sz w:val="24"/>
          <w:szCs w:val="24"/>
        </w:rPr>
        <w:t xml:space="preserve">Poslední </w:t>
      </w:r>
      <w:r>
        <w:rPr>
          <w:sz w:val="24"/>
          <w:szCs w:val="24"/>
        </w:rPr>
        <w:t xml:space="preserve">významnější </w:t>
      </w:r>
      <w:r w:rsidRPr="00346BAE">
        <w:rPr>
          <w:sz w:val="24"/>
          <w:szCs w:val="24"/>
        </w:rPr>
        <w:t>oblastí je návaznost klastrů na regionální prostředí. Na tomto místě je vedle měření výkonnosti vhodné zmínit synergické efekty klastrů, které tím, že vytvářejí tlak na zlepšování institucionální podpory a spolupráce</w:t>
      </w:r>
      <w:r w:rsidR="00F02F7A">
        <w:rPr>
          <w:sz w:val="24"/>
          <w:szCs w:val="24"/>
        </w:rPr>
        <w:t>,</w:t>
      </w:r>
      <w:r w:rsidRPr="00346BAE">
        <w:rPr>
          <w:sz w:val="24"/>
          <w:szCs w:val="24"/>
        </w:rPr>
        <w:t xml:space="preserve"> zároveň usnadňují potenciální vznik nových inovativních firem v</w:t>
      </w:r>
      <w:r>
        <w:rPr>
          <w:sz w:val="24"/>
          <w:szCs w:val="24"/>
        </w:rPr>
        <w:t xml:space="preserve"> daném </w:t>
      </w:r>
      <w:r w:rsidRPr="00346BAE">
        <w:rPr>
          <w:sz w:val="24"/>
          <w:szCs w:val="24"/>
        </w:rPr>
        <w:t>ob</w:t>
      </w:r>
      <w:r w:rsidR="00A75E48">
        <w:rPr>
          <w:sz w:val="24"/>
          <w:szCs w:val="24"/>
        </w:rPr>
        <w:t>oru nebo mohou ve spolupráci se </w:t>
      </w:r>
      <w:r w:rsidRPr="00346BAE">
        <w:rPr>
          <w:sz w:val="24"/>
          <w:szCs w:val="24"/>
        </w:rPr>
        <w:t xml:space="preserve">školami či univerzitami </w:t>
      </w:r>
      <w:r>
        <w:rPr>
          <w:sz w:val="24"/>
          <w:szCs w:val="24"/>
        </w:rPr>
        <w:t xml:space="preserve">působit na zkvalitňování </w:t>
      </w:r>
      <w:r w:rsidRPr="00346BAE">
        <w:rPr>
          <w:sz w:val="24"/>
          <w:szCs w:val="24"/>
        </w:rPr>
        <w:t>výuk</w:t>
      </w:r>
      <w:r>
        <w:rPr>
          <w:sz w:val="24"/>
          <w:szCs w:val="24"/>
        </w:rPr>
        <w:t>y</w:t>
      </w:r>
      <w:r w:rsidR="00F02F7A">
        <w:rPr>
          <w:sz w:val="24"/>
          <w:szCs w:val="24"/>
        </w:rPr>
        <w:t>,</w:t>
      </w:r>
      <w:r w:rsidRPr="00346BAE">
        <w:rPr>
          <w:sz w:val="24"/>
          <w:szCs w:val="24"/>
        </w:rPr>
        <w:t xml:space="preserve"> </w:t>
      </w:r>
      <w:r>
        <w:rPr>
          <w:sz w:val="24"/>
          <w:szCs w:val="24"/>
        </w:rPr>
        <w:t xml:space="preserve">a tím zvyšovat uplatnitelnost </w:t>
      </w:r>
      <w:r w:rsidRPr="00346BAE">
        <w:rPr>
          <w:sz w:val="24"/>
          <w:szCs w:val="24"/>
        </w:rPr>
        <w:t xml:space="preserve">studentů </w:t>
      </w:r>
      <w:r>
        <w:rPr>
          <w:sz w:val="24"/>
          <w:szCs w:val="24"/>
        </w:rPr>
        <w:t xml:space="preserve">v praxi apod. Z hlediska celkových dopadů je nutné uvést, že nelze zcela prokázat závislost mezi množstvím klastrů a zvyšováním ekonomické výkonnosti. Nelze tvrdit, že větší počet klastrů s velkým počtem zúčastněných firem je jednoznačným pozitivem pro region (pokud budeme např. předpokládat, že klastr má výraznou vertikální strukturu s klíčovou rolí velké </w:t>
      </w:r>
      <w:r w:rsidR="00F02F7A">
        <w:rPr>
          <w:sz w:val="24"/>
          <w:szCs w:val="24"/>
        </w:rPr>
        <w:t>nadnárodní firmy</w:t>
      </w:r>
      <w:r w:rsidRPr="007F52AB">
        <w:rPr>
          <w:sz w:val="24"/>
          <w:szCs w:val="24"/>
        </w:rPr>
        <w:t xml:space="preserve">, pak její případný odchod může znamenat zánik takového klastru). Obecně </w:t>
      </w:r>
      <w:r>
        <w:rPr>
          <w:sz w:val="24"/>
          <w:szCs w:val="24"/>
        </w:rPr>
        <w:t>však</w:t>
      </w:r>
      <w:r w:rsidRPr="007F52AB">
        <w:rPr>
          <w:sz w:val="24"/>
          <w:szCs w:val="24"/>
        </w:rPr>
        <w:t xml:space="preserve"> tak lze doporučit podporu strukturálně diverzifikovaných klastrů </w:t>
      </w:r>
      <w:r>
        <w:rPr>
          <w:sz w:val="24"/>
          <w:szCs w:val="24"/>
        </w:rPr>
        <w:t xml:space="preserve">regionálně silně „zakořeněných“ </w:t>
      </w:r>
      <w:r w:rsidRPr="006065DE">
        <w:rPr>
          <w:sz w:val="24"/>
          <w:szCs w:val="24"/>
        </w:rPr>
        <w:t xml:space="preserve">menších firem. Důležité je též zahrnutí podpory klastrů do regionálních inovačních strategií, zejména v případě z pohledu daného regionu rozvojově nosných odvětví (Stejskal, Charburský, 2008). V České republice </w:t>
      </w:r>
      <w:r w:rsidR="006F6772">
        <w:rPr>
          <w:sz w:val="24"/>
          <w:szCs w:val="24"/>
        </w:rPr>
        <w:t xml:space="preserve">je </w:t>
      </w:r>
      <w:r w:rsidRPr="006065DE">
        <w:rPr>
          <w:sz w:val="24"/>
          <w:szCs w:val="24"/>
        </w:rPr>
        <w:t xml:space="preserve">možné v současnosti identifikovat zhruba 40 klastrů, v nichž je zapojeno přes tisíc aktérů (Blažek, J., Hejnová, T., 2012). </w:t>
      </w:r>
    </w:p>
    <w:p w:rsidR="006A2747" w:rsidRPr="007F52AB" w:rsidRDefault="006A2747" w:rsidP="00423120">
      <w:pPr>
        <w:keepNext/>
        <w:widowControl w:val="0"/>
        <w:jc w:val="center"/>
        <w:rPr>
          <w:sz w:val="24"/>
          <w:szCs w:val="24"/>
        </w:rPr>
      </w:pPr>
      <w:r w:rsidRPr="00516360">
        <w:rPr>
          <w:noProof/>
          <w:lang w:val="en-GB" w:eastAsia="en-GB"/>
        </w:rPr>
        <w:drawing>
          <wp:inline distT="0" distB="0" distL="0" distR="0" wp14:anchorId="0D0C23DD" wp14:editId="25C881DF">
            <wp:extent cx="5756939" cy="3867150"/>
            <wp:effectExtent l="0" t="0" r="0" b="0"/>
            <wp:docPr id="49" name="Obrázek 49" descr="E:\MU ESF\OPVK\skripta\klastry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U ESF\OPVK\skripta\klastryCR.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4023" cy="3871909"/>
                    </a:xfrm>
                    <a:prstGeom prst="rect">
                      <a:avLst/>
                    </a:prstGeom>
                    <a:noFill/>
                    <a:ln>
                      <a:noFill/>
                    </a:ln>
                  </pic:spPr>
                </pic:pic>
              </a:graphicData>
            </a:graphic>
          </wp:inline>
        </w:drawing>
      </w:r>
    </w:p>
    <w:p w:rsidR="006A2747" w:rsidRPr="00516360" w:rsidRDefault="006A2747" w:rsidP="00395AE1">
      <w:pPr>
        <w:pStyle w:val="0G-Titulek"/>
        <w:widowControl w:val="0"/>
        <w:ind w:firstLine="0"/>
      </w:pPr>
      <w:bookmarkStart w:id="101" w:name="_Toc382326823"/>
      <w:r w:rsidRPr="00516360">
        <w:t xml:space="preserve">Obrázek </w:t>
      </w:r>
      <w:r>
        <w:t>19</w:t>
      </w:r>
      <w:r w:rsidRPr="00516360">
        <w:t>: Klastry v České republice</w:t>
      </w:r>
      <w:bookmarkEnd w:id="101"/>
    </w:p>
    <w:p w:rsidR="006A2747" w:rsidRPr="006F6772" w:rsidRDefault="006A2747" w:rsidP="00423120">
      <w:pPr>
        <w:keepNext/>
        <w:widowControl w:val="0"/>
        <w:jc w:val="center"/>
        <w:rPr>
          <w:rFonts w:ascii="Calibri" w:hAnsi="Calibri" w:cs="Calibri"/>
          <w:i/>
        </w:rPr>
      </w:pPr>
      <w:r w:rsidRPr="006F6772">
        <w:rPr>
          <w:rFonts w:ascii="Calibri" w:hAnsi="Calibri" w:cs="Calibri"/>
          <w:i/>
        </w:rPr>
        <w:t>Pramen: Blažek, Hejnová, 2012.</w:t>
      </w:r>
    </w:p>
    <w:p w:rsidR="00FB255A" w:rsidRPr="00A91347" w:rsidRDefault="00C20C25" w:rsidP="00890421">
      <w:pPr>
        <w:pStyle w:val="02-Nadpis2"/>
        <w:rPr>
          <w:rFonts w:eastAsia="Calibri"/>
        </w:rPr>
      </w:pPr>
      <w:bookmarkStart w:id="102" w:name="_Toc382327203"/>
      <w:r w:rsidRPr="00A91347">
        <w:lastRenderedPageBreak/>
        <w:t>3.5.  Ostatní rozvojově významné souvislosti</w:t>
      </w:r>
      <w:bookmarkEnd w:id="102"/>
    </w:p>
    <w:p w:rsidR="006A2747" w:rsidRPr="00944155" w:rsidRDefault="006A2747" w:rsidP="00504C06">
      <w:pPr>
        <w:keepNext/>
        <w:widowControl w:val="0"/>
        <w:suppressLineNumbers/>
        <w:spacing w:after="120"/>
        <w:ind w:firstLine="720"/>
        <w:jc w:val="both"/>
        <w:rPr>
          <w:sz w:val="24"/>
          <w:szCs w:val="24"/>
        </w:rPr>
      </w:pPr>
      <w:r w:rsidRPr="00944155">
        <w:rPr>
          <w:sz w:val="24"/>
          <w:szCs w:val="24"/>
        </w:rPr>
        <w:t>Ekonomický rozvoj území ovlivňují také všeobecné přírodní podmínky, které hrají důležitou roli při lokalizaci ekonomických činností a patří tak k významným lokalizačním faktorům. A. Weber ve svém členění lokalizačních faktorů vymezil mimo jiné skupinu, kterou označil jako přírodně-technické faktory. Mezi ně řadil například surovinovou základnu území, strukturu výrobních činností apod. (Hamalová a kol.</w:t>
      </w:r>
      <w:r>
        <w:rPr>
          <w:sz w:val="24"/>
          <w:szCs w:val="24"/>
        </w:rPr>
        <w:t>,</w:t>
      </w:r>
      <w:r w:rsidRPr="00944155">
        <w:rPr>
          <w:sz w:val="24"/>
          <w:szCs w:val="24"/>
        </w:rPr>
        <w:t xml:space="preserve"> 1997). Patočková (2008) uvádí, že je vždy nutné brát v úvahu potenciál krajiny a jeho vlastnosti. Tento</w:t>
      </w:r>
      <w:r w:rsidR="00A75E48">
        <w:rPr>
          <w:sz w:val="24"/>
          <w:szCs w:val="24"/>
        </w:rPr>
        <w:t xml:space="preserve"> potenciál dělí do tří částí, a </w:t>
      </w:r>
      <w:r w:rsidRPr="00944155">
        <w:rPr>
          <w:sz w:val="24"/>
          <w:szCs w:val="24"/>
        </w:rPr>
        <w:t xml:space="preserve">to </w:t>
      </w:r>
      <w:r w:rsidR="006F6772">
        <w:rPr>
          <w:sz w:val="24"/>
          <w:szCs w:val="24"/>
        </w:rPr>
        <w:t>na fyzicko-geografické činitele</w:t>
      </w:r>
      <w:r w:rsidRPr="00944155">
        <w:rPr>
          <w:sz w:val="24"/>
          <w:szCs w:val="24"/>
        </w:rPr>
        <w:t xml:space="preserve"> (dostupnost vody, klima, geologická st</w:t>
      </w:r>
      <w:r w:rsidR="006F6772">
        <w:rPr>
          <w:sz w:val="24"/>
          <w:szCs w:val="24"/>
        </w:rPr>
        <w:t>abilita, apod.), socioekonomické činitele</w:t>
      </w:r>
      <w:r w:rsidRPr="00944155">
        <w:rPr>
          <w:sz w:val="24"/>
          <w:szCs w:val="24"/>
        </w:rPr>
        <w:t xml:space="preserve"> (dostupnost surovin, dostatek energie, dostupnost pracovních si</w:t>
      </w:r>
      <w:r w:rsidR="006F6772">
        <w:rPr>
          <w:sz w:val="24"/>
          <w:szCs w:val="24"/>
        </w:rPr>
        <w:t>l, apod.) a aglomerační činitele</w:t>
      </w:r>
      <w:r w:rsidRPr="00944155">
        <w:rPr>
          <w:sz w:val="24"/>
          <w:szCs w:val="24"/>
        </w:rPr>
        <w:t xml:space="preserve"> (umožňují utváření prostorových vazeb). Velmi podobný přístup pak ke klasifikaci faktorů volí </w:t>
      </w:r>
      <w:r>
        <w:rPr>
          <w:sz w:val="24"/>
          <w:szCs w:val="24"/>
        </w:rPr>
        <w:t xml:space="preserve">také </w:t>
      </w:r>
      <w:r w:rsidRPr="00944155">
        <w:rPr>
          <w:sz w:val="24"/>
          <w:szCs w:val="24"/>
        </w:rPr>
        <w:t>Toušek, Kunc, Vystoupil a kol. (2008). Přírodní podmínky tedy patří na jedné straně k nepřenosným vstupům (pro některé ekonomické aktivity jsou naprosto nezbytné) a na straně druhé k neodstranitelným bariérám (mohou být důvodem k nemožnosti realizace dané ekonomické činnosti v území). Některé přírodní podmínky je možné eliminovat, popřípadě nahradit, avšak vždy za cenu nějakých dodatečných nákladů</w:t>
      </w:r>
      <w:r w:rsidR="006F6772">
        <w:rPr>
          <w:sz w:val="24"/>
          <w:szCs w:val="24"/>
        </w:rPr>
        <w:t>,</w:t>
      </w:r>
      <w:r w:rsidR="008C6D7E">
        <w:rPr>
          <w:sz w:val="24"/>
          <w:szCs w:val="24"/>
        </w:rPr>
        <w:t xml:space="preserve"> a </w:t>
      </w:r>
      <w:r w:rsidRPr="00944155">
        <w:rPr>
          <w:sz w:val="24"/>
          <w:szCs w:val="24"/>
        </w:rPr>
        <w:t>to jak přímých, tak nepřímých. Připomeňme, že jsou to právě náklady, které investoři zohledňují při rozšiřování svých aktivit v území. Matoušk</w:t>
      </w:r>
      <w:r w:rsidR="00E6724F">
        <w:rPr>
          <w:sz w:val="24"/>
          <w:szCs w:val="24"/>
        </w:rPr>
        <w:t>ová a kol. (1995) upozorňují na </w:t>
      </w:r>
      <w:r w:rsidRPr="00944155">
        <w:rPr>
          <w:sz w:val="24"/>
          <w:szCs w:val="24"/>
        </w:rPr>
        <w:t>několik důležitých okolností souvisejících s tím, jak tzv. přírodní komplex ovlivňuje rozvoj území:</w:t>
      </w:r>
    </w:p>
    <w:p w:rsidR="006A2747" w:rsidRPr="00944155" w:rsidRDefault="006A2747" w:rsidP="00423120">
      <w:pPr>
        <w:pStyle w:val="Odstavecseseznamem"/>
        <w:keepNext/>
        <w:widowControl w:val="0"/>
        <w:numPr>
          <w:ilvl w:val="0"/>
          <w:numId w:val="20"/>
        </w:numPr>
        <w:suppressLineNumbers/>
        <w:ind w:left="284" w:hanging="284"/>
        <w:jc w:val="both"/>
        <w:rPr>
          <w:sz w:val="24"/>
          <w:szCs w:val="24"/>
        </w:rPr>
      </w:pPr>
      <w:r w:rsidRPr="00944155">
        <w:rPr>
          <w:sz w:val="24"/>
          <w:szCs w:val="24"/>
        </w:rPr>
        <w:t>vliv přírodních podmínek se mění (klesá) v čase, což je způsobeno posunem významnosti sektorů, kdy pro služby představují menší omezení než pro průmysl či zemědělství</w:t>
      </w:r>
      <w:r>
        <w:rPr>
          <w:sz w:val="24"/>
          <w:szCs w:val="24"/>
        </w:rPr>
        <w:t>,</w:t>
      </w:r>
    </w:p>
    <w:p w:rsidR="006A2747" w:rsidRPr="00944155" w:rsidRDefault="006A2747" w:rsidP="00423120">
      <w:pPr>
        <w:pStyle w:val="Odstavecseseznamem"/>
        <w:keepNext/>
        <w:widowControl w:val="0"/>
        <w:numPr>
          <w:ilvl w:val="0"/>
          <w:numId w:val="20"/>
        </w:numPr>
        <w:suppressLineNumbers/>
        <w:ind w:left="284" w:hanging="284"/>
        <w:jc w:val="both"/>
        <w:rPr>
          <w:sz w:val="24"/>
          <w:szCs w:val="24"/>
        </w:rPr>
      </w:pPr>
      <w:r w:rsidRPr="00944155">
        <w:rPr>
          <w:sz w:val="24"/>
          <w:szCs w:val="24"/>
        </w:rPr>
        <w:t>přírodní komplex ovlivňuje ekonomickou strukturu, ale ta jej následně mění – jde ted</w:t>
      </w:r>
      <w:r w:rsidR="008C6D7E">
        <w:rPr>
          <w:sz w:val="24"/>
          <w:szCs w:val="24"/>
        </w:rPr>
        <w:t>y o </w:t>
      </w:r>
      <w:r w:rsidRPr="00944155">
        <w:rPr>
          <w:sz w:val="24"/>
          <w:szCs w:val="24"/>
        </w:rPr>
        <w:t>dynamický prvek, který se vyvíjí v důsledku společenských zásahů</w:t>
      </w:r>
      <w:r>
        <w:rPr>
          <w:sz w:val="24"/>
          <w:szCs w:val="24"/>
        </w:rPr>
        <w:t>,</w:t>
      </w:r>
    </w:p>
    <w:p w:rsidR="006A2747" w:rsidRPr="00944155" w:rsidRDefault="006A2747" w:rsidP="00423120">
      <w:pPr>
        <w:pStyle w:val="Odstavecseseznamem"/>
        <w:keepNext/>
        <w:widowControl w:val="0"/>
        <w:numPr>
          <w:ilvl w:val="0"/>
          <w:numId w:val="20"/>
        </w:numPr>
        <w:suppressLineNumbers/>
        <w:ind w:left="284" w:hanging="284"/>
        <w:jc w:val="both"/>
        <w:rPr>
          <w:sz w:val="24"/>
          <w:szCs w:val="24"/>
        </w:rPr>
      </w:pPr>
      <w:r w:rsidRPr="00944155">
        <w:rPr>
          <w:sz w:val="24"/>
          <w:szCs w:val="24"/>
        </w:rPr>
        <w:t>jednotlivé ekonomické činnosti mají rozdílné požadavky na charakter přírodního komplexu – co je pro určité období nevhodné, může být pro jiné naopak výhodné.</w:t>
      </w:r>
    </w:p>
    <w:p w:rsidR="006A2747" w:rsidRPr="00944155" w:rsidRDefault="006A2747" w:rsidP="00423120">
      <w:pPr>
        <w:keepNext/>
        <w:widowControl w:val="0"/>
        <w:suppressLineNumbers/>
        <w:ind w:firstLine="720"/>
        <w:jc w:val="both"/>
        <w:rPr>
          <w:sz w:val="24"/>
          <w:szCs w:val="24"/>
        </w:rPr>
      </w:pPr>
      <w:r w:rsidRPr="00944155">
        <w:rPr>
          <w:sz w:val="24"/>
          <w:szCs w:val="24"/>
        </w:rPr>
        <w:t>Při bližším pohledu na přírodní podmínky lze rozlišit zejména tyto dílčí prvky: reliéf, klima, voda, nerostné suroviny a půda. Tyto prvky lze v souladu s předchozím textem považovat za potenciálně významné pro rozvoj území z hlediska různých aktivit.</w:t>
      </w:r>
    </w:p>
    <w:p w:rsidR="006A2747" w:rsidRDefault="006A2747" w:rsidP="00423120">
      <w:pPr>
        <w:keepNext/>
        <w:widowControl w:val="0"/>
        <w:suppressLineNumbers/>
        <w:ind w:firstLine="720"/>
        <w:jc w:val="both"/>
        <w:rPr>
          <w:sz w:val="24"/>
          <w:szCs w:val="24"/>
        </w:rPr>
      </w:pPr>
      <w:r w:rsidRPr="00944155">
        <w:rPr>
          <w:sz w:val="24"/>
          <w:szCs w:val="24"/>
        </w:rPr>
        <w:t xml:space="preserve">Reliéf ovlivňuje </w:t>
      </w:r>
      <w:r w:rsidRPr="00F84736">
        <w:rPr>
          <w:sz w:val="24"/>
          <w:szCs w:val="24"/>
        </w:rPr>
        <w:t>rozvojový potenciál především z hlediska nadmořské výšky, členitosti terénu a svažitosti. Jedná se o charakteristiky neměnné</w:t>
      </w:r>
      <w:r w:rsidR="00F84736" w:rsidRPr="00F84736">
        <w:rPr>
          <w:sz w:val="24"/>
          <w:szCs w:val="24"/>
        </w:rPr>
        <w:t>,</w:t>
      </w:r>
      <w:r w:rsidRPr="00F84736">
        <w:rPr>
          <w:sz w:val="24"/>
          <w:szCs w:val="24"/>
        </w:rPr>
        <w:t xml:space="preserve"> pro rozvoj aktivit v sektoru zemědělské výroby či průmyslu zcela zásadní. Pro zemědělství obecně platí, že jak vyšší nadmořská výška, tak rostoucí svažitost terénu znamenají</w:t>
      </w:r>
      <w:r w:rsidRPr="00944155">
        <w:rPr>
          <w:sz w:val="24"/>
          <w:szCs w:val="24"/>
        </w:rPr>
        <w:t xml:space="preserve"> růst nákladů (Toušek, Kunc, Vystoupil a kol.</w:t>
      </w:r>
      <w:r>
        <w:rPr>
          <w:sz w:val="24"/>
          <w:szCs w:val="24"/>
        </w:rPr>
        <w:t>,</w:t>
      </w:r>
      <w:r w:rsidRPr="00944155">
        <w:rPr>
          <w:sz w:val="24"/>
          <w:szCs w:val="24"/>
        </w:rPr>
        <w:t xml:space="preserve"> 2008). </w:t>
      </w:r>
      <w:r>
        <w:rPr>
          <w:sz w:val="24"/>
          <w:szCs w:val="24"/>
        </w:rPr>
        <w:t>Pro</w:t>
      </w:r>
      <w:r w:rsidRPr="00944155">
        <w:rPr>
          <w:sz w:val="24"/>
          <w:szCs w:val="24"/>
        </w:rPr>
        <w:t xml:space="preserve"> průmyslov</w:t>
      </w:r>
      <w:r>
        <w:rPr>
          <w:sz w:val="24"/>
          <w:szCs w:val="24"/>
        </w:rPr>
        <w:t>ou</w:t>
      </w:r>
      <w:r w:rsidRPr="00944155">
        <w:rPr>
          <w:sz w:val="24"/>
          <w:szCs w:val="24"/>
        </w:rPr>
        <w:t xml:space="preserve"> výrob</w:t>
      </w:r>
      <w:r>
        <w:rPr>
          <w:sz w:val="24"/>
          <w:szCs w:val="24"/>
        </w:rPr>
        <w:t>u</w:t>
      </w:r>
      <w:r w:rsidRPr="00944155">
        <w:rPr>
          <w:sz w:val="24"/>
          <w:szCs w:val="24"/>
        </w:rPr>
        <w:t xml:space="preserve"> představuje členitý terén významný limit budoucího rozvoje</w:t>
      </w:r>
      <w:r>
        <w:rPr>
          <w:sz w:val="24"/>
          <w:szCs w:val="24"/>
        </w:rPr>
        <w:t xml:space="preserve"> zvláště tím, že</w:t>
      </w:r>
      <w:r w:rsidRPr="00944155">
        <w:rPr>
          <w:sz w:val="24"/>
          <w:szCs w:val="24"/>
        </w:rPr>
        <w:t xml:space="preserve"> nejsou k dispozici dostatečně velké rozvojové plochy. Obdobně působí nadmořská výška a svažitost, které s sebou nesou dodatečné náklady také pro nezbytnou infrastrukturu (silnice, železnice, kanalizace apod.). V sektoru služeb existují odvětví, pro která jsou naopak charakteristiky reliéfu pozitivní</w:t>
      </w:r>
      <w:r w:rsidR="008C6D7E">
        <w:rPr>
          <w:sz w:val="24"/>
          <w:szCs w:val="24"/>
        </w:rPr>
        <w:t xml:space="preserve"> – především se jedná o </w:t>
      </w:r>
      <w:r w:rsidRPr="00944155">
        <w:rPr>
          <w:sz w:val="24"/>
          <w:szCs w:val="24"/>
        </w:rPr>
        <w:t>cestovní ruch.</w:t>
      </w:r>
      <w:r>
        <w:rPr>
          <w:sz w:val="24"/>
          <w:szCs w:val="24"/>
        </w:rPr>
        <w:t xml:space="preserve"> </w:t>
      </w:r>
    </w:p>
    <w:p w:rsidR="006A2747" w:rsidRDefault="006A2747" w:rsidP="00423120">
      <w:pPr>
        <w:keepNext/>
        <w:widowControl w:val="0"/>
        <w:suppressLineNumbers/>
        <w:ind w:firstLine="720"/>
        <w:jc w:val="both"/>
        <w:rPr>
          <w:sz w:val="24"/>
          <w:szCs w:val="24"/>
        </w:rPr>
      </w:pPr>
      <w:r>
        <w:rPr>
          <w:sz w:val="24"/>
          <w:szCs w:val="24"/>
        </w:rPr>
        <w:t>K</w:t>
      </w:r>
      <w:r w:rsidRPr="00944155">
        <w:rPr>
          <w:sz w:val="24"/>
          <w:szCs w:val="24"/>
        </w:rPr>
        <w:t xml:space="preserve">lima má </w:t>
      </w:r>
      <w:r>
        <w:rPr>
          <w:sz w:val="24"/>
          <w:szCs w:val="24"/>
        </w:rPr>
        <w:t>z</w:t>
      </w:r>
      <w:r w:rsidRPr="00944155">
        <w:rPr>
          <w:sz w:val="24"/>
          <w:szCs w:val="24"/>
        </w:rPr>
        <w:t>e všeobecného pohledu klesající význam ve struktuře lokalizačních faktorů (Toušek, Kunc, Vystoupil a kol.</w:t>
      </w:r>
      <w:r>
        <w:rPr>
          <w:sz w:val="24"/>
          <w:szCs w:val="24"/>
        </w:rPr>
        <w:t>,</w:t>
      </w:r>
      <w:r w:rsidRPr="00944155">
        <w:rPr>
          <w:sz w:val="24"/>
          <w:szCs w:val="24"/>
        </w:rPr>
        <w:t xml:space="preserve"> 2008), resp. bariér regionálního rozvoje. S výkyvy klimatu je možné bojovat dostupnými technickými prostředky (klimatizace, zateplení, izolace, apod.), </w:t>
      </w:r>
      <w:r w:rsidRPr="00944155">
        <w:rPr>
          <w:sz w:val="24"/>
          <w:szCs w:val="24"/>
        </w:rPr>
        <w:lastRenderedPageBreak/>
        <w:t>je třeba však mít na paměti jak zvýšené fixní náklady (investice do stavebního řešení), tak variabilní náklady (zejména energie). Pro zemědělství pak klima znamená o poznání významnější faktor. S klimatem pak významně souvisí jeho environmentální dimenze. Zásady regionální politiky Č</w:t>
      </w:r>
      <w:r>
        <w:rPr>
          <w:sz w:val="24"/>
          <w:szCs w:val="24"/>
        </w:rPr>
        <w:t>eské republiky</w:t>
      </w:r>
      <w:r w:rsidRPr="00944155">
        <w:rPr>
          <w:sz w:val="24"/>
          <w:szCs w:val="24"/>
        </w:rPr>
        <w:t xml:space="preserve"> (1998) </w:t>
      </w:r>
      <w:r w:rsidR="006779EF">
        <w:rPr>
          <w:sz w:val="24"/>
          <w:szCs w:val="24"/>
        </w:rPr>
        <w:t>označují</w:t>
      </w:r>
      <w:r w:rsidRPr="00944155">
        <w:rPr>
          <w:sz w:val="24"/>
          <w:szCs w:val="24"/>
        </w:rPr>
        <w:t xml:space="preserve"> nepříznivý stav ovzduší</w:t>
      </w:r>
      <w:r>
        <w:rPr>
          <w:sz w:val="24"/>
          <w:szCs w:val="24"/>
        </w:rPr>
        <w:t>, který</w:t>
      </w:r>
      <w:r w:rsidRPr="00944155">
        <w:rPr>
          <w:sz w:val="24"/>
          <w:szCs w:val="24"/>
        </w:rPr>
        <w:t xml:space="preserve"> může podvazovat socioekonomický rozvoj území</w:t>
      </w:r>
      <w:r>
        <w:rPr>
          <w:sz w:val="24"/>
          <w:szCs w:val="24"/>
        </w:rPr>
        <w:t xml:space="preserve">, </w:t>
      </w:r>
      <w:r w:rsidR="006779EF">
        <w:rPr>
          <w:sz w:val="24"/>
          <w:szCs w:val="24"/>
        </w:rPr>
        <w:t>jako</w:t>
      </w:r>
      <w:r w:rsidRPr="00944155">
        <w:rPr>
          <w:sz w:val="24"/>
          <w:szCs w:val="24"/>
        </w:rPr>
        <w:t xml:space="preserve"> územně-technické problémy</w:t>
      </w:r>
      <w:r>
        <w:rPr>
          <w:sz w:val="24"/>
          <w:szCs w:val="24"/>
        </w:rPr>
        <w:t>.</w:t>
      </w:r>
      <w:r w:rsidRPr="00944155">
        <w:rPr>
          <w:sz w:val="24"/>
          <w:szCs w:val="24"/>
        </w:rPr>
        <w:t xml:space="preserve"> </w:t>
      </w:r>
    </w:p>
    <w:p w:rsidR="006A2747" w:rsidRPr="00944155" w:rsidRDefault="006A2747" w:rsidP="00423120">
      <w:pPr>
        <w:keepNext/>
        <w:widowControl w:val="0"/>
        <w:suppressLineNumbers/>
        <w:ind w:firstLine="720"/>
        <w:jc w:val="both"/>
        <w:rPr>
          <w:sz w:val="24"/>
          <w:szCs w:val="24"/>
        </w:rPr>
      </w:pPr>
      <w:r w:rsidRPr="00944155">
        <w:rPr>
          <w:sz w:val="24"/>
          <w:szCs w:val="24"/>
        </w:rPr>
        <w:t>Voda</w:t>
      </w:r>
      <w:r w:rsidR="00032341">
        <w:rPr>
          <w:sz w:val="24"/>
          <w:szCs w:val="24"/>
        </w:rPr>
        <w:t>,</w:t>
      </w:r>
      <w:r w:rsidRPr="00944155">
        <w:rPr>
          <w:sz w:val="24"/>
          <w:szCs w:val="24"/>
        </w:rPr>
        <w:t xml:space="preserve"> kromě toho, že je nezbytnou podmínkou života, patří podle A. Webera i mezi speciální lokalizační faktory (Hamalová a kol.</w:t>
      </w:r>
      <w:r>
        <w:rPr>
          <w:sz w:val="24"/>
          <w:szCs w:val="24"/>
        </w:rPr>
        <w:t>,</w:t>
      </w:r>
      <w:r w:rsidRPr="00944155">
        <w:rPr>
          <w:sz w:val="24"/>
          <w:szCs w:val="24"/>
        </w:rPr>
        <w:t xml:space="preserve"> 1996). Pro některé ekonomické aktivity je podstatná její dostatečná dostupnost (nelimitované množství), zejména pro potravinářské provozy pak také její kvalita (typicky výroba piva). Pro odvětví cestovního ruchu pak představuje klíčový prvek charakterizující lokalizaci středisek letní dovolené.</w:t>
      </w:r>
    </w:p>
    <w:p w:rsidR="006A2747" w:rsidRDefault="006A2747" w:rsidP="00423120">
      <w:pPr>
        <w:keepNext/>
        <w:widowControl w:val="0"/>
        <w:suppressLineNumbers/>
        <w:ind w:firstLine="720"/>
        <w:jc w:val="both"/>
        <w:rPr>
          <w:sz w:val="24"/>
          <w:szCs w:val="24"/>
        </w:rPr>
      </w:pPr>
      <w:r w:rsidRPr="00944155">
        <w:rPr>
          <w:sz w:val="24"/>
          <w:szCs w:val="24"/>
        </w:rPr>
        <w:t xml:space="preserve">Nerostné suroviny hrály podstatnou roli pro lokalizaci ekonomických aktivit </w:t>
      </w:r>
      <w:r>
        <w:rPr>
          <w:sz w:val="24"/>
          <w:szCs w:val="24"/>
        </w:rPr>
        <w:t>zvláště</w:t>
      </w:r>
      <w:r w:rsidRPr="00944155">
        <w:rPr>
          <w:sz w:val="24"/>
          <w:szCs w:val="24"/>
        </w:rPr>
        <w:t xml:space="preserve"> ve druhé polovině </w:t>
      </w:r>
      <w:r w:rsidR="00032341">
        <w:rPr>
          <w:sz w:val="24"/>
          <w:szCs w:val="24"/>
        </w:rPr>
        <w:t>19. století. S rozvojem dopravy</w:t>
      </w:r>
      <w:r w:rsidRPr="00944155">
        <w:rPr>
          <w:sz w:val="24"/>
          <w:szCs w:val="24"/>
        </w:rPr>
        <w:t xml:space="preserve"> </w:t>
      </w:r>
      <w:proofErr w:type="gramStart"/>
      <w:r w:rsidRPr="00944155">
        <w:rPr>
          <w:sz w:val="24"/>
          <w:szCs w:val="24"/>
        </w:rPr>
        <w:t>spojeném</w:t>
      </w:r>
      <w:proofErr w:type="gramEnd"/>
      <w:r w:rsidRPr="00944155">
        <w:rPr>
          <w:sz w:val="24"/>
          <w:szCs w:val="24"/>
        </w:rPr>
        <w:t xml:space="preserve"> se snižováním její ceny došlo postupně k výraznému oddělení průmyslové výroby od míst nalezišť nerostných surovin. Tento proces byl tím rychlejší, čím jsou pro konkrétní surovinu typičtější nižší váhové ztráty v průběhu zpracování. V místech těžby, kde byl původně lokalizován také navazující průmysl, proto často došlo k úpadku a následné restrukturalizaci ekonomiky regionu.</w:t>
      </w:r>
      <w:r>
        <w:rPr>
          <w:sz w:val="24"/>
          <w:szCs w:val="24"/>
        </w:rPr>
        <w:t xml:space="preserve"> </w:t>
      </w:r>
    </w:p>
    <w:p w:rsidR="006A2747" w:rsidRPr="00944155" w:rsidRDefault="006A2747" w:rsidP="00423120">
      <w:pPr>
        <w:keepNext/>
        <w:widowControl w:val="0"/>
        <w:suppressLineNumbers/>
        <w:ind w:firstLine="720"/>
        <w:jc w:val="both"/>
        <w:rPr>
          <w:sz w:val="24"/>
          <w:szCs w:val="24"/>
        </w:rPr>
      </w:pPr>
      <w:r w:rsidRPr="00944155">
        <w:rPr>
          <w:sz w:val="24"/>
          <w:szCs w:val="24"/>
        </w:rPr>
        <w:t xml:space="preserve">Půda je, jak již bylo uvedeno v první </w:t>
      </w:r>
      <w:r w:rsidR="008C6D7E">
        <w:rPr>
          <w:sz w:val="24"/>
          <w:szCs w:val="24"/>
        </w:rPr>
        <w:t>kapitole, prostorově omezeným a </w:t>
      </w:r>
      <w:r w:rsidRPr="00944155">
        <w:rPr>
          <w:sz w:val="24"/>
          <w:szCs w:val="24"/>
        </w:rPr>
        <w:t>nepřemístitelným výrobním faktorem. Právě její limitní množství hraje zásad</w:t>
      </w:r>
      <w:r w:rsidR="008C6D7E">
        <w:rPr>
          <w:sz w:val="24"/>
          <w:szCs w:val="24"/>
        </w:rPr>
        <w:t>ní vliv při </w:t>
      </w:r>
      <w:r w:rsidRPr="00944155">
        <w:rPr>
          <w:sz w:val="24"/>
          <w:szCs w:val="24"/>
        </w:rPr>
        <w:t xml:space="preserve">rozvoji území. Půda však není homogenním faktorem z hlediska její kvality, která je také určující pro tzv. funkční využití zavedené člověkem za účelem efektivního </w:t>
      </w:r>
      <w:r>
        <w:rPr>
          <w:sz w:val="24"/>
          <w:szCs w:val="24"/>
        </w:rPr>
        <w:t xml:space="preserve">a </w:t>
      </w:r>
      <w:r w:rsidRPr="00944155">
        <w:rPr>
          <w:sz w:val="24"/>
          <w:szCs w:val="24"/>
        </w:rPr>
        <w:t xml:space="preserve">vyváženého využívání území. Kvalita půdy je zásadní především pro lokalizaci zemědělské výroby, v rámci globalizované ekonomiky se však </w:t>
      </w:r>
      <w:r w:rsidR="000724A0">
        <w:rPr>
          <w:sz w:val="24"/>
          <w:szCs w:val="24"/>
        </w:rPr>
        <w:t>i tento pohled mění. Maier, Čtyr</w:t>
      </w:r>
      <w:r w:rsidRPr="00944155">
        <w:rPr>
          <w:sz w:val="24"/>
          <w:szCs w:val="24"/>
        </w:rPr>
        <w:t>oký (2001) popisují možné řešení existence neelastické nabídky půdy (situace, kdy nejsou pozemky určitého typu na trhu dostupné při jakékoliv ceně). Množství pozemků určitého typu (např. stavebních pozemků pro rozvoj bydlení či podnikání) lze zvýšit změnou funkčního využití jiných typů pozemků (např. zemědělských či lesních pozemků).</w:t>
      </w:r>
    </w:p>
    <w:p w:rsidR="00C20C25" w:rsidRPr="00A91347" w:rsidRDefault="00C20C25" w:rsidP="00890421">
      <w:pPr>
        <w:pStyle w:val="02-Nadpis2"/>
      </w:pPr>
      <w:bookmarkStart w:id="103" w:name="_Toc382327204"/>
      <w:r w:rsidRPr="00A91347">
        <w:t>3.6.  Praktické příklady</w:t>
      </w:r>
      <w:bookmarkEnd w:id="103"/>
    </w:p>
    <w:p w:rsidR="00FB255A" w:rsidRPr="00A91347" w:rsidRDefault="00C20C25" w:rsidP="00890421">
      <w:pPr>
        <w:pStyle w:val="03-Nadpis3"/>
      </w:pPr>
      <w:bookmarkStart w:id="104" w:name="_Toc382327205"/>
      <w:r w:rsidRPr="00A91347">
        <w:t>3.6.1. Vybrané regionální míry</w:t>
      </w:r>
      <w:bookmarkEnd w:id="104"/>
    </w:p>
    <w:p w:rsidR="006A2747" w:rsidRPr="009948BF" w:rsidRDefault="006A2747" w:rsidP="00423120">
      <w:pPr>
        <w:keepNext/>
        <w:suppressLineNumbers/>
        <w:ind w:firstLine="720"/>
        <w:jc w:val="both"/>
        <w:rPr>
          <w:rFonts w:eastAsia="Calibri"/>
          <w:sz w:val="24"/>
          <w:szCs w:val="24"/>
          <w:lang w:eastAsia="en-US"/>
        </w:rPr>
      </w:pPr>
      <w:r w:rsidRPr="009948BF">
        <w:rPr>
          <w:rFonts w:eastAsia="Calibri"/>
          <w:sz w:val="24"/>
          <w:szCs w:val="24"/>
          <w:lang w:eastAsia="en-US"/>
        </w:rPr>
        <w:t>Důležitou součástí   regionální</w:t>
      </w:r>
      <w:r>
        <w:rPr>
          <w:rFonts w:eastAsia="Calibri"/>
          <w:sz w:val="24"/>
          <w:szCs w:val="24"/>
          <w:lang w:eastAsia="en-US"/>
        </w:rPr>
        <w:t>ch</w:t>
      </w:r>
      <w:r w:rsidRPr="009948BF">
        <w:rPr>
          <w:rFonts w:eastAsia="Calibri"/>
          <w:sz w:val="24"/>
          <w:szCs w:val="24"/>
          <w:lang w:eastAsia="en-US"/>
        </w:rPr>
        <w:t xml:space="preserve"> analýz je hodnocení odvětvové specializace, a to jak z hlediska významu prostorové koncentrace </w:t>
      </w:r>
      <w:r>
        <w:rPr>
          <w:rFonts w:eastAsia="Calibri"/>
          <w:sz w:val="24"/>
          <w:szCs w:val="24"/>
          <w:lang w:eastAsia="en-US"/>
        </w:rPr>
        <w:t xml:space="preserve">jednotlivých </w:t>
      </w:r>
      <w:r w:rsidRPr="009948BF">
        <w:rPr>
          <w:rFonts w:eastAsia="Calibri"/>
          <w:sz w:val="24"/>
          <w:szCs w:val="24"/>
          <w:lang w:eastAsia="en-US"/>
        </w:rPr>
        <w:t>aktivit, tak z hlediska posuzování ekonomické stability. V </w:t>
      </w:r>
      <w:r w:rsidRPr="00556537">
        <w:rPr>
          <w:rFonts w:eastAsia="Calibri"/>
          <w:sz w:val="24"/>
          <w:szCs w:val="24"/>
          <w:lang w:eastAsia="en-US"/>
        </w:rPr>
        <w:t xml:space="preserve">následujícím textu je pozornost věnována především indexu specializace a diverzifikace, ale také mapování klastrů. Společným ukazatelem propojující tyto metody je lokalizační kvocient, který nejčastěji </w:t>
      </w:r>
      <w:r w:rsidRPr="009948BF">
        <w:rPr>
          <w:rFonts w:eastAsia="Calibri"/>
          <w:sz w:val="24"/>
          <w:szCs w:val="24"/>
          <w:lang w:eastAsia="en-US"/>
        </w:rPr>
        <w:t>vychází z podílu zaměstnanosti, která se jeví jako nejvhodn</w:t>
      </w:r>
      <w:r>
        <w:rPr>
          <w:rFonts w:eastAsia="Calibri"/>
          <w:sz w:val="24"/>
          <w:szCs w:val="24"/>
          <w:lang w:eastAsia="en-US"/>
        </w:rPr>
        <w:t>ější</w:t>
      </w:r>
      <w:r w:rsidRPr="009948BF">
        <w:rPr>
          <w:rFonts w:eastAsia="Calibri"/>
          <w:sz w:val="24"/>
          <w:szCs w:val="24"/>
          <w:lang w:eastAsia="en-US"/>
        </w:rPr>
        <w:t xml:space="preserve"> ukazatel pro měření odvětvové struktury regionálních i národních ekonomik.</w:t>
      </w:r>
    </w:p>
    <w:p w:rsidR="006A2747" w:rsidRPr="009D1BEA" w:rsidRDefault="006A2747" w:rsidP="00423120">
      <w:pPr>
        <w:keepNext/>
        <w:suppressLineNumbers/>
        <w:jc w:val="both"/>
        <w:rPr>
          <w:rFonts w:eastAsia="Calibri"/>
          <w:b/>
          <w:sz w:val="24"/>
          <w:szCs w:val="24"/>
          <w:lang w:eastAsia="en-US"/>
        </w:rPr>
      </w:pPr>
      <w:r w:rsidRPr="009D1BEA">
        <w:rPr>
          <w:rFonts w:eastAsia="Calibri"/>
          <w:b/>
          <w:sz w:val="24"/>
          <w:szCs w:val="24"/>
          <w:lang w:eastAsia="en-US"/>
        </w:rPr>
        <w:t>Specializace</w:t>
      </w:r>
    </w:p>
    <w:p w:rsidR="006A2747" w:rsidRPr="000903C8" w:rsidRDefault="006A2747" w:rsidP="00C50835">
      <w:pPr>
        <w:keepNext/>
        <w:suppressLineNumbers/>
        <w:spacing w:after="120"/>
        <w:ind w:firstLine="720"/>
        <w:jc w:val="both"/>
        <w:rPr>
          <w:rFonts w:eastAsia="Calibri"/>
          <w:sz w:val="24"/>
          <w:szCs w:val="24"/>
          <w:lang w:eastAsia="en-US"/>
        </w:rPr>
      </w:pPr>
      <w:r w:rsidRPr="000903C8">
        <w:rPr>
          <w:rFonts w:eastAsia="Calibri"/>
          <w:sz w:val="24"/>
          <w:szCs w:val="24"/>
          <w:lang w:eastAsia="en-US"/>
        </w:rPr>
        <w:t xml:space="preserve">Má-li být zkoumána specializace regionu, znamená to, že předmětem zájmu je odvětvová struktura daného regionu. Pojem specializace nelze zaměňovat s prostorovou </w:t>
      </w:r>
      <w:r w:rsidRPr="000903C8">
        <w:rPr>
          <w:rFonts w:eastAsia="Calibri"/>
          <w:sz w:val="24"/>
          <w:szCs w:val="24"/>
          <w:lang w:eastAsia="en-US"/>
        </w:rPr>
        <w:lastRenderedPageBreak/>
        <w:t>koncentrací, která naopak hodnotí rozložení nějakého odvětví do jednotlivých regionů, tedy z národohospodářského hlediska (Čadil</w:t>
      </w:r>
      <w:r>
        <w:rPr>
          <w:rFonts w:eastAsia="Calibri"/>
          <w:sz w:val="24"/>
          <w:szCs w:val="24"/>
          <w:lang w:eastAsia="en-US"/>
        </w:rPr>
        <w:t>,</w:t>
      </w:r>
      <w:r w:rsidRPr="000903C8">
        <w:rPr>
          <w:rFonts w:eastAsia="Calibri"/>
          <w:sz w:val="24"/>
          <w:szCs w:val="24"/>
          <w:lang w:eastAsia="en-US"/>
        </w:rPr>
        <w:t xml:space="preserve"> 2010)</w:t>
      </w:r>
      <w:r w:rsidR="00292BA8">
        <w:rPr>
          <w:rFonts w:eastAsia="Calibri"/>
          <w:sz w:val="24"/>
          <w:szCs w:val="24"/>
          <w:lang w:eastAsia="en-US"/>
        </w:rPr>
        <w:t>.</w:t>
      </w:r>
      <w:r w:rsidRPr="000903C8">
        <w:rPr>
          <w:rFonts w:eastAsia="Calibri"/>
          <w:sz w:val="24"/>
          <w:szCs w:val="24"/>
          <w:lang w:eastAsia="en-US"/>
        </w:rPr>
        <w:t xml:space="preserve"> Pro analýzu specializace lze použít index specializace, který je definován takto:</w:t>
      </w:r>
    </w:p>
    <w:p w:rsidR="006A2747" w:rsidRPr="00292BA8" w:rsidRDefault="00C50835" w:rsidP="00504C06">
      <w:pPr>
        <w:keepNext/>
        <w:suppressLineNumbers/>
        <w:spacing w:after="120"/>
        <w:jc w:val="center"/>
        <w:rPr>
          <w:rFonts w:eastAsia="Calibri"/>
          <w:sz w:val="24"/>
          <w:szCs w:val="24"/>
          <w:lang w:eastAsia="en-US"/>
        </w:rPr>
      </w:pPr>
      <w:r w:rsidRPr="00516360">
        <w:rPr>
          <w:rFonts w:eastAsia="Calibri"/>
          <w:color w:val="FF0000"/>
          <w:position w:val="-70"/>
          <w:sz w:val="24"/>
          <w:szCs w:val="24"/>
          <w:lang w:eastAsia="en-US"/>
        </w:rPr>
        <w:object w:dxaOrig="1500" w:dyaOrig="1425">
          <v:shape id="_x0000_i1034" type="#_x0000_t75" style="width:71.25pt;height:67.5pt" o:ole="">
            <v:imagedata r:id="rId58" o:title=""/>
          </v:shape>
          <o:OLEObject Type="Embed" ProgID="Equation.3" ShapeID="_x0000_i1034" DrawAspect="Content" ObjectID="_1456295322" r:id="rId59"/>
        </w:object>
      </w:r>
      <w:r w:rsidR="00292BA8">
        <w:rPr>
          <w:rFonts w:eastAsia="Calibri"/>
          <w:sz w:val="24"/>
          <w:szCs w:val="24"/>
          <w:lang w:eastAsia="en-US"/>
        </w:rPr>
        <w:t>,</w:t>
      </w:r>
    </w:p>
    <w:p w:rsidR="006A2747" w:rsidRPr="000903C8" w:rsidRDefault="006A2747" w:rsidP="00C50835">
      <w:pPr>
        <w:keepNext/>
        <w:suppressLineNumbers/>
        <w:spacing w:after="120"/>
        <w:jc w:val="both"/>
        <w:rPr>
          <w:rFonts w:eastAsia="Calibri"/>
          <w:sz w:val="24"/>
          <w:szCs w:val="24"/>
          <w:lang w:eastAsia="en-US"/>
        </w:rPr>
      </w:pPr>
      <w:r w:rsidRPr="000903C8">
        <w:rPr>
          <w:rFonts w:eastAsia="Calibri"/>
          <w:sz w:val="24"/>
          <w:szCs w:val="24"/>
          <w:lang w:eastAsia="en-US"/>
        </w:rPr>
        <w:t>kde X</w:t>
      </w:r>
      <w:r w:rsidRPr="000903C8">
        <w:rPr>
          <w:rFonts w:eastAsia="Calibri"/>
          <w:sz w:val="24"/>
          <w:szCs w:val="24"/>
          <w:vertAlign w:val="subscript"/>
          <w:lang w:eastAsia="en-US"/>
        </w:rPr>
        <w:t>i</w:t>
      </w:r>
      <w:r w:rsidRPr="000903C8">
        <w:rPr>
          <w:rFonts w:eastAsia="Calibri"/>
          <w:sz w:val="24"/>
          <w:szCs w:val="24"/>
          <w:lang w:eastAsia="en-US"/>
        </w:rPr>
        <w:t xml:space="preserve"> je počet zaměstnaných v odvětví </w:t>
      </w:r>
      <w:r w:rsidRPr="0068441B">
        <w:rPr>
          <w:rFonts w:eastAsia="Calibri"/>
          <w:i/>
          <w:sz w:val="24"/>
          <w:szCs w:val="24"/>
          <w:lang w:eastAsia="en-US"/>
        </w:rPr>
        <w:t xml:space="preserve">i </w:t>
      </w:r>
      <w:r w:rsidRPr="000903C8">
        <w:rPr>
          <w:rFonts w:eastAsia="Calibri"/>
          <w:sz w:val="24"/>
          <w:szCs w:val="24"/>
          <w:lang w:eastAsia="en-US"/>
        </w:rPr>
        <w:t>v daném regionu. Index specializace</w:t>
      </w:r>
      <w:r w:rsidR="00292BA8">
        <w:rPr>
          <w:rFonts w:eastAsia="Calibri"/>
          <w:sz w:val="24"/>
          <w:szCs w:val="24"/>
          <w:lang w:eastAsia="en-US"/>
        </w:rPr>
        <w:t xml:space="preserve"> </w:t>
      </w:r>
      <w:r>
        <w:rPr>
          <w:rFonts w:eastAsia="Calibri"/>
          <w:sz w:val="24"/>
          <w:szCs w:val="24"/>
          <w:lang w:eastAsia="en-US"/>
        </w:rPr>
        <w:t xml:space="preserve">(IS) </w:t>
      </w:r>
      <w:r w:rsidR="00292BA8">
        <w:rPr>
          <w:rFonts w:eastAsia="Calibri"/>
          <w:sz w:val="24"/>
          <w:szCs w:val="24"/>
          <w:lang w:eastAsia="en-US"/>
        </w:rPr>
        <w:t>nabývá hodnot od 0 do 1. Č</w:t>
      </w:r>
      <w:r w:rsidRPr="000903C8">
        <w:rPr>
          <w:rFonts w:eastAsia="Calibri"/>
          <w:sz w:val="24"/>
          <w:szCs w:val="24"/>
          <w:lang w:eastAsia="en-US"/>
        </w:rPr>
        <w:t xml:space="preserve">ím vyšší je jeho hodnota indexu, tím vyšší je specializace </w:t>
      </w:r>
      <w:r>
        <w:rPr>
          <w:rFonts w:eastAsia="Calibri"/>
          <w:sz w:val="24"/>
          <w:szCs w:val="24"/>
          <w:lang w:eastAsia="en-US"/>
        </w:rPr>
        <w:t xml:space="preserve">daného regionu </w:t>
      </w:r>
      <w:r w:rsidRPr="000903C8">
        <w:rPr>
          <w:rFonts w:eastAsia="Calibri"/>
          <w:sz w:val="24"/>
          <w:szCs w:val="24"/>
          <w:lang w:eastAsia="en-US"/>
        </w:rPr>
        <w:t xml:space="preserve">(za vysokou hodnotu lze považovat IS &gt; 0,7). </w:t>
      </w:r>
      <w:r>
        <w:rPr>
          <w:rFonts w:eastAsia="Calibri"/>
          <w:sz w:val="24"/>
          <w:szCs w:val="24"/>
          <w:lang w:eastAsia="en-US"/>
        </w:rPr>
        <w:t>V</w:t>
      </w:r>
      <w:r w:rsidRPr="000903C8">
        <w:rPr>
          <w:rFonts w:eastAsia="Calibri"/>
          <w:sz w:val="24"/>
          <w:szCs w:val="24"/>
          <w:lang w:eastAsia="en-US"/>
        </w:rPr>
        <w:t xml:space="preserve"> českých krajích jsou </w:t>
      </w:r>
      <w:r>
        <w:rPr>
          <w:rFonts w:eastAsia="Calibri"/>
          <w:sz w:val="24"/>
          <w:szCs w:val="24"/>
          <w:lang w:eastAsia="en-US"/>
        </w:rPr>
        <w:t>h</w:t>
      </w:r>
      <w:r w:rsidRPr="000903C8">
        <w:rPr>
          <w:rFonts w:eastAsia="Calibri"/>
          <w:sz w:val="24"/>
          <w:szCs w:val="24"/>
          <w:lang w:eastAsia="en-US"/>
        </w:rPr>
        <w:t>odnoty IS velmi nízké, pohybují se od 0,076 v Praze až po 0,170 ve Zlínském kraji. K výraznější specializaci tedy nedochází.</w:t>
      </w:r>
    </w:p>
    <w:p w:rsidR="006A2747" w:rsidRPr="00DE18F9" w:rsidRDefault="006A2747" w:rsidP="003B3C75">
      <w:pPr>
        <w:pStyle w:val="0T-Titulek"/>
      </w:pPr>
      <w:bookmarkStart w:id="105" w:name="_Toc382326450"/>
      <w:r w:rsidRPr="00DE18F9">
        <w:t>Tabulka 23: Index specializace v českých krajích (2012)</w:t>
      </w:r>
      <w:bookmarkEnd w:id="105"/>
    </w:p>
    <w:tbl>
      <w:tblPr>
        <w:tblStyle w:val="Mkatabulky6"/>
        <w:tblW w:w="9072" w:type="dxa"/>
        <w:tblLook w:val="04A0" w:firstRow="1" w:lastRow="0" w:firstColumn="1" w:lastColumn="0" w:noHBand="0" w:noVBand="1"/>
      </w:tblPr>
      <w:tblGrid>
        <w:gridCol w:w="617"/>
        <w:gridCol w:w="617"/>
        <w:gridCol w:w="617"/>
        <w:gridCol w:w="617"/>
        <w:gridCol w:w="617"/>
        <w:gridCol w:w="617"/>
        <w:gridCol w:w="616"/>
        <w:gridCol w:w="616"/>
        <w:gridCol w:w="616"/>
        <w:gridCol w:w="616"/>
        <w:gridCol w:w="616"/>
        <w:gridCol w:w="616"/>
        <w:gridCol w:w="616"/>
        <w:gridCol w:w="616"/>
        <w:gridCol w:w="658"/>
      </w:tblGrid>
      <w:tr w:rsidR="006A2747" w:rsidRPr="00516360" w:rsidTr="00504C06">
        <w:trPr>
          <w:trHeight w:hRule="exact" w:val="284"/>
        </w:trPr>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57" w:right="-57"/>
              <w:jc w:val="center"/>
            </w:pPr>
            <w:r w:rsidRPr="008C6D7E">
              <w:t>PHA</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57" w:right="-57"/>
              <w:jc w:val="center"/>
            </w:pPr>
            <w:r w:rsidRPr="008C6D7E">
              <w:t>SČK</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57" w:right="-57"/>
              <w:jc w:val="center"/>
            </w:pPr>
            <w:r w:rsidRPr="008C6D7E">
              <w:t>JČK</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57" w:right="-57"/>
              <w:jc w:val="center"/>
            </w:pPr>
            <w:r w:rsidRPr="008C6D7E">
              <w:t>PLK</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57" w:right="-57"/>
              <w:jc w:val="center"/>
            </w:pPr>
            <w:r w:rsidRPr="008C6D7E">
              <w:t>KVK</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57" w:right="-57"/>
              <w:jc w:val="center"/>
            </w:pPr>
            <w:r w:rsidRPr="008C6D7E">
              <w:t>ULK</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57" w:right="-57"/>
              <w:jc w:val="center"/>
            </w:pPr>
            <w:r w:rsidRPr="008C6D7E">
              <w:t>LIK</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57" w:right="-57"/>
              <w:jc w:val="center"/>
            </w:pPr>
            <w:r w:rsidRPr="008C6D7E">
              <w:t>KHK</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57" w:right="-57"/>
              <w:jc w:val="center"/>
            </w:pPr>
            <w:r w:rsidRPr="008C6D7E">
              <w:t>PUK</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57" w:right="-57"/>
              <w:jc w:val="center"/>
            </w:pPr>
            <w:r w:rsidRPr="008C6D7E">
              <w:t>VYS</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57" w:right="-57"/>
              <w:jc w:val="center"/>
            </w:pPr>
            <w:r w:rsidRPr="008C6D7E">
              <w:t>JMK</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57" w:right="-57"/>
              <w:jc w:val="center"/>
            </w:pPr>
            <w:r w:rsidRPr="008C6D7E">
              <w:t>OLK</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57" w:right="-57"/>
              <w:jc w:val="center"/>
            </w:pPr>
            <w:r w:rsidRPr="008C6D7E">
              <w:t>ZLK</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57" w:right="-57"/>
              <w:jc w:val="center"/>
            </w:pPr>
            <w:r w:rsidRPr="008C6D7E">
              <w:t>MSK</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57" w:right="-57"/>
              <w:jc w:val="center"/>
            </w:pPr>
            <w:r w:rsidRPr="008C6D7E">
              <w:t>ČR</w:t>
            </w:r>
          </w:p>
        </w:tc>
      </w:tr>
      <w:tr w:rsidR="006A2747" w:rsidRPr="00516360" w:rsidTr="00504C06">
        <w:trPr>
          <w:trHeight w:hRule="exact" w:val="284"/>
        </w:trPr>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113" w:right="-113"/>
              <w:jc w:val="center"/>
            </w:pPr>
            <w:r w:rsidRPr="008C6D7E">
              <w:t>0,076</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113" w:right="-113"/>
              <w:jc w:val="center"/>
            </w:pPr>
            <w:r w:rsidRPr="008C6D7E">
              <w:t>0,113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113" w:right="-113"/>
              <w:jc w:val="center"/>
            </w:pPr>
            <w:r w:rsidRPr="008C6D7E">
              <w:t>0,129</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113" w:right="-113"/>
              <w:jc w:val="center"/>
            </w:pPr>
            <w:r w:rsidRPr="008C6D7E">
              <w:t>0,133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113" w:right="-113"/>
              <w:jc w:val="center"/>
            </w:pPr>
            <w:r w:rsidRPr="008C6D7E">
              <w:t>0,113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113" w:right="-113"/>
              <w:jc w:val="center"/>
            </w:pPr>
            <w:r w:rsidRPr="008C6D7E">
              <w:t>0,121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113" w:right="-113"/>
              <w:jc w:val="center"/>
            </w:pPr>
            <w:r w:rsidRPr="008C6D7E">
              <w:t>0,168</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113" w:right="-113"/>
              <w:jc w:val="center"/>
            </w:pPr>
            <w:r w:rsidRPr="008C6D7E">
              <w:t>0,141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113" w:right="-113"/>
              <w:jc w:val="center"/>
            </w:pPr>
            <w:r w:rsidRPr="008C6D7E">
              <w:t>0,155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113" w:right="-113"/>
              <w:jc w:val="center"/>
            </w:pPr>
            <w:r w:rsidRPr="008C6D7E">
              <w:t>0,146</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113" w:right="-113"/>
              <w:jc w:val="center"/>
            </w:pPr>
            <w:r w:rsidRPr="008C6D7E">
              <w:t>0,115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113" w:right="-113"/>
              <w:jc w:val="center"/>
            </w:pPr>
            <w:r w:rsidRPr="008C6D7E">
              <w:t>0,143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113" w:right="-113"/>
              <w:jc w:val="center"/>
            </w:pPr>
            <w:r w:rsidRPr="008C6D7E">
              <w:t>0,170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113" w:right="-113"/>
              <w:jc w:val="center"/>
            </w:pPr>
            <w:r w:rsidRPr="008C6D7E">
              <w:t>0,132</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6A2747" w:rsidRPr="008C6D7E" w:rsidRDefault="006A2747" w:rsidP="00423120">
            <w:pPr>
              <w:keepNext/>
              <w:suppressLineNumbers/>
              <w:ind w:left="-113" w:right="-113"/>
              <w:jc w:val="center"/>
            </w:pPr>
            <w:r w:rsidRPr="008C6D7E">
              <w:t>0,117</w:t>
            </w:r>
          </w:p>
        </w:tc>
      </w:tr>
    </w:tbl>
    <w:p w:rsidR="006A2747" w:rsidRPr="005367DB" w:rsidRDefault="006A2747" w:rsidP="00292BA8">
      <w:pPr>
        <w:keepNext/>
        <w:suppressLineNumbers/>
        <w:ind w:left="-113"/>
        <w:jc w:val="center"/>
        <w:rPr>
          <w:rFonts w:asciiTheme="minorHAnsi" w:eastAsia="Calibri" w:hAnsiTheme="minorHAnsi" w:cstheme="minorHAnsi"/>
          <w:i/>
          <w:lang w:eastAsia="en-US"/>
        </w:rPr>
      </w:pPr>
      <w:r w:rsidRPr="005367DB">
        <w:rPr>
          <w:rFonts w:asciiTheme="minorHAnsi" w:eastAsia="Calibri" w:hAnsiTheme="minorHAnsi" w:cstheme="minorHAnsi"/>
          <w:i/>
          <w:lang w:eastAsia="en-US"/>
        </w:rPr>
        <w:t>Pramen: data ČSÚ, vlastní výpočty.</w:t>
      </w:r>
    </w:p>
    <w:p w:rsidR="006A2747" w:rsidRPr="0068441B" w:rsidRDefault="006A2747" w:rsidP="00423120">
      <w:pPr>
        <w:keepNext/>
        <w:suppressLineNumbers/>
        <w:jc w:val="both"/>
        <w:rPr>
          <w:rFonts w:eastAsia="Calibri"/>
          <w:b/>
          <w:sz w:val="24"/>
          <w:szCs w:val="24"/>
          <w:lang w:eastAsia="en-US"/>
        </w:rPr>
      </w:pPr>
      <w:r w:rsidRPr="0068441B">
        <w:rPr>
          <w:rFonts w:eastAsia="Calibri"/>
          <w:b/>
          <w:sz w:val="24"/>
          <w:szCs w:val="24"/>
          <w:lang w:eastAsia="en-US"/>
        </w:rPr>
        <w:t>Lokalizační kvocient</w:t>
      </w:r>
    </w:p>
    <w:p w:rsidR="006A2747" w:rsidRPr="0068441B" w:rsidRDefault="006A2747" w:rsidP="00504C06">
      <w:pPr>
        <w:keepNext/>
        <w:suppressLineNumbers/>
        <w:spacing w:after="120"/>
        <w:ind w:firstLine="720"/>
        <w:jc w:val="both"/>
        <w:rPr>
          <w:rFonts w:eastAsia="Calibri"/>
          <w:sz w:val="24"/>
          <w:szCs w:val="24"/>
          <w:lang w:eastAsia="en-US"/>
        </w:rPr>
      </w:pPr>
      <w:r>
        <w:rPr>
          <w:rFonts w:eastAsia="Calibri"/>
          <w:sz w:val="24"/>
          <w:szCs w:val="24"/>
          <w:lang w:eastAsia="en-US"/>
        </w:rPr>
        <w:t>L</w:t>
      </w:r>
      <w:r w:rsidRPr="0068441B">
        <w:rPr>
          <w:rFonts w:eastAsia="Calibri"/>
          <w:sz w:val="24"/>
          <w:szCs w:val="24"/>
          <w:lang w:eastAsia="en-US"/>
        </w:rPr>
        <w:t xml:space="preserve">okalizační kvocient </w:t>
      </w:r>
      <w:r>
        <w:rPr>
          <w:rFonts w:eastAsia="Calibri"/>
          <w:sz w:val="24"/>
          <w:szCs w:val="24"/>
          <w:lang w:eastAsia="en-US"/>
        </w:rPr>
        <w:t xml:space="preserve">(LQ) je často </w:t>
      </w:r>
      <w:r w:rsidRPr="0068441B">
        <w:rPr>
          <w:rFonts w:eastAsia="Calibri"/>
          <w:sz w:val="24"/>
          <w:szCs w:val="24"/>
          <w:lang w:eastAsia="en-US"/>
        </w:rPr>
        <w:t>využ</w:t>
      </w:r>
      <w:r>
        <w:rPr>
          <w:rFonts w:eastAsia="Calibri"/>
          <w:sz w:val="24"/>
          <w:szCs w:val="24"/>
          <w:lang w:eastAsia="en-US"/>
        </w:rPr>
        <w:t xml:space="preserve">ívaný pro </w:t>
      </w:r>
      <w:r w:rsidRPr="0068441B">
        <w:rPr>
          <w:rFonts w:eastAsia="Calibri"/>
          <w:sz w:val="24"/>
          <w:szCs w:val="24"/>
          <w:lang w:eastAsia="en-US"/>
        </w:rPr>
        <w:t>hodnocení prostorové koncentrace</w:t>
      </w:r>
      <w:r w:rsidR="008C6D7E">
        <w:rPr>
          <w:rFonts w:eastAsia="Calibri"/>
          <w:sz w:val="24"/>
          <w:szCs w:val="24"/>
          <w:lang w:eastAsia="en-US"/>
        </w:rPr>
        <w:t xml:space="preserve"> a </w:t>
      </w:r>
      <w:r>
        <w:rPr>
          <w:rFonts w:eastAsia="Calibri"/>
          <w:sz w:val="24"/>
          <w:szCs w:val="24"/>
          <w:lang w:eastAsia="en-US"/>
        </w:rPr>
        <w:t>jeho výpočet lze zapsat takto</w:t>
      </w:r>
      <w:r w:rsidRPr="0068441B">
        <w:rPr>
          <w:rFonts w:eastAsia="Calibri"/>
          <w:sz w:val="24"/>
          <w:szCs w:val="24"/>
          <w:lang w:eastAsia="en-US"/>
        </w:rPr>
        <w:t>:</w:t>
      </w:r>
    </w:p>
    <w:p w:rsidR="006A2747" w:rsidRPr="00292BA8" w:rsidRDefault="00C50835" w:rsidP="00504C06">
      <w:pPr>
        <w:keepNext/>
        <w:suppressLineNumbers/>
        <w:spacing w:after="120"/>
        <w:jc w:val="center"/>
        <w:rPr>
          <w:rFonts w:eastAsia="Calibri"/>
          <w:sz w:val="24"/>
          <w:szCs w:val="24"/>
          <w:lang w:eastAsia="en-US"/>
        </w:rPr>
      </w:pPr>
      <w:r w:rsidRPr="00516360">
        <w:rPr>
          <w:rFonts w:eastAsia="Calibri"/>
          <w:color w:val="FF0000"/>
          <w:position w:val="-92"/>
          <w:sz w:val="24"/>
          <w:szCs w:val="24"/>
          <w:lang w:eastAsia="en-US"/>
        </w:rPr>
        <w:object w:dxaOrig="1290" w:dyaOrig="1950">
          <v:shape id="_x0000_i1035" type="#_x0000_t75" style="width:58.5pt;height:88.5pt" o:ole="">
            <v:imagedata r:id="rId60" o:title=""/>
          </v:shape>
          <o:OLEObject Type="Embed" ProgID="Equation.3" ShapeID="_x0000_i1035" DrawAspect="Content" ObjectID="_1456295323" r:id="rId61"/>
        </w:object>
      </w:r>
      <w:r w:rsidR="006A2747" w:rsidRPr="00292BA8">
        <w:rPr>
          <w:rFonts w:eastAsia="Calibri"/>
          <w:sz w:val="24"/>
          <w:szCs w:val="24"/>
          <w:lang w:eastAsia="en-US"/>
        </w:rPr>
        <w:t>,</w:t>
      </w:r>
    </w:p>
    <w:p w:rsidR="006A2747" w:rsidRDefault="006A2747" w:rsidP="00423120">
      <w:pPr>
        <w:keepNext/>
        <w:suppressLineNumbers/>
        <w:jc w:val="both"/>
        <w:rPr>
          <w:rFonts w:eastAsia="Calibri"/>
          <w:sz w:val="24"/>
          <w:szCs w:val="24"/>
          <w:lang w:eastAsia="en-US"/>
        </w:rPr>
      </w:pPr>
      <w:r w:rsidRPr="0068441B">
        <w:rPr>
          <w:rFonts w:eastAsia="Calibri"/>
          <w:sz w:val="24"/>
          <w:szCs w:val="24"/>
          <w:lang w:eastAsia="en-US"/>
        </w:rPr>
        <w:t xml:space="preserve">kde čitatel vyjadřuje podíl zaměstnaných v odvětví </w:t>
      </w:r>
      <w:r w:rsidRPr="0068441B">
        <w:rPr>
          <w:rFonts w:eastAsia="Calibri"/>
          <w:i/>
          <w:sz w:val="24"/>
          <w:szCs w:val="24"/>
          <w:lang w:eastAsia="en-US"/>
        </w:rPr>
        <w:t>i</w:t>
      </w:r>
      <w:r w:rsidRPr="0068441B">
        <w:rPr>
          <w:rFonts w:eastAsia="Calibri"/>
          <w:sz w:val="24"/>
          <w:szCs w:val="24"/>
          <w:lang w:eastAsia="en-US"/>
        </w:rPr>
        <w:t xml:space="preserve"> v regionu na celkové zaměstnanosti </w:t>
      </w:r>
      <w:r w:rsidRPr="00036F66">
        <w:rPr>
          <w:rFonts w:eastAsia="Calibri"/>
          <w:sz w:val="24"/>
          <w:szCs w:val="24"/>
          <w:lang w:eastAsia="en-US"/>
        </w:rPr>
        <w:t xml:space="preserve">v regionu a jmenovatel podíl zaměstnaných v odvětví </w:t>
      </w:r>
      <w:r w:rsidRPr="00036F66">
        <w:rPr>
          <w:rFonts w:eastAsia="Calibri"/>
          <w:i/>
          <w:sz w:val="24"/>
          <w:szCs w:val="24"/>
          <w:lang w:eastAsia="en-US"/>
        </w:rPr>
        <w:t>i</w:t>
      </w:r>
      <w:r w:rsidRPr="00036F66">
        <w:rPr>
          <w:rFonts w:eastAsia="Calibri"/>
          <w:sz w:val="24"/>
          <w:szCs w:val="24"/>
          <w:lang w:eastAsia="en-US"/>
        </w:rPr>
        <w:t xml:space="preserve"> v národní ekonomice na </w:t>
      </w:r>
      <w:r>
        <w:rPr>
          <w:rFonts w:eastAsia="Calibri"/>
          <w:sz w:val="24"/>
          <w:szCs w:val="24"/>
          <w:lang w:eastAsia="en-US"/>
        </w:rPr>
        <w:t xml:space="preserve">její </w:t>
      </w:r>
      <w:r w:rsidRPr="00036F66">
        <w:rPr>
          <w:rFonts w:eastAsia="Calibri"/>
          <w:sz w:val="24"/>
          <w:szCs w:val="24"/>
          <w:lang w:eastAsia="en-US"/>
        </w:rPr>
        <w:t>celkové zaměstnanosti. Je-li hodnota LQ&lt; 1, odvětví je</w:t>
      </w:r>
      <w:r>
        <w:rPr>
          <w:rFonts w:eastAsia="Calibri"/>
          <w:sz w:val="24"/>
          <w:szCs w:val="24"/>
          <w:lang w:eastAsia="en-US"/>
        </w:rPr>
        <w:t xml:space="preserve"> v regionu </w:t>
      </w:r>
      <w:r w:rsidRPr="00036F66">
        <w:rPr>
          <w:rFonts w:eastAsia="Calibri"/>
          <w:sz w:val="24"/>
          <w:szCs w:val="24"/>
          <w:lang w:eastAsia="en-US"/>
        </w:rPr>
        <w:t xml:space="preserve">zastoupeno méně a statky či služby produkované daným odvětvím jsou tak dováženy z jiných regionů. Lokalizační kvocient bývá používán </w:t>
      </w:r>
      <w:r>
        <w:rPr>
          <w:rFonts w:eastAsia="Calibri"/>
          <w:sz w:val="24"/>
          <w:szCs w:val="24"/>
          <w:lang w:eastAsia="en-US"/>
        </w:rPr>
        <w:t xml:space="preserve">i </w:t>
      </w:r>
      <w:r w:rsidRPr="00036F66">
        <w:rPr>
          <w:rFonts w:eastAsia="Calibri"/>
          <w:sz w:val="24"/>
          <w:szCs w:val="24"/>
          <w:lang w:eastAsia="en-US"/>
        </w:rPr>
        <w:t>pro matematické vysvětlení teorie exportní báze (Hamalová a kol.</w:t>
      </w:r>
      <w:r>
        <w:rPr>
          <w:rFonts w:eastAsia="Calibri"/>
          <w:sz w:val="24"/>
          <w:szCs w:val="24"/>
          <w:lang w:eastAsia="en-US"/>
        </w:rPr>
        <w:t>,</w:t>
      </w:r>
      <w:r w:rsidRPr="00036F66">
        <w:rPr>
          <w:rFonts w:eastAsia="Calibri"/>
          <w:sz w:val="24"/>
          <w:szCs w:val="24"/>
          <w:lang w:eastAsia="en-US"/>
        </w:rPr>
        <w:t xml:space="preserve"> 1997).</w:t>
      </w:r>
    </w:p>
    <w:p w:rsidR="006A2747" w:rsidRPr="00A722B7" w:rsidRDefault="006A2747" w:rsidP="00504C06">
      <w:pPr>
        <w:spacing w:after="120"/>
        <w:ind w:firstLine="720"/>
        <w:jc w:val="both"/>
        <w:rPr>
          <w:rFonts w:eastAsia="Calibri"/>
          <w:sz w:val="24"/>
          <w:szCs w:val="24"/>
          <w:lang w:eastAsia="en-US"/>
        </w:rPr>
      </w:pPr>
      <w:r w:rsidRPr="00036F66">
        <w:rPr>
          <w:rFonts w:eastAsia="Calibri"/>
          <w:sz w:val="24"/>
          <w:szCs w:val="24"/>
          <w:lang w:eastAsia="en-US"/>
        </w:rPr>
        <w:t>Jak je patrné z </w:t>
      </w:r>
      <w:r>
        <w:rPr>
          <w:rFonts w:eastAsia="Calibri"/>
          <w:sz w:val="24"/>
          <w:szCs w:val="24"/>
          <w:lang w:eastAsia="en-US"/>
        </w:rPr>
        <w:t>následující</w:t>
      </w:r>
      <w:r w:rsidRPr="00036F66">
        <w:rPr>
          <w:rFonts w:eastAsia="Calibri"/>
          <w:sz w:val="24"/>
          <w:szCs w:val="24"/>
          <w:lang w:eastAsia="en-US"/>
        </w:rPr>
        <w:t xml:space="preserve"> tabulky</w:t>
      </w:r>
      <w:r w:rsidR="00292BA8">
        <w:rPr>
          <w:rFonts w:eastAsia="Calibri"/>
          <w:sz w:val="24"/>
          <w:szCs w:val="24"/>
          <w:lang w:eastAsia="en-US"/>
        </w:rPr>
        <w:t>,</w:t>
      </w:r>
      <w:r>
        <w:rPr>
          <w:rFonts w:eastAsia="Calibri"/>
          <w:sz w:val="24"/>
          <w:szCs w:val="24"/>
          <w:lang w:eastAsia="en-US"/>
        </w:rPr>
        <w:t xml:space="preserve"> </w:t>
      </w:r>
      <w:r w:rsidRPr="00036F66">
        <w:rPr>
          <w:rFonts w:eastAsia="Calibri"/>
          <w:sz w:val="24"/>
          <w:szCs w:val="24"/>
          <w:lang w:eastAsia="en-US"/>
        </w:rPr>
        <w:t>prezentuj</w:t>
      </w:r>
      <w:r>
        <w:rPr>
          <w:rFonts w:eastAsia="Calibri"/>
          <w:sz w:val="24"/>
          <w:szCs w:val="24"/>
          <w:lang w:eastAsia="en-US"/>
        </w:rPr>
        <w:t xml:space="preserve">ící výsledky </w:t>
      </w:r>
      <w:r w:rsidRPr="00036F66">
        <w:rPr>
          <w:rFonts w:eastAsia="Calibri"/>
          <w:sz w:val="24"/>
          <w:szCs w:val="24"/>
          <w:lang w:eastAsia="en-US"/>
        </w:rPr>
        <w:t>hodno</w:t>
      </w:r>
      <w:r>
        <w:rPr>
          <w:rFonts w:eastAsia="Calibri"/>
          <w:sz w:val="24"/>
          <w:szCs w:val="24"/>
          <w:lang w:eastAsia="en-US"/>
        </w:rPr>
        <w:t>cení</w:t>
      </w:r>
      <w:r w:rsidRPr="00036F66">
        <w:rPr>
          <w:rFonts w:eastAsia="Calibri"/>
          <w:sz w:val="24"/>
          <w:szCs w:val="24"/>
          <w:lang w:eastAsia="en-US"/>
        </w:rPr>
        <w:t xml:space="preserve"> lokalizačního kvocientu </w:t>
      </w:r>
      <w:r>
        <w:rPr>
          <w:rFonts w:eastAsia="Calibri"/>
          <w:sz w:val="24"/>
          <w:szCs w:val="24"/>
          <w:lang w:eastAsia="en-US"/>
        </w:rPr>
        <w:t xml:space="preserve">podle </w:t>
      </w:r>
      <w:r w:rsidRPr="00036F66">
        <w:rPr>
          <w:rFonts w:eastAsia="Calibri"/>
          <w:sz w:val="24"/>
          <w:szCs w:val="24"/>
          <w:lang w:eastAsia="en-US"/>
        </w:rPr>
        <w:t>odvětví</w:t>
      </w:r>
      <w:r w:rsidR="00BA6F21">
        <w:rPr>
          <w:rFonts w:eastAsia="Calibri"/>
          <w:sz w:val="24"/>
          <w:szCs w:val="24"/>
          <w:lang w:eastAsia="en-US"/>
        </w:rPr>
        <w:t>,</w:t>
      </w:r>
      <w:r w:rsidRPr="00036F66">
        <w:rPr>
          <w:rFonts w:eastAsia="Calibri"/>
          <w:sz w:val="24"/>
          <w:szCs w:val="24"/>
          <w:lang w:eastAsia="en-US"/>
        </w:rPr>
        <w:t xml:space="preserve"> </w:t>
      </w:r>
      <w:r>
        <w:rPr>
          <w:rFonts w:eastAsia="Calibri"/>
          <w:sz w:val="24"/>
          <w:szCs w:val="24"/>
          <w:lang w:eastAsia="en-US"/>
        </w:rPr>
        <w:t xml:space="preserve">resp. </w:t>
      </w:r>
      <w:r w:rsidRPr="001E2052">
        <w:rPr>
          <w:rFonts w:eastAsia="Calibri"/>
          <w:sz w:val="24"/>
          <w:szCs w:val="24"/>
          <w:lang w:eastAsia="en-US"/>
        </w:rPr>
        <w:t>sekc</w:t>
      </w:r>
      <w:r>
        <w:rPr>
          <w:rFonts w:eastAsia="Calibri"/>
          <w:sz w:val="24"/>
          <w:szCs w:val="24"/>
          <w:lang w:eastAsia="en-US"/>
        </w:rPr>
        <w:t>í</w:t>
      </w:r>
      <w:r w:rsidRPr="001E2052">
        <w:rPr>
          <w:rFonts w:eastAsia="Calibri"/>
          <w:sz w:val="24"/>
          <w:szCs w:val="24"/>
          <w:lang w:eastAsia="en-US"/>
        </w:rPr>
        <w:t xml:space="preserve"> CZ-NACE</w:t>
      </w:r>
      <w:r w:rsidR="00292BA8">
        <w:rPr>
          <w:rFonts w:eastAsia="Calibri"/>
          <w:sz w:val="24"/>
          <w:szCs w:val="24"/>
          <w:lang w:eastAsia="en-US"/>
        </w:rPr>
        <w:t xml:space="preserve"> a</w:t>
      </w:r>
      <w:r w:rsidRPr="001E2052">
        <w:rPr>
          <w:rFonts w:eastAsia="Calibri"/>
          <w:sz w:val="24"/>
          <w:szCs w:val="24"/>
          <w:lang w:eastAsia="en-US"/>
        </w:rPr>
        <w:t xml:space="preserve"> </w:t>
      </w:r>
      <w:r>
        <w:rPr>
          <w:rFonts w:eastAsia="Calibri"/>
          <w:sz w:val="24"/>
          <w:szCs w:val="24"/>
          <w:lang w:eastAsia="en-US"/>
        </w:rPr>
        <w:t>podle</w:t>
      </w:r>
      <w:r w:rsidRPr="00730733">
        <w:rPr>
          <w:rFonts w:eastAsia="Calibri"/>
          <w:sz w:val="24"/>
          <w:szCs w:val="24"/>
          <w:lang w:eastAsia="en-US"/>
        </w:rPr>
        <w:t xml:space="preserve"> česk</w:t>
      </w:r>
      <w:r>
        <w:rPr>
          <w:rFonts w:eastAsia="Calibri"/>
          <w:sz w:val="24"/>
          <w:szCs w:val="24"/>
          <w:lang w:eastAsia="en-US"/>
        </w:rPr>
        <w:t>ých</w:t>
      </w:r>
      <w:r w:rsidRPr="00730733">
        <w:rPr>
          <w:rFonts w:eastAsia="Calibri"/>
          <w:sz w:val="24"/>
          <w:szCs w:val="24"/>
          <w:lang w:eastAsia="en-US"/>
        </w:rPr>
        <w:t xml:space="preserve"> kraj</w:t>
      </w:r>
      <w:r>
        <w:rPr>
          <w:rFonts w:eastAsia="Calibri"/>
          <w:sz w:val="24"/>
          <w:szCs w:val="24"/>
          <w:lang w:eastAsia="en-US"/>
        </w:rPr>
        <w:t>ů</w:t>
      </w:r>
      <w:r w:rsidRPr="00730733">
        <w:rPr>
          <w:rFonts w:eastAsia="Calibri"/>
          <w:sz w:val="24"/>
          <w:szCs w:val="24"/>
          <w:lang w:eastAsia="en-US"/>
        </w:rPr>
        <w:t xml:space="preserve"> (nedostatečnou podrobnost </w:t>
      </w:r>
      <w:r>
        <w:rPr>
          <w:rFonts w:eastAsia="Calibri"/>
          <w:sz w:val="24"/>
          <w:szCs w:val="24"/>
          <w:lang w:eastAsia="en-US"/>
        </w:rPr>
        <w:t xml:space="preserve">výchozích </w:t>
      </w:r>
      <w:r w:rsidRPr="00730733">
        <w:rPr>
          <w:rFonts w:eastAsia="Calibri"/>
          <w:sz w:val="24"/>
          <w:szCs w:val="24"/>
          <w:lang w:eastAsia="en-US"/>
        </w:rPr>
        <w:t>dat lze řešit využitím soukromých databází, např. Albertiny)</w:t>
      </w:r>
      <w:r>
        <w:rPr>
          <w:rFonts w:eastAsia="Calibri"/>
          <w:sz w:val="24"/>
          <w:szCs w:val="24"/>
          <w:lang w:eastAsia="en-US"/>
        </w:rPr>
        <w:t>,</w:t>
      </w:r>
      <w:r w:rsidRPr="00730733">
        <w:rPr>
          <w:rFonts w:eastAsia="Calibri"/>
          <w:sz w:val="24"/>
          <w:szCs w:val="24"/>
          <w:lang w:eastAsia="en-US"/>
        </w:rPr>
        <w:t xml:space="preserve"> lze identifikovat několik regionů s vysokou koncentrací nějakého odvětví </w:t>
      </w:r>
      <w:r>
        <w:rPr>
          <w:rFonts w:eastAsia="Calibri"/>
          <w:sz w:val="24"/>
          <w:szCs w:val="24"/>
          <w:lang w:eastAsia="en-US"/>
        </w:rPr>
        <w:t>s</w:t>
      </w:r>
      <w:r w:rsidRPr="001E2052">
        <w:rPr>
          <w:rFonts w:eastAsia="Calibri"/>
          <w:sz w:val="24"/>
          <w:szCs w:val="24"/>
          <w:lang w:eastAsia="en-US"/>
        </w:rPr>
        <w:t xml:space="preserve"> LQ&gt;2. V Praze těchto hodnot dosahuje</w:t>
      </w:r>
      <w:r>
        <w:rPr>
          <w:rFonts w:eastAsia="Calibri"/>
          <w:sz w:val="24"/>
          <w:szCs w:val="24"/>
          <w:lang w:eastAsia="en-US"/>
        </w:rPr>
        <w:t xml:space="preserve"> </w:t>
      </w:r>
      <w:r w:rsidRPr="001E2052">
        <w:rPr>
          <w:rFonts w:eastAsia="Calibri"/>
          <w:sz w:val="24"/>
          <w:szCs w:val="24"/>
          <w:lang w:eastAsia="en-US"/>
        </w:rPr>
        <w:t xml:space="preserve">pět </w:t>
      </w:r>
      <w:r>
        <w:rPr>
          <w:rFonts w:eastAsia="Calibri"/>
          <w:sz w:val="24"/>
          <w:szCs w:val="24"/>
          <w:lang w:eastAsia="en-US"/>
        </w:rPr>
        <w:t xml:space="preserve">následujících </w:t>
      </w:r>
      <w:r w:rsidRPr="001E2052">
        <w:rPr>
          <w:rFonts w:eastAsia="Calibri"/>
          <w:sz w:val="24"/>
          <w:szCs w:val="24"/>
          <w:lang w:eastAsia="en-US"/>
        </w:rPr>
        <w:t>odvětví: Informační a komunikační činnosti – J (</w:t>
      </w:r>
      <w:r>
        <w:rPr>
          <w:rFonts w:eastAsia="Calibri"/>
          <w:sz w:val="24"/>
          <w:szCs w:val="24"/>
          <w:lang w:eastAsia="en-US"/>
        </w:rPr>
        <w:t xml:space="preserve">cca </w:t>
      </w:r>
      <w:r w:rsidRPr="001E2052">
        <w:rPr>
          <w:rFonts w:eastAsia="Calibri"/>
          <w:sz w:val="24"/>
          <w:szCs w:val="24"/>
          <w:lang w:eastAsia="en-US"/>
        </w:rPr>
        <w:t xml:space="preserve">2,7), Činnosti v oblasti nemovitostí – L (2,3), Profesní, vědecké a technické </w:t>
      </w:r>
      <w:r w:rsidRPr="00CB6996">
        <w:rPr>
          <w:rFonts w:eastAsia="Calibri"/>
          <w:sz w:val="24"/>
          <w:szCs w:val="24"/>
          <w:lang w:eastAsia="en-US"/>
        </w:rPr>
        <w:t xml:space="preserve">činnosti – M (2,2), Peněžnictví a pojišťovnictví – K (2,2) a </w:t>
      </w:r>
      <w:r w:rsidRPr="00A722B7">
        <w:rPr>
          <w:rFonts w:eastAsia="Calibri"/>
          <w:sz w:val="24"/>
          <w:szCs w:val="24"/>
          <w:lang w:eastAsia="en-US"/>
        </w:rPr>
        <w:t>Kulturní, zábavní a rekreační činnosti – R (2,2). V dalších pěti krajích pak existuje vždy jedno odvětví s</w:t>
      </w:r>
      <w:r w:rsidR="008C6D7E">
        <w:rPr>
          <w:rFonts w:eastAsia="Calibri"/>
          <w:sz w:val="24"/>
          <w:szCs w:val="24"/>
          <w:lang w:eastAsia="en-US"/>
        </w:rPr>
        <w:t> LQ&gt;2: v Jihočeském kraji jde o </w:t>
      </w:r>
      <w:r w:rsidRPr="00A722B7">
        <w:rPr>
          <w:rFonts w:eastAsia="Calibri"/>
          <w:sz w:val="24"/>
          <w:szCs w:val="24"/>
          <w:lang w:eastAsia="en-US"/>
        </w:rPr>
        <w:t>odvětví Výroba a rozvod elektř</w:t>
      </w:r>
      <w:r w:rsidR="00292BA8">
        <w:rPr>
          <w:rFonts w:eastAsia="Calibri"/>
          <w:sz w:val="24"/>
          <w:szCs w:val="24"/>
          <w:lang w:eastAsia="en-US"/>
        </w:rPr>
        <w:t>iny, plynu, tepla – D (2,1), v k</w:t>
      </w:r>
      <w:r w:rsidRPr="00A722B7">
        <w:rPr>
          <w:rFonts w:eastAsia="Calibri"/>
          <w:sz w:val="24"/>
          <w:szCs w:val="24"/>
          <w:lang w:eastAsia="en-US"/>
        </w:rPr>
        <w:t xml:space="preserve">raji Vysočina o odvětví </w:t>
      </w:r>
      <w:r w:rsidRPr="00A722B7">
        <w:rPr>
          <w:rFonts w:eastAsia="Calibri"/>
          <w:sz w:val="24"/>
          <w:szCs w:val="24"/>
          <w:lang w:eastAsia="en-US"/>
        </w:rPr>
        <w:lastRenderedPageBreak/>
        <w:t xml:space="preserve">Zemědělství, lesnictví a rybářství – A (2,2) a v krajích Moravskoslezském (4,0), Karlovarském (3,7) a Ústeckém (2,5) o odvětví Těžba a dobývání – B. </w:t>
      </w:r>
    </w:p>
    <w:p w:rsidR="006A2747" w:rsidRPr="00DE18F9" w:rsidRDefault="006A2747" w:rsidP="00292BA8">
      <w:pPr>
        <w:pStyle w:val="0T-Titulek"/>
      </w:pPr>
      <w:bookmarkStart w:id="106" w:name="_Toc382326451"/>
      <w:r w:rsidRPr="00DE18F9">
        <w:t>Tabulka 24: Lokalizační kvocient v českých krajích dle  CZ-NACE (2012)</w:t>
      </w:r>
      <w:bookmarkEnd w:id="106"/>
    </w:p>
    <w:tbl>
      <w:tblPr>
        <w:tblStyle w:val="Mkatabulky7"/>
        <w:tblW w:w="0" w:type="auto"/>
        <w:tblLook w:val="04A0" w:firstRow="1" w:lastRow="0" w:firstColumn="1" w:lastColumn="0" w:noHBand="0" w:noVBand="1"/>
      </w:tblPr>
      <w:tblGrid>
        <w:gridCol w:w="542"/>
        <w:gridCol w:w="624"/>
        <w:gridCol w:w="624"/>
        <w:gridCol w:w="624"/>
        <w:gridCol w:w="624"/>
        <w:gridCol w:w="625"/>
        <w:gridCol w:w="625"/>
        <w:gridCol w:w="625"/>
        <w:gridCol w:w="625"/>
        <w:gridCol w:w="625"/>
        <w:gridCol w:w="625"/>
        <w:gridCol w:w="625"/>
        <w:gridCol w:w="625"/>
        <w:gridCol w:w="625"/>
        <w:gridCol w:w="625"/>
      </w:tblGrid>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rPr>
                <w:rFonts w:asciiTheme="minorHAnsi" w:hAnsiTheme="minorHAnsi" w:cstheme="minorHAnsi"/>
              </w:rPr>
            </w:pP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PHA</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SČK</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JČK</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PLK</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KVK</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ULK</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LI</w:t>
            </w:r>
            <w:r>
              <w:rPr>
                <w:rFonts w:asciiTheme="minorHAnsi" w:hAnsiTheme="minorHAnsi" w:cstheme="minorHAnsi"/>
              </w:rPr>
              <w:t>B</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KHK</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PUK</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VYS</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JMK</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OLK</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ZLK</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MSK</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A</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0,127</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0,849</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1,831</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1,451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0,780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0,708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0,772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1,329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1,681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2,232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0,956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1,516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0,902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0,702</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B</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0,172</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0,367</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0,332</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0,588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3,673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2,533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0,564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0,328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0,000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0,899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0,348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0,231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0,000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4,000</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C</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0,336</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0,943</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1,061</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1,119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0,970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1,010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1,352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1,173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1,253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1,219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0,978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1,161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1,357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1,115</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D</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0,825</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0,763</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2,143</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0,997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0,818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1,964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0,320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0,957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0,984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1,139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0,996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0,498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0,610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0,953</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E</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0,710</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0,971</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0,730</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1,123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1,311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1,267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1,062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1,064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0,501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1,102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1,028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1,028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1,261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1,161</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F</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0,984</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1,000</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1,253</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1,027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0,911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1,208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1,009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0,843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1,063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0,983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0,994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0,980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0,983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0,831</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G</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1,071</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1,077</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1,024</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0,905</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0,875</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0,999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0,967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0,990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1,019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0,839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0,971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0,984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0,972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1,024</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H</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0,896</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1,370</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1,004</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0,991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0,975</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1,137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0,877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0,936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0,939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0,834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0,953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0,953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0,834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0,943</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I</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1,195</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1,071</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1,014</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1,014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1,948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0,825</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1,172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1,078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0,790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1,005</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0,916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0,617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0,802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0,920</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J</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2,673</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1,113</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0,580</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0,785</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0,354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0,384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0,627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0,804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0,737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0,504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1,174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0,525</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0,470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0,673</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K</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2,235</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1,277</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0,916</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0,722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0,575</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0,617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0,883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0,736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0,720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0,620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0,933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0,533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0,557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0,740</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L</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2,341</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1,073</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0,347</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0,643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1,201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1,287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0,459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0,973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0,645</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0,574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0,807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0,475</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0,813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0,720</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M</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2,237</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0,988</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0,604</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0,830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0,689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0,729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0,936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0,808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0,722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0,658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1,084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0,731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0,839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0,617</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N</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1,575</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1,138</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0,573</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0,665</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1,014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0,892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0,873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0,477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0,574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0,633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1,096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0,880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0,847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1,304</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O</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1,221</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0,867</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1,062</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0,982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1,006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1,039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0,897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1,046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0,854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0,972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1,018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1,223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0,864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0,861</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P</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1,200</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0,964</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0,804</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1,029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0,883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0,896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0,819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0,901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0,926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0,970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1,141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1,033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0,929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1,027</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Q</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0,946</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0,844</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0,837</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1,031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1,329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1,070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0,727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1,155</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0,913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0,943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1,068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1,197</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1,040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1,083</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R</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2,161</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1,049</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0,805</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0,573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1,343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0,951</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0,776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0,836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0,364</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0,636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1,053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0,550</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0,738</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0,734</w:t>
            </w:r>
          </w:p>
        </w:tc>
      </w:tr>
      <w:tr w:rsidR="006A2747" w:rsidRPr="00594168" w:rsidTr="00504C06">
        <w:trPr>
          <w:trHeight w:hRule="exact" w:val="284"/>
        </w:trPr>
        <w:tc>
          <w:tcPr>
            <w:tcW w:w="542"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S</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1,313</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0,961</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0,965</w:t>
            </w:r>
          </w:p>
        </w:tc>
        <w:tc>
          <w:tcPr>
            <w:tcW w:w="624"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1,105</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0,982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0,925</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0,702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0,789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0,986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0,953</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1,012</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0,856</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0,759</w:t>
            </w:r>
          </w:p>
        </w:tc>
        <w:tc>
          <w:tcPr>
            <w:tcW w:w="625" w:type="dxa"/>
            <w:tcBorders>
              <w:top w:val="single" w:sz="4" w:space="0" w:color="auto"/>
              <w:left w:val="single" w:sz="4" w:space="0" w:color="auto"/>
              <w:bottom w:val="single" w:sz="4" w:space="0" w:color="auto"/>
              <w:right w:val="single" w:sz="4" w:space="0" w:color="auto"/>
            </w:tcBorders>
            <w:noWrap/>
            <w:vAlign w:val="center"/>
            <w:hideMark/>
          </w:tcPr>
          <w:p w:rsidR="006A2747" w:rsidRPr="00594168" w:rsidRDefault="006A2747" w:rsidP="00423120">
            <w:pPr>
              <w:ind w:left="-57" w:right="-57"/>
              <w:jc w:val="center"/>
              <w:rPr>
                <w:rFonts w:asciiTheme="minorHAnsi" w:hAnsiTheme="minorHAnsi" w:cstheme="minorHAnsi"/>
              </w:rPr>
            </w:pPr>
            <w:r w:rsidRPr="00594168">
              <w:rPr>
                <w:rFonts w:asciiTheme="minorHAnsi" w:hAnsiTheme="minorHAnsi" w:cstheme="minorHAnsi"/>
              </w:rPr>
              <w:t>1,104</w:t>
            </w:r>
          </w:p>
        </w:tc>
      </w:tr>
    </w:tbl>
    <w:p w:rsidR="006A2747" w:rsidRPr="00594168" w:rsidRDefault="006A2747" w:rsidP="00292BA8">
      <w:pPr>
        <w:ind w:left="-57"/>
        <w:jc w:val="center"/>
        <w:rPr>
          <w:rFonts w:asciiTheme="minorHAnsi" w:eastAsia="Calibri" w:hAnsiTheme="minorHAnsi" w:cstheme="minorHAnsi"/>
          <w:i/>
          <w:lang w:eastAsia="en-US"/>
        </w:rPr>
      </w:pPr>
      <w:r w:rsidRPr="00594168">
        <w:rPr>
          <w:rFonts w:asciiTheme="minorHAnsi" w:eastAsia="Calibri" w:hAnsiTheme="minorHAnsi" w:cstheme="minorHAnsi"/>
          <w:i/>
          <w:lang w:eastAsia="en-US"/>
        </w:rPr>
        <w:t>Pramen: data ČSÚ, vlastní výpočty</w:t>
      </w:r>
      <w:r w:rsidRPr="00594168">
        <w:rPr>
          <w:rStyle w:val="Znakapoznpodarou"/>
          <w:rFonts w:eastAsia="Calibri"/>
          <w:sz w:val="24"/>
          <w:szCs w:val="24"/>
          <w:lang w:eastAsia="en-US"/>
        </w:rPr>
        <w:t xml:space="preserve"> </w:t>
      </w:r>
      <w:r w:rsidRPr="00594168">
        <w:rPr>
          <w:rStyle w:val="Znakapoznpodarou"/>
          <w:rFonts w:eastAsia="Calibri"/>
          <w:sz w:val="24"/>
          <w:szCs w:val="24"/>
          <w:lang w:eastAsia="en-US"/>
        </w:rPr>
        <w:footnoteReference w:id="27"/>
      </w:r>
      <w:r w:rsidRPr="00594168">
        <w:rPr>
          <w:rFonts w:eastAsia="Calibri"/>
          <w:sz w:val="24"/>
          <w:szCs w:val="24"/>
          <w:lang w:eastAsia="en-US"/>
        </w:rPr>
        <w:t>.</w:t>
      </w:r>
    </w:p>
    <w:p w:rsidR="006A2747" w:rsidRPr="00A722B7" w:rsidRDefault="006A2747" w:rsidP="00423120">
      <w:pPr>
        <w:jc w:val="both"/>
        <w:rPr>
          <w:rFonts w:eastAsia="Calibri"/>
          <w:b/>
          <w:sz w:val="24"/>
          <w:szCs w:val="24"/>
          <w:lang w:eastAsia="en-US"/>
        </w:rPr>
      </w:pPr>
      <w:r w:rsidRPr="00A722B7">
        <w:rPr>
          <w:rFonts w:eastAsia="Calibri"/>
          <w:b/>
          <w:sz w:val="24"/>
          <w:szCs w:val="24"/>
          <w:lang w:eastAsia="en-US"/>
        </w:rPr>
        <w:t>Diverzifikace</w:t>
      </w:r>
    </w:p>
    <w:p w:rsidR="006A2747" w:rsidRPr="00A722B7" w:rsidRDefault="006A2747" w:rsidP="003B3C75">
      <w:pPr>
        <w:spacing w:after="100"/>
        <w:ind w:firstLine="720"/>
        <w:jc w:val="both"/>
        <w:rPr>
          <w:rFonts w:eastAsia="Calibri"/>
          <w:sz w:val="24"/>
          <w:szCs w:val="24"/>
          <w:lang w:eastAsia="en-US"/>
        </w:rPr>
      </w:pPr>
      <w:r w:rsidRPr="00A722B7">
        <w:rPr>
          <w:rFonts w:eastAsia="Calibri"/>
          <w:sz w:val="24"/>
          <w:szCs w:val="24"/>
          <w:lang w:eastAsia="en-US"/>
        </w:rPr>
        <w:t>Dalším jevem, který lze zkoumat v souvislosti s hodnocením rozložení odvětví v regionech, je diverzifikace. Jedná se fakticky o alternativu specializace. Pro analýzu se používá nejčastěji hrubý index diverzifikace</w:t>
      </w:r>
      <w:r w:rsidR="00292BA8">
        <w:rPr>
          <w:rFonts w:eastAsia="Calibri"/>
          <w:sz w:val="24"/>
          <w:szCs w:val="24"/>
          <w:lang w:eastAsia="en-US"/>
        </w:rPr>
        <w:t xml:space="preserve"> (H</w:t>
      </w:r>
      <w:r>
        <w:rPr>
          <w:rFonts w:eastAsia="Calibri"/>
          <w:sz w:val="24"/>
          <w:szCs w:val="24"/>
          <w:lang w:eastAsia="en-US"/>
        </w:rPr>
        <w:t>I</w:t>
      </w:r>
      <w:r w:rsidR="00292BA8">
        <w:rPr>
          <w:rFonts w:eastAsia="Calibri"/>
          <w:sz w:val="24"/>
          <w:szCs w:val="24"/>
          <w:lang w:eastAsia="en-US"/>
        </w:rPr>
        <w:t>D</w:t>
      </w:r>
      <w:r>
        <w:rPr>
          <w:rFonts w:eastAsia="Calibri"/>
          <w:sz w:val="24"/>
          <w:szCs w:val="24"/>
          <w:lang w:eastAsia="en-US"/>
        </w:rPr>
        <w:t>)</w:t>
      </w:r>
      <w:r w:rsidRPr="00A722B7">
        <w:rPr>
          <w:rFonts w:eastAsia="Calibri"/>
          <w:sz w:val="24"/>
          <w:szCs w:val="24"/>
          <w:lang w:eastAsia="en-US"/>
        </w:rPr>
        <w:t>, který je pro každý region definován takto:</w:t>
      </w:r>
    </w:p>
    <w:p w:rsidR="006A2747" w:rsidRPr="00A722B7" w:rsidRDefault="00292BA8" w:rsidP="003B3C75">
      <w:pPr>
        <w:spacing w:after="100"/>
        <w:jc w:val="both"/>
        <w:rPr>
          <w:rFonts w:eastAsia="Calibri"/>
          <w:sz w:val="24"/>
          <w:szCs w:val="24"/>
          <w:lang w:eastAsia="en-US"/>
        </w:rPr>
      </w:pPr>
      <w:r w:rsidRPr="00A722B7">
        <w:rPr>
          <w:rFonts w:eastAsia="Calibri"/>
          <w:position w:val="-62"/>
          <w:sz w:val="24"/>
          <w:szCs w:val="24"/>
          <w:lang w:eastAsia="en-US"/>
        </w:rPr>
        <w:object w:dxaOrig="8419" w:dyaOrig="1359">
          <v:shape id="_x0000_i1036" type="#_x0000_t75" style="width:420.75pt;height:68.25pt" o:ole="">
            <v:imagedata r:id="rId62" o:title=""/>
          </v:shape>
          <o:OLEObject Type="Embed" ProgID="Equation.3" ShapeID="_x0000_i1036" DrawAspect="Content" ObjectID="_1456295324" r:id="rId63"/>
        </w:object>
      </w:r>
    </w:p>
    <w:p w:rsidR="006A2747" w:rsidRPr="00A722B7" w:rsidRDefault="006A2747" w:rsidP="00C50835">
      <w:pPr>
        <w:keepNext/>
        <w:spacing w:after="120"/>
        <w:jc w:val="both"/>
        <w:rPr>
          <w:rFonts w:eastAsia="Calibri"/>
          <w:sz w:val="24"/>
          <w:szCs w:val="24"/>
          <w:lang w:eastAsia="en-US"/>
        </w:rPr>
      </w:pPr>
      <w:r w:rsidRPr="00A722B7">
        <w:rPr>
          <w:rFonts w:eastAsia="Calibri"/>
          <w:sz w:val="24"/>
          <w:szCs w:val="24"/>
          <w:lang w:eastAsia="en-US"/>
        </w:rPr>
        <w:t>Jak je z uvedeného vzorce patrné, vstupují do výpočtu podíly zaměstnanosti v jednotlivých odvětvích regionu (seřazené sestupně od největšího k nejmenšímu). Pokud by byla veškerá zaměstnanost v regionu soustředěna do jednoho odvětví, HID by dosáhl maxima</w:t>
      </w:r>
      <w:r w:rsidR="005862FC">
        <w:rPr>
          <w:rFonts w:eastAsia="Calibri"/>
          <w:sz w:val="24"/>
          <w:szCs w:val="24"/>
          <w:lang w:eastAsia="en-US"/>
        </w:rPr>
        <w:t>,</w:t>
      </w:r>
      <w:r w:rsidRPr="00A722B7">
        <w:rPr>
          <w:rFonts w:eastAsia="Calibri"/>
          <w:sz w:val="24"/>
          <w:szCs w:val="24"/>
          <w:lang w:eastAsia="en-US"/>
        </w:rPr>
        <w:t xml:space="preserve"> tj. nejvyšší specializace </w:t>
      </w:r>
      <w:r>
        <w:rPr>
          <w:rFonts w:eastAsia="Calibri"/>
          <w:sz w:val="24"/>
          <w:szCs w:val="24"/>
          <w:lang w:eastAsia="en-US"/>
        </w:rPr>
        <w:t xml:space="preserve">– </w:t>
      </w:r>
      <w:r w:rsidRPr="00A722B7">
        <w:rPr>
          <w:rFonts w:eastAsia="Calibri"/>
          <w:sz w:val="24"/>
          <w:szCs w:val="24"/>
          <w:lang w:eastAsia="en-US"/>
        </w:rPr>
        <w:t>při 10 odvětvích v národní ekonomice HID = 1000. Naopak nejvyšší míru diverzifikace by v takovém případě představovala hodnota HID = 550 (Macháček, Toth, Wokoun 2011). Klasifikace CZ-NACE člení zaměstnanost v ekonomice do 19 odvětví</w:t>
      </w:r>
      <w:r w:rsidR="00BA6F21">
        <w:rPr>
          <w:rFonts w:eastAsia="Calibri"/>
          <w:sz w:val="24"/>
          <w:szCs w:val="24"/>
          <w:lang w:eastAsia="en-US"/>
        </w:rPr>
        <w:t>,</w:t>
      </w:r>
      <w:r w:rsidRPr="00A722B7">
        <w:rPr>
          <w:rFonts w:eastAsia="Calibri"/>
          <w:sz w:val="24"/>
          <w:szCs w:val="24"/>
          <w:lang w:eastAsia="en-US"/>
        </w:rPr>
        <w:t xml:space="preserve"> resp. sekcí (neuvažovány sekce T a U), tj. HID se nachází v intervalu &lt;1000,0; 1900,0&gt;. V českých krajích se hodnoty HID pohybují </w:t>
      </w:r>
      <w:r>
        <w:rPr>
          <w:rFonts w:eastAsia="Calibri"/>
          <w:sz w:val="24"/>
          <w:szCs w:val="24"/>
          <w:lang w:eastAsia="en-US"/>
        </w:rPr>
        <w:t>od</w:t>
      </w:r>
      <w:r w:rsidRPr="00A722B7">
        <w:rPr>
          <w:rFonts w:eastAsia="Calibri"/>
          <w:sz w:val="24"/>
          <w:szCs w:val="24"/>
          <w:lang w:eastAsia="en-US"/>
        </w:rPr>
        <w:t xml:space="preserve"> 1359 v Praze po 1562 ve Zlínském kraji. Lze tedy </w:t>
      </w:r>
      <w:r w:rsidRPr="00A722B7">
        <w:rPr>
          <w:rFonts w:eastAsia="Calibri"/>
          <w:sz w:val="24"/>
          <w:szCs w:val="24"/>
          <w:lang w:eastAsia="en-US"/>
        </w:rPr>
        <w:lastRenderedPageBreak/>
        <w:t xml:space="preserve">konstatovat, že (obdobně jako v případě indexu specializace) odvětvová diverzifikace není příliš velká a regionální rozdíly tak nejsou </w:t>
      </w:r>
      <w:r>
        <w:rPr>
          <w:rFonts w:eastAsia="Calibri"/>
          <w:sz w:val="24"/>
          <w:szCs w:val="24"/>
          <w:lang w:eastAsia="en-US"/>
        </w:rPr>
        <w:t xml:space="preserve">příliš </w:t>
      </w:r>
      <w:r w:rsidRPr="00A722B7">
        <w:rPr>
          <w:rFonts w:eastAsia="Calibri"/>
          <w:sz w:val="24"/>
          <w:szCs w:val="24"/>
          <w:lang w:eastAsia="en-US"/>
        </w:rPr>
        <w:t>významné.</w:t>
      </w:r>
    </w:p>
    <w:p w:rsidR="006A2747" w:rsidRPr="00DE18F9" w:rsidRDefault="006A2747" w:rsidP="00292BA8">
      <w:pPr>
        <w:pStyle w:val="0T-Titulek"/>
      </w:pPr>
      <w:bookmarkStart w:id="107" w:name="_Toc382326452"/>
      <w:r w:rsidRPr="00DE18F9">
        <w:t>Tabulka 25: Hrubý index diverzifikace v českých krajích (2012)</w:t>
      </w:r>
      <w:bookmarkEnd w:id="107"/>
    </w:p>
    <w:tbl>
      <w:tblPr>
        <w:tblStyle w:val="Mkatabulky6"/>
        <w:tblW w:w="0" w:type="auto"/>
        <w:tblLook w:val="04A0" w:firstRow="1" w:lastRow="0" w:firstColumn="1" w:lastColumn="0" w:noHBand="0" w:noVBand="1"/>
      </w:tblPr>
      <w:tblGrid>
        <w:gridCol w:w="664"/>
        <w:gridCol w:w="664"/>
        <w:gridCol w:w="664"/>
        <w:gridCol w:w="664"/>
        <w:gridCol w:w="664"/>
        <w:gridCol w:w="664"/>
        <w:gridCol w:w="663"/>
        <w:gridCol w:w="663"/>
        <w:gridCol w:w="663"/>
        <w:gridCol w:w="663"/>
        <w:gridCol w:w="663"/>
        <w:gridCol w:w="663"/>
        <w:gridCol w:w="663"/>
        <w:gridCol w:w="663"/>
      </w:tblGrid>
      <w:tr w:rsidR="006A2747" w:rsidRPr="00A722B7" w:rsidTr="00504C06">
        <w:trPr>
          <w:trHeight w:hRule="exact" w:val="284"/>
        </w:trPr>
        <w:tc>
          <w:tcPr>
            <w:tcW w:w="664"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PHA</w:t>
            </w: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SČK</w:t>
            </w: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JČK</w:t>
            </w: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PLK</w:t>
            </w: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KVK</w:t>
            </w: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ULK</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LIK</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KHK</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PUK</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VYS</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JMK</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OLK</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ZLK</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MSK</w:t>
            </w:r>
          </w:p>
        </w:tc>
      </w:tr>
      <w:tr w:rsidR="006A2747" w:rsidRPr="00A722B7" w:rsidTr="00504C06">
        <w:trPr>
          <w:trHeight w:hRule="exact" w:val="284"/>
        </w:trPr>
        <w:tc>
          <w:tcPr>
            <w:tcW w:w="664"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1359</w:t>
            </w: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1472</w:t>
            </w: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1511</w:t>
            </w: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1504</w:t>
            </w: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1461</w:t>
            </w: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1480</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1550</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1517</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1551</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1518</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1471</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1543</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1562</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A2747" w:rsidRPr="00A722B7" w:rsidRDefault="006A2747" w:rsidP="00423120">
            <w:pPr>
              <w:keepNext/>
              <w:jc w:val="center"/>
            </w:pPr>
            <w:r w:rsidRPr="00A722B7">
              <w:t>1486</w:t>
            </w:r>
          </w:p>
        </w:tc>
      </w:tr>
    </w:tbl>
    <w:p w:rsidR="006A2747" w:rsidRPr="00A722B7" w:rsidRDefault="006A2747" w:rsidP="00292BA8">
      <w:pPr>
        <w:keepNext/>
        <w:ind w:left="-113"/>
        <w:jc w:val="center"/>
        <w:rPr>
          <w:rFonts w:asciiTheme="minorHAnsi" w:eastAsia="Calibri" w:hAnsiTheme="minorHAnsi" w:cstheme="minorHAnsi"/>
          <w:i/>
          <w:lang w:eastAsia="en-US"/>
        </w:rPr>
      </w:pPr>
      <w:r w:rsidRPr="00A722B7">
        <w:rPr>
          <w:rFonts w:asciiTheme="minorHAnsi" w:eastAsia="Calibri" w:hAnsiTheme="minorHAnsi" w:cstheme="minorHAnsi"/>
          <w:i/>
          <w:lang w:eastAsia="en-US"/>
        </w:rPr>
        <w:t>Pramen: data ČSÚ, vlastní výpočty.</w:t>
      </w:r>
    </w:p>
    <w:p w:rsidR="006A2747" w:rsidRPr="00A722B7" w:rsidRDefault="006A2747" w:rsidP="00423120">
      <w:pPr>
        <w:keepNext/>
        <w:jc w:val="both"/>
        <w:rPr>
          <w:rFonts w:eastAsia="Calibri"/>
          <w:b/>
          <w:sz w:val="24"/>
          <w:szCs w:val="24"/>
          <w:lang w:eastAsia="en-US"/>
        </w:rPr>
      </w:pPr>
      <w:r w:rsidRPr="00A722B7">
        <w:rPr>
          <w:rFonts w:eastAsia="Calibri"/>
          <w:b/>
          <w:sz w:val="24"/>
          <w:szCs w:val="24"/>
          <w:lang w:eastAsia="en-US"/>
        </w:rPr>
        <w:t>Identifikace a mapování klastrů</w:t>
      </w:r>
    </w:p>
    <w:p w:rsidR="006A2747" w:rsidRPr="00516360" w:rsidRDefault="006A2747" w:rsidP="00423120">
      <w:pPr>
        <w:keepNext/>
        <w:widowControl w:val="0"/>
        <w:ind w:firstLine="720"/>
        <w:jc w:val="both"/>
        <w:rPr>
          <w:rFonts w:eastAsia="Calibri"/>
          <w:color w:val="FF0000"/>
          <w:sz w:val="24"/>
          <w:szCs w:val="24"/>
          <w:lang w:eastAsia="en-US"/>
        </w:rPr>
      </w:pPr>
      <w:r w:rsidRPr="00A722B7">
        <w:rPr>
          <w:rFonts w:eastAsia="Calibri"/>
          <w:sz w:val="24"/>
          <w:szCs w:val="24"/>
          <w:lang w:eastAsia="en-US"/>
        </w:rPr>
        <w:t>Lokalizační kvocient nachází díky své dobré vypovídací schopnosti</w:t>
      </w:r>
      <w:r w:rsidR="008C6D7E">
        <w:rPr>
          <w:rFonts w:eastAsia="Calibri"/>
          <w:sz w:val="24"/>
          <w:szCs w:val="24"/>
          <w:lang w:eastAsia="en-US"/>
        </w:rPr>
        <w:t xml:space="preserve"> uplatnění i při </w:t>
      </w:r>
      <w:r>
        <w:rPr>
          <w:rFonts w:eastAsia="Calibri"/>
          <w:sz w:val="24"/>
          <w:szCs w:val="24"/>
          <w:lang w:eastAsia="en-US"/>
        </w:rPr>
        <w:t>identifikaci</w:t>
      </w:r>
      <w:r w:rsidRPr="00A745F8">
        <w:rPr>
          <w:rFonts w:eastAsia="Calibri"/>
          <w:sz w:val="24"/>
          <w:szCs w:val="24"/>
          <w:lang w:eastAsia="en-US"/>
        </w:rPr>
        <w:t xml:space="preserve"> klastrů, jehož hlavním úkolem je vyhodnotit, zda v daném regionu existují perspektivní </w:t>
      </w:r>
      <w:r w:rsidRPr="002C6AFE">
        <w:rPr>
          <w:rFonts w:eastAsia="Calibri"/>
          <w:sz w:val="24"/>
          <w:szCs w:val="24"/>
          <w:lang w:eastAsia="en-US"/>
        </w:rPr>
        <w:t>odvětví vhodná pro založení a rozvoj klastru. Za průkopníka v</w:t>
      </w:r>
      <w:r>
        <w:rPr>
          <w:rFonts w:eastAsia="Calibri"/>
          <w:sz w:val="24"/>
          <w:szCs w:val="24"/>
          <w:lang w:eastAsia="en-US"/>
        </w:rPr>
        <w:t xml:space="preserve"> této </w:t>
      </w:r>
      <w:r w:rsidRPr="002C6AFE">
        <w:rPr>
          <w:rFonts w:eastAsia="Calibri"/>
          <w:sz w:val="24"/>
          <w:szCs w:val="24"/>
          <w:lang w:eastAsia="en-US"/>
        </w:rPr>
        <w:t xml:space="preserve">oblasti je považován M. Porter, který se zabýval otázkou, proč si některé regiony </w:t>
      </w:r>
      <w:r>
        <w:rPr>
          <w:rFonts w:eastAsia="Calibri"/>
          <w:sz w:val="24"/>
          <w:szCs w:val="24"/>
          <w:lang w:eastAsia="en-US"/>
        </w:rPr>
        <w:t xml:space="preserve">dlouhodobě </w:t>
      </w:r>
      <w:r w:rsidRPr="002C6AFE">
        <w:rPr>
          <w:rFonts w:eastAsia="Calibri"/>
          <w:sz w:val="24"/>
          <w:szCs w:val="24"/>
          <w:lang w:eastAsia="en-US"/>
        </w:rPr>
        <w:t>drží prvenství v určitých oborech (Porter, 1998).  Možné konkurenční výhody regionů analyzoval prostřednictvím tzv. diamantu konkurenční výhody, ze kterého vychází většina současných analýz zaměřených na identifikaci klastrů.</w:t>
      </w:r>
    </w:p>
    <w:p w:rsidR="006A2747" w:rsidRPr="00516360" w:rsidRDefault="006A2747" w:rsidP="00423120">
      <w:pPr>
        <w:keepNext/>
        <w:widowControl w:val="0"/>
        <w:suppressLineNumbers/>
        <w:ind w:firstLine="720"/>
        <w:jc w:val="both"/>
        <w:rPr>
          <w:rFonts w:eastAsia="Calibri"/>
          <w:color w:val="FF0000"/>
          <w:sz w:val="24"/>
          <w:szCs w:val="24"/>
          <w:lang w:eastAsia="en-US"/>
        </w:rPr>
      </w:pPr>
      <w:r w:rsidRPr="00C82D84">
        <w:rPr>
          <w:rFonts w:eastAsia="Calibri"/>
          <w:sz w:val="24"/>
          <w:szCs w:val="24"/>
          <w:lang w:eastAsia="en-US"/>
        </w:rPr>
        <w:t>Pro identifikaci potenciálních klastrů se používají dvě základní metod</w:t>
      </w:r>
      <w:r w:rsidR="008C6D7E">
        <w:rPr>
          <w:rFonts w:eastAsia="Calibri"/>
          <w:sz w:val="24"/>
          <w:szCs w:val="24"/>
          <w:lang w:eastAsia="en-US"/>
        </w:rPr>
        <w:t>y, kvantitativní a </w:t>
      </w:r>
      <w:r w:rsidR="00292BA8">
        <w:rPr>
          <w:rFonts w:eastAsia="Calibri"/>
          <w:sz w:val="24"/>
          <w:szCs w:val="24"/>
          <w:lang w:eastAsia="en-US"/>
        </w:rPr>
        <w:t>kvalitativní</w:t>
      </w:r>
      <w:r w:rsidRPr="00C82D84">
        <w:rPr>
          <w:rFonts w:eastAsia="Calibri"/>
          <w:sz w:val="24"/>
          <w:szCs w:val="24"/>
          <w:lang w:eastAsia="en-US"/>
        </w:rPr>
        <w:t xml:space="preserve"> (Pavelková, 2009)</w:t>
      </w:r>
      <w:r>
        <w:rPr>
          <w:rFonts w:eastAsia="Calibri"/>
          <w:sz w:val="24"/>
          <w:szCs w:val="24"/>
          <w:lang w:eastAsia="en-US"/>
        </w:rPr>
        <w:t>.</w:t>
      </w:r>
      <w:r w:rsidRPr="00C82D84">
        <w:rPr>
          <w:rFonts w:eastAsia="Calibri"/>
          <w:sz w:val="24"/>
          <w:szCs w:val="24"/>
          <w:lang w:eastAsia="en-US"/>
        </w:rPr>
        <w:t xml:space="preserve"> Podstatou kvantitativních metod je </w:t>
      </w:r>
      <w:r>
        <w:rPr>
          <w:rFonts w:eastAsia="Calibri"/>
          <w:sz w:val="24"/>
          <w:szCs w:val="24"/>
          <w:lang w:eastAsia="en-US"/>
        </w:rPr>
        <w:t xml:space="preserve">pochopitelně </w:t>
      </w:r>
      <w:r w:rsidRPr="00C82D84">
        <w:rPr>
          <w:rFonts w:eastAsia="Calibri"/>
          <w:sz w:val="24"/>
          <w:szCs w:val="24"/>
          <w:lang w:eastAsia="en-US"/>
        </w:rPr>
        <w:t xml:space="preserve">analýza statistických dat. </w:t>
      </w:r>
      <w:r w:rsidRPr="0083253E">
        <w:rPr>
          <w:rFonts w:eastAsia="Calibri"/>
          <w:sz w:val="24"/>
          <w:szCs w:val="24"/>
          <w:lang w:eastAsia="en-US"/>
        </w:rPr>
        <w:t xml:space="preserve">Kvalitativní metody pak představují rozhovory s odborníky, expertní panely, dotazníkové šetření nebo případové studie. Kvalitativní metody se používají zejména proto, že kvantitativní metody nejsou schopny postihnout sílu vztahů mezi jednotlivými firmami v rámci klastru (Skokan, 2004). Jako nejvhodnější pro mapování klastrů </w:t>
      </w:r>
      <w:r>
        <w:rPr>
          <w:rFonts w:eastAsia="Calibri"/>
          <w:sz w:val="24"/>
          <w:szCs w:val="24"/>
          <w:lang w:eastAsia="en-US"/>
        </w:rPr>
        <w:t xml:space="preserve">se </w:t>
      </w:r>
      <w:r w:rsidRPr="0083253E">
        <w:rPr>
          <w:rFonts w:eastAsia="Calibri"/>
          <w:sz w:val="24"/>
          <w:szCs w:val="24"/>
          <w:lang w:eastAsia="en-US"/>
        </w:rPr>
        <w:t>jeví kombinace obou metod.</w:t>
      </w:r>
      <w:r>
        <w:rPr>
          <w:rFonts w:eastAsia="Calibri"/>
          <w:sz w:val="24"/>
          <w:szCs w:val="24"/>
          <w:lang w:eastAsia="en-US"/>
        </w:rPr>
        <w:t xml:space="preserve"> </w:t>
      </w:r>
      <w:r w:rsidRPr="0083253E">
        <w:rPr>
          <w:rFonts w:eastAsia="Calibri"/>
          <w:sz w:val="24"/>
          <w:szCs w:val="24"/>
          <w:lang w:eastAsia="en-US"/>
        </w:rPr>
        <w:t xml:space="preserve">Mezi základní nástroje kvantitativní metody </w:t>
      </w:r>
      <w:r>
        <w:rPr>
          <w:rFonts w:eastAsia="Calibri"/>
          <w:sz w:val="24"/>
          <w:szCs w:val="24"/>
          <w:lang w:eastAsia="en-US"/>
        </w:rPr>
        <w:t xml:space="preserve">pak </w:t>
      </w:r>
      <w:r w:rsidRPr="0083253E">
        <w:rPr>
          <w:rFonts w:eastAsia="Calibri"/>
          <w:sz w:val="24"/>
          <w:szCs w:val="24"/>
          <w:lang w:eastAsia="en-US"/>
        </w:rPr>
        <w:t xml:space="preserve">patří lokalizační kvocient, input-output analýza a </w:t>
      </w:r>
      <w:r>
        <w:rPr>
          <w:rFonts w:eastAsia="Calibri"/>
          <w:sz w:val="24"/>
          <w:szCs w:val="24"/>
          <w:lang w:eastAsia="en-US"/>
        </w:rPr>
        <w:t>odhalená</w:t>
      </w:r>
      <w:r w:rsidRPr="0083253E">
        <w:rPr>
          <w:rFonts w:eastAsia="Calibri"/>
          <w:sz w:val="24"/>
          <w:szCs w:val="24"/>
          <w:lang w:eastAsia="en-US"/>
        </w:rPr>
        <w:t xml:space="preserve"> komparativní výhod</w:t>
      </w:r>
      <w:r>
        <w:rPr>
          <w:rFonts w:eastAsia="Calibri"/>
          <w:sz w:val="24"/>
          <w:szCs w:val="24"/>
          <w:lang w:eastAsia="en-US"/>
        </w:rPr>
        <w:t>a</w:t>
      </w:r>
      <w:r w:rsidRPr="0083253E">
        <w:rPr>
          <w:rFonts w:eastAsia="Calibri"/>
          <w:sz w:val="24"/>
          <w:szCs w:val="24"/>
          <w:lang w:eastAsia="en-US"/>
        </w:rPr>
        <w:t xml:space="preserve"> (CzechInvest, 2005). Z dalších metod je možné použít také shift-share analýzu, Giniho koeficient lokalizace, Ellisonův a Glaeserův index aglomerace nebo Maurel-Sédillotův index (podrobněji viz Žižka, 2004 a 2010). Použití uvedených metod je limitováno především dostupností statistických dat, kdy je nutné mít k dispozici data dle jednotlivých odvětví v regionálním členění. </w:t>
      </w:r>
    </w:p>
    <w:p w:rsidR="006A2747" w:rsidRPr="00CA302A" w:rsidRDefault="006A2747" w:rsidP="00423120">
      <w:pPr>
        <w:keepNext/>
        <w:widowControl w:val="0"/>
        <w:suppressLineNumbers/>
        <w:ind w:firstLine="720"/>
        <w:jc w:val="both"/>
        <w:rPr>
          <w:rFonts w:eastAsia="Calibri"/>
          <w:sz w:val="24"/>
          <w:szCs w:val="24"/>
          <w:lang w:eastAsia="en-US"/>
        </w:rPr>
      </w:pPr>
      <w:r w:rsidRPr="009B6EC0">
        <w:rPr>
          <w:rFonts w:eastAsia="Calibri"/>
          <w:sz w:val="24"/>
          <w:szCs w:val="24"/>
          <w:lang w:eastAsia="en-US"/>
        </w:rPr>
        <w:t>Pro výpočet lokalizačního koeficientu (viz výše), který obvykle bývá prvním krokem identifikace klastrů, se nejčastěji používají data o zaměstnanosti, která jsou</w:t>
      </w:r>
      <w:r>
        <w:rPr>
          <w:rFonts w:eastAsia="Calibri"/>
          <w:sz w:val="24"/>
          <w:szCs w:val="24"/>
          <w:lang w:eastAsia="en-US"/>
        </w:rPr>
        <w:t xml:space="preserve"> všeobecně </w:t>
      </w:r>
      <w:r w:rsidRPr="009B6EC0">
        <w:rPr>
          <w:rFonts w:eastAsia="Calibri"/>
          <w:sz w:val="24"/>
          <w:szCs w:val="24"/>
          <w:lang w:eastAsia="en-US"/>
        </w:rPr>
        <w:t xml:space="preserve">nejlépe dostupná. </w:t>
      </w:r>
      <w:r w:rsidRPr="00CA302A">
        <w:rPr>
          <w:rFonts w:eastAsia="Calibri"/>
          <w:sz w:val="24"/>
          <w:szCs w:val="24"/>
          <w:lang w:eastAsia="en-US"/>
        </w:rPr>
        <w:t xml:space="preserve">Významnost daného odvětví pro region je však možné posuzovat i </w:t>
      </w:r>
      <w:r>
        <w:rPr>
          <w:rFonts w:eastAsia="Calibri"/>
          <w:sz w:val="24"/>
          <w:szCs w:val="24"/>
          <w:lang w:eastAsia="en-US"/>
        </w:rPr>
        <w:t>po</w:t>
      </w:r>
      <w:r w:rsidRPr="00CA302A">
        <w:rPr>
          <w:rFonts w:eastAsia="Calibri"/>
          <w:sz w:val="24"/>
          <w:szCs w:val="24"/>
          <w:lang w:eastAsia="en-US"/>
        </w:rPr>
        <w:t xml:space="preserve">dle tržeb nebo tvorby přidané hodnoty. Tyto ukazatele bývají někdy označovány jako procentní podíl významnosti oboru (Adámek, Stejskal, 2006). Input-output analýza slouží k identifikaci vztahů mezi různými odvětvími v rámci ekonomiky a využívá se </w:t>
      </w:r>
      <w:r>
        <w:rPr>
          <w:rFonts w:eastAsia="Calibri"/>
          <w:sz w:val="24"/>
          <w:szCs w:val="24"/>
          <w:lang w:eastAsia="en-US"/>
        </w:rPr>
        <w:t>i pro</w:t>
      </w:r>
      <w:r w:rsidRPr="00CA302A">
        <w:rPr>
          <w:rFonts w:eastAsia="Calibri"/>
          <w:sz w:val="24"/>
          <w:szCs w:val="24"/>
          <w:lang w:eastAsia="en-US"/>
        </w:rPr>
        <w:t xml:space="preserve"> znázornění dodavatelsko-odběratelských vztahů uvnitř klastru a mezi klastry (CzechInvest, 2005). Zásadním problémem její aplikace je dostupnost relevantních dat (v České republice nejsou oproti např. V. Británii dostupná). Odhalená komparativní výhoda vyjadřuje regionální podíl exportu každého sektoru vůči exportu všech sektorů a srovnává ho s průměrem vybraných zemí (CzechInvest, 2005). Její aplikace naráží na podobné problémy jako předchozí metoda</w:t>
      </w:r>
      <w:r>
        <w:rPr>
          <w:rFonts w:eastAsia="Calibri"/>
          <w:sz w:val="24"/>
          <w:szCs w:val="24"/>
          <w:lang w:eastAsia="en-US"/>
        </w:rPr>
        <w:t>.</w:t>
      </w:r>
    </w:p>
    <w:p w:rsidR="006A2747" w:rsidRPr="00516360" w:rsidRDefault="006A2747" w:rsidP="00423120">
      <w:pPr>
        <w:keepNext/>
        <w:widowControl w:val="0"/>
        <w:suppressLineNumbers/>
        <w:ind w:firstLine="720"/>
        <w:jc w:val="both"/>
        <w:rPr>
          <w:rFonts w:eastAsia="Calibri"/>
          <w:color w:val="FF0000"/>
          <w:sz w:val="24"/>
          <w:szCs w:val="24"/>
          <w:lang w:eastAsia="en-US"/>
        </w:rPr>
      </w:pPr>
      <w:r w:rsidRPr="00CA302A">
        <w:rPr>
          <w:rFonts w:eastAsia="Calibri"/>
          <w:sz w:val="24"/>
          <w:szCs w:val="24"/>
          <w:lang w:eastAsia="en-US"/>
        </w:rPr>
        <w:t xml:space="preserve">Celkově je </w:t>
      </w:r>
      <w:r w:rsidRPr="00A05445">
        <w:rPr>
          <w:rFonts w:eastAsia="Calibri"/>
          <w:sz w:val="24"/>
          <w:szCs w:val="24"/>
          <w:lang w:eastAsia="en-US"/>
        </w:rPr>
        <w:t xml:space="preserve">možné konstatovat, že pro </w:t>
      </w:r>
      <w:r>
        <w:rPr>
          <w:rFonts w:eastAsia="Calibri"/>
          <w:sz w:val="24"/>
          <w:szCs w:val="24"/>
          <w:lang w:eastAsia="en-US"/>
        </w:rPr>
        <w:t xml:space="preserve">tvorbu </w:t>
      </w:r>
      <w:r w:rsidRPr="00A05445">
        <w:rPr>
          <w:rFonts w:eastAsia="Calibri"/>
          <w:sz w:val="24"/>
          <w:szCs w:val="24"/>
          <w:lang w:eastAsia="en-US"/>
        </w:rPr>
        <w:t xml:space="preserve">regionálních klastrů jsou vhodná odvětví, jejichž lokalizační kvocient je vyšší než 1,2 (Skokan, 2004, CzechInvest, 2005, Pavelková, 2009). Vysoká hodnota kvocientu však ještě nemusí znamenat, že odvětví je vhodné </w:t>
      </w:r>
      <w:r w:rsidRPr="00A05445">
        <w:rPr>
          <w:rFonts w:eastAsia="Calibri"/>
          <w:sz w:val="24"/>
          <w:szCs w:val="24"/>
          <w:lang w:eastAsia="en-US"/>
        </w:rPr>
        <w:lastRenderedPageBreak/>
        <w:t>pro</w:t>
      </w:r>
      <w:r w:rsidR="008C6D7E">
        <w:rPr>
          <w:rFonts w:eastAsia="Calibri"/>
          <w:sz w:val="24"/>
          <w:szCs w:val="24"/>
          <w:lang w:eastAsia="en-US"/>
        </w:rPr>
        <w:t> </w:t>
      </w:r>
      <w:r w:rsidRPr="00A05445">
        <w:rPr>
          <w:rFonts w:eastAsia="Calibri"/>
          <w:sz w:val="24"/>
          <w:szCs w:val="24"/>
          <w:lang w:eastAsia="en-US"/>
        </w:rPr>
        <w:t xml:space="preserve">založení klastru – odvětví může např. vykazovat vysoký lokalizační kvocient, ovšem při nízkém podílu na zaměstnanosti (mezi odvětví potenciálně vhodná pro založení klastru jsou proto řazena ta, která zaměstnávají stanovený počet např. 1000 zaměstnanců či stanovený </w:t>
      </w:r>
      <w:r w:rsidRPr="006B2C35">
        <w:rPr>
          <w:rFonts w:eastAsia="Calibri"/>
          <w:sz w:val="24"/>
          <w:szCs w:val="24"/>
          <w:lang w:eastAsia="en-US"/>
        </w:rPr>
        <w:t>podíl</w:t>
      </w:r>
      <w:r w:rsidRPr="00A05445">
        <w:rPr>
          <w:rFonts w:eastAsia="Calibri"/>
          <w:sz w:val="24"/>
          <w:szCs w:val="24"/>
          <w:lang w:eastAsia="en-US"/>
        </w:rPr>
        <w:t xml:space="preserve"> např. 0,5 </w:t>
      </w:r>
      <w:r w:rsidRPr="006B2C35">
        <w:rPr>
          <w:rFonts w:eastAsia="Calibri"/>
          <w:sz w:val="24"/>
          <w:szCs w:val="24"/>
          <w:lang w:eastAsia="en-US"/>
        </w:rPr>
        <w:t>% na zaměstnanosti). O vhodnosti odvětví pro založení klastru svědčí také počet firem v daném odvětví. Při interpretaci statistických dat je nutné respektovat limity jejich vypovídací schopnosti – firmy jsou do regionálních statistik řazeny dle svého sídla</w:t>
      </w:r>
      <w:r w:rsidR="00FD3DF8">
        <w:rPr>
          <w:rFonts w:eastAsia="Calibri"/>
          <w:sz w:val="24"/>
          <w:szCs w:val="24"/>
          <w:lang w:eastAsia="en-US"/>
        </w:rPr>
        <w:t>,</w:t>
      </w:r>
      <w:r w:rsidRPr="006B2C35">
        <w:rPr>
          <w:rFonts w:eastAsia="Calibri"/>
          <w:sz w:val="24"/>
          <w:szCs w:val="24"/>
          <w:lang w:eastAsia="en-US"/>
        </w:rPr>
        <w:t xml:space="preserve"> nik</w:t>
      </w:r>
      <w:r w:rsidR="00FD3DF8">
        <w:rPr>
          <w:rFonts w:eastAsia="Calibri"/>
          <w:sz w:val="24"/>
          <w:szCs w:val="24"/>
          <w:lang w:eastAsia="en-US"/>
        </w:rPr>
        <w:t xml:space="preserve">oliv místa skutečného působení a </w:t>
      </w:r>
      <w:r w:rsidRPr="006B2C35">
        <w:rPr>
          <w:rFonts w:eastAsia="Calibri"/>
          <w:sz w:val="24"/>
          <w:szCs w:val="24"/>
          <w:lang w:eastAsia="en-US"/>
        </w:rPr>
        <w:t xml:space="preserve">problematické je také určení převažující činnosti firmy. </w:t>
      </w:r>
    </w:p>
    <w:p w:rsidR="006A2747" w:rsidRDefault="006A2747" w:rsidP="00FD3DF8">
      <w:pPr>
        <w:keepNext/>
        <w:widowControl w:val="0"/>
        <w:suppressLineNumbers/>
        <w:ind w:firstLine="720"/>
        <w:jc w:val="both"/>
        <w:rPr>
          <w:rFonts w:eastAsia="Calibri"/>
          <w:sz w:val="24"/>
          <w:szCs w:val="24"/>
          <w:lang w:eastAsia="en-US"/>
        </w:rPr>
      </w:pPr>
      <w:r w:rsidRPr="006B2C35">
        <w:rPr>
          <w:rFonts w:eastAsia="Calibri"/>
          <w:sz w:val="24"/>
          <w:szCs w:val="24"/>
          <w:lang w:eastAsia="en-US"/>
        </w:rPr>
        <w:t xml:space="preserve">Pokud máme spočítaný lokalizační kvocient a určená odvětví vhodná pro klastry, je nutné vzít do úvahy i související odvětví, u kterých lze předpokládat vzájemné </w:t>
      </w:r>
      <w:r>
        <w:rPr>
          <w:rFonts w:eastAsia="Calibri"/>
          <w:sz w:val="24"/>
          <w:szCs w:val="24"/>
          <w:lang w:eastAsia="en-US"/>
        </w:rPr>
        <w:t>dodava</w:t>
      </w:r>
      <w:r w:rsidR="008C6D7E">
        <w:rPr>
          <w:rFonts w:eastAsia="Calibri"/>
          <w:sz w:val="24"/>
          <w:szCs w:val="24"/>
          <w:lang w:eastAsia="en-US"/>
        </w:rPr>
        <w:t>telské a </w:t>
      </w:r>
      <w:r w:rsidRPr="00371A7A">
        <w:rPr>
          <w:rFonts w:eastAsia="Calibri"/>
          <w:sz w:val="24"/>
          <w:szCs w:val="24"/>
          <w:lang w:eastAsia="en-US"/>
        </w:rPr>
        <w:t xml:space="preserve">odběratelská vztahy s klíčovým odvětvím v rámci výrobních řetězců. </w:t>
      </w:r>
      <w:r>
        <w:rPr>
          <w:rFonts w:eastAsia="Calibri"/>
          <w:sz w:val="24"/>
          <w:szCs w:val="24"/>
          <w:lang w:eastAsia="en-US"/>
        </w:rPr>
        <w:t xml:space="preserve">V rámci </w:t>
      </w:r>
      <w:r w:rsidRPr="00371A7A">
        <w:rPr>
          <w:rFonts w:eastAsia="Calibri"/>
          <w:sz w:val="24"/>
          <w:szCs w:val="24"/>
          <w:lang w:eastAsia="en-US"/>
        </w:rPr>
        <w:t>klastr</w:t>
      </w:r>
      <w:r>
        <w:rPr>
          <w:rFonts w:eastAsia="Calibri"/>
          <w:sz w:val="24"/>
          <w:szCs w:val="24"/>
          <w:lang w:eastAsia="en-US"/>
        </w:rPr>
        <w:t>ové</w:t>
      </w:r>
      <w:r w:rsidRPr="00371A7A">
        <w:rPr>
          <w:rFonts w:eastAsia="Calibri"/>
          <w:sz w:val="24"/>
          <w:szCs w:val="24"/>
          <w:lang w:eastAsia="en-US"/>
        </w:rPr>
        <w:t xml:space="preserve"> iniciativy by dle Skokana (2004) měla být </w:t>
      </w:r>
      <w:r>
        <w:rPr>
          <w:rFonts w:eastAsia="Calibri"/>
          <w:sz w:val="24"/>
          <w:szCs w:val="24"/>
          <w:lang w:eastAsia="en-US"/>
        </w:rPr>
        <w:t xml:space="preserve">zkoumána </w:t>
      </w:r>
      <w:r w:rsidRPr="00371A7A">
        <w:rPr>
          <w:rFonts w:eastAsia="Calibri"/>
          <w:sz w:val="24"/>
          <w:szCs w:val="24"/>
          <w:lang w:eastAsia="en-US"/>
        </w:rPr>
        <w:t>i následující příbuzná odvětví</w:t>
      </w:r>
      <w:r>
        <w:rPr>
          <w:rFonts w:eastAsia="Calibri"/>
          <w:sz w:val="24"/>
          <w:szCs w:val="24"/>
          <w:lang w:eastAsia="en-US"/>
        </w:rPr>
        <w:t>, která:</w:t>
      </w:r>
    </w:p>
    <w:p w:rsidR="006A2747" w:rsidRDefault="006A2747" w:rsidP="00423120">
      <w:pPr>
        <w:keepNext/>
        <w:widowControl w:val="0"/>
        <w:numPr>
          <w:ilvl w:val="0"/>
          <w:numId w:val="21"/>
        </w:numPr>
        <w:suppressLineNumbers/>
        <w:ind w:left="567"/>
        <w:contextualSpacing/>
        <w:jc w:val="both"/>
        <w:rPr>
          <w:rFonts w:eastAsia="Calibri"/>
          <w:sz w:val="24"/>
          <w:szCs w:val="24"/>
          <w:lang w:eastAsia="en-US"/>
        </w:rPr>
      </w:pPr>
      <w:r w:rsidRPr="00371A7A">
        <w:rPr>
          <w:rFonts w:eastAsia="Calibri"/>
          <w:sz w:val="24"/>
          <w:szCs w:val="24"/>
          <w:lang w:eastAsia="en-US"/>
        </w:rPr>
        <w:t>mají lokalizační kvocient nad stanovenou hranicí, ale nižší zaměstnanost</w:t>
      </w:r>
      <w:r>
        <w:rPr>
          <w:rFonts w:eastAsia="Calibri"/>
          <w:sz w:val="24"/>
          <w:szCs w:val="24"/>
          <w:lang w:eastAsia="en-US"/>
        </w:rPr>
        <w:t>,</w:t>
      </w:r>
      <w:r w:rsidRPr="00371A7A">
        <w:rPr>
          <w:rFonts w:eastAsia="Calibri"/>
          <w:sz w:val="24"/>
          <w:szCs w:val="24"/>
          <w:lang w:eastAsia="en-US"/>
        </w:rPr>
        <w:t xml:space="preserve"> </w:t>
      </w:r>
    </w:p>
    <w:p w:rsidR="006A2747" w:rsidRPr="00371A7A" w:rsidRDefault="006A2747" w:rsidP="00423120">
      <w:pPr>
        <w:keepNext/>
        <w:widowControl w:val="0"/>
        <w:numPr>
          <w:ilvl w:val="0"/>
          <w:numId w:val="21"/>
        </w:numPr>
        <w:suppressLineNumbers/>
        <w:ind w:left="567"/>
        <w:contextualSpacing/>
        <w:jc w:val="both"/>
        <w:rPr>
          <w:rFonts w:eastAsia="Calibri"/>
          <w:sz w:val="24"/>
          <w:szCs w:val="24"/>
          <w:lang w:eastAsia="en-US"/>
        </w:rPr>
      </w:pPr>
      <w:r w:rsidRPr="00371A7A">
        <w:rPr>
          <w:rFonts w:eastAsia="Calibri"/>
          <w:sz w:val="24"/>
          <w:szCs w:val="24"/>
          <w:lang w:eastAsia="en-US"/>
        </w:rPr>
        <w:t>mají lokalizační kvocient pod stanovenou hranicí, ale zaměstnávají velký počet</w:t>
      </w:r>
      <w:r w:rsidRPr="00A9208A">
        <w:rPr>
          <w:rFonts w:eastAsia="Calibri"/>
          <w:sz w:val="24"/>
          <w:szCs w:val="24"/>
          <w:lang w:eastAsia="en-US"/>
        </w:rPr>
        <w:t xml:space="preserve"> </w:t>
      </w:r>
      <w:r w:rsidRPr="00371A7A">
        <w:rPr>
          <w:rFonts w:eastAsia="Calibri"/>
          <w:sz w:val="24"/>
          <w:szCs w:val="24"/>
          <w:lang w:eastAsia="en-US"/>
        </w:rPr>
        <w:t>lidí,</w:t>
      </w:r>
    </w:p>
    <w:p w:rsidR="00FD3DF8" w:rsidRDefault="006A2747" w:rsidP="00FD3DF8">
      <w:pPr>
        <w:keepNext/>
        <w:widowControl w:val="0"/>
        <w:numPr>
          <w:ilvl w:val="0"/>
          <w:numId w:val="21"/>
        </w:numPr>
        <w:suppressLineNumbers/>
        <w:ind w:left="567" w:hanging="357"/>
        <w:contextualSpacing/>
        <w:jc w:val="both"/>
        <w:rPr>
          <w:rFonts w:eastAsia="Calibri"/>
          <w:sz w:val="24"/>
          <w:szCs w:val="24"/>
          <w:lang w:eastAsia="en-US"/>
        </w:rPr>
      </w:pPr>
      <w:r w:rsidRPr="00371A7A">
        <w:rPr>
          <w:rFonts w:eastAsia="Calibri"/>
          <w:sz w:val="24"/>
          <w:szCs w:val="24"/>
          <w:lang w:eastAsia="en-US"/>
        </w:rPr>
        <w:t xml:space="preserve">nesplňují stanovené hodnoty, ale mají pro klastr zvláštní význam (např. vzdělávací </w:t>
      </w:r>
      <w:r w:rsidR="008C6D7E">
        <w:rPr>
          <w:rFonts w:eastAsia="Calibri"/>
          <w:sz w:val="24"/>
          <w:szCs w:val="24"/>
          <w:lang w:eastAsia="en-US"/>
        </w:rPr>
        <w:t>a </w:t>
      </w:r>
      <w:r w:rsidR="00FD3DF8">
        <w:rPr>
          <w:rFonts w:eastAsia="Calibri"/>
          <w:sz w:val="24"/>
          <w:szCs w:val="24"/>
          <w:lang w:eastAsia="en-US"/>
        </w:rPr>
        <w:t>výzkumně-vývojové instituce).</w:t>
      </w:r>
    </w:p>
    <w:p w:rsidR="00FD3DF8" w:rsidRDefault="00FD3DF8" w:rsidP="00FD3DF8">
      <w:pPr>
        <w:keepNext/>
        <w:widowControl w:val="0"/>
        <w:suppressLineNumbers/>
        <w:contextualSpacing/>
        <w:jc w:val="both"/>
        <w:rPr>
          <w:rFonts w:eastAsia="Calibri"/>
          <w:sz w:val="24"/>
          <w:szCs w:val="24"/>
          <w:lang w:eastAsia="en-US"/>
        </w:rPr>
      </w:pPr>
    </w:p>
    <w:p w:rsidR="006A2747" w:rsidRDefault="006A2747" w:rsidP="00504C06">
      <w:pPr>
        <w:keepNext/>
        <w:widowControl w:val="0"/>
        <w:suppressLineNumbers/>
        <w:ind w:firstLine="567"/>
        <w:contextualSpacing/>
        <w:jc w:val="both"/>
        <w:rPr>
          <w:rFonts w:eastAsia="Calibri"/>
          <w:sz w:val="24"/>
          <w:szCs w:val="24"/>
          <w:lang w:eastAsia="en-US"/>
        </w:rPr>
      </w:pPr>
      <w:r w:rsidRPr="00FD3DF8">
        <w:rPr>
          <w:rFonts w:eastAsia="Calibri"/>
          <w:sz w:val="24"/>
          <w:szCs w:val="24"/>
          <w:lang w:eastAsia="en-US"/>
        </w:rPr>
        <w:t>V další etapě je pak prostřednictvím dalších analýz ověřováno, zda vybraná odvětví jsou opravdu vhodná pro založení klastru. Tato etapa by měla přinést informace o ekonomických trendech, silných a slabých stránkách odvětví, speciálníc</w:t>
      </w:r>
      <w:r w:rsidR="008C6D7E">
        <w:rPr>
          <w:rFonts w:eastAsia="Calibri"/>
          <w:sz w:val="24"/>
          <w:szCs w:val="24"/>
          <w:lang w:eastAsia="en-US"/>
        </w:rPr>
        <w:t>h výrobních faktorech, úrovni a </w:t>
      </w:r>
      <w:r w:rsidRPr="00FD3DF8">
        <w:rPr>
          <w:rFonts w:eastAsia="Calibri"/>
          <w:sz w:val="24"/>
          <w:szCs w:val="24"/>
          <w:lang w:eastAsia="en-US"/>
        </w:rPr>
        <w:t>možnostech spolupráce nebo společných potřebách</w:t>
      </w:r>
      <w:r w:rsidR="008C6D7E">
        <w:rPr>
          <w:rFonts w:eastAsia="Calibri"/>
          <w:sz w:val="24"/>
          <w:szCs w:val="24"/>
          <w:lang w:eastAsia="en-US"/>
        </w:rPr>
        <w:t>. Důležitým krokem analýzy je i </w:t>
      </w:r>
      <w:r w:rsidRPr="00FD3DF8">
        <w:rPr>
          <w:rFonts w:eastAsia="Calibri"/>
          <w:sz w:val="24"/>
          <w:szCs w:val="24"/>
          <w:lang w:eastAsia="en-US"/>
        </w:rPr>
        <w:t>stanovení základních charakteristik klastru, mezi které patří etapa vývoje (potenciální, embryonální, stabilizovaná, zralá), hloubka klastru, dyn</w:t>
      </w:r>
      <w:r w:rsidR="008C6D7E">
        <w:rPr>
          <w:rFonts w:eastAsia="Calibri"/>
          <w:sz w:val="24"/>
          <w:szCs w:val="24"/>
          <w:lang w:eastAsia="en-US"/>
        </w:rPr>
        <w:t>amika zaměstnanosti, význam pro </w:t>
      </w:r>
      <w:r w:rsidRPr="00FD3DF8">
        <w:rPr>
          <w:rFonts w:eastAsia="Calibri"/>
          <w:sz w:val="24"/>
          <w:szCs w:val="24"/>
          <w:lang w:eastAsia="en-US"/>
        </w:rPr>
        <w:t>ekonomiku (mezinárodní, národní, regionální) a další (Skokan, 2004).</w:t>
      </w:r>
    </w:p>
    <w:p w:rsidR="00504C06" w:rsidRPr="00FD3DF8" w:rsidRDefault="00504C06" w:rsidP="00504C06">
      <w:pPr>
        <w:keepNext/>
        <w:widowControl w:val="0"/>
        <w:suppressLineNumbers/>
        <w:ind w:firstLine="567"/>
        <w:contextualSpacing/>
        <w:jc w:val="both"/>
        <w:rPr>
          <w:rFonts w:eastAsia="Calibri"/>
          <w:sz w:val="24"/>
          <w:szCs w:val="24"/>
          <w:lang w:eastAsia="en-US"/>
        </w:rPr>
      </w:pPr>
    </w:p>
    <w:tbl>
      <w:tblPr>
        <w:tblStyle w:val="Mkatabulky6"/>
        <w:tblW w:w="0" w:type="auto"/>
        <w:tblLook w:val="04A0" w:firstRow="1" w:lastRow="0" w:firstColumn="1" w:lastColumn="0" w:noHBand="0" w:noVBand="1"/>
      </w:tblPr>
      <w:tblGrid>
        <w:gridCol w:w="9212"/>
      </w:tblGrid>
      <w:tr w:rsidR="006A2747" w:rsidRPr="00516360" w:rsidTr="00A73B09">
        <w:trPr>
          <w:trHeight w:hRule="exact" w:val="284"/>
        </w:trPr>
        <w:tc>
          <w:tcPr>
            <w:tcW w:w="9212" w:type="dxa"/>
            <w:hideMark/>
          </w:tcPr>
          <w:p w:rsidR="006A2747" w:rsidRPr="00516360" w:rsidRDefault="006A2747" w:rsidP="00423120">
            <w:pPr>
              <w:keepNext/>
              <w:suppressLineNumbers/>
              <w:jc w:val="center"/>
              <w:rPr>
                <w:color w:val="FF0000"/>
                <w:sz w:val="24"/>
                <w:szCs w:val="24"/>
              </w:rPr>
            </w:pPr>
            <w:r w:rsidRPr="007B5BA4">
              <w:rPr>
                <w:sz w:val="24"/>
                <w:szCs w:val="24"/>
              </w:rPr>
              <w:t>Statistický průzkum kraje</w:t>
            </w:r>
          </w:p>
        </w:tc>
      </w:tr>
      <w:tr w:rsidR="006A2747" w:rsidRPr="00516360" w:rsidTr="00A73B09">
        <w:trPr>
          <w:trHeight w:hRule="exact" w:val="284"/>
        </w:trPr>
        <w:tc>
          <w:tcPr>
            <w:tcW w:w="9212" w:type="dxa"/>
            <w:hideMark/>
          </w:tcPr>
          <w:p w:rsidR="006A2747" w:rsidRPr="007B5BA4" w:rsidRDefault="006A2747" w:rsidP="00423120">
            <w:pPr>
              <w:keepNext/>
              <w:suppressLineNumbers/>
              <w:jc w:val="center"/>
              <w:rPr>
                <w:sz w:val="24"/>
                <w:szCs w:val="24"/>
              </w:rPr>
            </w:pPr>
            <w:r w:rsidRPr="007B5BA4">
              <w:rPr>
                <w:sz w:val="24"/>
                <w:szCs w:val="24"/>
              </w:rPr>
              <w:t>↓</w:t>
            </w:r>
          </w:p>
        </w:tc>
      </w:tr>
      <w:tr w:rsidR="006A2747" w:rsidRPr="00516360" w:rsidTr="00A73B09">
        <w:trPr>
          <w:trHeight w:hRule="exact" w:val="284"/>
        </w:trPr>
        <w:tc>
          <w:tcPr>
            <w:tcW w:w="9212" w:type="dxa"/>
            <w:hideMark/>
          </w:tcPr>
          <w:p w:rsidR="006A2747" w:rsidRPr="007B5BA4" w:rsidRDefault="006A2747" w:rsidP="00423120">
            <w:pPr>
              <w:keepNext/>
              <w:suppressLineNumbers/>
              <w:jc w:val="center"/>
              <w:rPr>
                <w:sz w:val="24"/>
                <w:szCs w:val="24"/>
              </w:rPr>
            </w:pPr>
            <w:r w:rsidRPr="007B5BA4">
              <w:rPr>
                <w:sz w:val="24"/>
                <w:szCs w:val="24"/>
              </w:rPr>
              <w:t>Identifikace klíčových odvětví pomocí lokalizačních kvocientů</w:t>
            </w:r>
          </w:p>
        </w:tc>
      </w:tr>
      <w:tr w:rsidR="006A2747" w:rsidRPr="00516360" w:rsidTr="00A73B09">
        <w:trPr>
          <w:trHeight w:hRule="exact" w:val="284"/>
        </w:trPr>
        <w:tc>
          <w:tcPr>
            <w:tcW w:w="9212" w:type="dxa"/>
            <w:hideMark/>
          </w:tcPr>
          <w:p w:rsidR="006A2747" w:rsidRPr="007B5BA4" w:rsidRDefault="006A2747" w:rsidP="00423120">
            <w:pPr>
              <w:keepNext/>
              <w:suppressLineNumbers/>
              <w:jc w:val="center"/>
              <w:rPr>
                <w:sz w:val="24"/>
                <w:szCs w:val="24"/>
              </w:rPr>
            </w:pPr>
            <w:r w:rsidRPr="007B5BA4">
              <w:rPr>
                <w:sz w:val="24"/>
                <w:szCs w:val="24"/>
              </w:rPr>
              <w:t>↓</w:t>
            </w:r>
          </w:p>
        </w:tc>
      </w:tr>
      <w:tr w:rsidR="006A2747" w:rsidRPr="00516360" w:rsidTr="00A73B09">
        <w:trPr>
          <w:trHeight w:hRule="exact" w:val="284"/>
        </w:trPr>
        <w:tc>
          <w:tcPr>
            <w:tcW w:w="9212" w:type="dxa"/>
            <w:hideMark/>
          </w:tcPr>
          <w:p w:rsidR="006A2747" w:rsidRPr="007B5BA4" w:rsidRDefault="006A2747" w:rsidP="00423120">
            <w:pPr>
              <w:keepNext/>
              <w:suppressLineNumbers/>
              <w:jc w:val="center"/>
              <w:rPr>
                <w:sz w:val="24"/>
                <w:szCs w:val="24"/>
              </w:rPr>
            </w:pPr>
            <w:r w:rsidRPr="007B5BA4">
              <w:rPr>
                <w:sz w:val="24"/>
                <w:szCs w:val="24"/>
              </w:rPr>
              <w:t xml:space="preserve">Výběr odvětví k bližšímu prozkoumání </w:t>
            </w:r>
          </w:p>
        </w:tc>
      </w:tr>
      <w:tr w:rsidR="006A2747" w:rsidRPr="00516360" w:rsidTr="00A73B09">
        <w:trPr>
          <w:trHeight w:hRule="exact" w:val="284"/>
        </w:trPr>
        <w:tc>
          <w:tcPr>
            <w:tcW w:w="9212" w:type="dxa"/>
            <w:hideMark/>
          </w:tcPr>
          <w:p w:rsidR="006A2747" w:rsidRPr="007B5BA4" w:rsidRDefault="006A2747" w:rsidP="00423120">
            <w:pPr>
              <w:keepNext/>
              <w:suppressLineNumbers/>
              <w:jc w:val="center"/>
              <w:rPr>
                <w:sz w:val="24"/>
                <w:szCs w:val="24"/>
              </w:rPr>
            </w:pPr>
            <w:r w:rsidRPr="007B5BA4">
              <w:rPr>
                <w:sz w:val="24"/>
                <w:szCs w:val="24"/>
              </w:rPr>
              <w:t>↓</w:t>
            </w:r>
          </w:p>
        </w:tc>
      </w:tr>
      <w:tr w:rsidR="006A2747" w:rsidRPr="00516360" w:rsidTr="00A73B09">
        <w:trPr>
          <w:trHeight w:hRule="exact" w:val="284"/>
        </w:trPr>
        <w:tc>
          <w:tcPr>
            <w:tcW w:w="9212" w:type="dxa"/>
            <w:hideMark/>
          </w:tcPr>
          <w:p w:rsidR="006A2747" w:rsidRPr="007B5BA4" w:rsidRDefault="006A2747" w:rsidP="00423120">
            <w:pPr>
              <w:keepNext/>
              <w:suppressLineNumbers/>
              <w:jc w:val="center"/>
              <w:rPr>
                <w:sz w:val="24"/>
                <w:szCs w:val="24"/>
              </w:rPr>
            </w:pPr>
            <w:r w:rsidRPr="007B5BA4">
              <w:rPr>
                <w:sz w:val="24"/>
                <w:szCs w:val="24"/>
              </w:rPr>
              <w:t>Prozkoumání vybraných odvětví na základě dostupných dokumentů a jednání s odborníky a firmami</w:t>
            </w:r>
          </w:p>
        </w:tc>
      </w:tr>
      <w:tr w:rsidR="006A2747" w:rsidRPr="00516360" w:rsidTr="00A73B09">
        <w:trPr>
          <w:trHeight w:hRule="exact" w:val="284"/>
        </w:trPr>
        <w:tc>
          <w:tcPr>
            <w:tcW w:w="9212" w:type="dxa"/>
            <w:hideMark/>
          </w:tcPr>
          <w:p w:rsidR="006A2747" w:rsidRPr="007B5BA4" w:rsidRDefault="006A2747" w:rsidP="00423120">
            <w:pPr>
              <w:keepNext/>
              <w:suppressLineNumbers/>
              <w:jc w:val="center"/>
              <w:rPr>
                <w:sz w:val="24"/>
                <w:szCs w:val="24"/>
              </w:rPr>
            </w:pPr>
            <w:r w:rsidRPr="007B5BA4">
              <w:rPr>
                <w:sz w:val="24"/>
                <w:szCs w:val="24"/>
              </w:rPr>
              <w:t>↓</w:t>
            </w:r>
          </w:p>
        </w:tc>
      </w:tr>
      <w:tr w:rsidR="006A2747" w:rsidRPr="00516360" w:rsidTr="00A73B09">
        <w:trPr>
          <w:trHeight w:hRule="exact" w:val="284"/>
        </w:trPr>
        <w:tc>
          <w:tcPr>
            <w:tcW w:w="9212" w:type="dxa"/>
            <w:hideMark/>
          </w:tcPr>
          <w:p w:rsidR="006A2747" w:rsidRPr="00F91CDC" w:rsidRDefault="006A2747" w:rsidP="00423120">
            <w:pPr>
              <w:keepNext/>
              <w:suppressLineNumbers/>
              <w:jc w:val="center"/>
              <w:rPr>
                <w:sz w:val="24"/>
                <w:szCs w:val="24"/>
              </w:rPr>
            </w:pPr>
            <w:r w:rsidRPr="00F91CDC">
              <w:rPr>
                <w:sz w:val="24"/>
                <w:szCs w:val="24"/>
              </w:rPr>
              <w:t>Výběr</w:t>
            </w:r>
            <w:r>
              <w:rPr>
                <w:sz w:val="24"/>
                <w:szCs w:val="24"/>
              </w:rPr>
              <w:t xml:space="preserve"> </w:t>
            </w:r>
            <w:r w:rsidRPr="00F91CDC">
              <w:rPr>
                <w:sz w:val="24"/>
                <w:szCs w:val="24"/>
              </w:rPr>
              <w:t>klíčového odvětví pro další zkoumání</w:t>
            </w:r>
          </w:p>
        </w:tc>
      </w:tr>
      <w:tr w:rsidR="006A2747" w:rsidRPr="00516360" w:rsidTr="00A73B09">
        <w:trPr>
          <w:trHeight w:hRule="exact" w:val="284"/>
        </w:trPr>
        <w:tc>
          <w:tcPr>
            <w:tcW w:w="9212" w:type="dxa"/>
            <w:hideMark/>
          </w:tcPr>
          <w:p w:rsidR="006A2747" w:rsidRPr="00F91CDC" w:rsidRDefault="006A2747" w:rsidP="00423120">
            <w:pPr>
              <w:keepNext/>
              <w:suppressLineNumbers/>
              <w:jc w:val="center"/>
              <w:rPr>
                <w:sz w:val="24"/>
                <w:szCs w:val="24"/>
              </w:rPr>
            </w:pPr>
            <w:r w:rsidRPr="00F91CDC">
              <w:rPr>
                <w:sz w:val="24"/>
                <w:szCs w:val="24"/>
              </w:rPr>
              <w:t>↓</w:t>
            </w:r>
          </w:p>
        </w:tc>
      </w:tr>
      <w:tr w:rsidR="006A2747" w:rsidRPr="00516360" w:rsidTr="00A73B09">
        <w:trPr>
          <w:trHeight w:hRule="exact" w:val="284"/>
        </w:trPr>
        <w:tc>
          <w:tcPr>
            <w:tcW w:w="9212" w:type="dxa"/>
            <w:hideMark/>
          </w:tcPr>
          <w:p w:rsidR="006A2747" w:rsidRPr="00F91CDC" w:rsidRDefault="006A2747" w:rsidP="00423120">
            <w:pPr>
              <w:keepNext/>
              <w:suppressLineNumbers/>
              <w:jc w:val="center"/>
              <w:rPr>
                <w:sz w:val="24"/>
                <w:szCs w:val="24"/>
              </w:rPr>
            </w:pPr>
            <w:r w:rsidRPr="00F91CDC">
              <w:rPr>
                <w:sz w:val="24"/>
                <w:szCs w:val="24"/>
              </w:rPr>
              <w:t>Další výzkum (rozhovory, benchmarking) vedoucí k detailnímu popisu potenciálního klastru</w:t>
            </w:r>
          </w:p>
        </w:tc>
      </w:tr>
      <w:tr w:rsidR="006A2747" w:rsidRPr="00516360" w:rsidTr="00A73B09">
        <w:trPr>
          <w:trHeight w:hRule="exact" w:val="284"/>
        </w:trPr>
        <w:tc>
          <w:tcPr>
            <w:tcW w:w="9212" w:type="dxa"/>
            <w:hideMark/>
          </w:tcPr>
          <w:p w:rsidR="006A2747" w:rsidRPr="00516360" w:rsidRDefault="006A2747" w:rsidP="00423120">
            <w:pPr>
              <w:keepNext/>
              <w:suppressLineNumbers/>
              <w:jc w:val="center"/>
              <w:rPr>
                <w:color w:val="FF0000"/>
                <w:sz w:val="24"/>
                <w:szCs w:val="24"/>
              </w:rPr>
            </w:pPr>
            <w:r w:rsidRPr="00F91CDC">
              <w:rPr>
                <w:sz w:val="24"/>
                <w:szCs w:val="24"/>
              </w:rPr>
              <w:t>↓</w:t>
            </w:r>
          </w:p>
        </w:tc>
      </w:tr>
      <w:tr w:rsidR="006A2747" w:rsidRPr="00516360" w:rsidTr="00A73B09">
        <w:trPr>
          <w:trHeight w:hRule="exact" w:val="284"/>
        </w:trPr>
        <w:tc>
          <w:tcPr>
            <w:tcW w:w="9212" w:type="dxa"/>
            <w:hideMark/>
          </w:tcPr>
          <w:p w:rsidR="006A2747" w:rsidRPr="00516360" w:rsidRDefault="006A2747" w:rsidP="00423120">
            <w:pPr>
              <w:keepNext/>
              <w:suppressLineNumbers/>
              <w:jc w:val="center"/>
              <w:rPr>
                <w:color w:val="FF0000"/>
                <w:sz w:val="24"/>
                <w:szCs w:val="24"/>
              </w:rPr>
            </w:pPr>
            <w:r w:rsidRPr="00F91CDC">
              <w:rPr>
                <w:sz w:val="24"/>
                <w:szCs w:val="24"/>
              </w:rPr>
              <w:t>Zpracování strategie rozvoje a podpory klastru</w:t>
            </w:r>
          </w:p>
        </w:tc>
      </w:tr>
    </w:tbl>
    <w:p w:rsidR="006A2747" w:rsidRPr="00924454" w:rsidRDefault="006A2747" w:rsidP="00A73B09">
      <w:pPr>
        <w:pStyle w:val="0G-Titulek"/>
        <w:widowControl w:val="0"/>
        <w:spacing w:before="100"/>
        <w:ind w:firstLine="0"/>
      </w:pPr>
      <w:bookmarkStart w:id="108" w:name="_Toc382326824"/>
      <w:r w:rsidRPr="00924454">
        <w:t>Obrázek 20: Postup identifikace klastru</w:t>
      </w:r>
      <w:bookmarkEnd w:id="108"/>
      <w:r w:rsidRPr="00924454">
        <w:t xml:space="preserve"> </w:t>
      </w:r>
    </w:p>
    <w:p w:rsidR="006A2747" w:rsidRPr="00DF1CE4" w:rsidRDefault="006A2747" w:rsidP="00423120">
      <w:pPr>
        <w:keepNext/>
        <w:widowControl w:val="0"/>
        <w:suppressLineNumbers/>
        <w:jc w:val="center"/>
        <w:rPr>
          <w:rFonts w:asciiTheme="minorHAnsi" w:eastAsia="Calibri" w:hAnsiTheme="minorHAnsi" w:cstheme="minorHAnsi"/>
          <w:i/>
          <w:lang w:eastAsia="en-US"/>
        </w:rPr>
      </w:pPr>
      <w:r w:rsidRPr="00DF1CE4">
        <w:rPr>
          <w:rFonts w:asciiTheme="minorHAnsi" w:hAnsiTheme="minorHAnsi" w:cstheme="minorHAnsi"/>
          <w:i/>
        </w:rPr>
        <w:t>Pramen:</w:t>
      </w:r>
      <w:r w:rsidRPr="00DF1CE4">
        <w:rPr>
          <w:rFonts w:asciiTheme="minorHAnsi" w:eastAsia="Calibri" w:hAnsiTheme="minorHAnsi" w:cstheme="minorHAnsi"/>
          <w:i/>
          <w:lang w:eastAsia="en-US"/>
        </w:rPr>
        <w:t>: CzechInvest</w:t>
      </w:r>
      <w:r>
        <w:rPr>
          <w:rFonts w:asciiTheme="minorHAnsi" w:eastAsia="Calibri" w:hAnsiTheme="minorHAnsi" w:cstheme="minorHAnsi"/>
          <w:i/>
          <w:lang w:eastAsia="en-US"/>
        </w:rPr>
        <w:t xml:space="preserve">, </w:t>
      </w:r>
      <w:r w:rsidRPr="00DF1CE4">
        <w:rPr>
          <w:rFonts w:asciiTheme="minorHAnsi" w:eastAsia="Calibri" w:hAnsiTheme="minorHAnsi" w:cstheme="minorHAnsi"/>
          <w:i/>
          <w:lang w:eastAsia="en-US"/>
        </w:rPr>
        <w:t>2005.</w:t>
      </w:r>
    </w:p>
    <w:p w:rsidR="006A2747" w:rsidRPr="00516360" w:rsidRDefault="006A2747" w:rsidP="00423120">
      <w:pPr>
        <w:keepNext/>
        <w:widowControl w:val="0"/>
        <w:suppressLineNumbers/>
        <w:ind w:firstLine="720"/>
        <w:jc w:val="both"/>
        <w:rPr>
          <w:rFonts w:eastAsia="Calibri"/>
          <w:color w:val="FF0000"/>
          <w:sz w:val="24"/>
          <w:szCs w:val="24"/>
          <w:lang w:eastAsia="en-US"/>
        </w:rPr>
      </w:pPr>
      <w:r w:rsidRPr="00157B11">
        <w:rPr>
          <w:rFonts w:eastAsia="Calibri"/>
          <w:sz w:val="24"/>
          <w:szCs w:val="24"/>
          <w:lang w:eastAsia="en-US"/>
        </w:rPr>
        <w:t xml:space="preserve">Výsledek identifikace klastru je zobrazován pomocí mapy klastru, </w:t>
      </w:r>
      <w:r>
        <w:rPr>
          <w:rFonts w:eastAsia="Calibri"/>
          <w:sz w:val="24"/>
          <w:szCs w:val="24"/>
          <w:lang w:eastAsia="en-US"/>
        </w:rPr>
        <w:t xml:space="preserve">která byla </w:t>
      </w:r>
      <w:r w:rsidRPr="00157B11">
        <w:rPr>
          <w:rFonts w:eastAsia="Calibri"/>
          <w:sz w:val="24"/>
          <w:szCs w:val="24"/>
          <w:lang w:eastAsia="en-US"/>
        </w:rPr>
        <w:t>poprvé požit</w:t>
      </w:r>
      <w:r>
        <w:rPr>
          <w:rFonts w:eastAsia="Calibri"/>
          <w:sz w:val="24"/>
          <w:szCs w:val="24"/>
          <w:lang w:eastAsia="en-US"/>
        </w:rPr>
        <w:t xml:space="preserve">a </w:t>
      </w:r>
      <w:r w:rsidRPr="00157B11">
        <w:rPr>
          <w:rFonts w:eastAsia="Calibri"/>
          <w:sz w:val="24"/>
          <w:szCs w:val="24"/>
          <w:lang w:eastAsia="en-US"/>
        </w:rPr>
        <w:t xml:space="preserve">M. Porterem. Jejím </w:t>
      </w:r>
      <w:r>
        <w:rPr>
          <w:rFonts w:eastAsia="Calibri"/>
          <w:sz w:val="24"/>
          <w:szCs w:val="24"/>
          <w:lang w:eastAsia="en-US"/>
        </w:rPr>
        <w:t xml:space="preserve">hlavním </w:t>
      </w:r>
      <w:r w:rsidRPr="00157B11">
        <w:rPr>
          <w:rFonts w:eastAsia="Calibri"/>
          <w:sz w:val="24"/>
          <w:szCs w:val="24"/>
          <w:lang w:eastAsia="en-US"/>
        </w:rPr>
        <w:t xml:space="preserve">účelem je identifikovat a </w:t>
      </w:r>
      <w:r>
        <w:rPr>
          <w:rFonts w:eastAsia="Calibri"/>
          <w:sz w:val="24"/>
          <w:szCs w:val="24"/>
          <w:lang w:eastAsia="en-US"/>
        </w:rPr>
        <w:t xml:space="preserve">následně </w:t>
      </w:r>
      <w:r w:rsidRPr="00157B11">
        <w:rPr>
          <w:rFonts w:eastAsia="Calibri"/>
          <w:sz w:val="24"/>
          <w:szCs w:val="24"/>
          <w:lang w:eastAsia="en-US"/>
        </w:rPr>
        <w:t xml:space="preserve">znázornit dodavatelsko-odběratelské vazby mezi různými odvětvími v klastru, mezery v klastru (prostor pro další investice), příležitosti pro spolupráci, exportní možnosti, slabá a silná místa z hlediska </w:t>
      </w:r>
      <w:r w:rsidRPr="00157B11">
        <w:rPr>
          <w:rFonts w:eastAsia="Calibri"/>
          <w:sz w:val="24"/>
          <w:szCs w:val="24"/>
          <w:lang w:eastAsia="en-US"/>
        </w:rPr>
        <w:lastRenderedPageBreak/>
        <w:t xml:space="preserve">podmínek faktorů, vstupů či výstupů klastru a hlavní hnací síly klastru z pohledu zvyšování </w:t>
      </w:r>
      <w:r w:rsidRPr="00FC7B51">
        <w:rPr>
          <w:rFonts w:eastAsia="Calibri"/>
          <w:sz w:val="24"/>
          <w:szCs w:val="24"/>
          <w:lang w:eastAsia="en-US"/>
        </w:rPr>
        <w:t>konkurencesc</w:t>
      </w:r>
      <w:r w:rsidR="00FD3DF8">
        <w:rPr>
          <w:rFonts w:eastAsia="Calibri"/>
          <w:sz w:val="24"/>
          <w:szCs w:val="24"/>
          <w:lang w:eastAsia="en-US"/>
        </w:rPr>
        <w:t>hopnosti a tvorby inovací</w:t>
      </w:r>
      <w:r w:rsidRPr="00FC7B51">
        <w:rPr>
          <w:rFonts w:eastAsia="Calibri"/>
          <w:sz w:val="24"/>
          <w:szCs w:val="24"/>
          <w:lang w:eastAsia="en-US"/>
        </w:rPr>
        <w:t xml:space="preserve"> (CzechInvest, 2005). V mapě je obvykle zachycen celý produkční řetěz</w:t>
      </w:r>
      <w:r>
        <w:rPr>
          <w:rFonts w:eastAsia="Calibri"/>
          <w:sz w:val="24"/>
          <w:szCs w:val="24"/>
          <w:lang w:eastAsia="en-US"/>
        </w:rPr>
        <w:t>ec</w:t>
      </w:r>
      <w:r w:rsidRPr="00FC7B51">
        <w:rPr>
          <w:rFonts w:eastAsia="Calibri"/>
          <w:sz w:val="24"/>
          <w:szCs w:val="24"/>
          <w:lang w:eastAsia="en-US"/>
        </w:rPr>
        <w:t xml:space="preserve"> (od získání surovin po prodej finálních výrobků) a </w:t>
      </w:r>
      <w:r>
        <w:rPr>
          <w:rFonts w:eastAsia="Calibri"/>
          <w:sz w:val="24"/>
          <w:szCs w:val="24"/>
          <w:lang w:eastAsia="en-US"/>
        </w:rPr>
        <w:t xml:space="preserve">jeho </w:t>
      </w:r>
      <w:r w:rsidRPr="00FC7B51">
        <w:rPr>
          <w:rFonts w:eastAsia="Calibri"/>
          <w:sz w:val="24"/>
          <w:szCs w:val="24"/>
          <w:lang w:eastAsia="en-US"/>
        </w:rPr>
        <w:t xml:space="preserve">jednotlivé části (doplněné </w:t>
      </w:r>
      <w:r>
        <w:rPr>
          <w:rFonts w:eastAsia="Calibri"/>
          <w:sz w:val="24"/>
          <w:szCs w:val="24"/>
          <w:lang w:eastAsia="en-US"/>
        </w:rPr>
        <w:t xml:space="preserve">obvykle </w:t>
      </w:r>
      <w:r w:rsidRPr="00FC7B51">
        <w:rPr>
          <w:rFonts w:eastAsia="Calibri"/>
          <w:sz w:val="24"/>
          <w:szCs w:val="24"/>
          <w:lang w:eastAsia="en-US"/>
        </w:rPr>
        <w:t xml:space="preserve">o vzdělávací a výzkumné instituce) jsou odlišeny dle jejich výskytu v regionu. Síla spojovacích čar pak vyjadřuje úroveň vazeb mezi jednotlivými částmi řetězce. </w:t>
      </w:r>
    </w:p>
    <w:p w:rsidR="004179AF" w:rsidRDefault="006A2747" w:rsidP="00C50835">
      <w:pPr>
        <w:pStyle w:val="0G-Titulek"/>
        <w:widowControl w:val="0"/>
        <w:ind w:firstLine="0"/>
      </w:pPr>
      <w:bookmarkStart w:id="109" w:name="_Toc382326779"/>
      <w:bookmarkStart w:id="110" w:name="_Toc382326825"/>
      <w:r w:rsidRPr="00C50835">
        <w:rPr>
          <w:noProof/>
          <w:lang w:val="en-GB" w:eastAsia="en-GB"/>
        </w:rPr>
        <w:drawing>
          <wp:inline distT="0" distB="0" distL="0" distR="0" wp14:anchorId="182AFE6A" wp14:editId="446ED70A">
            <wp:extent cx="5200650" cy="5622557"/>
            <wp:effectExtent l="0" t="0" r="0" b="0"/>
            <wp:docPr id="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08362" cy="5630895"/>
                    </a:xfrm>
                    <a:prstGeom prst="rect">
                      <a:avLst/>
                    </a:prstGeom>
                    <a:noFill/>
                    <a:ln>
                      <a:noFill/>
                    </a:ln>
                  </pic:spPr>
                </pic:pic>
              </a:graphicData>
            </a:graphic>
          </wp:inline>
        </w:drawing>
      </w:r>
      <w:bookmarkEnd w:id="109"/>
      <w:bookmarkEnd w:id="110"/>
    </w:p>
    <w:p w:rsidR="006A2747" w:rsidRPr="00C50835" w:rsidRDefault="006A2747" w:rsidP="00687A17">
      <w:pPr>
        <w:pStyle w:val="0G-Titulek"/>
        <w:widowControl w:val="0"/>
        <w:spacing w:before="100"/>
        <w:ind w:firstLine="0"/>
      </w:pPr>
      <w:bookmarkStart w:id="111" w:name="_Toc382326826"/>
      <w:r w:rsidRPr="00924454">
        <w:t>Obrázek 21: Mapa skotského potravinářského klastru</w:t>
      </w:r>
      <w:bookmarkEnd w:id="111"/>
    </w:p>
    <w:p w:rsidR="00C50835" w:rsidRPr="00C50835" w:rsidRDefault="006A2747" w:rsidP="00C50835">
      <w:pPr>
        <w:keepNext/>
        <w:keepLines/>
        <w:suppressLineNumbers/>
        <w:jc w:val="center"/>
        <w:rPr>
          <w:rFonts w:asciiTheme="minorHAnsi" w:eastAsia="Calibri" w:hAnsiTheme="minorHAnsi" w:cstheme="minorHAnsi"/>
          <w:i/>
          <w:lang w:eastAsia="en-US"/>
        </w:rPr>
      </w:pPr>
      <w:r w:rsidRPr="00FD3DF8">
        <w:rPr>
          <w:rFonts w:ascii="Calibri" w:hAnsi="Calibri" w:cs="Calibri"/>
          <w:i/>
        </w:rPr>
        <w:t xml:space="preserve">Pramen: </w:t>
      </w:r>
      <w:r w:rsidRPr="00FD3DF8">
        <w:rPr>
          <w:rFonts w:asciiTheme="minorHAnsi" w:eastAsia="Calibri" w:hAnsiTheme="minorHAnsi" w:cstheme="minorHAnsi"/>
          <w:i/>
          <w:lang w:eastAsia="en-US"/>
        </w:rPr>
        <w:t>The Scott</w:t>
      </w:r>
      <w:r w:rsidR="00C50835">
        <w:rPr>
          <w:rFonts w:asciiTheme="minorHAnsi" w:eastAsia="Calibri" w:hAnsiTheme="minorHAnsi" w:cstheme="minorHAnsi"/>
          <w:i/>
          <w:lang w:eastAsia="en-US"/>
        </w:rPr>
        <w:t>ish Government, 2010, upraveno.</w:t>
      </w:r>
    </w:p>
    <w:p w:rsidR="00FB255A" w:rsidRPr="00A91347" w:rsidRDefault="00C24344" w:rsidP="004179AF">
      <w:pPr>
        <w:pStyle w:val="03-Nadpis3"/>
        <w:ind w:left="709" w:hanging="709"/>
      </w:pPr>
      <w:bookmarkStart w:id="112" w:name="_Toc382327206"/>
      <w:r w:rsidRPr="00A91347">
        <w:t xml:space="preserve">3.6.2. Studie proveditelnosti </w:t>
      </w:r>
      <w:r w:rsidR="00905AA8" w:rsidRPr="00A91347">
        <w:t>projektu výstavby vědecko-výzkumného centra</w:t>
      </w:r>
      <w:bookmarkEnd w:id="112"/>
      <w:r w:rsidR="00905AA8" w:rsidRPr="00A91347">
        <w:t xml:space="preserve"> </w:t>
      </w:r>
    </w:p>
    <w:p w:rsidR="006A2747" w:rsidRPr="00093336" w:rsidRDefault="006A2747" w:rsidP="00423120">
      <w:pPr>
        <w:ind w:firstLine="720"/>
        <w:jc w:val="both"/>
        <w:rPr>
          <w:sz w:val="24"/>
          <w:szCs w:val="24"/>
        </w:rPr>
      </w:pPr>
      <w:r w:rsidRPr="00093336">
        <w:rPr>
          <w:sz w:val="24"/>
          <w:szCs w:val="24"/>
        </w:rPr>
        <w:t xml:space="preserve">S ohledem na rozvoj a potenciál znalostní ekonomiky je v poslední době kladen důraz na rozvoj infrastruktury pro vědu a výzkum. Jedním z hnacích motorů je i regionální politika EU, která rozvoj vědy a výzkumu považuje za jednu ze svých priorit. V České republice v rámci implementace OP Výzkum a vývoj pro inovace (OP VaVpI) v současnosti vzniká </w:t>
      </w:r>
      <w:r w:rsidRPr="00093336">
        <w:rPr>
          <w:sz w:val="24"/>
          <w:szCs w:val="24"/>
        </w:rPr>
        <w:lastRenderedPageBreak/>
        <w:t>několik „center excelence“ a desítky regionálních vědeckých center. Dle definice MŠMT je centrem excelence jasně tematicky vyprofilované pracoviště výzkumu a vývoje. Centrum je aktivní ve výzkumné činnosti a programově propojuje výzkum a vývoj, vzdělávání (zejména studentů doktorských studijních</w:t>
      </w:r>
      <w:r>
        <w:rPr>
          <w:sz w:val="24"/>
          <w:szCs w:val="24"/>
        </w:rPr>
        <w:t xml:space="preserve"> programů</w:t>
      </w:r>
      <w:r w:rsidRPr="00093336">
        <w:rPr>
          <w:sz w:val="24"/>
          <w:szCs w:val="24"/>
        </w:rPr>
        <w:t xml:space="preserve">) a inovační činnost. </w:t>
      </w:r>
      <w:r>
        <w:rPr>
          <w:sz w:val="24"/>
          <w:szCs w:val="24"/>
        </w:rPr>
        <w:t>V</w:t>
      </w:r>
      <w:r w:rsidR="008C6D7E">
        <w:rPr>
          <w:sz w:val="24"/>
          <w:szCs w:val="24"/>
        </w:rPr>
        <w:t xml:space="preserve"> personálním zabezpečení a </w:t>
      </w:r>
      <w:r w:rsidRPr="00093336">
        <w:rPr>
          <w:sz w:val="24"/>
          <w:szCs w:val="24"/>
        </w:rPr>
        <w:t xml:space="preserve">technickém vybavení dosahuje kritických velikostí, aby bylo schopno </w:t>
      </w:r>
      <w:r>
        <w:rPr>
          <w:sz w:val="24"/>
          <w:szCs w:val="24"/>
        </w:rPr>
        <w:t>produkovat</w:t>
      </w:r>
      <w:r w:rsidRPr="00093336">
        <w:rPr>
          <w:sz w:val="24"/>
          <w:szCs w:val="24"/>
        </w:rPr>
        <w:t xml:space="preserve"> mimořádně kvalitní výzkum</w:t>
      </w:r>
      <w:r>
        <w:rPr>
          <w:sz w:val="24"/>
          <w:szCs w:val="24"/>
        </w:rPr>
        <w:t>né</w:t>
      </w:r>
      <w:r w:rsidRPr="00093336">
        <w:rPr>
          <w:sz w:val="24"/>
          <w:szCs w:val="24"/>
        </w:rPr>
        <w:t xml:space="preserve"> výsledk</w:t>
      </w:r>
      <w:r>
        <w:rPr>
          <w:sz w:val="24"/>
          <w:szCs w:val="24"/>
        </w:rPr>
        <w:t>y</w:t>
      </w:r>
      <w:r w:rsidRPr="00093336">
        <w:rPr>
          <w:sz w:val="24"/>
          <w:szCs w:val="24"/>
        </w:rPr>
        <w:t xml:space="preserve"> v mezinárodním měřítku. Formou dlouhodobých strategických partnerství spolupracuje s předními národní</w:t>
      </w:r>
      <w:r>
        <w:rPr>
          <w:sz w:val="24"/>
          <w:szCs w:val="24"/>
        </w:rPr>
        <w:t>mi a</w:t>
      </w:r>
      <w:r w:rsidRPr="00093336">
        <w:rPr>
          <w:sz w:val="24"/>
          <w:szCs w:val="24"/>
        </w:rPr>
        <w:t xml:space="preserve"> zahraničními pracovišti VaV</w:t>
      </w:r>
      <w:r w:rsidRPr="00363F57">
        <w:rPr>
          <w:sz w:val="24"/>
          <w:szCs w:val="24"/>
        </w:rPr>
        <w:t xml:space="preserve"> </w:t>
      </w:r>
      <w:r w:rsidR="008C6D7E">
        <w:rPr>
          <w:sz w:val="24"/>
          <w:szCs w:val="24"/>
        </w:rPr>
        <w:t>i </w:t>
      </w:r>
      <w:r w:rsidRPr="00093336">
        <w:rPr>
          <w:sz w:val="24"/>
          <w:szCs w:val="24"/>
        </w:rPr>
        <w:t>se subjekty z aplikační sféry</w:t>
      </w:r>
      <w:r>
        <w:rPr>
          <w:sz w:val="24"/>
          <w:szCs w:val="24"/>
        </w:rPr>
        <w:t>.</w:t>
      </w:r>
      <w:r w:rsidRPr="00093336">
        <w:rPr>
          <w:sz w:val="24"/>
          <w:szCs w:val="24"/>
        </w:rPr>
        <w:t xml:space="preserve"> </w:t>
      </w:r>
      <w:r>
        <w:rPr>
          <w:sz w:val="24"/>
          <w:szCs w:val="24"/>
        </w:rPr>
        <w:t>N</w:t>
      </w:r>
      <w:r w:rsidRPr="00093336">
        <w:rPr>
          <w:sz w:val="24"/>
          <w:szCs w:val="24"/>
        </w:rPr>
        <w:t xml:space="preserve">a celkových provozních nákladech centra </w:t>
      </w:r>
      <w:r>
        <w:rPr>
          <w:sz w:val="24"/>
          <w:szCs w:val="24"/>
        </w:rPr>
        <w:t xml:space="preserve">se </w:t>
      </w:r>
      <w:r w:rsidRPr="00093336">
        <w:rPr>
          <w:sz w:val="24"/>
          <w:szCs w:val="24"/>
        </w:rPr>
        <w:t xml:space="preserve">výrazně podílejí </w:t>
      </w:r>
      <w:r>
        <w:rPr>
          <w:sz w:val="24"/>
          <w:szCs w:val="24"/>
        </w:rPr>
        <w:t>i v</w:t>
      </w:r>
      <w:r w:rsidRPr="00093336">
        <w:rPr>
          <w:sz w:val="24"/>
          <w:szCs w:val="24"/>
        </w:rPr>
        <w:t xml:space="preserve">ýnosy z jiných zdrojů než státního rozpočtu </w:t>
      </w:r>
      <w:r>
        <w:rPr>
          <w:sz w:val="24"/>
          <w:szCs w:val="24"/>
        </w:rPr>
        <w:t xml:space="preserve">(např. </w:t>
      </w:r>
      <w:r w:rsidRPr="00093336">
        <w:rPr>
          <w:sz w:val="24"/>
          <w:szCs w:val="24"/>
        </w:rPr>
        <w:t>výnosy ze zahraničních grantů</w:t>
      </w:r>
      <w:r>
        <w:rPr>
          <w:sz w:val="24"/>
          <w:szCs w:val="24"/>
        </w:rPr>
        <w:t>).</w:t>
      </w:r>
      <w:r w:rsidR="00C079BA">
        <w:rPr>
          <w:sz w:val="24"/>
          <w:szCs w:val="24"/>
        </w:rPr>
        <w:t xml:space="preserve"> </w:t>
      </w:r>
      <w:r w:rsidRPr="00093336">
        <w:rPr>
          <w:sz w:val="24"/>
          <w:szCs w:val="24"/>
        </w:rPr>
        <w:t xml:space="preserve">Předmětem této </w:t>
      </w:r>
      <w:r>
        <w:rPr>
          <w:sz w:val="24"/>
          <w:szCs w:val="24"/>
        </w:rPr>
        <w:t xml:space="preserve">modelové </w:t>
      </w:r>
      <w:r w:rsidRPr="00093336">
        <w:rPr>
          <w:sz w:val="24"/>
          <w:szCs w:val="24"/>
        </w:rPr>
        <w:t>studie je výstavba centra excelence ve velkém městě (cca 400</w:t>
      </w:r>
      <w:r>
        <w:rPr>
          <w:sz w:val="24"/>
          <w:szCs w:val="24"/>
        </w:rPr>
        <w:t xml:space="preserve"> tis. </w:t>
      </w:r>
      <w:r w:rsidRPr="00093336">
        <w:rPr>
          <w:sz w:val="24"/>
          <w:szCs w:val="24"/>
        </w:rPr>
        <w:t>obyvatel). Realizací záměru má vzniknout více než 25</w:t>
      </w:r>
      <w:r w:rsidR="00FD3DF8">
        <w:rPr>
          <w:sz w:val="24"/>
          <w:szCs w:val="24"/>
        </w:rPr>
        <w:t xml:space="preserve"> </w:t>
      </w:r>
      <w:r w:rsidRPr="00093336">
        <w:rPr>
          <w:sz w:val="24"/>
          <w:szCs w:val="24"/>
        </w:rPr>
        <w:t>000 m</w:t>
      </w:r>
      <w:r w:rsidRPr="00093336">
        <w:rPr>
          <w:sz w:val="24"/>
          <w:szCs w:val="24"/>
          <w:vertAlign w:val="superscript"/>
        </w:rPr>
        <w:t>2</w:t>
      </w:r>
      <w:r w:rsidRPr="00093336">
        <w:rPr>
          <w:sz w:val="24"/>
          <w:szCs w:val="24"/>
        </w:rPr>
        <w:t xml:space="preserve"> nových plně vybavených laboratoří pro více než 550 zaměstnanců (z toho min. 360 vědeckých pracovníků) pracujících v desítkách výzkumných skupin. Oborově je centrum poměrně široce</w:t>
      </w:r>
      <w:r w:rsidR="008C6D7E">
        <w:rPr>
          <w:sz w:val="24"/>
          <w:szCs w:val="24"/>
        </w:rPr>
        <w:t xml:space="preserve"> rozkročeno od </w:t>
      </w:r>
      <w:r w:rsidR="00FD3DF8">
        <w:rPr>
          <w:sz w:val="24"/>
          <w:szCs w:val="24"/>
        </w:rPr>
        <w:t xml:space="preserve">nanotechnologií </w:t>
      </w:r>
      <w:r w:rsidRPr="00093336">
        <w:rPr>
          <w:sz w:val="24"/>
          <w:szCs w:val="24"/>
        </w:rPr>
        <w:t xml:space="preserve">přes materiály a rostlinné systémy až k molekulární medicíně. </w:t>
      </w:r>
    </w:p>
    <w:p w:rsidR="006A2747" w:rsidRPr="00093336" w:rsidRDefault="006A2747" w:rsidP="00423120">
      <w:pPr>
        <w:jc w:val="both"/>
        <w:rPr>
          <w:rFonts w:cs="Tahoma"/>
          <w:b/>
          <w:bCs/>
          <w:sz w:val="24"/>
          <w:szCs w:val="24"/>
        </w:rPr>
      </w:pPr>
      <w:r w:rsidRPr="00093336">
        <w:rPr>
          <w:rFonts w:cs="Tahoma"/>
          <w:b/>
          <w:bCs/>
          <w:sz w:val="24"/>
          <w:szCs w:val="24"/>
        </w:rPr>
        <w:t xml:space="preserve">Analýza trhu a technické řešení  </w:t>
      </w:r>
    </w:p>
    <w:p w:rsidR="006A2747" w:rsidRPr="00093336" w:rsidRDefault="006A2747" w:rsidP="00423120">
      <w:pPr>
        <w:ind w:firstLine="720"/>
        <w:jc w:val="both"/>
        <w:rPr>
          <w:rFonts w:cs="Tahoma"/>
          <w:bCs/>
          <w:sz w:val="24"/>
          <w:szCs w:val="24"/>
        </w:rPr>
      </w:pPr>
      <w:r w:rsidRPr="00093336">
        <w:rPr>
          <w:rFonts w:cs="Tahoma"/>
          <w:bCs/>
          <w:sz w:val="24"/>
          <w:szCs w:val="24"/>
        </w:rPr>
        <w:t>Hlavním výstupem projektu bude infrastruktura pr</w:t>
      </w:r>
      <w:r w:rsidR="008C6D7E">
        <w:rPr>
          <w:rFonts w:cs="Tahoma"/>
          <w:bCs/>
          <w:sz w:val="24"/>
          <w:szCs w:val="24"/>
        </w:rPr>
        <w:t>o základní výzkum. Na rozdíl od </w:t>
      </w:r>
      <w:r w:rsidRPr="00093336">
        <w:rPr>
          <w:rFonts w:cs="Tahoma"/>
          <w:bCs/>
          <w:sz w:val="24"/>
          <w:szCs w:val="24"/>
        </w:rPr>
        <w:t xml:space="preserve">aplikovaného výzkumu není pro </w:t>
      </w:r>
      <w:r>
        <w:rPr>
          <w:rFonts w:cs="Tahoma"/>
          <w:bCs/>
          <w:sz w:val="24"/>
          <w:szCs w:val="24"/>
        </w:rPr>
        <w:t>tento</w:t>
      </w:r>
      <w:r w:rsidRPr="00093336">
        <w:rPr>
          <w:rFonts w:cs="Tahoma"/>
          <w:bCs/>
          <w:sz w:val="24"/>
          <w:szCs w:val="24"/>
        </w:rPr>
        <w:t xml:space="preserve"> výzkum možné jednoznačně definovat trh</w:t>
      </w:r>
      <w:r w:rsidR="00FE68A6">
        <w:rPr>
          <w:rFonts w:cs="Tahoma"/>
          <w:bCs/>
          <w:sz w:val="24"/>
          <w:szCs w:val="24"/>
        </w:rPr>
        <w:t xml:space="preserve">. </w:t>
      </w:r>
      <w:r w:rsidRPr="00093336">
        <w:rPr>
          <w:rFonts w:cs="Tahoma"/>
          <w:bCs/>
          <w:sz w:val="24"/>
          <w:szCs w:val="24"/>
        </w:rPr>
        <w:t xml:space="preserve">Předmětem posuzování je i potenciál jednotlivých odvětví, které budou v rámci </w:t>
      </w:r>
      <w:r w:rsidR="00FD3DF8">
        <w:rPr>
          <w:rFonts w:cs="Tahoma"/>
          <w:bCs/>
          <w:sz w:val="24"/>
          <w:szCs w:val="24"/>
        </w:rPr>
        <w:t>připravovaného centra zastoupena</w:t>
      </w:r>
      <w:r w:rsidRPr="00093336">
        <w:rPr>
          <w:rFonts w:cs="Tahoma"/>
          <w:bCs/>
          <w:sz w:val="24"/>
          <w:szCs w:val="24"/>
        </w:rPr>
        <w:t xml:space="preserve">. Jako odvětví s největším potenciálem jsou hodnoceny nanotechnologie a mikrotechnologie, pokročilé materiály, </w:t>
      </w:r>
      <w:r w:rsidR="008C6D7E">
        <w:rPr>
          <w:rFonts w:cs="Tahoma"/>
          <w:bCs/>
          <w:sz w:val="24"/>
          <w:szCs w:val="24"/>
        </w:rPr>
        <w:t>strukturní biologie, genomika a </w:t>
      </w:r>
      <w:r w:rsidRPr="00093336">
        <w:rPr>
          <w:rFonts w:cs="Tahoma"/>
          <w:bCs/>
          <w:sz w:val="24"/>
          <w:szCs w:val="24"/>
        </w:rPr>
        <w:t>proteomika rostlinných systémů, molekulární humánní a veterinární medicína. Podobně je velmi obtížné definovat konkurenční subjekty. Provoz připravovaného centra excelence předpokládá úzkou spolupráci s obdobnými centry v</w:t>
      </w:r>
      <w:r>
        <w:rPr>
          <w:rFonts w:cs="Tahoma"/>
          <w:bCs/>
          <w:sz w:val="24"/>
          <w:szCs w:val="24"/>
        </w:rPr>
        <w:t> </w:t>
      </w:r>
      <w:r w:rsidRPr="00093336">
        <w:rPr>
          <w:rFonts w:cs="Tahoma"/>
          <w:bCs/>
          <w:sz w:val="24"/>
          <w:szCs w:val="24"/>
        </w:rPr>
        <w:t>Č</w:t>
      </w:r>
      <w:r>
        <w:rPr>
          <w:rFonts w:cs="Tahoma"/>
          <w:bCs/>
          <w:sz w:val="24"/>
          <w:szCs w:val="24"/>
        </w:rPr>
        <w:t xml:space="preserve">eské republice </w:t>
      </w:r>
      <w:r w:rsidRPr="00093336">
        <w:rPr>
          <w:rFonts w:cs="Tahoma"/>
          <w:bCs/>
          <w:sz w:val="24"/>
          <w:szCs w:val="24"/>
        </w:rPr>
        <w:t>i</w:t>
      </w:r>
      <w:r>
        <w:rPr>
          <w:rFonts w:cs="Tahoma"/>
          <w:bCs/>
          <w:sz w:val="24"/>
          <w:szCs w:val="24"/>
        </w:rPr>
        <w:t xml:space="preserve"> v</w:t>
      </w:r>
      <w:r w:rsidRPr="00093336">
        <w:rPr>
          <w:rFonts w:cs="Tahoma"/>
          <w:bCs/>
          <w:sz w:val="24"/>
          <w:szCs w:val="24"/>
        </w:rPr>
        <w:t> zahraničí. Případná izolovanost nebo rivalita by mohla mít fatální dopady na kvalitu výstupů. Současně ale jednotlivá centra mezi sebou soutěží o omezený objem grantových prostředků, o zakázky aplikovaného výzkumu nebo o pořadí v seznamech hodnotících kvalitu výzkumných zařízení. Cílem tohoto konkurenčního prostředí je ale zvýšit tlak na vlastní výkon a kvalitu, nikoli potlačovat ostatní subjekty. V České republice mezi hlav</w:t>
      </w:r>
      <w:r w:rsidR="008C6D7E">
        <w:rPr>
          <w:rFonts w:cs="Tahoma"/>
          <w:bCs/>
          <w:sz w:val="24"/>
          <w:szCs w:val="24"/>
        </w:rPr>
        <w:t>ní spolupracující (a současně i </w:t>
      </w:r>
      <w:r w:rsidRPr="00093336">
        <w:rPr>
          <w:rFonts w:cs="Tahoma"/>
          <w:bCs/>
          <w:sz w:val="24"/>
          <w:szCs w:val="24"/>
        </w:rPr>
        <w:t>konkurenční) subjekty patří především centra vznikající v rámci prioritní osy 1 a 2 OP VaVpI. Tato centra, obdobně jako hodnocené zařízení, vznikají jako dceřiná pracoviště výzkumných univerzit nebo výzkumných ústavů. Z technického hlediska jsou posuzovány tři varianty projektu</w:t>
      </w:r>
      <w:r>
        <w:rPr>
          <w:rFonts w:cs="Tahoma"/>
          <w:bCs/>
          <w:sz w:val="24"/>
          <w:szCs w:val="24"/>
        </w:rPr>
        <w:t>:</w:t>
      </w:r>
      <w:r w:rsidRPr="00093336">
        <w:rPr>
          <w:rFonts w:cs="Tahoma"/>
          <w:bCs/>
          <w:sz w:val="24"/>
          <w:szCs w:val="24"/>
        </w:rPr>
        <w:t xml:space="preserve"> </w:t>
      </w:r>
      <w:r>
        <w:rPr>
          <w:rFonts w:cs="Tahoma"/>
          <w:bCs/>
          <w:sz w:val="24"/>
          <w:szCs w:val="24"/>
        </w:rPr>
        <w:t>v</w:t>
      </w:r>
      <w:r w:rsidRPr="00093336">
        <w:rPr>
          <w:rFonts w:cs="Tahoma"/>
          <w:bCs/>
          <w:sz w:val="24"/>
          <w:szCs w:val="24"/>
        </w:rPr>
        <w:t>arianta A</w:t>
      </w:r>
      <w:r>
        <w:rPr>
          <w:rFonts w:cs="Tahoma"/>
          <w:bCs/>
          <w:sz w:val="24"/>
          <w:szCs w:val="24"/>
        </w:rPr>
        <w:t xml:space="preserve"> –</w:t>
      </w:r>
      <w:r w:rsidRPr="00093336">
        <w:rPr>
          <w:rFonts w:cs="Tahoma"/>
          <w:bCs/>
          <w:sz w:val="24"/>
          <w:szCs w:val="24"/>
        </w:rPr>
        <w:t xml:space="preserve"> nulová varianta, varianta B</w:t>
      </w:r>
      <w:r>
        <w:rPr>
          <w:rFonts w:cs="Tahoma"/>
          <w:bCs/>
          <w:sz w:val="24"/>
          <w:szCs w:val="24"/>
        </w:rPr>
        <w:t xml:space="preserve"> –</w:t>
      </w:r>
      <w:r w:rsidRPr="00093336">
        <w:rPr>
          <w:rFonts w:cs="Tahoma"/>
          <w:bCs/>
          <w:sz w:val="24"/>
          <w:szCs w:val="24"/>
        </w:rPr>
        <w:t xml:space="preserve"> reorganizace a modernizace stávajících zařízení a varianta C</w:t>
      </w:r>
      <w:r>
        <w:rPr>
          <w:rFonts w:cs="Tahoma"/>
          <w:bCs/>
          <w:sz w:val="24"/>
          <w:szCs w:val="24"/>
        </w:rPr>
        <w:t xml:space="preserve"> –</w:t>
      </w:r>
      <w:r w:rsidRPr="00093336">
        <w:rPr>
          <w:rFonts w:cs="Tahoma"/>
          <w:bCs/>
          <w:sz w:val="24"/>
          <w:szCs w:val="24"/>
        </w:rPr>
        <w:t xml:space="preserve"> realizace projektu v plném rozsahu. Navržené varianty nedávají příliš prostoru pro jejich posuzování. Nulová varianta předpokládá zachování stávajícího stavu, tj. tato varianta je vhodná pouze v případě zamítnutí všech ostatních scénářů. Varianta B předpokládá reorganizaci stávajících výzkumných zařízení a jejich modernizaci za předpokladu obnovy jejich technického zařízení. Tato varianta je investičně poměrně úsporná, organizačně ale velmi náročná. Vznikající zařízení by existovalo především pouze formálně, jeho části by zůstaly jako funkční celky zakládajících univerzit. Dalším negativním dopadem </w:t>
      </w:r>
      <w:r w:rsidR="005E215F">
        <w:rPr>
          <w:rFonts w:cs="Tahoma"/>
          <w:bCs/>
          <w:sz w:val="24"/>
          <w:szCs w:val="24"/>
        </w:rPr>
        <w:t>by byla</w:t>
      </w:r>
      <w:r w:rsidRPr="00093336">
        <w:rPr>
          <w:rFonts w:cs="Tahoma"/>
          <w:bCs/>
          <w:sz w:val="24"/>
          <w:szCs w:val="24"/>
        </w:rPr>
        <w:t xml:space="preserve"> ztížená možnost přístupu k dotačnímu financování a absence prostor</w:t>
      </w:r>
      <w:r>
        <w:rPr>
          <w:rFonts w:cs="Tahoma"/>
          <w:bCs/>
          <w:sz w:val="24"/>
          <w:szCs w:val="24"/>
        </w:rPr>
        <w:t>u</w:t>
      </w:r>
      <w:r w:rsidRPr="00093336">
        <w:rPr>
          <w:rFonts w:cs="Tahoma"/>
          <w:bCs/>
          <w:sz w:val="24"/>
          <w:szCs w:val="24"/>
        </w:rPr>
        <w:t xml:space="preserve"> pro další rozvoj. Volba této varianty by pravděpodobně měla za následek rozpad „zastřešujícího“ centra excelence po vypršení povinné udržitelnosti definované OP VaVpI. </w:t>
      </w:r>
      <w:r w:rsidRPr="00093336">
        <w:rPr>
          <w:rFonts w:cs="Tahoma"/>
          <w:bCs/>
          <w:sz w:val="24"/>
          <w:szCs w:val="24"/>
        </w:rPr>
        <w:lastRenderedPageBreak/>
        <w:t>Jedinou možnou variantou vzniku centra excelence tak je poslední varianta C, která předpokládá vybudování více než 25000 m</w:t>
      </w:r>
      <w:r w:rsidRPr="00093336">
        <w:rPr>
          <w:rFonts w:cs="Tahoma"/>
          <w:bCs/>
          <w:sz w:val="24"/>
          <w:szCs w:val="24"/>
          <w:vertAlign w:val="superscript"/>
        </w:rPr>
        <w:t>2</w:t>
      </w:r>
      <w:r w:rsidRPr="00093336">
        <w:rPr>
          <w:rFonts w:cs="Tahoma"/>
          <w:bCs/>
          <w:sz w:val="24"/>
          <w:szCs w:val="24"/>
        </w:rPr>
        <w:t xml:space="preserve"> nových laboratorních ploch v definované lokalitě, jejich kompletní vybavení technickým zařízením a přístroji, nábor kvalifikovaného personálu a ověřovací (start-up) provoz. </w:t>
      </w:r>
    </w:p>
    <w:p w:rsidR="006A2747" w:rsidRPr="00093336" w:rsidRDefault="006A2747" w:rsidP="00423120">
      <w:pPr>
        <w:jc w:val="both"/>
        <w:rPr>
          <w:rFonts w:cs="Tahoma"/>
          <w:b/>
          <w:bCs/>
          <w:sz w:val="24"/>
          <w:szCs w:val="24"/>
        </w:rPr>
      </w:pPr>
      <w:r w:rsidRPr="00093336">
        <w:rPr>
          <w:rFonts w:cs="Tahoma"/>
          <w:b/>
          <w:bCs/>
          <w:sz w:val="24"/>
          <w:szCs w:val="24"/>
        </w:rPr>
        <w:t xml:space="preserve">Finanční analýza projektu </w:t>
      </w:r>
    </w:p>
    <w:p w:rsidR="006A2747" w:rsidRPr="00093336" w:rsidRDefault="006A2747" w:rsidP="00504C06">
      <w:pPr>
        <w:keepNext/>
        <w:spacing w:after="120"/>
        <w:ind w:firstLine="720"/>
        <w:jc w:val="both"/>
        <w:rPr>
          <w:rFonts w:cs="Tahoma"/>
          <w:bCs/>
          <w:sz w:val="24"/>
          <w:szCs w:val="24"/>
        </w:rPr>
      </w:pPr>
      <w:r w:rsidRPr="00093336">
        <w:rPr>
          <w:rFonts w:cs="Tahoma"/>
          <w:bCs/>
          <w:sz w:val="24"/>
          <w:szCs w:val="24"/>
        </w:rPr>
        <w:t>Investiční výdaje projektu jsou odhadovány v objemu 6</w:t>
      </w:r>
      <w:r w:rsidR="008C6D7E">
        <w:rPr>
          <w:rFonts w:cs="Tahoma"/>
          <w:bCs/>
          <w:sz w:val="24"/>
          <w:szCs w:val="24"/>
        </w:rPr>
        <w:t>,3 mld. Kč (částka bez rezerv a </w:t>
      </w:r>
      <w:r w:rsidRPr="00093336">
        <w:rPr>
          <w:rFonts w:cs="Tahoma"/>
          <w:bCs/>
          <w:sz w:val="24"/>
          <w:szCs w:val="24"/>
        </w:rPr>
        <w:t xml:space="preserve">odpočitatelné DPH). Největší část je tvořena nákupem pozemků a výstavbou laboratoří (1,6 mld. Kč), nákupem zařízení (2,8 mld. Kč) a výdaji na zahájení provozu (1,9 mld. Kč). Pro realizaci projektu jsou dále </w:t>
      </w:r>
      <w:r>
        <w:rPr>
          <w:rFonts w:cs="Tahoma"/>
          <w:bCs/>
          <w:sz w:val="24"/>
          <w:szCs w:val="24"/>
        </w:rPr>
        <w:t xml:space="preserve">stanoveny </w:t>
      </w:r>
      <w:r w:rsidRPr="00093336">
        <w:rPr>
          <w:rFonts w:cs="Tahoma"/>
          <w:bCs/>
          <w:sz w:val="24"/>
          <w:szCs w:val="24"/>
        </w:rPr>
        <w:t>rezervy v objemu 0,2 mld. Kč. Předpokládaná doba realizace projektu činí 3 roky + 2 rok</w:t>
      </w:r>
      <w:r>
        <w:rPr>
          <w:rFonts w:cs="Tahoma"/>
          <w:bCs/>
          <w:sz w:val="24"/>
          <w:szCs w:val="24"/>
        </w:rPr>
        <w:t>y</w:t>
      </w:r>
      <w:r w:rsidRPr="00093336">
        <w:rPr>
          <w:rFonts w:cs="Tahoma"/>
          <w:bCs/>
          <w:sz w:val="24"/>
          <w:szCs w:val="24"/>
        </w:rPr>
        <w:t xml:space="preserve"> náběh provozu. Nositelem </w:t>
      </w:r>
      <w:r>
        <w:rPr>
          <w:rFonts w:cs="Tahoma"/>
          <w:bCs/>
          <w:sz w:val="24"/>
          <w:szCs w:val="24"/>
        </w:rPr>
        <w:t xml:space="preserve">modelového </w:t>
      </w:r>
      <w:r w:rsidRPr="00093336">
        <w:rPr>
          <w:rFonts w:cs="Tahoma"/>
          <w:bCs/>
          <w:sz w:val="24"/>
          <w:szCs w:val="24"/>
        </w:rPr>
        <w:t xml:space="preserve">projektu je konsorcium </w:t>
      </w:r>
      <w:r>
        <w:rPr>
          <w:rFonts w:cs="Tahoma"/>
          <w:bCs/>
          <w:sz w:val="24"/>
          <w:szCs w:val="24"/>
        </w:rPr>
        <w:t xml:space="preserve">sedmi </w:t>
      </w:r>
      <w:r w:rsidRPr="00093336">
        <w:rPr>
          <w:rFonts w:cs="Tahoma"/>
          <w:bCs/>
          <w:sz w:val="24"/>
          <w:szCs w:val="24"/>
        </w:rPr>
        <w:t xml:space="preserve">významných českých univerzit, </w:t>
      </w:r>
      <w:r>
        <w:rPr>
          <w:rFonts w:cs="Tahoma"/>
          <w:bCs/>
          <w:sz w:val="24"/>
          <w:szCs w:val="24"/>
        </w:rPr>
        <w:t>právně</w:t>
      </w:r>
      <w:r w:rsidRPr="00093336">
        <w:rPr>
          <w:rFonts w:cs="Tahoma"/>
          <w:bCs/>
          <w:sz w:val="24"/>
          <w:szCs w:val="24"/>
        </w:rPr>
        <w:t xml:space="preserve"> zastoupené jedinou univerzitou s největším podílem na projektu. Realizace projektu je zcela závislá na dotačním financování z</w:t>
      </w:r>
      <w:r>
        <w:rPr>
          <w:rFonts w:cs="Tahoma"/>
          <w:bCs/>
          <w:sz w:val="24"/>
          <w:szCs w:val="24"/>
        </w:rPr>
        <w:t>e</w:t>
      </w:r>
      <w:r w:rsidRPr="00093336">
        <w:rPr>
          <w:rFonts w:cs="Tahoma"/>
          <w:bCs/>
          <w:sz w:val="24"/>
          <w:szCs w:val="24"/>
        </w:rPr>
        <w:t>  strukturálních fondů</w:t>
      </w:r>
      <w:r>
        <w:rPr>
          <w:rFonts w:cs="Tahoma"/>
          <w:bCs/>
          <w:sz w:val="24"/>
          <w:szCs w:val="24"/>
        </w:rPr>
        <w:t xml:space="preserve"> EU</w:t>
      </w:r>
      <w:r w:rsidRPr="00093336">
        <w:rPr>
          <w:rFonts w:cs="Tahoma"/>
          <w:bCs/>
          <w:sz w:val="24"/>
          <w:szCs w:val="24"/>
        </w:rPr>
        <w:t>. Míra podpory je definována ve výši 100</w:t>
      </w:r>
      <w:r w:rsidR="00760C73">
        <w:rPr>
          <w:rFonts w:cs="Tahoma"/>
          <w:bCs/>
          <w:sz w:val="24"/>
          <w:szCs w:val="24"/>
        </w:rPr>
        <w:t xml:space="preserve"> </w:t>
      </w:r>
      <w:r w:rsidRPr="00093336">
        <w:rPr>
          <w:rFonts w:cs="Tahoma"/>
          <w:bCs/>
          <w:sz w:val="24"/>
          <w:szCs w:val="24"/>
        </w:rPr>
        <w:t>% z celkových způsobilých výdajů (základ pro výpočet podpory). Způsobilé výdaje projektu činí 5,3 mld. Kč, zbývající část rozpočtu je tvořena především výdaji jednotlivých partnerských univerzit na zahájení provozu, které neodpovída</w:t>
      </w:r>
      <w:r>
        <w:rPr>
          <w:rFonts w:cs="Tahoma"/>
          <w:bCs/>
          <w:sz w:val="24"/>
          <w:szCs w:val="24"/>
        </w:rPr>
        <w:t>jí</w:t>
      </w:r>
      <w:r w:rsidRPr="00093336">
        <w:rPr>
          <w:rFonts w:cs="Tahoma"/>
          <w:bCs/>
          <w:sz w:val="24"/>
          <w:szCs w:val="24"/>
        </w:rPr>
        <w:t xml:space="preserve"> definici způsobilých výdajů OP VaVpI. S ohledem na jeho velikost (nad 100 mil. EUR), musí být projekt schvalován přímo Evropskou komisí. Roční provozní výdaje centra </w:t>
      </w:r>
      <w:r>
        <w:rPr>
          <w:rFonts w:cs="Tahoma"/>
          <w:bCs/>
          <w:sz w:val="24"/>
          <w:szCs w:val="24"/>
        </w:rPr>
        <w:t>činí cca</w:t>
      </w:r>
      <w:r w:rsidRPr="00093336">
        <w:rPr>
          <w:rFonts w:cs="Tahoma"/>
          <w:bCs/>
          <w:sz w:val="24"/>
          <w:szCs w:val="24"/>
        </w:rPr>
        <w:t xml:space="preserve"> 10</w:t>
      </w:r>
      <w:r w:rsidR="00760C73">
        <w:rPr>
          <w:rFonts w:cs="Tahoma"/>
          <w:bCs/>
          <w:sz w:val="24"/>
          <w:szCs w:val="24"/>
        </w:rPr>
        <w:t xml:space="preserve"> </w:t>
      </w:r>
      <w:r w:rsidRPr="00093336">
        <w:rPr>
          <w:rFonts w:cs="Tahoma"/>
          <w:bCs/>
          <w:sz w:val="24"/>
          <w:szCs w:val="24"/>
        </w:rPr>
        <w:t xml:space="preserve">% celkového rozpočtu projektu, tj. </w:t>
      </w:r>
      <w:r>
        <w:rPr>
          <w:rFonts w:cs="Tahoma"/>
          <w:bCs/>
          <w:sz w:val="24"/>
          <w:szCs w:val="24"/>
        </w:rPr>
        <w:t xml:space="preserve">jde o </w:t>
      </w:r>
      <w:r w:rsidRPr="00093336">
        <w:rPr>
          <w:rFonts w:cs="Tahoma"/>
          <w:bCs/>
          <w:sz w:val="24"/>
          <w:szCs w:val="24"/>
        </w:rPr>
        <w:t> část</w:t>
      </w:r>
      <w:r>
        <w:rPr>
          <w:rFonts w:cs="Tahoma"/>
          <w:bCs/>
          <w:sz w:val="24"/>
          <w:szCs w:val="24"/>
        </w:rPr>
        <w:t>ku</w:t>
      </w:r>
      <w:r w:rsidRPr="00093336">
        <w:rPr>
          <w:rFonts w:cs="Tahoma"/>
          <w:bCs/>
          <w:sz w:val="24"/>
          <w:szCs w:val="24"/>
        </w:rPr>
        <w:t xml:space="preserve"> kolem 750 mil. Kč. Největší část tvoří výdaje výzkumného týmu (cca 300 mil. Kč ročně), výdaje na reinvestice a modernizaci zařízení (150 mil. Kč), provozní režie na základě full-cost metodiky (130 mil. Kč), spotřební materiál (60 mil. Kč) a nákup služeb (50 mil. Kč). V rámci reinvestic je uvažována pouz</w:t>
      </w:r>
      <w:r w:rsidR="005D6849">
        <w:rPr>
          <w:rFonts w:cs="Tahoma"/>
          <w:bCs/>
          <w:sz w:val="24"/>
          <w:szCs w:val="24"/>
        </w:rPr>
        <w:t>e obnova přístrojů a zařízení Ž</w:t>
      </w:r>
      <w:r w:rsidRPr="00093336">
        <w:rPr>
          <w:rFonts w:cs="Tahoma"/>
          <w:bCs/>
          <w:sz w:val="24"/>
          <w:szCs w:val="24"/>
        </w:rPr>
        <w:t>ivotnost prostor a infrastruktury výrazně přesahuje horizont hodnocení projektu (</w:t>
      </w:r>
      <w:r>
        <w:rPr>
          <w:rFonts w:cs="Tahoma"/>
          <w:bCs/>
          <w:sz w:val="24"/>
          <w:szCs w:val="24"/>
        </w:rPr>
        <w:t>předpokládaná</w:t>
      </w:r>
      <w:r w:rsidRPr="00093336">
        <w:rPr>
          <w:rFonts w:cs="Tahoma"/>
          <w:bCs/>
          <w:sz w:val="24"/>
          <w:szCs w:val="24"/>
        </w:rPr>
        <w:t xml:space="preserve"> životnost 20 a více let). Odhadovaná zůstatková hodnota investice na konci hodnotícího období činí 1,89 mld. Kč. Provozní příjmy jsou tvořeny příjmy ze smluvního výzkumu a pronájmu zařízení. Odhad objemu smluvního výzkumu je založen především na historických datech jednotlivých zakládajících univerzit a s ohledem na charakter poskytovaných služeb (základní výzkum) je jeho výše odhadována poměrně nízko v objemu okolo 30 mil. Kč ročně. Mírně významnějším zdrojem příjmů je předpokládaný krátkodobý pronájem (pravděpodobně na hodinové bázi) vybraných prostor a zařízení třetím subjektům, případně přímo zakládajícím institucím. Příjmy z pronájmů jsou odhadovány v objemu kolem 50 mil. Kč ročně. Jednotlivé příjmové položky tvoří pouze cca 10</w:t>
      </w:r>
      <w:r w:rsidR="00760C73">
        <w:rPr>
          <w:rFonts w:cs="Tahoma"/>
          <w:bCs/>
          <w:sz w:val="24"/>
          <w:szCs w:val="24"/>
        </w:rPr>
        <w:t xml:space="preserve"> </w:t>
      </w:r>
      <w:r w:rsidRPr="00093336">
        <w:rPr>
          <w:rFonts w:cs="Tahoma"/>
          <w:bCs/>
          <w:sz w:val="24"/>
          <w:szCs w:val="24"/>
        </w:rPr>
        <w:t xml:space="preserve">% provozního rozpočtu centra. Pro zajištění jeho provozu je tedy nezbytné zajistit velký objem prostředků pro jeho financování. Takřka třetina prostředků v objemu 250 mil. Kč ročně bude hrazena z prostředků strukturálních fondů </w:t>
      </w:r>
      <w:r>
        <w:rPr>
          <w:rFonts w:cs="Tahoma"/>
          <w:bCs/>
          <w:sz w:val="24"/>
          <w:szCs w:val="24"/>
        </w:rPr>
        <w:t xml:space="preserve">určených </w:t>
      </w:r>
      <w:r w:rsidR="008C6D7E">
        <w:rPr>
          <w:rFonts w:cs="Tahoma"/>
          <w:bCs/>
          <w:sz w:val="24"/>
          <w:szCs w:val="24"/>
        </w:rPr>
        <w:t>pro </w:t>
      </w:r>
      <w:r w:rsidRPr="00093336">
        <w:rPr>
          <w:rFonts w:cs="Tahoma"/>
          <w:bCs/>
          <w:sz w:val="24"/>
          <w:szCs w:val="24"/>
        </w:rPr>
        <w:t>provoz zařízení budovaných v rámci OP VaVpI. Tyto prostředky mají pomoci nastartovat samostatnost a nezávislost vědeckých center po ukončení plné podpory provozu v rámci start-up grantu (úhrada provozních výdajů projektů). Dalším významným zdrojem financování jsou národní institucionální prostředky na podporu vědy a výzkumu rozdělované především na základě výsledků v</w:t>
      </w:r>
      <w:r>
        <w:rPr>
          <w:rFonts w:cs="Tahoma"/>
          <w:bCs/>
          <w:sz w:val="24"/>
          <w:szCs w:val="24"/>
        </w:rPr>
        <w:t> </w:t>
      </w:r>
      <w:proofErr w:type="gramStart"/>
      <w:r w:rsidRPr="00093336">
        <w:rPr>
          <w:rFonts w:cs="Tahoma"/>
          <w:bCs/>
          <w:sz w:val="24"/>
          <w:szCs w:val="24"/>
        </w:rPr>
        <w:t>RIV</w:t>
      </w:r>
      <w:proofErr w:type="gramEnd"/>
      <w:r>
        <w:rPr>
          <w:rFonts w:cs="Tahoma"/>
          <w:bCs/>
          <w:sz w:val="24"/>
          <w:szCs w:val="24"/>
        </w:rPr>
        <w:t xml:space="preserve">. </w:t>
      </w:r>
      <w:r w:rsidRPr="00093336">
        <w:rPr>
          <w:rFonts w:cs="Tahoma"/>
          <w:bCs/>
          <w:sz w:val="24"/>
          <w:szCs w:val="24"/>
        </w:rPr>
        <w:t>Odhad</w:t>
      </w:r>
      <w:r>
        <w:rPr>
          <w:rFonts w:cs="Tahoma"/>
          <w:bCs/>
          <w:sz w:val="24"/>
          <w:szCs w:val="24"/>
        </w:rPr>
        <w:t>nutý</w:t>
      </w:r>
      <w:r w:rsidRPr="00093336">
        <w:rPr>
          <w:rFonts w:cs="Tahoma"/>
          <w:bCs/>
          <w:sz w:val="24"/>
          <w:szCs w:val="24"/>
        </w:rPr>
        <w:t xml:space="preserve"> objem institucionálních prostředků činí 180 mil. Kč ročně (cca 24</w:t>
      </w:r>
      <w:r w:rsidR="00760C73">
        <w:rPr>
          <w:rFonts w:cs="Tahoma"/>
          <w:bCs/>
          <w:sz w:val="24"/>
          <w:szCs w:val="24"/>
        </w:rPr>
        <w:t xml:space="preserve"> </w:t>
      </w:r>
      <w:r w:rsidRPr="00093336">
        <w:rPr>
          <w:rFonts w:cs="Tahoma"/>
          <w:bCs/>
          <w:sz w:val="24"/>
          <w:szCs w:val="24"/>
        </w:rPr>
        <w:t>% provozních výdajů). Zůstá</w:t>
      </w:r>
      <w:r w:rsidR="006D46B0">
        <w:rPr>
          <w:rFonts w:cs="Tahoma"/>
          <w:bCs/>
          <w:sz w:val="24"/>
          <w:szCs w:val="24"/>
        </w:rPr>
        <w:t>vající výdaje (v objemu cca 250–</w:t>
      </w:r>
      <w:r w:rsidRPr="00093336">
        <w:rPr>
          <w:rFonts w:cs="Tahoma"/>
          <w:bCs/>
          <w:sz w:val="24"/>
          <w:szCs w:val="24"/>
        </w:rPr>
        <w:t xml:space="preserve">270 mil. Kč ročně) musí být hrazeny </w:t>
      </w:r>
      <w:r w:rsidR="00FE68A6">
        <w:rPr>
          <w:rFonts w:cs="Tahoma"/>
          <w:bCs/>
          <w:sz w:val="24"/>
          <w:szCs w:val="24"/>
        </w:rPr>
        <w:t>z</w:t>
      </w:r>
      <w:r w:rsidRPr="00093336">
        <w:rPr>
          <w:rFonts w:cs="Tahoma"/>
          <w:bCs/>
          <w:sz w:val="24"/>
          <w:szCs w:val="24"/>
        </w:rPr>
        <w:t xml:space="preserve"> národních a mezinárodních grantů. V případě neschopnosti centra pr</w:t>
      </w:r>
      <w:r w:rsidR="005D6849">
        <w:rPr>
          <w:rFonts w:cs="Tahoma"/>
          <w:bCs/>
          <w:sz w:val="24"/>
          <w:szCs w:val="24"/>
        </w:rPr>
        <w:t xml:space="preserve">okázat své kvality a kompetenci lze tedy </w:t>
      </w:r>
      <w:r w:rsidRPr="00093336">
        <w:rPr>
          <w:rFonts w:cs="Tahoma"/>
          <w:bCs/>
          <w:sz w:val="24"/>
          <w:szCs w:val="24"/>
        </w:rPr>
        <w:t xml:space="preserve">předpokládat významné problémy spojené s jeho </w:t>
      </w:r>
      <w:r w:rsidRPr="00093336">
        <w:rPr>
          <w:rFonts w:cs="Tahoma"/>
          <w:bCs/>
          <w:sz w:val="24"/>
          <w:szCs w:val="24"/>
        </w:rPr>
        <w:lastRenderedPageBreak/>
        <w:t>finanční udržitelností. Výsledky finanční analýzy odpovídají obdobným veřejně prospěšným vědeckým centrům a pohybují se hluboce v záporných hodnotách. Pro výpočet byla použita specializovaná aplikace eCBA 1.0, parametry výpočtu byly nastaveny v souladu s požadavky Evropské komise: diskontní sazba 5,0</w:t>
      </w:r>
      <w:r w:rsidR="00760C73">
        <w:rPr>
          <w:rFonts w:cs="Tahoma"/>
          <w:bCs/>
          <w:sz w:val="24"/>
          <w:szCs w:val="24"/>
        </w:rPr>
        <w:t xml:space="preserve"> </w:t>
      </w:r>
      <w:r w:rsidRPr="00093336">
        <w:rPr>
          <w:rFonts w:cs="Tahoma"/>
          <w:bCs/>
          <w:sz w:val="24"/>
          <w:szCs w:val="24"/>
        </w:rPr>
        <w:t xml:space="preserve">%; doba hodnocení 15 let, cenová hladina roku 2012. </w:t>
      </w:r>
    </w:p>
    <w:p w:rsidR="006A2747" w:rsidRPr="00DE18F9" w:rsidRDefault="006A2747" w:rsidP="003B3C75">
      <w:pPr>
        <w:pStyle w:val="0T-Titulek"/>
      </w:pPr>
      <w:bookmarkStart w:id="113" w:name="_Toc382326453"/>
      <w:r w:rsidRPr="00093336">
        <w:t>Tabulka</w:t>
      </w:r>
      <w:r>
        <w:t xml:space="preserve"> 26</w:t>
      </w:r>
      <w:r w:rsidRPr="00093336">
        <w:t>: Přehled výsledků finanční analýzy</w:t>
      </w:r>
      <w:bookmarkEnd w:id="113"/>
      <w:r w:rsidRPr="00093336">
        <w:t xml:space="preserve"> </w:t>
      </w:r>
    </w:p>
    <w:tbl>
      <w:tblPr>
        <w:tblStyle w:val="Mkatabulky8"/>
        <w:tblW w:w="9230" w:type="dxa"/>
        <w:tblLook w:val="04A0" w:firstRow="1" w:lastRow="0" w:firstColumn="1" w:lastColumn="0" w:noHBand="0" w:noVBand="1"/>
      </w:tblPr>
      <w:tblGrid>
        <w:gridCol w:w="2558"/>
        <w:gridCol w:w="1668"/>
        <w:gridCol w:w="1668"/>
        <w:gridCol w:w="1668"/>
        <w:gridCol w:w="1668"/>
      </w:tblGrid>
      <w:tr w:rsidR="006A2747" w:rsidRPr="00093336" w:rsidTr="00504C06">
        <w:trPr>
          <w:trHeight w:hRule="exact" w:val="284"/>
        </w:trPr>
        <w:tc>
          <w:tcPr>
            <w:tcW w:w="2558" w:type="dxa"/>
            <w:tcBorders>
              <w:top w:val="single" w:sz="4" w:space="0" w:color="auto"/>
              <w:left w:val="single" w:sz="4" w:space="0" w:color="auto"/>
              <w:bottom w:val="single" w:sz="4" w:space="0" w:color="auto"/>
              <w:right w:val="single" w:sz="4" w:space="0" w:color="auto"/>
            </w:tcBorders>
            <w:shd w:val="clear" w:color="auto" w:fill="FFFFFF" w:themeFill="background1"/>
          </w:tcPr>
          <w:p w:rsidR="006A2747" w:rsidRPr="0044554E" w:rsidRDefault="006A2747" w:rsidP="00423120">
            <w:pPr>
              <w:keepNext/>
              <w:jc w:val="center"/>
              <w:rPr>
                <w:rFonts w:asciiTheme="minorHAnsi" w:eastAsia="Calibri" w:hAnsiTheme="minorHAnsi" w:cstheme="minorHAnsi"/>
                <w:b/>
                <w:bCs/>
                <w:sz w:val="22"/>
                <w:szCs w:val="22"/>
              </w:rPr>
            </w:pPr>
          </w:p>
        </w:tc>
        <w:tc>
          <w:tcPr>
            <w:tcW w:w="16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2747" w:rsidRPr="0044554E" w:rsidRDefault="006A2747" w:rsidP="00423120">
            <w:pPr>
              <w:keepNext/>
              <w:jc w:val="center"/>
              <w:rPr>
                <w:rFonts w:asciiTheme="minorHAnsi" w:eastAsia="Calibri" w:hAnsiTheme="minorHAnsi" w:cstheme="minorHAnsi"/>
                <w:b/>
                <w:bCs/>
                <w:sz w:val="22"/>
                <w:szCs w:val="22"/>
                <w:lang w:val="en-GB"/>
              </w:rPr>
            </w:pPr>
            <w:r w:rsidRPr="0044554E">
              <w:rPr>
                <w:rFonts w:asciiTheme="minorHAnsi" w:eastAsia="Calibri" w:hAnsiTheme="minorHAnsi" w:cstheme="minorHAnsi"/>
                <w:b/>
                <w:bCs/>
                <w:sz w:val="22"/>
                <w:szCs w:val="22"/>
                <w:lang w:val="en-GB"/>
              </w:rPr>
              <w:t>FNPV</w:t>
            </w:r>
          </w:p>
        </w:tc>
        <w:tc>
          <w:tcPr>
            <w:tcW w:w="16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2747" w:rsidRPr="0044554E" w:rsidRDefault="006A2747" w:rsidP="00423120">
            <w:pPr>
              <w:keepNext/>
              <w:jc w:val="center"/>
              <w:rPr>
                <w:rFonts w:asciiTheme="minorHAnsi" w:eastAsia="Calibri" w:hAnsiTheme="minorHAnsi" w:cstheme="minorHAnsi"/>
                <w:b/>
                <w:bCs/>
                <w:sz w:val="22"/>
                <w:szCs w:val="22"/>
                <w:lang w:val="en-GB"/>
              </w:rPr>
            </w:pPr>
            <w:r w:rsidRPr="0044554E">
              <w:rPr>
                <w:rFonts w:asciiTheme="minorHAnsi" w:eastAsia="Calibri" w:hAnsiTheme="minorHAnsi" w:cstheme="minorHAnsi"/>
                <w:b/>
                <w:bCs/>
                <w:sz w:val="22"/>
                <w:szCs w:val="22"/>
                <w:lang w:val="en-GB"/>
              </w:rPr>
              <w:t>FNPV/I</w:t>
            </w:r>
          </w:p>
        </w:tc>
        <w:tc>
          <w:tcPr>
            <w:tcW w:w="16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2747" w:rsidRPr="0044554E" w:rsidRDefault="006A2747" w:rsidP="00423120">
            <w:pPr>
              <w:keepNext/>
              <w:jc w:val="center"/>
              <w:rPr>
                <w:rFonts w:asciiTheme="minorHAnsi" w:eastAsia="Calibri" w:hAnsiTheme="minorHAnsi" w:cstheme="minorHAnsi"/>
                <w:b/>
                <w:bCs/>
                <w:sz w:val="22"/>
                <w:szCs w:val="22"/>
                <w:lang w:val="en-GB"/>
              </w:rPr>
            </w:pPr>
            <w:r w:rsidRPr="0044554E">
              <w:rPr>
                <w:rFonts w:asciiTheme="minorHAnsi" w:eastAsia="Calibri" w:hAnsiTheme="minorHAnsi" w:cstheme="minorHAnsi"/>
                <w:b/>
                <w:bCs/>
                <w:sz w:val="22"/>
                <w:szCs w:val="22"/>
                <w:lang w:val="en-GB"/>
              </w:rPr>
              <w:t>FIRR</w:t>
            </w:r>
          </w:p>
        </w:tc>
        <w:tc>
          <w:tcPr>
            <w:tcW w:w="16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2747" w:rsidRPr="0044554E" w:rsidRDefault="006A2747" w:rsidP="00423120">
            <w:pPr>
              <w:keepNext/>
              <w:ind w:left="-113" w:right="-113"/>
              <w:jc w:val="center"/>
              <w:rPr>
                <w:rFonts w:asciiTheme="minorHAnsi" w:eastAsia="Calibri" w:hAnsiTheme="minorHAnsi" w:cstheme="minorHAnsi"/>
                <w:b/>
                <w:bCs/>
                <w:sz w:val="22"/>
                <w:szCs w:val="22"/>
                <w:lang w:val="en-GB"/>
              </w:rPr>
            </w:pPr>
            <w:r>
              <w:rPr>
                <w:rFonts w:asciiTheme="minorHAnsi" w:eastAsia="Calibri" w:hAnsiTheme="minorHAnsi" w:cstheme="minorHAnsi"/>
                <w:b/>
                <w:bCs/>
                <w:sz w:val="22"/>
                <w:szCs w:val="22"/>
                <w:lang w:val="en-GB"/>
              </w:rPr>
              <w:t>DN</w:t>
            </w:r>
          </w:p>
        </w:tc>
      </w:tr>
      <w:tr w:rsidR="006A2747" w:rsidRPr="00093336" w:rsidTr="00504C06">
        <w:trPr>
          <w:trHeight w:hRule="exact" w:val="284"/>
        </w:trPr>
        <w:tc>
          <w:tcPr>
            <w:tcW w:w="2558" w:type="dxa"/>
            <w:tcBorders>
              <w:top w:val="single" w:sz="4" w:space="0" w:color="auto"/>
              <w:left w:val="single" w:sz="4" w:space="0" w:color="auto"/>
              <w:bottom w:val="single" w:sz="4" w:space="0" w:color="auto"/>
              <w:right w:val="single" w:sz="4" w:space="0" w:color="auto"/>
            </w:tcBorders>
            <w:hideMark/>
          </w:tcPr>
          <w:p w:rsidR="006A2747" w:rsidRPr="0044554E" w:rsidRDefault="006A2747" w:rsidP="00423120">
            <w:pPr>
              <w:keepNext/>
              <w:rPr>
                <w:rFonts w:asciiTheme="minorHAnsi" w:eastAsia="Calibri" w:hAnsiTheme="minorHAnsi" w:cstheme="minorHAnsi"/>
                <w:bCs/>
                <w:sz w:val="22"/>
                <w:szCs w:val="22"/>
                <w:lang w:val="en-GB"/>
              </w:rPr>
            </w:pPr>
            <w:r w:rsidRPr="0044554E">
              <w:rPr>
                <w:rFonts w:asciiTheme="minorHAnsi" w:eastAsia="Calibri" w:hAnsiTheme="minorHAnsi" w:cstheme="minorHAnsi"/>
                <w:bCs/>
                <w:sz w:val="22"/>
                <w:szCs w:val="22"/>
                <w:lang w:val="en-GB"/>
              </w:rPr>
              <w:t xml:space="preserve">efektivnost jako investice </w:t>
            </w:r>
          </w:p>
        </w:tc>
        <w:tc>
          <w:tcPr>
            <w:tcW w:w="1668" w:type="dxa"/>
            <w:tcBorders>
              <w:top w:val="single" w:sz="4" w:space="0" w:color="auto"/>
              <w:left w:val="single" w:sz="4" w:space="0" w:color="auto"/>
              <w:bottom w:val="single" w:sz="4" w:space="0" w:color="auto"/>
              <w:right w:val="single" w:sz="4" w:space="0" w:color="auto"/>
            </w:tcBorders>
            <w:hideMark/>
          </w:tcPr>
          <w:p w:rsidR="006A2747" w:rsidRPr="0044554E" w:rsidRDefault="006A2747" w:rsidP="00423120">
            <w:pPr>
              <w:keepNext/>
              <w:jc w:val="center"/>
              <w:rPr>
                <w:rFonts w:asciiTheme="minorHAnsi" w:eastAsia="Calibri" w:hAnsiTheme="minorHAnsi" w:cstheme="minorHAnsi"/>
                <w:bCs/>
                <w:sz w:val="22"/>
                <w:szCs w:val="22"/>
                <w:lang w:val="en-GB"/>
              </w:rPr>
            </w:pPr>
            <w:r w:rsidRPr="0044554E">
              <w:rPr>
                <w:rFonts w:asciiTheme="minorHAnsi" w:eastAsia="Calibri" w:hAnsiTheme="minorHAnsi" w:cstheme="minorHAnsi"/>
                <w:bCs/>
                <w:sz w:val="22"/>
                <w:szCs w:val="22"/>
                <w:lang w:val="en-GB"/>
              </w:rPr>
              <w:t>-9</w:t>
            </w:r>
            <w:proofErr w:type="gramStart"/>
            <w:r w:rsidRPr="0044554E">
              <w:rPr>
                <w:rFonts w:asciiTheme="minorHAnsi" w:eastAsia="Calibri" w:hAnsiTheme="minorHAnsi" w:cstheme="minorHAnsi"/>
                <w:bCs/>
                <w:sz w:val="22"/>
                <w:szCs w:val="22"/>
                <w:lang w:val="en-GB"/>
              </w:rPr>
              <w:t>,9</w:t>
            </w:r>
            <w:proofErr w:type="gramEnd"/>
            <w:r w:rsidRPr="0044554E">
              <w:rPr>
                <w:rFonts w:asciiTheme="minorHAnsi" w:eastAsia="Calibri" w:hAnsiTheme="minorHAnsi" w:cstheme="minorHAnsi"/>
                <w:bCs/>
                <w:sz w:val="22"/>
                <w:szCs w:val="22"/>
                <w:lang w:val="en-GB"/>
              </w:rPr>
              <w:t xml:space="preserve"> mld. Kč</w:t>
            </w:r>
          </w:p>
        </w:tc>
        <w:tc>
          <w:tcPr>
            <w:tcW w:w="1668" w:type="dxa"/>
            <w:tcBorders>
              <w:top w:val="single" w:sz="4" w:space="0" w:color="auto"/>
              <w:left w:val="single" w:sz="4" w:space="0" w:color="auto"/>
              <w:bottom w:val="single" w:sz="4" w:space="0" w:color="auto"/>
              <w:right w:val="single" w:sz="4" w:space="0" w:color="auto"/>
            </w:tcBorders>
            <w:hideMark/>
          </w:tcPr>
          <w:p w:rsidR="006A2747" w:rsidRPr="0044554E" w:rsidRDefault="006A2747" w:rsidP="00423120">
            <w:pPr>
              <w:keepNext/>
              <w:jc w:val="center"/>
              <w:rPr>
                <w:rFonts w:asciiTheme="minorHAnsi" w:eastAsia="Calibri" w:hAnsiTheme="minorHAnsi" w:cstheme="minorHAnsi"/>
                <w:bCs/>
                <w:sz w:val="22"/>
                <w:szCs w:val="22"/>
                <w:lang w:val="en-GB"/>
              </w:rPr>
            </w:pPr>
            <w:r w:rsidRPr="0044554E">
              <w:rPr>
                <w:rFonts w:asciiTheme="minorHAnsi" w:eastAsia="Calibri" w:hAnsiTheme="minorHAnsi" w:cstheme="minorHAnsi"/>
                <w:bCs/>
                <w:sz w:val="22"/>
                <w:szCs w:val="22"/>
                <w:lang w:val="en-GB"/>
              </w:rPr>
              <w:t>-174</w:t>
            </w:r>
            <w:r>
              <w:rPr>
                <w:rFonts w:asciiTheme="minorHAnsi" w:eastAsia="Calibri" w:hAnsiTheme="minorHAnsi" w:cstheme="minorHAnsi"/>
                <w:bCs/>
                <w:sz w:val="22"/>
                <w:szCs w:val="22"/>
                <w:lang w:val="en-GB"/>
              </w:rPr>
              <w:t xml:space="preserve"> </w:t>
            </w:r>
            <w:r w:rsidRPr="0044554E">
              <w:rPr>
                <w:rFonts w:asciiTheme="minorHAnsi" w:eastAsia="Calibri" w:hAnsiTheme="minorHAnsi" w:cstheme="minorHAnsi"/>
                <w:bCs/>
                <w:sz w:val="22"/>
                <w:szCs w:val="22"/>
                <w:lang w:val="en-GB"/>
              </w:rPr>
              <w:t>%</w:t>
            </w:r>
          </w:p>
        </w:tc>
        <w:tc>
          <w:tcPr>
            <w:tcW w:w="1668" w:type="dxa"/>
            <w:tcBorders>
              <w:top w:val="single" w:sz="4" w:space="0" w:color="auto"/>
              <w:left w:val="single" w:sz="4" w:space="0" w:color="auto"/>
              <w:bottom w:val="single" w:sz="4" w:space="0" w:color="auto"/>
              <w:right w:val="single" w:sz="4" w:space="0" w:color="auto"/>
            </w:tcBorders>
            <w:hideMark/>
          </w:tcPr>
          <w:p w:rsidR="006A2747" w:rsidRPr="0044554E" w:rsidRDefault="006A2747" w:rsidP="00423120">
            <w:pPr>
              <w:keepNext/>
              <w:jc w:val="center"/>
              <w:rPr>
                <w:rFonts w:asciiTheme="minorHAnsi" w:eastAsia="Calibri" w:hAnsiTheme="minorHAnsi" w:cstheme="minorHAnsi"/>
                <w:bCs/>
                <w:sz w:val="22"/>
                <w:szCs w:val="22"/>
                <w:lang w:val="en-GB"/>
              </w:rPr>
            </w:pPr>
            <w:r w:rsidRPr="0044554E">
              <w:rPr>
                <w:rFonts w:asciiTheme="minorHAnsi" w:eastAsia="Calibri" w:hAnsiTheme="minorHAnsi" w:cstheme="minorHAnsi"/>
                <w:bCs/>
                <w:sz w:val="22"/>
                <w:szCs w:val="22"/>
                <w:lang w:val="en-GB"/>
              </w:rPr>
              <w:t>---</w:t>
            </w:r>
          </w:p>
        </w:tc>
        <w:tc>
          <w:tcPr>
            <w:tcW w:w="1668" w:type="dxa"/>
            <w:tcBorders>
              <w:top w:val="single" w:sz="4" w:space="0" w:color="auto"/>
              <w:left w:val="single" w:sz="4" w:space="0" w:color="auto"/>
              <w:bottom w:val="single" w:sz="4" w:space="0" w:color="auto"/>
              <w:right w:val="single" w:sz="4" w:space="0" w:color="auto"/>
            </w:tcBorders>
            <w:hideMark/>
          </w:tcPr>
          <w:p w:rsidR="006A2747" w:rsidRPr="0044554E" w:rsidRDefault="006A2747" w:rsidP="00423120">
            <w:pPr>
              <w:keepNext/>
              <w:jc w:val="center"/>
              <w:rPr>
                <w:rFonts w:asciiTheme="minorHAnsi" w:eastAsia="Calibri" w:hAnsiTheme="minorHAnsi" w:cstheme="minorHAnsi"/>
                <w:bCs/>
                <w:sz w:val="22"/>
                <w:szCs w:val="22"/>
                <w:lang w:val="en-GB"/>
              </w:rPr>
            </w:pPr>
            <w:r w:rsidRPr="0044554E">
              <w:rPr>
                <w:rFonts w:asciiTheme="minorHAnsi" w:eastAsia="Calibri" w:hAnsiTheme="minorHAnsi" w:cstheme="minorHAnsi"/>
                <w:bCs/>
                <w:sz w:val="22"/>
                <w:szCs w:val="22"/>
                <w:lang w:val="en-GB"/>
              </w:rPr>
              <w:t>---</w:t>
            </w:r>
          </w:p>
        </w:tc>
      </w:tr>
      <w:tr w:rsidR="006A2747" w:rsidRPr="00093336" w:rsidTr="00504C06">
        <w:trPr>
          <w:trHeight w:hRule="exact" w:val="284"/>
        </w:trPr>
        <w:tc>
          <w:tcPr>
            <w:tcW w:w="2558" w:type="dxa"/>
            <w:tcBorders>
              <w:top w:val="single" w:sz="4" w:space="0" w:color="auto"/>
              <w:left w:val="single" w:sz="4" w:space="0" w:color="auto"/>
              <w:bottom w:val="single" w:sz="4" w:space="0" w:color="auto"/>
              <w:right w:val="single" w:sz="4" w:space="0" w:color="auto"/>
            </w:tcBorders>
            <w:hideMark/>
          </w:tcPr>
          <w:p w:rsidR="006A2747" w:rsidRPr="0044554E" w:rsidRDefault="006A2747" w:rsidP="00423120">
            <w:pPr>
              <w:keepNext/>
              <w:rPr>
                <w:rFonts w:asciiTheme="minorHAnsi" w:eastAsia="Calibri" w:hAnsiTheme="minorHAnsi" w:cstheme="minorHAnsi"/>
                <w:bCs/>
                <w:sz w:val="22"/>
                <w:szCs w:val="22"/>
                <w:lang w:val="en-GB"/>
              </w:rPr>
            </w:pPr>
            <w:r w:rsidRPr="0044554E">
              <w:rPr>
                <w:rFonts w:asciiTheme="minorHAnsi" w:eastAsia="Calibri" w:hAnsiTheme="minorHAnsi" w:cstheme="minorHAnsi"/>
                <w:bCs/>
                <w:sz w:val="22"/>
                <w:szCs w:val="22"/>
                <w:lang w:val="en-GB"/>
              </w:rPr>
              <w:t xml:space="preserve">návratnost kapitálu </w:t>
            </w:r>
          </w:p>
        </w:tc>
        <w:tc>
          <w:tcPr>
            <w:tcW w:w="1668" w:type="dxa"/>
            <w:tcBorders>
              <w:top w:val="single" w:sz="4" w:space="0" w:color="auto"/>
              <w:left w:val="single" w:sz="4" w:space="0" w:color="auto"/>
              <w:bottom w:val="single" w:sz="4" w:space="0" w:color="auto"/>
              <w:right w:val="single" w:sz="4" w:space="0" w:color="auto"/>
            </w:tcBorders>
            <w:hideMark/>
          </w:tcPr>
          <w:p w:rsidR="006A2747" w:rsidRPr="0044554E" w:rsidRDefault="006A2747" w:rsidP="00423120">
            <w:pPr>
              <w:keepNext/>
              <w:jc w:val="center"/>
              <w:rPr>
                <w:rFonts w:asciiTheme="minorHAnsi" w:eastAsia="Calibri" w:hAnsiTheme="minorHAnsi" w:cstheme="minorHAnsi"/>
                <w:bCs/>
                <w:sz w:val="22"/>
                <w:szCs w:val="22"/>
                <w:lang w:val="en-GB"/>
              </w:rPr>
            </w:pPr>
            <w:r w:rsidRPr="0044554E">
              <w:rPr>
                <w:rFonts w:asciiTheme="minorHAnsi" w:eastAsia="Calibri" w:hAnsiTheme="minorHAnsi" w:cstheme="minorHAnsi"/>
                <w:bCs/>
                <w:sz w:val="22"/>
                <w:szCs w:val="22"/>
                <w:lang w:val="en-GB"/>
              </w:rPr>
              <w:t>-4</w:t>
            </w:r>
            <w:proofErr w:type="gramStart"/>
            <w:r w:rsidRPr="0044554E">
              <w:rPr>
                <w:rFonts w:asciiTheme="minorHAnsi" w:eastAsia="Calibri" w:hAnsiTheme="minorHAnsi" w:cstheme="minorHAnsi"/>
                <w:bCs/>
                <w:sz w:val="22"/>
                <w:szCs w:val="22"/>
                <w:lang w:val="en-GB"/>
              </w:rPr>
              <w:t>,2</w:t>
            </w:r>
            <w:proofErr w:type="gramEnd"/>
            <w:r w:rsidRPr="0044554E">
              <w:rPr>
                <w:rFonts w:asciiTheme="minorHAnsi" w:eastAsia="Calibri" w:hAnsiTheme="minorHAnsi" w:cstheme="minorHAnsi"/>
                <w:bCs/>
                <w:sz w:val="22"/>
                <w:szCs w:val="22"/>
                <w:lang w:val="en-GB"/>
              </w:rPr>
              <w:t xml:space="preserve"> mld. Kč</w:t>
            </w:r>
          </w:p>
        </w:tc>
        <w:tc>
          <w:tcPr>
            <w:tcW w:w="1668" w:type="dxa"/>
            <w:tcBorders>
              <w:top w:val="single" w:sz="4" w:space="0" w:color="auto"/>
              <w:left w:val="single" w:sz="4" w:space="0" w:color="auto"/>
              <w:bottom w:val="single" w:sz="4" w:space="0" w:color="auto"/>
              <w:right w:val="single" w:sz="4" w:space="0" w:color="auto"/>
            </w:tcBorders>
            <w:hideMark/>
          </w:tcPr>
          <w:p w:rsidR="006A2747" w:rsidRPr="0044554E" w:rsidRDefault="006A2747" w:rsidP="00423120">
            <w:pPr>
              <w:keepNext/>
              <w:jc w:val="center"/>
              <w:rPr>
                <w:rFonts w:asciiTheme="minorHAnsi" w:eastAsia="Calibri" w:hAnsiTheme="minorHAnsi" w:cstheme="minorHAnsi"/>
                <w:bCs/>
                <w:sz w:val="22"/>
                <w:szCs w:val="22"/>
                <w:lang w:val="en-GB"/>
              </w:rPr>
            </w:pPr>
            <w:r w:rsidRPr="0044554E">
              <w:rPr>
                <w:rFonts w:asciiTheme="minorHAnsi" w:eastAsia="Calibri" w:hAnsiTheme="minorHAnsi" w:cstheme="minorHAnsi"/>
                <w:bCs/>
                <w:sz w:val="22"/>
                <w:szCs w:val="22"/>
                <w:lang w:val="en-GB"/>
              </w:rPr>
              <w:t>-74</w:t>
            </w:r>
            <w:r>
              <w:rPr>
                <w:rFonts w:asciiTheme="minorHAnsi" w:eastAsia="Calibri" w:hAnsiTheme="minorHAnsi" w:cstheme="minorHAnsi"/>
                <w:bCs/>
                <w:sz w:val="22"/>
                <w:szCs w:val="22"/>
                <w:lang w:val="en-GB"/>
              </w:rPr>
              <w:t xml:space="preserve"> </w:t>
            </w:r>
            <w:r w:rsidRPr="0044554E">
              <w:rPr>
                <w:rFonts w:asciiTheme="minorHAnsi" w:eastAsia="Calibri" w:hAnsiTheme="minorHAnsi" w:cstheme="minorHAnsi"/>
                <w:bCs/>
                <w:sz w:val="22"/>
                <w:szCs w:val="22"/>
                <w:lang w:val="en-GB"/>
              </w:rPr>
              <w:t>%</w:t>
            </w:r>
          </w:p>
        </w:tc>
        <w:tc>
          <w:tcPr>
            <w:tcW w:w="1668" w:type="dxa"/>
            <w:tcBorders>
              <w:top w:val="single" w:sz="4" w:space="0" w:color="auto"/>
              <w:left w:val="single" w:sz="4" w:space="0" w:color="auto"/>
              <w:bottom w:val="single" w:sz="4" w:space="0" w:color="auto"/>
              <w:right w:val="single" w:sz="4" w:space="0" w:color="auto"/>
            </w:tcBorders>
            <w:hideMark/>
          </w:tcPr>
          <w:p w:rsidR="006A2747" w:rsidRPr="0044554E" w:rsidRDefault="006A2747" w:rsidP="00423120">
            <w:pPr>
              <w:keepNext/>
              <w:jc w:val="center"/>
              <w:rPr>
                <w:rFonts w:asciiTheme="minorHAnsi" w:eastAsia="Calibri" w:hAnsiTheme="minorHAnsi" w:cstheme="minorHAnsi"/>
                <w:bCs/>
                <w:sz w:val="22"/>
                <w:szCs w:val="22"/>
                <w:lang w:val="en-GB"/>
              </w:rPr>
            </w:pPr>
            <w:r w:rsidRPr="0044554E">
              <w:rPr>
                <w:rFonts w:asciiTheme="minorHAnsi" w:eastAsia="Calibri" w:hAnsiTheme="minorHAnsi" w:cstheme="minorHAnsi"/>
                <w:bCs/>
                <w:sz w:val="22"/>
                <w:szCs w:val="22"/>
                <w:lang w:val="en-GB"/>
              </w:rPr>
              <w:t>---</w:t>
            </w:r>
          </w:p>
        </w:tc>
        <w:tc>
          <w:tcPr>
            <w:tcW w:w="1668" w:type="dxa"/>
            <w:tcBorders>
              <w:top w:val="single" w:sz="4" w:space="0" w:color="auto"/>
              <w:left w:val="single" w:sz="4" w:space="0" w:color="auto"/>
              <w:bottom w:val="single" w:sz="4" w:space="0" w:color="auto"/>
              <w:right w:val="single" w:sz="4" w:space="0" w:color="auto"/>
            </w:tcBorders>
            <w:hideMark/>
          </w:tcPr>
          <w:p w:rsidR="006A2747" w:rsidRPr="0044554E" w:rsidRDefault="006A2747" w:rsidP="00423120">
            <w:pPr>
              <w:keepNext/>
              <w:jc w:val="center"/>
              <w:rPr>
                <w:rFonts w:asciiTheme="minorHAnsi" w:eastAsia="Calibri" w:hAnsiTheme="minorHAnsi" w:cstheme="minorHAnsi"/>
                <w:bCs/>
                <w:sz w:val="22"/>
                <w:szCs w:val="22"/>
                <w:lang w:val="en-GB"/>
              </w:rPr>
            </w:pPr>
            <w:r w:rsidRPr="0044554E">
              <w:rPr>
                <w:rFonts w:asciiTheme="minorHAnsi" w:eastAsia="Calibri" w:hAnsiTheme="minorHAnsi" w:cstheme="minorHAnsi"/>
                <w:bCs/>
                <w:sz w:val="22"/>
                <w:szCs w:val="22"/>
                <w:lang w:val="en-GB"/>
              </w:rPr>
              <w:t>---</w:t>
            </w:r>
          </w:p>
        </w:tc>
      </w:tr>
    </w:tbl>
    <w:p w:rsidR="005D6849" w:rsidRPr="006F59A1" w:rsidRDefault="006F59A1" w:rsidP="006F59A1">
      <w:pPr>
        <w:keepNext/>
        <w:ind w:firstLine="720"/>
        <w:jc w:val="center"/>
        <w:rPr>
          <w:rFonts w:asciiTheme="minorHAnsi" w:hAnsiTheme="minorHAnsi" w:cstheme="minorHAnsi"/>
          <w:bCs/>
          <w:i/>
        </w:rPr>
      </w:pPr>
      <w:r w:rsidRPr="006F59A1">
        <w:rPr>
          <w:rFonts w:asciiTheme="minorHAnsi" w:hAnsiTheme="minorHAnsi" w:cstheme="minorHAnsi"/>
          <w:bCs/>
          <w:i/>
        </w:rPr>
        <w:t>Pramen: vlastní výzkum.</w:t>
      </w:r>
    </w:p>
    <w:p w:rsidR="006A2747" w:rsidRPr="00093336" w:rsidRDefault="006A2747" w:rsidP="00423120">
      <w:pPr>
        <w:keepNext/>
        <w:ind w:firstLine="720"/>
        <w:jc w:val="both"/>
        <w:rPr>
          <w:rFonts w:cs="Tahoma"/>
          <w:bCs/>
          <w:sz w:val="24"/>
          <w:szCs w:val="24"/>
        </w:rPr>
      </w:pPr>
      <w:r w:rsidRPr="00093336">
        <w:rPr>
          <w:rFonts w:cs="Tahoma"/>
          <w:bCs/>
          <w:sz w:val="24"/>
          <w:szCs w:val="24"/>
        </w:rPr>
        <w:t>Výsledky hodnocení deklarují závislost realizace a udržitelnosti projektu na dotačním financování. Masivní investice v objemu miliard korun je doprovázena roční provozní ztrátou v řádu stovek miliónů, výsledky finanční analýzy v objemu takřka minus 10 miliard nejsou překvapením</w:t>
      </w:r>
      <w:r>
        <w:rPr>
          <w:rFonts w:cs="Tahoma"/>
          <w:bCs/>
          <w:sz w:val="24"/>
          <w:szCs w:val="24"/>
        </w:rPr>
        <w:t xml:space="preserve"> </w:t>
      </w:r>
      <w:r w:rsidRPr="00093336">
        <w:rPr>
          <w:rFonts w:cs="Tahoma"/>
          <w:bCs/>
          <w:sz w:val="24"/>
          <w:szCs w:val="24"/>
          <w:vertAlign w:val="superscript"/>
        </w:rPr>
        <w:footnoteReference w:id="28"/>
      </w:r>
      <w:r w:rsidRPr="00093336">
        <w:rPr>
          <w:rFonts w:cs="Tahoma"/>
          <w:bCs/>
          <w:sz w:val="24"/>
          <w:szCs w:val="24"/>
        </w:rPr>
        <w:t>. V souvislosti s </w:t>
      </w:r>
      <w:r w:rsidR="00ED22F0">
        <w:rPr>
          <w:rFonts w:cs="Tahoma"/>
          <w:bCs/>
          <w:sz w:val="24"/>
          <w:szCs w:val="24"/>
        </w:rPr>
        <w:t>tím</w:t>
      </w:r>
      <w:r w:rsidRPr="00093336">
        <w:rPr>
          <w:rFonts w:cs="Tahoma"/>
          <w:bCs/>
          <w:sz w:val="24"/>
          <w:szCs w:val="24"/>
        </w:rPr>
        <w:t xml:space="preserve"> je nutné klást velký důraz na socioekonomickou analýzu projektu, která jediná může ospravedlnit realizaci takto finančně ztrátového projektu. </w:t>
      </w:r>
    </w:p>
    <w:p w:rsidR="006A2747" w:rsidRPr="00093336" w:rsidRDefault="006A2747" w:rsidP="00423120">
      <w:pPr>
        <w:keepNext/>
        <w:rPr>
          <w:rFonts w:cs="Tahoma"/>
          <w:b/>
          <w:bCs/>
          <w:sz w:val="24"/>
          <w:szCs w:val="24"/>
        </w:rPr>
      </w:pPr>
      <w:r w:rsidRPr="00093336">
        <w:rPr>
          <w:rFonts w:cs="Tahoma"/>
          <w:b/>
          <w:bCs/>
          <w:sz w:val="24"/>
          <w:szCs w:val="24"/>
        </w:rPr>
        <w:t xml:space="preserve">Socioekonomická analýza projektu </w:t>
      </w:r>
    </w:p>
    <w:p w:rsidR="003D4491" w:rsidRPr="00A90769" w:rsidRDefault="006A2747" w:rsidP="00423120">
      <w:pPr>
        <w:keepNext/>
        <w:ind w:firstLine="720"/>
        <w:jc w:val="both"/>
        <w:rPr>
          <w:rFonts w:cs="Tahoma"/>
          <w:bCs/>
          <w:sz w:val="24"/>
          <w:szCs w:val="24"/>
        </w:rPr>
      </w:pPr>
      <w:r w:rsidRPr="00093336">
        <w:rPr>
          <w:rFonts w:cs="Tahoma"/>
          <w:bCs/>
          <w:sz w:val="24"/>
          <w:szCs w:val="24"/>
        </w:rPr>
        <w:t xml:space="preserve">Těžiště socioekonomických dopadů projektu leží v obtížně odhadnutelných výsledcích základního výzkumu a jejich aplikaci. S ohledem na tuto skutečnost připravilo </w:t>
      </w:r>
      <w:r w:rsidRPr="00A90769">
        <w:rPr>
          <w:rFonts w:cs="Tahoma"/>
          <w:bCs/>
          <w:sz w:val="24"/>
          <w:szCs w:val="24"/>
        </w:rPr>
        <w:t>Ministerstvo školství ve spolupráci s </w:t>
      </w:r>
      <w:proofErr w:type="gramStart"/>
      <w:r w:rsidRPr="00A90769">
        <w:rPr>
          <w:rFonts w:cs="Tahoma"/>
          <w:bCs/>
          <w:sz w:val="24"/>
          <w:szCs w:val="24"/>
        </w:rPr>
        <w:t>JASPERS</w:t>
      </w:r>
      <w:proofErr w:type="gramEnd"/>
      <w:r w:rsidRPr="00A90769">
        <w:rPr>
          <w:rFonts w:cs="Tahoma"/>
          <w:bCs/>
          <w:sz w:val="24"/>
          <w:szCs w:val="24"/>
        </w:rPr>
        <w:t xml:space="preserve"> (specializované oddělen</w:t>
      </w:r>
      <w:r w:rsidR="008C6D7E">
        <w:rPr>
          <w:rFonts w:cs="Tahoma"/>
          <w:bCs/>
          <w:sz w:val="24"/>
          <w:szCs w:val="24"/>
        </w:rPr>
        <w:t>í Evropské investiční banky pro </w:t>
      </w:r>
      <w:r w:rsidRPr="00A90769">
        <w:rPr>
          <w:rFonts w:cs="Tahoma"/>
          <w:bCs/>
          <w:sz w:val="24"/>
          <w:szCs w:val="24"/>
        </w:rPr>
        <w:t xml:space="preserve">přípravu velkých projektů) originální metodiku hodnocení dopadů projektů výstavby vědeckých center. </w:t>
      </w:r>
      <w:r w:rsidR="003D4491" w:rsidRPr="00A90769">
        <w:rPr>
          <w:rFonts w:cs="Tahoma"/>
          <w:bCs/>
          <w:sz w:val="24"/>
          <w:szCs w:val="24"/>
        </w:rPr>
        <w:t>Ocenění jednotlivých dopadů je provedeno s ohledem na zavedenou praxi hodnocení vědeckovýzkumných institucí v</w:t>
      </w:r>
      <w:r w:rsidR="003D4491">
        <w:rPr>
          <w:rFonts w:cs="Tahoma"/>
          <w:bCs/>
          <w:sz w:val="24"/>
          <w:szCs w:val="24"/>
        </w:rPr>
        <w:t> </w:t>
      </w:r>
      <w:r w:rsidR="003D4491" w:rsidRPr="00A90769">
        <w:rPr>
          <w:rFonts w:cs="Tahoma"/>
          <w:bCs/>
          <w:sz w:val="24"/>
          <w:szCs w:val="24"/>
        </w:rPr>
        <w:t>Č</w:t>
      </w:r>
      <w:r w:rsidR="003D4491">
        <w:rPr>
          <w:rFonts w:cs="Tahoma"/>
          <w:bCs/>
          <w:sz w:val="24"/>
          <w:szCs w:val="24"/>
        </w:rPr>
        <w:t>eské republice</w:t>
      </w:r>
      <w:r w:rsidR="003D4491" w:rsidRPr="00A90769">
        <w:rPr>
          <w:rFonts w:cs="Tahoma"/>
          <w:bCs/>
          <w:sz w:val="24"/>
          <w:szCs w:val="24"/>
        </w:rPr>
        <w:t xml:space="preserve"> (využití bodového systému RIV), statistická data (průměrná mzda, závislost mzdy na dosaženém vzdělání, normativy na studenta</w:t>
      </w:r>
      <w:r w:rsidR="003D4491">
        <w:rPr>
          <w:rFonts w:cs="Tahoma"/>
          <w:bCs/>
          <w:sz w:val="24"/>
          <w:szCs w:val="24"/>
        </w:rPr>
        <w:t xml:space="preserve"> atd.</w:t>
      </w:r>
      <w:r w:rsidR="003D4491" w:rsidRPr="00A90769">
        <w:rPr>
          <w:rFonts w:cs="Tahoma"/>
          <w:bCs/>
          <w:sz w:val="24"/>
          <w:szCs w:val="24"/>
        </w:rPr>
        <w:t xml:space="preserve">) a odhady multiplikačních koeficientů </w:t>
      </w:r>
      <w:r w:rsidR="003D4491">
        <w:rPr>
          <w:rFonts w:cs="Tahoma"/>
          <w:bCs/>
          <w:sz w:val="24"/>
          <w:szCs w:val="24"/>
        </w:rPr>
        <w:t xml:space="preserve">dle </w:t>
      </w:r>
      <w:r w:rsidR="003D4491" w:rsidRPr="00A90769">
        <w:rPr>
          <w:rFonts w:cs="Tahoma"/>
          <w:bCs/>
          <w:sz w:val="24"/>
          <w:szCs w:val="24"/>
        </w:rPr>
        <w:t xml:space="preserve">MŠMT. </w:t>
      </w:r>
      <w:r w:rsidR="00FE68A6">
        <w:rPr>
          <w:rFonts w:cs="Tahoma"/>
          <w:bCs/>
          <w:sz w:val="24"/>
          <w:szCs w:val="24"/>
        </w:rPr>
        <w:t>M</w:t>
      </w:r>
      <w:r w:rsidR="003D4491" w:rsidRPr="00A90769">
        <w:rPr>
          <w:rFonts w:cs="Tahoma"/>
          <w:bCs/>
          <w:sz w:val="24"/>
          <w:szCs w:val="24"/>
        </w:rPr>
        <w:t xml:space="preserve">etodika umožňuje poměrně efektivní srovnání obdobných projektů </w:t>
      </w:r>
      <w:r w:rsidR="003D4491">
        <w:rPr>
          <w:rFonts w:cs="Tahoma"/>
          <w:bCs/>
          <w:sz w:val="24"/>
          <w:szCs w:val="24"/>
        </w:rPr>
        <w:t xml:space="preserve">(tj. vědecko-výzkumné záměry) </w:t>
      </w:r>
      <w:r w:rsidR="003D4491" w:rsidRPr="00A90769">
        <w:rPr>
          <w:rFonts w:cs="Tahoma"/>
          <w:bCs/>
          <w:sz w:val="24"/>
          <w:szCs w:val="24"/>
        </w:rPr>
        <w:t xml:space="preserve">mezi sebou, otázkou ale zůstává její vypovídací schopnost v oblasti obecně platného hodnocení s využitím teorie přebytku spotřebitele (socioekonomická hodnota projektu). V definovaných parametrech </w:t>
      </w:r>
      <w:r w:rsidR="003D4491">
        <w:rPr>
          <w:rFonts w:cs="Tahoma"/>
          <w:bCs/>
          <w:sz w:val="24"/>
          <w:szCs w:val="24"/>
        </w:rPr>
        <w:t xml:space="preserve">pak </w:t>
      </w:r>
      <w:r w:rsidR="003D4491" w:rsidRPr="00A90769">
        <w:rPr>
          <w:rFonts w:cs="Tahoma"/>
          <w:bCs/>
          <w:sz w:val="24"/>
          <w:szCs w:val="24"/>
        </w:rPr>
        <w:t>hodnocený projekt vykazuje následující hodnoty (vše p. a., náběh od roku 2015):</w:t>
      </w:r>
    </w:p>
    <w:p w:rsidR="003D4491" w:rsidRPr="00A90769" w:rsidRDefault="003D4491" w:rsidP="00504C06">
      <w:pPr>
        <w:keepNext/>
        <w:spacing w:after="0"/>
        <w:jc w:val="both"/>
        <w:rPr>
          <w:rFonts w:cs="Tahoma"/>
          <w:bCs/>
          <w:sz w:val="24"/>
          <w:szCs w:val="24"/>
        </w:rPr>
      </w:pPr>
      <w:r w:rsidRPr="00A90769">
        <w:rPr>
          <w:rFonts w:cs="Tahoma"/>
          <w:bCs/>
          <w:sz w:val="24"/>
          <w:szCs w:val="24"/>
        </w:rPr>
        <w:t xml:space="preserve">počet absolventů, doktorské studium </w:t>
      </w:r>
      <w:r w:rsidRPr="00A90769">
        <w:rPr>
          <w:rFonts w:cs="Tahoma"/>
          <w:bCs/>
          <w:sz w:val="24"/>
          <w:szCs w:val="24"/>
        </w:rPr>
        <w:tab/>
      </w:r>
      <w:r w:rsidRPr="00A90769">
        <w:rPr>
          <w:rFonts w:cs="Tahoma"/>
          <w:bCs/>
          <w:sz w:val="24"/>
          <w:szCs w:val="24"/>
        </w:rPr>
        <w:tab/>
      </w:r>
      <w:r>
        <w:rPr>
          <w:rFonts w:cs="Tahoma"/>
          <w:bCs/>
          <w:sz w:val="24"/>
          <w:szCs w:val="24"/>
        </w:rPr>
        <w:t xml:space="preserve">                                                                           </w:t>
      </w:r>
      <w:r w:rsidRPr="00A90769">
        <w:rPr>
          <w:rFonts w:cs="Tahoma"/>
          <w:bCs/>
          <w:sz w:val="24"/>
          <w:szCs w:val="24"/>
        </w:rPr>
        <w:t xml:space="preserve">86  </w:t>
      </w:r>
    </w:p>
    <w:p w:rsidR="003D4491" w:rsidRPr="00A90769" w:rsidRDefault="003D4491" w:rsidP="00504C06">
      <w:pPr>
        <w:keepNext/>
        <w:spacing w:after="0"/>
        <w:jc w:val="both"/>
        <w:rPr>
          <w:rFonts w:cs="Tahoma"/>
          <w:bCs/>
          <w:sz w:val="24"/>
          <w:szCs w:val="24"/>
        </w:rPr>
      </w:pPr>
      <w:r w:rsidRPr="00A90769">
        <w:rPr>
          <w:rFonts w:cs="Tahoma"/>
          <w:bCs/>
          <w:sz w:val="24"/>
          <w:szCs w:val="24"/>
        </w:rPr>
        <w:t xml:space="preserve">objem smluvního výzkumu </w:t>
      </w:r>
      <w:r w:rsidRPr="00A90769">
        <w:rPr>
          <w:rFonts w:cs="Tahoma"/>
          <w:bCs/>
          <w:sz w:val="24"/>
          <w:szCs w:val="24"/>
        </w:rPr>
        <w:tab/>
      </w:r>
      <w:r w:rsidRPr="00A90769">
        <w:rPr>
          <w:rFonts w:cs="Tahoma"/>
          <w:bCs/>
          <w:sz w:val="24"/>
          <w:szCs w:val="24"/>
        </w:rPr>
        <w:tab/>
      </w:r>
      <w:r w:rsidRPr="00A90769">
        <w:rPr>
          <w:rFonts w:cs="Tahoma"/>
          <w:bCs/>
          <w:sz w:val="24"/>
          <w:szCs w:val="24"/>
        </w:rPr>
        <w:tab/>
      </w:r>
      <w:r w:rsidRPr="00A90769">
        <w:rPr>
          <w:rFonts w:cs="Tahoma"/>
          <w:bCs/>
          <w:sz w:val="24"/>
          <w:szCs w:val="24"/>
        </w:rPr>
        <w:tab/>
      </w:r>
      <w:r>
        <w:rPr>
          <w:rFonts w:cs="Tahoma"/>
          <w:bCs/>
          <w:sz w:val="24"/>
          <w:szCs w:val="24"/>
        </w:rPr>
        <w:t xml:space="preserve">                               </w:t>
      </w:r>
      <w:r w:rsidR="006F59A1">
        <w:rPr>
          <w:rFonts w:cs="Tahoma"/>
          <w:bCs/>
          <w:sz w:val="24"/>
          <w:szCs w:val="24"/>
        </w:rPr>
        <w:t xml:space="preserve">                   </w:t>
      </w:r>
      <w:r w:rsidRPr="006F59A1">
        <w:rPr>
          <w:rFonts w:cs="Tahoma"/>
          <w:bCs/>
          <w:sz w:val="24"/>
          <w:szCs w:val="24"/>
        </w:rPr>
        <w:t>30</w:t>
      </w:r>
      <w:r w:rsidR="006F59A1" w:rsidRPr="006F59A1">
        <w:rPr>
          <w:rFonts w:cs="Tahoma"/>
          <w:bCs/>
          <w:sz w:val="24"/>
          <w:szCs w:val="24"/>
        </w:rPr>
        <w:t xml:space="preserve"> </w:t>
      </w:r>
      <w:r w:rsidR="00F775A7" w:rsidRPr="006F59A1">
        <w:rPr>
          <w:rFonts w:cs="Tahoma"/>
          <w:bCs/>
          <w:sz w:val="24"/>
          <w:szCs w:val="24"/>
        </w:rPr>
        <w:t>mil. Kč</w:t>
      </w:r>
    </w:p>
    <w:p w:rsidR="003D4491" w:rsidRPr="00A90769" w:rsidRDefault="003D4491" w:rsidP="00504C06">
      <w:pPr>
        <w:keepNext/>
        <w:spacing w:after="0"/>
        <w:jc w:val="both"/>
        <w:rPr>
          <w:rFonts w:cs="Tahoma"/>
          <w:bCs/>
          <w:sz w:val="24"/>
          <w:szCs w:val="24"/>
        </w:rPr>
      </w:pPr>
      <w:r w:rsidRPr="00A90769">
        <w:rPr>
          <w:rFonts w:cs="Tahoma"/>
          <w:bCs/>
          <w:sz w:val="24"/>
          <w:szCs w:val="24"/>
        </w:rPr>
        <w:t xml:space="preserve">národní výzkumné granty </w:t>
      </w:r>
      <w:r w:rsidRPr="00A90769">
        <w:rPr>
          <w:rFonts w:cs="Tahoma"/>
          <w:bCs/>
          <w:sz w:val="24"/>
          <w:szCs w:val="24"/>
        </w:rPr>
        <w:tab/>
      </w:r>
      <w:r w:rsidRPr="00A90769">
        <w:rPr>
          <w:rFonts w:cs="Tahoma"/>
          <w:bCs/>
          <w:sz w:val="24"/>
          <w:szCs w:val="24"/>
        </w:rPr>
        <w:tab/>
      </w:r>
      <w:r w:rsidRPr="00A90769">
        <w:rPr>
          <w:rFonts w:cs="Tahoma"/>
          <w:bCs/>
          <w:sz w:val="24"/>
          <w:szCs w:val="24"/>
        </w:rPr>
        <w:tab/>
      </w:r>
      <w:r w:rsidRPr="00A90769">
        <w:rPr>
          <w:rFonts w:cs="Tahoma"/>
          <w:bCs/>
          <w:sz w:val="24"/>
          <w:szCs w:val="24"/>
        </w:rPr>
        <w:tab/>
      </w:r>
      <w:r>
        <w:rPr>
          <w:rFonts w:cs="Tahoma"/>
          <w:bCs/>
          <w:sz w:val="24"/>
          <w:szCs w:val="24"/>
        </w:rPr>
        <w:t xml:space="preserve">                                                </w:t>
      </w:r>
      <w:r w:rsidRPr="00A90769">
        <w:rPr>
          <w:rFonts w:cs="Tahoma"/>
          <w:bCs/>
          <w:sz w:val="24"/>
          <w:szCs w:val="24"/>
        </w:rPr>
        <w:t>150 mil. Kč</w:t>
      </w:r>
    </w:p>
    <w:p w:rsidR="003D4491" w:rsidRPr="00A90769" w:rsidRDefault="003D4491" w:rsidP="00504C06">
      <w:pPr>
        <w:keepNext/>
        <w:spacing w:after="0"/>
        <w:jc w:val="both"/>
        <w:rPr>
          <w:rFonts w:cs="Tahoma"/>
          <w:bCs/>
          <w:sz w:val="24"/>
          <w:szCs w:val="24"/>
        </w:rPr>
      </w:pPr>
      <w:r w:rsidRPr="00A90769">
        <w:rPr>
          <w:rFonts w:cs="Tahoma"/>
          <w:bCs/>
          <w:sz w:val="24"/>
          <w:szCs w:val="24"/>
        </w:rPr>
        <w:t xml:space="preserve">mezinárodní výzkumné granty </w:t>
      </w:r>
      <w:r w:rsidRPr="00A90769">
        <w:rPr>
          <w:rFonts w:cs="Tahoma"/>
          <w:bCs/>
          <w:sz w:val="24"/>
          <w:szCs w:val="24"/>
        </w:rPr>
        <w:tab/>
      </w:r>
      <w:r w:rsidRPr="00A90769">
        <w:rPr>
          <w:rFonts w:cs="Tahoma"/>
          <w:bCs/>
          <w:sz w:val="24"/>
          <w:szCs w:val="24"/>
        </w:rPr>
        <w:tab/>
      </w:r>
      <w:r w:rsidRPr="00A90769">
        <w:rPr>
          <w:rFonts w:cs="Tahoma"/>
          <w:bCs/>
          <w:sz w:val="24"/>
          <w:szCs w:val="24"/>
        </w:rPr>
        <w:tab/>
      </w:r>
      <w:r>
        <w:rPr>
          <w:rFonts w:cs="Tahoma"/>
          <w:bCs/>
          <w:sz w:val="24"/>
          <w:szCs w:val="24"/>
        </w:rPr>
        <w:t xml:space="preserve">                                                </w:t>
      </w:r>
      <w:r w:rsidRPr="00A90769">
        <w:rPr>
          <w:rFonts w:cs="Tahoma"/>
          <w:bCs/>
          <w:sz w:val="24"/>
          <w:szCs w:val="24"/>
        </w:rPr>
        <w:t>100 mil. Kč</w:t>
      </w:r>
    </w:p>
    <w:p w:rsidR="003D4491" w:rsidRPr="00A90769" w:rsidRDefault="003D4491" w:rsidP="00504C06">
      <w:pPr>
        <w:keepNext/>
        <w:spacing w:after="0"/>
        <w:jc w:val="both"/>
        <w:rPr>
          <w:rFonts w:cs="Tahoma"/>
          <w:bCs/>
          <w:sz w:val="24"/>
          <w:szCs w:val="24"/>
        </w:rPr>
      </w:pPr>
      <w:r w:rsidRPr="00A90769">
        <w:rPr>
          <w:rFonts w:cs="Tahoma"/>
          <w:bCs/>
          <w:sz w:val="24"/>
          <w:szCs w:val="24"/>
        </w:rPr>
        <w:t xml:space="preserve">publikace v impaktovaných časopisech (Jimp) </w:t>
      </w:r>
      <w:r w:rsidRPr="00A90769">
        <w:rPr>
          <w:rFonts w:cs="Tahoma"/>
          <w:bCs/>
          <w:sz w:val="24"/>
          <w:szCs w:val="24"/>
        </w:rPr>
        <w:tab/>
      </w:r>
      <w:r>
        <w:rPr>
          <w:rFonts w:cs="Tahoma"/>
          <w:bCs/>
          <w:sz w:val="24"/>
          <w:szCs w:val="24"/>
        </w:rPr>
        <w:t xml:space="preserve">                                                             </w:t>
      </w:r>
      <w:r w:rsidRPr="00A90769">
        <w:rPr>
          <w:rFonts w:cs="Tahoma"/>
          <w:bCs/>
          <w:sz w:val="24"/>
          <w:szCs w:val="24"/>
        </w:rPr>
        <w:t>240</w:t>
      </w:r>
    </w:p>
    <w:p w:rsidR="003D4491" w:rsidRPr="00A90769" w:rsidRDefault="003D4491" w:rsidP="00504C06">
      <w:pPr>
        <w:keepNext/>
        <w:spacing w:after="0"/>
        <w:jc w:val="both"/>
        <w:rPr>
          <w:rFonts w:cs="Tahoma"/>
          <w:bCs/>
          <w:sz w:val="24"/>
          <w:szCs w:val="24"/>
        </w:rPr>
      </w:pPr>
      <w:r w:rsidRPr="00A90769">
        <w:rPr>
          <w:rFonts w:cs="Tahoma"/>
          <w:bCs/>
          <w:sz w:val="24"/>
          <w:szCs w:val="24"/>
        </w:rPr>
        <w:t xml:space="preserve">přidělený patent (Česká republika)  </w:t>
      </w:r>
      <w:r w:rsidRPr="00A90769">
        <w:rPr>
          <w:rFonts w:cs="Tahoma"/>
          <w:bCs/>
          <w:sz w:val="24"/>
          <w:szCs w:val="24"/>
        </w:rPr>
        <w:tab/>
      </w:r>
      <w:r w:rsidRPr="00A90769">
        <w:rPr>
          <w:rFonts w:cs="Tahoma"/>
          <w:bCs/>
          <w:sz w:val="24"/>
          <w:szCs w:val="24"/>
        </w:rPr>
        <w:tab/>
      </w:r>
      <w:r w:rsidRPr="00A90769">
        <w:rPr>
          <w:rFonts w:cs="Tahoma"/>
          <w:bCs/>
          <w:sz w:val="24"/>
          <w:szCs w:val="24"/>
        </w:rPr>
        <w:tab/>
      </w:r>
      <w:r>
        <w:rPr>
          <w:rFonts w:cs="Tahoma"/>
          <w:bCs/>
          <w:sz w:val="24"/>
          <w:szCs w:val="24"/>
        </w:rPr>
        <w:t xml:space="preserve">                                                               </w:t>
      </w:r>
      <w:r w:rsidRPr="00A90769">
        <w:rPr>
          <w:rFonts w:cs="Tahoma"/>
          <w:bCs/>
          <w:sz w:val="24"/>
          <w:szCs w:val="24"/>
        </w:rPr>
        <w:t>20</w:t>
      </w:r>
    </w:p>
    <w:p w:rsidR="003D4491" w:rsidRPr="00A90769" w:rsidRDefault="003D4491" w:rsidP="00504C06">
      <w:pPr>
        <w:keepNext/>
        <w:spacing w:after="0"/>
        <w:jc w:val="both"/>
        <w:rPr>
          <w:rFonts w:cs="Tahoma"/>
          <w:bCs/>
          <w:sz w:val="24"/>
          <w:szCs w:val="24"/>
        </w:rPr>
      </w:pPr>
      <w:r w:rsidRPr="00A90769">
        <w:rPr>
          <w:rFonts w:cs="Tahoma"/>
          <w:bCs/>
          <w:sz w:val="24"/>
          <w:szCs w:val="24"/>
        </w:rPr>
        <w:t>mezinárodní patent (evropský, USA, Japonsko)</w:t>
      </w:r>
      <w:r w:rsidRPr="00A90769">
        <w:rPr>
          <w:rFonts w:cs="Tahoma"/>
          <w:bCs/>
          <w:sz w:val="24"/>
          <w:szCs w:val="24"/>
        </w:rPr>
        <w:tab/>
      </w:r>
      <w:r>
        <w:rPr>
          <w:rFonts w:cs="Tahoma"/>
          <w:bCs/>
          <w:sz w:val="24"/>
          <w:szCs w:val="24"/>
        </w:rPr>
        <w:t xml:space="preserve">                                                               </w:t>
      </w:r>
      <w:r w:rsidRPr="00A90769">
        <w:rPr>
          <w:rFonts w:cs="Tahoma"/>
          <w:bCs/>
          <w:sz w:val="24"/>
          <w:szCs w:val="24"/>
        </w:rPr>
        <w:t xml:space="preserve">10 </w:t>
      </w:r>
    </w:p>
    <w:p w:rsidR="003D4491" w:rsidRPr="00A90769" w:rsidRDefault="003D4491" w:rsidP="00504C06">
      <w:pPr>
        <w:keepNext/>
        <w:spacing w:after="0"/>
        <w:jc w:val="both"/>
        <w:rPr>
          <w:rFonts w:cs="Tahoma"/>
          <w:bCs/>
          <w:sz w:val="24"/>
          <w:szCs w:val="24"/>
        </w:rPr>
      </w:pPr>
      <w:r w:rsidRPr="00A90769">
        <w:rPr>
          <w:rFonts w:cs="Tahoma"/>
          <w:bCs/>
          <w:sz w:val="24"/>
          <w:szCs w:val="24"/>
        </w:rPr>
        <w:t xml:space="preserve">pilotní provoz, ověřená technologie, odrůda (Z) </w:t>
      </w:r>
      <w:r w:rsidRPr="00A90769">
        <w:rPr>
          <w:rFonts w:cs="Tahoma"/>
          <w:bCs/>
          <w:sz w:val="24"/>
          <w:szCs w:val="24"/>
        </w:rPr>
        <w:tab/>
      </w:r>
      <w:r>
        <w:rPr>
          <w:rFonts w:cs="Tahoma"/>
          <w:bCs/>
          <w:sz w:val="24"/>
          <w:szCs w:val="24"/>
        </w:rPr>
        <w:t xml:space="preserve">                                                                 </w:t>
      </w:r>
      <w:r w:rsidRPr="00A90769">
        <w:rPr>
          <w:rFonts w:cs="Tahoma"/>
          <w:bCs/>
          <w:sz w:val="24"/>
          <w:szCs w:val="24"/>
        </w:rPr>
        <w:t>5</w:t>
      </w:r>
    </w:p>
    <w:p w:rsidR="003D4491" w:rsidRPr="00A90769" w:rsidRDefault="003D4491" w:rsidP="00504C06">
      <w:pPr>
        <w:keepNext/>
        <w:spacing w:after="0"/>
        <w:jc w:val="both"/>
        <w:rPr>
          <w:rFonts w:cs="Tahoma"/>
          <w:bCs/>
          <w:sz w:val="24"/>
          <w:szCs w:val="24"/>
        </w:rPr>
      </w:pPr>
      <w:r w:rsidRPr="00A90769">
        <w:rPr>
          <w:rFonts w:cs="Tahoma"/>
          <w:bCs/>
          <w:sz w:val="24"/>
          <w:szCs w:val="24"/>
        </w:rPr>
        <w:t xml:space="preserve">prototyp, užitný nebo průmyslový vzor (S) </w:t>
      </w:r>
      <w:r w:rsidRPr="00A90769">
        <w:rPr>
          <w:rFonts w:cs="Tahoma"/>
          <w:bCs/>
          <w:sz w:val="24"/>
          <w:szCs w:val="24"/>
        </w:rPr>
        <w:tab/>
      </w:r>
      <w:r w:rsidRPr="00A90769">
        <w:rPr>
          <w:rFonts w:cs="Tahoma"/>
          <w:bCs/>
          <w:sz w:val="24"/>
          <w:szCs w:val="24"/>
        </w:rPr>
        <w:tab/>
      </w:r>
      <w:r>
        <w:rPr>
          <w:rFonts w:cs="Tahoma"/>
          <w:bCs/>
          <w:sz w:val="24"/>
          <w:szCs w:val="24"/>
        </w:rPr>
        <w:t xml:space="preserve">                                                               </w:t>
      </w:r>
      <w:r w:rsidRPr="00A90769">
        <w:rPr>
          <w:rFonts w:cs="Tahoma"/>
          <w:bCs/>
          <w:sz w:val="24"/>
          <w:szCs w:val="24"/>
        </w:rPr>
        <w:t>70</w:t>
      </w:r>
    </w:p>
    <w:p w:rsidR="003D4491" w:rsidRPr="00A90769" w:rsidRDefault="003D4491" w:rsidP="00504C06">
      <w:pPr>
        <w:keepNext/>
        <w:spacing w:after="0"/>
        <w:jc w:val="both"/>
        <w:rPr>
          <w:rFonts w:cs="Tahoma"/>
          <w:bCs/>
          <w:sz w:val="24"/>
          <w:szCs w:val="24"/>
        </w:rPr>
      </w:pPr>
      <w:r w:rsidRPr="00A90769">
        <w:rPr>
          <w:rFonts w:cs="Tahoma"/>
          <w:bCs/>
          <w:sz w:val="24"/>
          <w:szCs w:val="24"/>
        </w:rPr>
        <w:t>projekty realizované s aplikační sférou</w:t>
      </w:r>
      <w:r w:rsidRPr="00A90769">
        <w:rPr>
          <w:rFonts w:cs="Tahoma"/>
          <w:bCs/>
          <w:sz w:val="24"/>
          <w:szCs w:val="24"/>
        </w:rPr>
        <w:tab/>
      </w:r>
      <w:r w:rsidRPr="00A90769">
        <w:rPr>
          <w:rFonts w:cs="Tahoma"/>
          <w:bCs/>
          <w:sz w:val="24"/>
          <w:szCs w:val="24"/>
        </w:rPr>
        <w:tab/>
      </w:r>
      <w:r>
        <w:rPr>
          <w:rFonts w:cs="Tahoma"/>
          <w:bCs/>
          <w:sz w:val="24"/>
          <w:szCs w:val="24"/>
        </w:rPr>
        <w:t xml:space="preserve">                                                               </w:t>
      </w:r>
      <w:r w:rsidRPr="00A90769">
        <w:rPr>
          <w:rFonts w:cs="Tahoma"/>
          <w:bCs/>
          <w:sz w:val="24"/>
          <w:szCs w:val="24"/>
        </w:rPr>
        <w:t>25</w:t>
      </w:r>
    </w:p>
    <w:p w:rsidR="003D4491" w:rsidRPr="00A90769" w:rsidRDefault="003D4491" w:rsidP="00504C06">
      <w:pPr>
        <w:keepNext/>
        <w:spacing w:after="0"/>
        <w:jc w:val="both"/>
        <w:rPr>
          <w:rFonts w:cs="Tahoma"/>
          <w:bCs/>
          <w:sz w:val="24"/>
          <w:szCs w:val="24"/>
        </w:rPr>
      </w:pPr>
      <w:r w:rsidRPr="00A90769">
        <w:rPr>
          <w:rFonts w:cs="Tahoma"/>
          <w:bCs/>
          <w:sz w:val="24"/>
          <w:szCs w:val="24"/>
        </w:rPr>
        <w:t xml:space="preserve">počet studentů (magisterští/Ph.D.) využívající infrastrukturu </w:t>
      </w:r>
      <w:r w:rsidRPr="00A90769">
        <w:rPr>
          <w:rFonts w:cs="Tahoma"/>
          <w:bCs/>
          <w:sz w:val="24"/>
          <w:szCs w:val="24"/>
        </w:rPr>
        <w:tab/>
      </w:r>
      <w:r w:rsidRPr="00A90769">
        <w:rPr>
          <w:rFonts w:cs="Tahoma"/>
          <w:bCs/>
          <w:sz w:val="24"/>
          <w:szCs w:val="24"/>
        </w:rPr>
        <w:tab/>
      </w:r>
      <w:r>
        <w:rPr>
          <w:rFonts w:cs="Tahoma"/>
          <w:bCs/>
          <w:sz w:val="24"/>
          <w:szCs w:val="24"/>
        </w:rPr>
        <w:t xml:space="preserve">                       </w:t>
      </w:r>
      <w:r w:rsidRPr="00A90769">
        <w:rPr>
          <w:rFonts w:cs="Tahoma"/>
          <w:bCs/>
          <w:sz w:val="24"/>
          <w:szCs w:val="24"/>
        </w:rPr>
        <w:t>1300</w:t>
      </w:r>
    </w:p>
    <w:p w:rsidR="003D4491" w:rsidRPr="00A90769" w:rsidRDefault="003D4491" w:rsidP="00504C06">
      <w:pPr>
        <w:keepNext/>
        <w:spacing w:after="0"/>
        <w:jc w:val="both"/>
        <w:rPr>
          <w:rFonts w:cs="Tahoma"/>
          <w:bCs/>
          <w:sz w:val="24"/>
          <w:szCs w:val="24"/>
        </w:rPr>
      </w:pPr>
      <w:r w:rsidRPr="00A90769">
        <w:rPr>
          <w:rFonts w:cs="Tahoma"/>
          <w:bCs/>
          <w:sz w:val="24"/>
          <w:szCs w:val="24"/>
        </w:rPr>
        <w:t xml:space="preserve">počet (hrubý) nových pracovních míst, mimo vědeckých pracovníků </w:t>
      </w:r>
      <w:r w:rsidRPr="00A90769">
        <w:rPr>
          <w:rFonts w:cs="Tahoma"/>
          <w:bCs/>
          <w:sz w:val="24"/>
          <w:szCs w:val="24"/>
        </w:rPr>
        <w:tab/>
      </w:r>
      <w:r>
        <w:rPr>
          <w:rFonts w:cs="Tahoma"/>
          <w:bCs/>
          <w:sz w:val="24"/>
          <w:szCs w:val="24"/>
        </w:rPr>
        <w:t xml:space="preserve">                         </w:t>
      </w:r>
      <w:r w:rsidRPr="00A90769">
        <w:rPr>
          <w:rFonts w:cs="Tahoma"/>
          <w:bCs/>
          <w:sz w:val="24"/>
          <w:szCs w:val="24"/>
        </w:rPr>
        <w:t>200</w:t>
      </w:r>
    </w:p>
    <w:p w:rsidR="003D4491" w:rsidRPr="00A90769" w:rsidRDefault="003D4491" w:rsidP="00504C06">
      <w:pPr>
        <w:keepNext/>
        <w:spacing w:after="0"/>
        <w:jc w:val="both"/>
        <w:rPr>
          <w:rFonts w:cs="Tahoma"/>
          <w:bCs/>
          <w:sz w:val="24"/>
          <w:szCs w:val="24"/>
        </w:rPr>
      </w:pPr>
      <w:r w:rsidRPr="00A90769">
        <w:rPr>
          <w:rFonts w:cs="Tahoma"/>
          <w:bCs/>
          <w:sz w:val="24"/>
          <w:szCs w:val="24"/>
        </w:rPr>
        <w:lastRenderedPageBreak/>
        <w:t>počet (hrubý) nových pracovních míst, vědečtí pracovníci</w:t>
      </w:r>
      <w:r w:rsidRPr="00A90769">
        <w:rPr>
          <w:rFonts w:cs="Tahoma"/>
          <w:bCs/>
          <w:sz w:val="24"/>
          <w:szCs w:val="24"/>
        </w:rPr>
        <w:tab/>
      </w:r>
      <w:r w:rsidRPr="00A90769">
        <w:rPr>
          <w:rFonts w:cs="Tahoma"/>
          <w:bCs/>
          <w:sz w:val="24"/>
          <w:szCs w:val="24"/>
        </w:rPr>
        <w:tab/>
      </w:r>
      <w:r w:rsidRPr="00A90769">
        <w:rPr>
          <w:rFonts w:cs="Tahoma"/>
          <w:bCs/>
          <w:sz w:val="24"/>
          <w:szCs w:val="24"/>
        </w:rPr>
        <w:tab/>
      </w:r>
      <w:r>
        <w:rPr>
          <w:rFonts w:cs="Tahoma"/>
          <w:bCs/>
          <w:sz w:val="24"/>
          <w:szCs w:val="24"/>
        </w:rPr>
        <w:t xml:space="preserve">                         </w:t>
      </w:r>
      <w:r w:rsidRPr="00A90769">
        <w:rPr>
          <w:rFonts w:cs="Tahoma"/>
          <w:bCs/>
          <w:sz w:val="24"/>
          <w:szCs w:val="24"/>
        </w:rPr>
        <w:t>360</w:t>
      </w:r>
    </w:p>
    <w:p w:rsidR="003D4491" w:rsidRDefault="003D4491" w:rsidP="00504C06">
      <w:pPr>
        <w:keepNext/>
        <w:jc w:val="both"/>
        <w:rPr>
          <w:rFonts w:cs="Tahoma"/>
          <w:bCs/>
          <w:sz w:val="24"/>
          <w:szCs w:val="24"/>
        </w:rPr>
      </w:pPr>
      <w:r w:rsidRPr="00A90769">
        <w:rPr>
          <w:rFonts w:cs="Tahoma"/>
          <w:bCs/>
          <w:sz w:val="24"/>
          <w:szCs w:val="24"/>
        </w:rPr>
        <w:t xml:space="preserve">počet (hrubý) nových pracovních míst, vědečtí pracovníci do 35 let </w:t>
      </w:r>
      <w:r w:rsidRPr="00A90769">
        <w:rPr>
          <w:rFonts w:cs="Tahoma"/>
          <w:bCs/>
          <w:sz w:val="24"/>
          <w:szCs w:val="24"/>
        </w:rPr>
        <w:tab/>
      </w:r>
      <w:r>
        <w:rPr>
          <w:rFonts w:cs="Tahoma"/>
          <w:bCs/>
          <w:sz w:val="24"/>
          <w:szCs w:val="24"/>
        </w:rPr>
        <w:t xml:space="preserve">                         </w:t>
      </w:r>
      <w:r w:rsidRPr="00A90769">
        <w:rPr>
          <w:rFonts w:cs="Tahoma"/>
          <w:bCs/>
          <w:sz w:val="24"/>
          <w:szCs w:val="24"/>
        </w:rPr>
        <w:t>110</w:t>
      </w:r>
    </w:p>
    <w:p w:rsidR="003D4491" w:rsidRPr="00A90769" w:rsidRDefault="00316330" w:rsidP="00423120">
      <w:pPr>
        <w:keepNext/>
        <w:jc w:val="both"/>
        <w:rPr>
          <w:rFonts w:cs="Tahoma"/>
          <w:bCs/>
          <w:sz w:val="24"/>
          <w:szCs w:val="24"/>
        </w:rPr>
      </w:pPr>
      <w:r>
        <w:rPr>
          <w:rFonts w:cs="Tahoma"/>
          <w:bCs/>
          <w:sz w:val="24"/>
          <w:szCs w:val="24"/>
        </w:rPr>
        <w:t xml:space="preserve">Následující tabulka </w:t>
      </w:r>
      <w:r w:rsidR="003D4491">
        <w:rPr>
          <w:rFonts w:cs="Tahoma"/>
          <w:bCs/>
          <w:sz w:val="24"/>
          <w:szCs w:val="24"/>
        </w:rPr>
        <w:t>podává přehled o hodnocení jednotlivých vybraných dopadů vědecko-výzkumných center</w:t>
      </w:r>
      <w:r w:rsidR="00FE68A6">
        <w:rPr>
          <w:rFonts w:cs="Tahoma"/>
          <w:bCs/>
          <w:sz w:val="24"/>
          <w:szCs w:val="24"/>
        </w:rPr>
        <w:t>.</w:t>
      </w:r>
    </w:p>
    <w:p w:rsidR="006A2747" w:rsidRPr="00DE18F9" w:rsidRDefault="00AC5653" w:rsidP="00504C06">
      <w:pPr>
        <w:pStyle w:val="0T-Titulek"/>
        <w:spacing w:line="240" w:lineRule="auto"/>
      </w:pPr>
      <w:bookmarkStart w:id="114" w:name="_Toc382326454"/>
      <w:r>
        <w:t>Tabulka 27</w:t>
      </w:r>
      <w:r w:rsidR="006A2747" w:rsidRPr="00A90769">
        <w:t>: Doporučené dopady projektů výstavby vědecko-výzkumných center</w:t>
      </w:r>
      <w:bookmarkEnd w:id="114"/>
      <w:r w:rsidR="006A2747" w:rsidRPr="00A90769">
        <w:t xml:space="preserve"> </w:t>
      </w:r>
    </w:p>
    <w:tbl>
      <w:tblPr>
        <w:tblStyle w:val="Mkatabulky8"/>
        <w:tblW w:w="9180" w:type="dxa"/>
        <w:tblLook w:val="04A0" w:firstRow="1" w:lastRow="0" w:firstColumn="1" w:lastColumn="0" w:noHBand="0" w:noVBand="1"/>
      </w:tblPr>
      <w:tblGrid>
        <w:gridCol w:w="568"/>
        <w:gridCol w:w="4479"/>
        <w:gridCol w:w="2007"/>
        <w:gridCol w:w="2126"/>
      </w:tblGrid>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vAlign w:val="center"/>
          </w:tcPr>
          <w:p w:rsidR="006A2747" w:rsidRPr="003C7E58" w:rsidRDefault="006A2747" w:rsidP="00504C06">
            <w:pPr>
              <w:keepNext/>
              <w:spacing w:line="240" w:lineRule="auto"/>
              <w:rPr>
                <w:rFonts w:asciiTheme="minorHAnsi" w:eastAsia="Calibri" w:hAnsiTheme="minorHAnsi" w:cstheme="minorHAnsi"/>
                <w:b/>
                <w:bCs/>
                <w:sz w:val="22"/>
                <w:szCs w:val="22"/>
              </w:rPr>
            </w:pPr>
          </w:p>
        </w:tc>
        <w:tc>
          <w:tcPr>
            <w:tcW w:w="4479" w:type="dxa"/>
            <w:tcBorders>
              <w:top w:val="single" w:sz="4" w:space="0" w:color="auto"/>
              <w:left w:val="single" w:sz="4" w:space="0" w:color="auto"/>
              <w:bottom w:val="single" w:sz="4" w:space="0" w:color="auto"/>
              <w:right w:val="single" w:sz="4" w:space="0" w:color="auto"/>
            </w:tcBorders>
            <w:vAlign w:val="center"/>
            <w:hideMark/>
          </w:tcPr>
          <w:p w:rsidR="006A2747" w:rsidRPr="003C7E58" w:rsidRDefault="006A2747" w:rsidP="00504C06">
            <w:pPr>
              <w:keepNext/>
              <w:spacing w:line="240" w:lineRule="auto"/>
              <w:rPr>
                <w:rFonts w:asciiTheme="minorHAnsi" w:eastAsia="Calibri" w:hAnsiTheme="minorHAnsi" w:cstheme="minorHAnsi"/>
                <w:b/>
                <w:bCs/>
                <w:sz w:val="22"/>
                <w:szCs w:val="22"/>
              </w:rPr>
            </w:pPr>
            <w:r w:rsidRPr="003C7E58">
              <w:rPr>
                <w:rFonts w:asciiTheme="minorHAnsi" w:eastAsia="Calibri" w:hAnsiTheme="minorHAnsi" w:cstheme="minorHAnsi"/>
                <w:b/>
                <w:bCs/>
                <w:sz w:val="22"/>
                <w:szCs w:val="22"/>
              </w:rPr>
              <w:t>náklad / výnos</w:t>
            </w:r>
          </w:p>
        </w:tc>
        <w:tc>
          <w:tcPr>
            <w:tcW w:w="2007" w:type="dxa"/>
            <w:tcBorders>
              <w:top w:val="single" w:sz="4" w:space="0" w:color="auto"/>
              <w:left w:val="single" w:sz="4" w:space="0" w:color="auto"/>
              <w:bottom w:val="single" w:sz="4" w:space="0" w:color="auto"/>
              <w:right w:val="single" w:sz="4" w:space="0" w:color="auto"/>
            </w:tcBorders>
            <w:vAlign w:val="center"/>
            <w:hideMark/>
          </w:tcPr>
          <w:p w:rsidR="006A2747" w:rsidRPr="003C7E58" w:rsidRDefault="006A2747" w:rsidP="00504C06">
            <w:pPr>
              <w:keepNext/>
              <w:spacing w:line="240" w:lineRule="auto"/>
              <w:rPr>
                <w:rFonts w:asciiTheme="minorHAnsi" w:eastAsia="Calibri" w:hAnsiTheme="minorHAnsi" w:cstheme="minorHAnsi"/>
                <w:b/>
                <w:bCs/>
                <w:sz w:val="22"/>
                <w:szCs w:val="22"/>
              </w:rPr>
            </w:pPr>
            <w:r w:rsidRPr="003C7E58">
              <w:rPr>
                <w:rFonts w:asciiTheme="minorHAnsi" w:eastAsia="Calibri" w:hAnsiTheme="minorHAnsi" w:cstheme="minorHAnsi"/>
                <w:b/>
                <w:bCs/>
                <w:sz w:val="22"/>
                <w:szCs w:val="22"/>
              </w:rPr>
              <w:t>jednotka</w:t>
            </w:r>
          </w:p>
        </w:tc>
        <w:tc>
          <w:tcPr>
            <w:tcW w:w="2126" w:type="dxa"/>
            <w:tcBorders>
              <w:top w:val="single" w:sz="4" w:space="0" w:color="auto"/>
              <w:left w:val="single" w:sz="4" w:space="0" w:color="auto"/>
              <w:bottom w:val="single" w:sz="4" w:space="0" w:color="auto"/>
              <w:right w:val="single" w:sz="4" w:space="0" w:color="auto"/>
            </w:tcBorders>
            <w:vAlign w:val="center"/>
            <w:hideMark/>
          </w:tcPr>
          <w:p w:rsidR="006A2747" w:rsidRPr="003C7E58" w:rsidRDefault="006A2747" w:rsidP="00504C06">
            <w:pPr>
              <w:keepNext/>
              <w:spacing w:line="240" w:lineRule="auto"/>
              <w:rPr>
                <w:rFonts w:asciiTheme="minorHAnsi" w:eastAsia="Calibri" w:hAnsiTheme="minorHAnsi" w:cstheme="minorHAnsi"/>
                <w:b/>
                <w:bCs/>
                <w:sz w:val="22"/>
                <w:szCs w:val="22"/>
              </w:rPr>
            </w:pPr>
            <w:r w:rsidRPr="003C7E58">
              <w:rPr>
                <w:rFonts w:asciiTheme="minorHAnsi" w:eastAsia="Calibri" w:hAnsiTheme="minorHAnsi" w:cstheme="minorHAnsi"/>
                <w:b/>
                <w:bCs/>
                <w:sz w:val="22"/>
                <w:szCs w:val="22"/>
              </w:rPr>
              <w:t>doporučená hodnota za jednotku</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hideMark/>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1.</w:t>
            </w:r>
          </w:p>
        </w:tc>
        <w:tc>
          <w:tcPr>
            <w:tcW w:w="4479" w:type="dxa"/>
            <w:tcBorders>
              <w:top w:val="single" w:sz="4" w:space="0" w:color="auto"/>
              <w:left w:val="single" w:sz="4" w:space="0" w:color="auto"/>
              <w:bottom w:val="single" w:sz="4" w:space="0" w:color="auto"/>
              <w:right w:val="single" w:sz="4" w:space="0" w:color="auto"/>
            </w:tcBorders>
            <w:hideMark/>
          </w:tcPr>
          <w:p w:rsidR="006A2747" w:rsidRPr="007D115B" w:rsidRDefault="006A2747" w:rsidP="00504C06">
            <w:pPr>
              <w:keepNext/>
              <w:spacing w:line="240" w:lineRule="auto"/>
              <w:rPr>
                <w:rFonts w:asciiTheme="minorHAnsi" w:eastAsia="Calibri" w:hAnsiTheme="minorHAnsi" w:cstheme="minorHAnsi"/>
                <w:bCs/>
                <w:sz w:val="22"/>
                <w:szCs w:val="22"/>
              </w:rPr>
            </w:pPr>
            <w:r w:rsidRPr="007D115B">
              <w:rPr>
                <w:rFonts w:asciiTheme="minorHAnsi" w:eastAsia="Calibri" w:hAnsiTheme="minorHAnsi" w:cstheme="minorHAnsi"/>
                <w:bCs/>
                <w:sz w:val="22"/>
                <w:szCs w:val="22"/>
              </w:rPr>
              <w:t xml:space="preserve">počet absolventů, magisterské studium </w:t>
            </w:r>
          </w:p>
        </w:tc>
        <w:tc>
          <w:tcPr>
            <w:tcW w:w="2007" w:type="dxa"/>
            <w:tcBorders>
              <w:top w:val="single" w:sz="4" w:space="0" w:color="auto"/>
              <w:left w:val="single" w:sz="4" w:space="0" w:color="auto"/>
              <w:bottom w:val="single" w:sz="4" w:space="0" w:color="auto"/>
              <w:right w:val="single" w:sz="4" w:space="0" w:color="auto"/>
            </w:tcBorders>
            <w:hideMark/>
          </w:tcPr>
          <w:p w:rsidR="006A2747" w:rsidRPr="007D115B" w:rsidRDefault="006A2747" w:rsidP="00504C06">
            <w:pPr>
              <w:keepNext/>
              <w:spacing w:line="240" w:lineRule="auto"/>
              <w:rPr>
                <w:rFonts w:asciiTheme="minorHAnsi" w:eastAsia="Calibri" w:hAnsiTheme="minorHAnsi" w:cstheme="minorHAnsi"/>
                <w:bCs/>
                <w:sz w:val="22"/>
                <w:szCs w:val="22"/>
              </w:rPr>
            </w:pPr>
            <w:r w:rsidRPr="007D115B">
              <w:rPr>
                <w:rFonts w:asciiTheme="minorHAnsi" w:eastAsia="Calibri" w:hAnsiTheme="minorHAnsi" w:cstheme="minorHAnsi"/>
                <w:bCs/>
                <w:sz w:val="22"/>
                <w:szCs w:val="22"/>
              </w:rPr>
              <w:t xml:space="preserve">absolvent </w:t>
            </w:r>
          </w:p>
        </w:tc>
        <w:tc>
          <w:tcPr>
            <w:tcW w:w="2126" w:type="dxa"/>
            <w:tcBorders>
              <w:top w:val="single" w:sz="4" w:space="0" w:color="auto"/>
              <w:left w:val="single" w:sz="4" w:space="0" w:color="auto"/>
              <w:bottom w:val="single" w:sz="4" w:space="0" w:color="auto"/>
              <w:right w:val="single" w:sz="4" w:space="0" w:color="auto"/>
            </w:tcBorders>
            <w:hideMark/>
          </w:tcPr>
          <w:p w:rsidR="006A2747" w:rsidRPr="007D115B" w:rsidRDefault="006A2747" w:rsidP="00504C06">
            <w:pPr>
              <w:keepNext/>
              <w:spacing w:line="240" w:lineRule="auto"/>
              <w:rPr>
                <w:rFonts w:asciiTheme="minorHAnsi" w:eastAsia="Calibri" w:hAnsiTheme="minorHAnsi" w:cstheme="minorHAnsi"/>
                <w:bCs/>
                <w:sz w:val="22"/>
                <w:szCs w:val="22"/>
              </w:rPr>
            </w:pPr>
            <w:r w:rsidRPr="007D115B">
              <w:rPr>
                <w:rFonts w:asciiTheme="minorHAnsi" w:eastAsia="Calibri" w:hAnsiTheme="minorHAnsi" w:cstheme="minorHAnsi"/>
                <w:bCs/>
                <w:sz w:val="22"/>
                <w:szCs w:val="22"/>
              </w:rPr>
              <w:t>250</w:t>
            </w:r>
            <w:r w:rsidR="00AC5653">
              <w:rPr>
                <w:rFonts w:asciiTheme="minorHAnsi" w:eastAsia="Calibri" w:hAnsiTheme="minorHAnsi" w:cstheme="minorHAnsi"/>
                <w:bCs/>
                <w:sz w:val="22"/>
                <w:szCs w:val="22"/>
              </w:rPr>
              <w:t xml:space="preserve"> </w:t>
            </w:r>
            <w:r w:rsidRPr="007D115B">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rPr>
            </w:pPr>
            <w:r w:rsidRPr="003C7E58">
              <w:rPr>
                <w:rFonts w:asciiTheme="minorHAnsi" w:eastAsia="Calibri" w:hAnsiTheme="minorHAnsi" w:cstheme="minorHAnsi"/>
                <w:bCs/>
                <w:sz w:val="22"/>
                <w:szCs w:val="22"/>
              </w:rPr>
              <w:t>2.</w:t>
            </w:r>
          </w:p>
        </w:tc>
        <w:tc>
          <w:tcPr>
            <w:tcW w:w="4479"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hAnsiTheme="minorHAnsi" w:cstheme="minorHAnsi"/>
                <w:bCs/>
              </w:rPr>
            </w:pPr>
            <w:r w:rsidRPr="007D115B">
              <w:rPr>
                <w:rFonts w:asciiTheme="minorHAnsi" w:eastAsia="Calibri" w:hAnsiTheme="minorHAnsi" w:cstheme="minorHAnsi"/>
                <w:bCs/>
                <w:sz w:val="22"/>
                <w:szCs w:val="22"/>
              </w:rPr>
              <w:t>počet absolventů, doktorské studium</w:t>
            </w:r>
          </w:p>
        </w:tc>
        <w:tc>
          <w:tcPr>
            <w:tcW w:w="2007"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hAnsiTheme="minorHAnsi" w:cstheme="minorHAnsi"/>
                <w:bCs/>
              </w:rPr>
            </w:pPr>
            <w:r w:rsidRPr="007D115B">
              <w:rPr>
                <w:rFonts w:asciiTheme="minorHAnsi" w:eastAsia="Calibri" w:hAnsiTheme="minorHAnsi" w:cstheme="minorHAnsi"/>
                <w:bCs/>
                <w:sz w:val="22"/>
                <w:szCs w:val="22"/>
              </w:rPr>
              <w:t>absolvent</w:t>
            </w:r>
          </w:p>
        </w:tc>
        <w:tc>
          <w:tcPr>
            <w:tcW w:w="2126"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hAnsiTheme="minorHAnsi" w:cstheme="minorHAnsi"/>
                <w:bCs/>
              </w:rPr>
            </w:pPr>
            <w:r w:rsidRPr="007D115B">
              <w:rPr>
                <w:rFonts w:asciiTheme="minorHAnsi" w:eastAsia="Calibri" w:hAnsiTheme="minorHAnsi" w:cstheme="minorHAnsi"/>
                <w:bCs/>
                <w:sz w:val="22"/>
                <w:szCs w:val="22"/>
              </w:rPr>
              <w:t>1</w:t>
            </w:r>
            <w:r w:rsidR="00AC5653">
              <w:rPr>
                <w:rFonts w:asciiTheme="minorHAnsi" w:eastAsia="Calibri" w:hAnsiTheme="minorHAnsi" w:cstheme="minorHAnsi"/>
                <w:bCs/>
                <w:sz w:val="22"/>
                <w:szCs w:val="22"/>
              </w:rPr>
              <w:t xml:space="preserve"> </w:t>
            </w:r>
            <w:r w:rsidRPr="007D115B">
              <w:rPr>
                <w:rFonts w:asciiTheme="minorHAnsi" w:eastAsia="Calibri" w:hAnsiTheme="minorHAnsi" w:cstheme="minorHAnsi"/>
                <w:bCs/>
                <w:sz w:val="22"/>
                <w:szCs w:val="22"/>
              </w:rPr>
              <w:t>000</w:t>
            </w:r>
            <w:r w:rsidR="00AC5653">
              <w:rPr>
                <w:rFonts w:asciiTheme="minorHAnsi" w:eastAsia="Calibri" w:hAnsiTheme="minorHAnsi" w:cstheme="minorHAnsi"/>
                <w:bCs/>
                <w:sz w:val="22"/>
                <w:szCs w:val="22"/>
              </w:rPr>
              <w:t xml:space="preserve"> </w:t>
            </w:r>
            <w:r w:rsidRPr="007D115B">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3.</w:t>
            </w:r>
          </w:p>
        </w:tc>
        <w:tc>
          <w:tcPr>
            <w:tcW w:w="4479"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hAnsiTheme="minorHAnsi" w:cstheme="minorHAnsi"/>
                <w:bCs/>
                <w:sz w:val="22"/>
                <w:szCs w:val="22"/>
                <w:lang w:eastAsia="cs-CZ"/>
              </w:rPr>
            </w:pPr>
            <w:r w:rsidRPr="007D115B">
              <w:rPr>
                <w:rFonts w:asciiTheme="minorHAnsi" w:hAnsiTheme="minorHAnsi" w:cstheme="minorHAnsi"/>
                <w:bCs/>
                <w:sz w:val="22"/>
                <w:szCs w:val="22"/>
                <w:lang w:eastAsia="cs-CZ"/>
              </w:rPr>
              <w:t xml:space="preserve">objem smluvního výzkumu </w:t>
            </w:r>
          </w:p>
        </w:tc>
        <w:tc>
          <w:tcPr>
            <w:tcW w:w="2007"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hAnsiTheme="minorHAnsi" w:cstheme="minorHAnsi"/>
                <w:bCs/>
                <w:sz w:val="22"/>
                <w:szCs w:val="22"/>
                <w:lang w:eastAsia="cs-CZ"/>
              </w:rPr>
            </w:pPr>
            <w:r w:rsidRPr="007D115B">
              <w:rPr>
                <w:rFonts w:asciiTheme="minorHAnsi" w:hAnsiTheme="minorHAnsi" w:cstheme="minorHAnsi"/>
                <w:bCs/>
                <w:sz w:val="22"/>
                <w:szCs w:val="22"/>
                <w:lang w:eastAsia="cs-CZ"/>
              </w:rPr>
              <w:t xml:space="preserve">Kč  </w:t>
            </w:r>
          </w:p>
        </w:tc>
        <w:tc>
          <w:tcPr>
            <w:tcW w:w="2126"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hAnsiTheme="minorHAnsi" w:cstheme="minorHAnsi"/>
                <w:bCs/>
                <w:sz w:val="22"/>
                <w:szCs w:val="22"/>
                <w:lang w:eastAsia="cs-CZ"/>
              </w:rPr>
            </w:pPr>
            <w:r w:rsidRPr="007D115B">
              <w:rPr>
                <w:rFonts w:asciiTheme="minorHAnsi" w:hAnsiTheme="minorHAnsi" w:cstheme="minorHAnsi"/>
                <w:bCs/>
                <w:sz w:val="22"/>
                <w:szCs w:val="22"/>
                <w:lang w:eastAsia="cs-CZ"/>
              </w:rPr>
              <w:t>3</w:t>
            </w:r>
            <w:r>
              <w:rPr>
                <w:rFonts w:asciiTheme="minorHAnsi" w:hAnsiTheme="minorHAnsi" w:cstheme="minorHAnsi"/>
                <w:bCs/>
                <w:sz w:val="22"/>
                <w:szCs w:val="22"/>
                <w:lang w:eastAsia="cs-CZ"/>
              </w:rPr>
              <w:t xml:space="preserve">/1 </w:t>
            </w:r>
            <w:r w:rsidRPr="007D115B">
              <w:rPr>
                <w:rFonts w:asciiTheme="minorHAnsi" w:hAnsiTheme="minorHAnsi" w:cstheme="minorHAnsi"/>
                <w:bCs/>
                <w:sz w:val="22"/>
                <w:szCs w:val="22"/>
                <w:lang w:eastAsia="cs-CZ"/>
              </w:rPr>
              <w:t xml:space="preserve">Kč </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4.</w:t>
            </w:r>
          </w:p>
        </w:tc>
        <w:tc>
          <w:tcPr>
            <w:tcW w:w="4479"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hAnsiTheme="minorHAnsi" w:cstheme="minorHAnsi"/>
                <w:bCs/>
                <w:sz w:val="22"/>
                <w:szCs w:val="22"/>
                <w:lang w:eastAsia="cs-CZ"/>
              </w:rPr>
            </w:pPr>
            <w:r w:rsidRPr="007D115B">
              <w:rPr>
                <w:rFonts w:asciiTheme="minorHAnsi" w:hAnsiTheme="minorHAnsi" w:cstheme="minorHAnsi"/>
                <w:bCs/>
                <w:sz w:val="22"/>
                <w:szCs w:val="22"/>
                <w:lang w:eastAsia="cs-CZ"/>
              </w:rPr>
              <w:t xml:space="preserve">národní výzkumné granty </w:t>
            </w:r>
          </w:p>
        </w:tc>
        <w:tc>
          <w:tcPr>
            <w:tcW w:w="2007"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hAnsiTheme="minorHAnsi" w:cstheme="minorHAnsi"/>
                <w:bCs/>
                <w:sz w:val="22"/>
                <w:szCs w:val="22"/>
                <w:lang w:eastAsia="cs-CZ"/>
              </w:rPr>
            </w:pPr>
            <w:r w:rsidRPr="007D115B">
              <w:rPr>
                <w:rFonts w:asciiTheme="minorHAnsi" w:hAnsiTheme="minorHAnsi" w:cstheme="minorHAnsi"/>
                <w:bCs/>
                <w:sz w:val="22"/>
                <w:szCs w:val="22"/>
                <w:lang w:eastAsia="cs-CZ"/>
              </w:rPr>
              <w:t>Kč</w:t>
            </w:r>
          </w:p>
        </w:tc>
        <w:tc>
          <w:tcPr>
            <w:tcW w:w="2126"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hAnsiTheme="minorHAnsi" w:cstheme="minorHAnsi"/>
                <w:bCs/>
                <w:sz w:val="22"/>
                <w:szCs w:val="22"/>
                <w:lang w:eastAsia="cs-CZ"/>
              </w:rPr>
            </w:pPr>
            <w:r w:rsidRPr="007D115B">
              <w:rPr>
                <w:rFonts w:asciiTheme="minorHAnsi" w:hAnsiTheme="minorHAnsi" w:cstheme="minorHAnsi"/>
                <w:bCs/>
                <w:sz w:val="22"/>
                <w:szCs w:val="22"/>
                <w:lang w:eastAsia="cs-CZ"/>
              </w:rPr>
              <w:t>1</w:t>
            </w:r>
            <w:r>
              <w:rPr>
                <w:rFonts w:asciiTheme="minorHAnsi" w:hAnsiTheme="minorHAnsi" w:cstheme="minorHAnsi"/>
                <w:bCs/>
                <w:sz w:val="22"/>
                <w:szCs w:val="22"/>
                <w:lang w:eastAsia="cs-CZ"/>
              </w:rPr>
              <w:t xml:space="preserve">/1 </w:t>
            </w:r>
            <w:r w:rsidRPr="007D115B">
              <w:rPr>
                <w:rFonts w:asciiTheme="minorHAnsi" w:hAnsiTheme="minorHAnsi" w:cstheme="minorHAnsi"/>
                <w:bCs/>
                <w:sz w:val="22"/>
                <w:szCs w:val="22"/>
                <w:lang w:eastAsia="cs-CZ"/>
              </w:rPr>
              <w:t>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5.</w:t>
            </w:r>
          </w:p>
        </w:tc>
        <w:tc>
          <w:tcPr>
            <w:tcW w:w="4479"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hAnsiTheme="minorHAnsi" w:cstheme="minorHAnsi"/>
                <w:bCs/>
                <w:sz w:val="22"/>
                <w:szCs w:val="22"/>
                <w:lang w:eastAsia="cs-CZ"/>
              </w:rPr>
            </w:pPr>
            <w:r w:rsidRPr="007D115B">
              <w:rPr>
                <w:rFonts w:asciiTheme="minorHAnsi" w:hAnsiTheme="minorHAnsi" w:cstheme="minorHAnsi"/>
                <w:bCs/>
                <w:sz w:val="22"/>
                <w:szCs w:val="22"/>
                <w:lang w:eastAsia="cs-CZ"/>
              </w:rPr>
              <w:t xml:space="preserve">mezinárodní výzkumné granty </w:t>
            </w:r>
          </w:p>
        </w:tc>
        <w:tc>
          <w:tcPr>
            <w:tcW w:w="2007"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hAnsiTheme="minorHAnsi" w:cstheme="minorHAnsi"/>
                <w:bCs/>
                <w:sz w:val="22"/>
                <w:szCs w:val="22"/>
                <w:lang w:eastAsia="cs-CZ"/>
              </w:rPr>
            </w:pPr>
            <w:r w:rsidRPr="007D115B">
              <w:rPr>
                <w:rFonts w:asciiTheme="minorHAnsi" w:hAnsiTheme="minorHAnsi" w:cstheme="minorHAnsi"/>
                <w:bCs/>
                <w:sz w:val="22"/>
                <w:szCs w:val="22"/>
                <w:lang w:eastAsia="cs-CZ"/>
              </w:rPr>
              <w:t>Kč</w:t>
            </w:r>
          </w:p>
        </w:tc>
        <w:tc>
          <w:tcPr>
            <w:tcW w:w="2126"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hAnsiTheme="minorHAnsi" w:cstheme="minorHAnsi"/>
                <w:bCs/>
                <w:sz w:val="22"/>
                <w:szCs w:val="22"/>
                <w:lang w:eastAsia="cs-CZ"/>
              </w:rPr>
            </w:pPr>
            <w:r w:rsidRPr="007D115B">
              <w:rPr>
                <w:rFonts w:asciiTheme="minorHAnsi" w:hAnsiTheme="minorHAnsi" w:cstheme="minorHAnsi"/>
                <w:bCs/>
                <w:sz w:val="22"/>
                <w:szCs w:val="22"/>
                <w:lang w:eastAsia="cs-CZ"/>
              </w:rPr>
              <w:t>2</w:t>
            </w:r>
            <w:r>
              <w:rPr>
                <w:rFonts w:asciiTheme="minorHAnsi" w:hAnsiTheme="minorHAnsi" w:cstheme="minorHAnsi"/>
                <w:bCs/>
                <w:sz w:val="22"/>
                <w:szCs w:val="22"/>
                <w:lang w:eastAsia="cs-CZ"/>
              </w:rPr>
              <w:t>/1</w:t>
            </w:r>
            <w:r w:rsidRPr="007D115B">
              <w:rPr>
                <w:rFonts w:asciiTheme="minorHAnsi" w:hAnsiTheme="minorHAnsi" w:cstheme="minorHAnsi"/>
                <w:bCs/>
                <w:sz w:val="22"/>
                <w:szCs w:val="22"/>
                <w:lang w:eastAsia="cs-CZ"/>
              </w:rPr>
              <w:t xml:space="preserve"> Kč </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6.</w:t>
            </w:r>
          </w:p>
        </w:tc>
        <w:tc>
          <w:tcPr>
            <w:tcW w:w="4479"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eastAsia="Calibri" w:hAnsiTheme="minorHAnsi" w:cstheme="minorHAnsi"/>
                <w:bCs/>
                <w:sz w:val="22"/>
                <w:szCs w:val="22"/>
              </w:rPr>
            </w:pPr>
            <w:r w:rsidRPr="007D115B">
              <w:rPr>
                <w:rFonts w:asciiTheme="minorHAnsi" w:eastAsia="Calibri" w:hAnsiTheme="minorHAnsi" w:cstheme="minorHAnsi"/>
                <w:bCs/>
                <w:sz w:val="22"/>
                <w:szCs w:val="22"/>
              </w:rPr>
              <w:t xml:space="preserve">publikace v impaktovaných časopisech (Jimp) </w:t>
            </w:r>
          </w:p>
        </w:tc>
        <w:tc>
          <w:tcPr>
            <w:tcW w:w="2007"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eastAsia="Calibri" w:hAnsiTheme="minorHAnsi" w:cstheme="minorHAnsi"/>
                <w:bCs/>
                <w:sz w:val="22"/>
                <w:szCs w:val="22"/>
              </w:rPr>
            </w:pPr>
            <w:r w:rsidRPr="007D115B">
              <w:rPr>
                <w:rFonts w:asciiTheme="minorHAnsi" w:eastAsia="Calibri" w:hAnsiTheme="minorHAnsi" w:cstheme="minorHAnsi"/>
                <w:bCs/>
                <w:sz w:val="22"/>
                <w:szCs w:val="22"/>
              </w:rPr>
              <w:t xml:space="preserve">článek </w:t>
            </w:r>
          </w:p>
        </w:tc>
        <w:tc>
          <w:tcPr>
            <w:tcW w:w="2126"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eastAsia="Calibri" w:hAnsiTheme="minorHAnsi" w:cstheme="minorHAnsi"/>
                <w:bCs/>
                <w:sz w:val="22"/>
                <w:szCs w:val="22"/>
              </w:rPr>
            </w:pPr>
            <w:r w:rsidRPr="007D115B">
              <w:rPr>
                <w:rFonts w:asciiTheme="minorHAnsi" w:eastAsia="Calibri" w:hAnsiTheme="minorHAnsi" w:cstheme="minorHAnsi"/>
                <w:bCs/>
                <w:sz w:val="22"/>
                <w:szCs w:val="22"/>
              </w:rPr>
              <w:t>725</w:t>
            </w:r>
            <w:r w:rsidR="00AC5653">
              <w:rPr>
                <w:rFonts w:asciiTheme="minorHAnsi" w:eastAsia="Calibri" w:hAnsiTheme="minorHAnsi" w:cstheme="minorHAnsi"/>
                <w:bCs/>
                <w:sz w:val="22"/>
                <w:szCs w:val="22"/>
              </w:rPr>
              <w:t xml:space="preserve"> </w:t>
            </w:r>
            <w:r w:rsidRPr="007D115B">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7.</w:t>
            </w:r>
          </w:p>
        </w:tc>
        <w:tc>
          <w:tcPr>
            <w:tcW w:w="4479"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eastAsia="Calibri" w:hAnsiTheme="minorHAnsi" w:cstheme="minorHAnsi"/>
                <w:bCs/>
                <w:sz w:val="22"/>
                <w:szCs w:val="22"/>
              </w:rPr>
            </w:pPr>
            <w:r w:rsidRPr="007D115B">
              <w:rPr>
                <w:rFonts w:asciiTheme="minorHAnsi" w:eastAsia="Calibri" w:hAnsiTheme="minorHAnsi" w:cstheme="minorHAnsi"/>
                <w:bCs/>
                <w:sz w:val="22"/>
                <w:szCs w:val="22"/>
              </w:rPr>
              <w:t>publikace v recenzovaných časopisec</w:t>
            </w:r>
            <w:r w:rsidR="00AC5653">
              <w:rPr>
                <w:rFonts w:asciiTheme="minorHAnsi" w:eastAsia="Calibri" w:hAnsiTheme="minorHAnsi" w:cstheme="minorHAnsi"/>
                <w:bCs/>
                <w:sz w:val="22"/>
                <w:szCs w:val="22"/>
              </w:rPr>
              <w:t xml:space="preserve">h ze světově uznávané databáze </w:t>
            </w:r>
            <w:r w:rsidRPr="007D115B">
              <w:rPr>
                <w:rFonts w:asciiTheme="minorHAnsi" w:eastAsia="Calibri" w:hAnsiTheme="minorHAnsi" w:cstheme="minorHAnsi"/>
                <w:bCs/>
                <w:sz w:val="22"/>
                <w:szCs w:val="22"/>
              </w:rPr>
              <w:t>(Jneimp)</w:t>
            </w:r>
          </w:p>
        </w:tc>
        <w:tc>
          <w:tcPr>
            <w:tcW w:w="2007"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eastAsia="Calibri" w:hAnsiTheme="minorHAnsi" w:cstheme="minorHAnsi"/>
                <w:bCs/>
                <w:sz w:val="22"/>
                <w:szCs w:val="22"/>
              </w:rPr>
            </w:pPr>
            <w:r w:rsidRPr="007D115B">
              <w:rPr>
                <w:rFonts w:asciiTheme="minorHAnsi" w:eastAsia="Calibri" w:hAnsiTheme="minorHAnsi" w:cstheme="minorHAnsi"/>
                <w:bCs/>
                <w:sz w:val="22"/>
                <w:szCs w:val="22"/>
              </w:rPr>
              <w:t xml:space="preserve">článek </w:t>
            </w:r>
          </w:p>
        </w:tc>
        <w:tc>
          <w:tcPr>
            <w:tcW w:w="2126"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eastAsia="Calibri" w:hAnsiTheme="minorHAnsi" w:cstheme="minorHAnsi"/>
                <w:bCs/>
                <w:sz w:val="22"/>
                <w:szCs w:val="22"/>
              </w:rPr>
            </w:pPr>
            <w:r w:rsidRPr="007D115B">
              <w:rPr>
                <w:rFonts w:asciiTheme="minorHAnsi" w:eastAsia="Calibri" w:hAnsiTheme="minorHAnsi" w:cstheme="minorHAnsi"/>
                <w:bCs/>
                <w:sz w:val="22"/>
                <w:szCs w:val="22"/>
              </w:rPr>
              <w:t>80</w:t>
            </w:r>
            <w:r w:rsidR="00AC5653">
              <w:rPr>
                <w:rFonts w:asciiTheme="minorHAnsi" w:eastAsia="Calibri" w:hAnsiTheme="minorHAnsi" w:cstheme="minorHAnsi"/>
                <w:bCs/>
                <w:sz w:val="22"/>
                <w:szCs w:val="22"/>
              </w:rPr>
              <w:t xml:space="preserve"> </w:t>
            </w:r>
            <w:r w:rsidRPr="007D115B">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8.</w:t>
            </w:r>
          </w:p>
        </w:tc>
        <w:tc>
          <w:tcPr>
            <w:tcW w:w="4479"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eastAsia="Calibri" w:hAnsiTheme="minorHAnsi" w:cstheme="minorHAnsi"/>
                <w:bCs/>
                <w:sz w:val="22"/>
                <w:szCs w:val="22"/>
              </w:rPr>
            </w:pPr>
            <w:r w:rsidRPr="007D115B">
              <w:rPr>
                <w:rFonts w:asciiTheme="minorHAnsi" w:eastAsia="Calibri" w:hAnsiTheme="minorHAnsi" w:cstheme="minorHAnsi"/>
                <w:bCs/>
                <w:sz w:val="22"/>
                <w:szCs w:val="22"/>
              </w:rPr>
              <w:t xml:space="preserve">publikace v recenzovaných </w:t>
            </w:r>
            <w:r w:rsidR="00AC5653">
              <w:rPr>
                <w:rFonts w:asciiTheme="minorHAnsi" w:eastAsia="Calibri" w:hAnsiTheme="minorHAnsi" w:cstheme="minorHAnsi"/>
                <w:bCs/>
                <w:sz w:val="22"/>
                <w:szCs w:val="22"/>
              </w:rPr>
              <w:t xml:space="preserve">časopisech z vybraného seznamu </w:t>
            </w:r>
            <w:r w:rsidRPr="007D115B">
              <w:rPr>
                <w:rFonts w:asciiTheme="minorHAnsi" w:eastAsia="Calibri" w:hAnsiTheme="minorHAnsi" w:cstheme="minorHAnsi"/>
                <w:bCs/>
                <w:sz w:val="22"/>
                <w:szCs w:val="22"/>
              </w:rPr>
              <w:t>(Jneimp)</w:t>
            </w:r>
          </w:p>
        </w:tc>
        <w:tc>
          <w:tcPr>
            <w:tcW w:w="2007"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eastAsia="Calibri" w:hAnsiTheme="minorHAnsi" w:cstheme="minorHAnsi"/>
                <w:bCs/>
                <w:sz w:val="22"/>
                <w:szCs w:val="22"/>
              </w:rPr>
            </w:pPr>
            <w:r w:rsidRPr="007D115B">
              <w:rPr>
                <w:rFonts w:asciiTheme="minorHAnsi" w:eastAsia="Calibri" w:hAnsiTheme="minorHAnsi" w:cstheme="minorHAnsi"/>
                <w:bCs/>
                <w:sz w:val="22"/>
                <w:szCs w:val="22"/>
              </w:rPr>
              <w:t xml:space="preserve">článek </w:t>
            </w:r>
          </w:p>
        </w:tc>
        <w:tc>
          <w:tcPr>
            <w:tcW w:w="2126" w:type="dxa"/>
            <w:tcBorders>
              <w:top w:val="single" w:sz="4" w:space="0" w:color="auto"/>
              <w:left w:val="single" w:sz="4" w:space="0" w:color="auto"/>
              <w:bottom w:val="single" w:sz="4" w:space="0" w:color="auto"/>
              <w:right w:val="single" w:sz="4" w:space="0" w:color="auto"/>
            </w:tcBorders>
          </w:tcPr>
          <w:p w:rsidR="006A2747" w:rsidRPr="007D115B" w:rsidRDefault="006A2747" w:rsidP="00504C06">
            <w:pPr>
              <w:keepNext/>
              <w:spacing w:line="240" w:lineRule="auto"/>
              <w:rPr>
                <w:rFonts w:asciiTheme="minorHAnsi" w:eastAsia="Calibri" w:hAnsiTheme="minorHAnsi" w:cstheme="minorHAnsi"/>
                <w:bCs/>
                <w:sz w:val="22"/>
                <w:szCs w:val="22"/>
              </w:rPr>
            </w:pPr>
            <w:r w:rsidRPr="007D115B">
              <w:rPr>
                <w:rFonts w:asciiTheme="minorHAnsi" w:eastAsia="Calibri" w:hAnsiTheme="minorHAnsi" w:cstheme="minorHAnsi"/>
                <w:bCs/>
                <w:sz w:val="22"/>
                <w:szCs w:val="22"/>
              </w:rPr>
              <w:t>40</w:t>
            </w:r>
            <w:r w:rsidR="00AC5653">
              <w:rPr>
                <w:rFonts w:asciiTheme="minorHAnsi" w:eastAsia="Calibri" w:hAnsiTheme="minorHAnsi" w:cstheme="minorHAnsi"/>
                <w:bCs/>
                <w:sz w:val="22"/>
                <w:szCs w:val="22"/>
              </w:rPr>
              <w:t xml:space="preserve"> </w:t>
            </w:r>
            <w:r w:rsidRPr="007D115B">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9.</w:t>
            </w:r>
          </w:p>
        </w:tc>
        <w:tc>
          <w:tcPr>
            <w:tcW w:w="4479"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 xml:space="preserve">odborná kniha (B), světový jazyk </w:t>
            </w:r>
          </w:p>
        </w:tc>
        <w:tc>
          <w:tcPr>
            <w:tcW w:w="2007"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 xml:space="preserve">kniha </w:t>
            </w:r>
          </w:p>
        </w:tc>
        <w:tc>
          <w:tcPr>
            <w:tcW w:w="2126"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400</w:t>
            </w:r>
            <w:r w:rsidR="00AC5653">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10.</w:t>
            </w:r>
          </w:p>
        </w:tc>
        <w:tc>
          <w:tcPr>
            <w:tcW w:w="4479"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 xml:space="preserve">odborná kniha (B), jiné jazyky </w:t>
            </w:r>
          </w:p>
        </w:tc>
        <w:tc>
          <w:tcPr>
            <w:tcW w:w="2007"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 xml:space="preserve">kniha </w:t>
            </w:r>
          </w:p>
        </w:tc>
        <w:tc>
          <w:tcPr>
            <w:tcW w:w="2126"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200</w:t>
            </w:r>
            <w:r w:rsidR="00AC5653">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11.</w:t>
            </w:r>
          </w:p>
        </w:tc>
        <w:tc>
          <w:tcPr>
            <w:tcW w:w="4479"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 xml:space="preserve">článek ve sborníku (D) </w:t>
            </w:r>
          </w:p>
        </w:tc>
        <w:tc>
          <w:tcPr>
            <w:tcW w:w="2007"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 xml:space="preserve">článek </w:t>
            </w:r>
          </w:p>
        </w:tc>
        <w:tc>
          <w:tcPr>
            <w:tcW w:w="2126"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80</w:t>
            </w:r>
            <w:r w:rsidR="00AC5653">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12.</w:t>
            </w:r>
          </w:p>
        </w:tc>
        <w:tc>
          <w:tcPr>
            <w:tcW w:w="4479"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 xml:space="preserve">přidělený patent (Česká republika)  </w:t>
            </w:r>
          </w:p>
        </w:tc>
        <w:tc>
          <w:tcPr>
            <w:tcW w:w="2007"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patent</w:t>
            </w:r>
          </w:p>
        </w:tc>
        <w:tc>
          <w:tcPr>
            <w:tcW w:w="2126"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400</w:t>
            </w:r>
            <w:r w:rsidR="00AC5653">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13.</w:t>
            </w:r>
          </w:p>
        </w:tc>
        <w:tc>
          <w:tcPr>
            <w:tcW w:w="4479"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národní patent použitý v praxi (mimo USA a Japonsko)</w:t>
            </w:r>
          </w:p>
        </w:tc>
        <w:tc>
          <w:tcPr>
            <w:tcW w:w="2007"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patent</w:t>
            </w:r>
          </w:p>
        </w:tc>
        <w:tc>
          <w:tcPr>
            <w:tcW w:w="2126"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2</w:t>
            </w:r>
            <w:r w:rsidR="00AC5653">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000</w:t>
            </w:r>
            <w:r w:rsidR="00AC5653">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14.</w:t>
            </w:r>
          </w:p>
        </w:tc>
        <w:tc>
          <w:tcPr>
            <w:tcW w:w="4479"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 xml:space="preserve">mezinárodní patent (evropský mezinárodní, USA, Japonsko) </w:t>
            </w:r>
          </w:p>
        </w:tc>
        <w:tc>
          <w:tcPr>
            <w:tcW w:w="2007"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patent</w:t>
            </w:r>
          </w:p>
        </w:tc>
        <w:tc>
          <w:tcPr>
            <w:tcW w:w="2126"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5</w:t>
            </w:r>
            <w:r w:rsidR="00AC5653">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000</w:t>
            </w:r>
            <w:r w:rsidR="00AC5653">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15.</w:t>
            </w:r>
          </w:p>
        </w:tc>
        <w:tc>
          <w:tcPr>
            <w:tcW w:w="4479"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 xml:space="preserve">pilotní provoz, ověřená technologie, odrůda (Z) </w:t>
            </w:r>
          </w:p>
        </w:tc>
        <w:tc>
          <w:tcPr>
            <w:tcW w:w="2007"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ověřená technologie</w:t>
            </w:r>
          </w:p>
        </w:tc>
        <w:tc>
          <w:tcPr>
            <w:tcW w:w="2126"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1</w:t>
            </w:r>
            <w:r w:rsidR="00AC5653">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000</w:t>
            </w:r>
            <w:r w:rsidR="00AC5653">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16.</w:t>
            </w:r>
          </w:p>
        </w:tc>
        <w:tc>
          <w:tcPr>
            <w:tcW w:w="4479"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 xml:space="preserve">prototyp, užitný nebo průmyslový vzor (S) </w:t>
            </w:r>
          </w:p>
        </w:tc>
        <w:tc>
          <w:tcPr>
            <w:tcW w:w="2007"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 xml:space="preserve">prototyp </w:t>
            </w:r>
          </w:p>
        </w:tc>
        <w:tc>
          <w:tcPr>
            <w:tcW w:w="2126"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400</w:t>
            </w:r>
            <w:r w:rsidR="00775AD9">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17.</w:t>
            </w:r>
          </w:p>
        </w:tc>
        <w:tc>
          <w:tcPr>
            <w:tcW w:w="4479"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projekty realizované s aplikační sférou</w:t>
            </w:r>
          </w:p>
        </w:tc>
        <w:tc>
          <w:tcPr>
            <w:tcW w:w="2007"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projekt</w:t>
            </w:r>
          </w:p>
        </w:tc>
        <w:tc>
          <w:tcPr>
            <w:tcW w:w="2126"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100</w:t>
            </w:r>
            <w:r w:rsidR="00775AD9">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18.</w:t>
            </w:r>
          </w:p>
        </w:tc>
        <w:tc>
          <w:tcPr>
            <w:tcW w:w="4479"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 xml:space="preserve">počet studentů (magisterští/Ph.D.) využívající infrastrukturu </w:t>
            </w:r>
          </w:p>
        </w:tc>
        <w:tc>
          <w:tcPr>
            <w:tcW w:w="2007"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 xml:space="preserve">počet studentů </w:t>
            </w:r>
          </w:p>
        </w:tc>
        <w:tc>
          <w:tcPr>
            <w:tcW w:w="2126"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50</w:t>
            </w:r>
            <w:r w:rsidR="00775AD9">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Pr>
                <w:rFonts w:asciiTheme="minorHAnsi" w:eastAsia="Calibri" w:hAnsiTheme="minorHAnsi" w:cstheme="minorHAnsi"/>
                <w:bCs/>
                <w:sz w:val="22"/>
                <w:szCs w:val="22"/>
              </w:rPr>
              <w:t>19.</w:t>
            </w:r>
          </w:p>
        </w:tc>
        <w:tc>
          <w:tcPr>
            <w:tcW w:w="4479"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počet (hrubý) nových pracovních míst, vědečtí pracovníci</w:t>
            </w:r>
          </w:p>
        </w:tc>
        <w:tc>
          <w:tcPr>
            <w:tcW w:w="2007" w:type="dxa"/>
            <w:tcBorders>
              <w:top w:val="single" w:sz="4" w:space="0" w:color="auto"/>
              <w:left w:val="single" w:sz="4" w:space="0" w:color="auto"/>
              <w:bottom w:val="single" w:sz="4" w:space="0" w:color="auto"/>
              <w:right w:val="single" w:sz="4" w:space="0" w:color="auto"/>
            </w:tcBorders>
          </w:tcPr>
          <w:p w:rsidR="006A2747" w:rsidRPr="000F6953" w:rsidRDefault="006A2747" w:rsidP="00504C06">
            <w:pPr>
              <w:keepNext/>
              <w:spacing w:line="240" w:lineRule="auto"/>
              <w:rPr>
                <w:rFonts w:asciiTheme="minorHAnsi" w:eastAsia="Calibri" w:hAnsiTheme="minorHAnsi" w:cstheme="minorHAnsi"/>
                <w:bCs/>
                <w:sz w:val="22"/>
                <w:szCs w:val="22"/>
              </w:rPr>
            </w:pPr>
            <w:r w:rsidRPr="000F6953">
              <w:rPr>
                <w:rFonts w:asciiTheme="minorHAnsi" w:eastAsia="Calibri" w:hAnsiTheme="minorHAnsi" w:cstheme="minorHAnsi"/>
                <w:bCs/>
                <w:sz w:val="22"/>
                <w:szCs w:val="22"/>
              </w:rPr>
              <w:t>počet pracovních míst</w:t>
            </w:r>
          </w:p>
        </w:tc>
        <w:tc>
          <w:tcPr>
            <w:tcW w:w="2126" w:type="dxa"/>
            <w:tcBorders>
              <w:top w:val="single" w:sz="4" w:space="0" w:color="auto"/>
              <w:left w:val="single" w:sz="4" w:space="0" w:color="auto"/>
              <w:bottom w:val="single" w:sz="4" w:space="0" w:color="auto"/>
              <w:right w:val="single" w:sz="4" w:space="0" w:color="auto"/>
            </w:tcBorders>
          </w:tcPr>
          <w:p w:rsidR="006A2747" w:rsidRPr="000F6953" w:rsidRDefault="006A2747" w:rsidP="00504C06">
            <w:pPr>
              <w:keepNext/>
              <w:spacing w:line="240" w:lineRule="auto"/>
              <w:rPr>
                <w:rFonts w:asciiTheme="minorHAnsi" w:eastAsia="Calibri" w:hAnsiTheme="minorHAnsi" w:cstheme="minorHAnsi"/>
                <w:bCs/>
                <w:sz w:val="22"/>
                <w:szCs w:val="22"/>
              </w:rPr>
            </w:pPr>
            <w:r w:rsidRPr="000F6953">
              <w:rPr>
                <w:rFonts w:asciiTheme="minorHAnsi" w:eastAsia="Calibri" w:hAnsiTheme="minorHAnsi" w:cstheme="minorHAnsi"/>
                <w:bCs/>
                <w:sz w:val="22"/>
                <w:szCs w:val="22"/>
              </w:rPr>
              <w:t>250</w:t>
            </w:r>
            <w:r w:rsidR="00775AD9">
              <w:rPr>
                <w:rFonts w:asciiTheme="minorHAnsi" w:eastAsia="Calibri" w:hAnsiTheme="minorHAnsi" w:cstheme="minorHAnsi"/>
                <w:bCs/>
                <w:sz w:val="22"/>
                <w:szCs w:val="22"/>
              </w:rPr>
              <w:t xml:space="preserve"> </w:t>
            </w:r>
            <w:r w:rsidRPr="000F6953">
              <w:rPr>
                <w:rFonts w:asciiTheme="minorHAnsi" w:eastAsia="Calibri" w:hAnsiTheme="minorHAnsi" w:cstheme="minorHAnsi"/>
                <w:bCs/>
                <w:sz w:val="22"/>
                <w:szCs w:val="22"/>
              </w:rPr>
              <w:t>000 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Pr>
                <w:rFonts w:asciiTheme="minorHAnsi" w:eastAsia="Calibri" w:hAnsiTheme="minorHAnsi" w:cstheme="minorHAnsi"/>
                <w:bCs/>
                <w:sz w:val="22"/>
                <w:szCs w:val="22"/>
              </w:rPr>
              <w:t>20.</w:t>
            </w:r>
          </w:p>
        </w:tc>
        <w:tc>
          <w:tcPr>
            <w:tcW w:w="4479"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 xml:space="preserve">počet (hrubý) nových pracovních míst, vědečtí pracovníci do 35 let </w:t>
            </w:r>
          </w:p>
        </w:tc>
        <w:tc>
          <w:tcPr>
            <w:tcW w:w="2007"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počet pracovních míst</w:t>
            </w:r>
          </w:p>
        </w:tc>
        <w:tc>
          <w:tcPr>
            <w:tcW w:w="2126"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200</w:t>
            </w:r>
            <w:r w:rsidR="00775AD9">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000</w:t>
            </w:r>
            <w:r>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Kč</w:t>
            </w:r>
          </w:p>
        </w:tc>
      </w:tr>
      <w:tr w:rsidR="006A2747" w:rsidRPr="00A90769" w:rsidTr="00504C06">
        <w:trPr>
          <w:trHeight w:hRule="exact" w:val="510"/>
        </w:trPr>
        <w:tc>
          <w:tcPr>
            <w:tcW w:w="568"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jc w:val="center"/>
              <w:rPr>
                <w:rFonts w:asciiTheme="minorHAnsi" w:eastAsia="Calibri" w:hAnsiTheme="minorHAnsi" w:cstheme="minorHAnsi"/>
                <w:bCs/>
                <w:sz w:val="22"/>
                <w:szCs w:val="22"/>
              </w:rPr>
            </w:pPr>
            <w:r>
              <w:rPr>
                <w:rFonts w:asciiTheme="minorHAnsi" w:eastAsia="Calibri" w:hAnsiTheme="minorHAnsi" w:cstheme="minorHAnsi"/>
                <w:bCs/>
                <w:sz w:val="22"/>
                <w:szCs w:val="22"/>
              </w:rPr>
              <w:t>21.</w:t>
            </w:r>
          </w:p>
        </w:tc>
        <w:tc>
          <w:tcPr>
            <w:tcW w:w="4479"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 xml:space="preserve">rozšíření nebo výstavba nových prostor, pouze energeticky úsporné </w:t>
            </w:r>
          </w:p>
        </w:tc>
        <w:tc>
          <w:tcPr>
            <w:tcW w:w="2007"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m</w:t>
            </w:r>
            <w:r w:rsidRPr="003C7E58">
              <w:rPr>
                <w:rFonts w:asciiTheme="minorHAnsi" w:eastAsia="Calibri" w:hAnsiTheme="minorHAnsi" w:cstheme="minorHAnsi"/>
                <w:bCs/>
                <w:sz w:val="22"/>
                <w:szCs w:val="22"/>
                <w:vertAlign w:val="superscript"/>
              </w:rPr>
              <w:t>2</w:t>
            </w:r>
          </w:p>
        </w:tc>
        <w:tc>
          <w:tcPr>
            <w:tcW w:w="2126" w:type="dxa"/>
            <w:tcBorders>
              <w:top w:val="single" w:sz="4" w:space="0" w:color="auto"/>
              <w:left w:val="single" w:sz="4" w:space="0" w:color="auto"/>
              <w:bottom w:val="single" w:sz="4" w:space="0" w:color="auto"/>
              <w:right w:val="single" w:sz="4" w:space="0" w:color="auto"/>
            </w:tcBorders>
          </w:tcPr>
          <w:p w:rsidR="006A2747" w:rsidRPr="003C7E58" w:rsidRDefault="006A2747" w:rsidP="00504C06">
            <w:pPr>
              <w:keepNext/>
              <w:spacing w:line="240" w:lineRule="auto"/>
              <w:rPr>
                <w:rFonts w:asciiTheme="minorHAnsi" w:eastAsia="Calibri" w:hAnsiTheme="minorHAnsi" w:cstheme="minorHAnsi"/>
                <w:bCs/>
                <w:sz w:val="22"/>
                <w:szCs w:val="22"/>
              </w:rPr>
            </w:pPr>
            <w:r w:rsidRPr="003C7E58">
              <w:rPr>
                <w:rFonts w:asciiTheme="minorHAnsi" w:eastAsia="Calibri" w:hAnsiTheme="minorHAnsi" w:cstheme="minorHAnsi"/>
                <w:bCs/>
                <w:sz w:val="22"/>
                <w:szCs w:val="22"/>
              </w:rPr>
              <w:t>10</w:t>
            </w:r>
            <w:r w:rsidR="00775AD9">
              <w:rPr>
                <w:rFonts w:asciiTheme="minorHAnsi" w:eastAsia="Calibri" w:hAnsiTheme="minorHAnsi" w:cstheme="minorHAnsi"/>
                <w:bCs/>
                <w:sz w:val="22"/>
                <w:szCs w:val="22"/>
              </w:rPr>
              <w:t xml:space="preserve"> </w:t>
            </w:r>
            <w:r w:rsidRPr="003C7E58">
              <w:rPr>
                <w:rFonts w:asciiTheme="minorHAnsi" w:eastAsia="Calibri" w:hAnsiTheme="minorHAnsi" w:cstheme="minorHAnsi"/>
                <w:bCs/>
                <w:sz w:val="22"/>
                <w:szCs w:val="22"/>
              </w:rPr>
              <w:t>000 Kč</w:t>
            </w:r>
          </w:p>
        </w:tc>
      </w:tr>
    </w:tbl>
    <w:p w:rsidR="006A2747" w:rsidRPr="00775AD9" w:rsidRDefault="006A2747" w:rsidP="00754E12">
      <w:pPr>
        <w:keepNext/>
        <w:spacing w:after="0" w:line="240" w:lineRule="auto"/>
        <w:ind w:left="-57" w:right="-227"/>
        <w:jc w:val="both"/>
        <w:rPr>
          <w:rFonts w:asciiTheme="minorHAnsi" w:eastAsia="Calibri" w:hAnsiTheme="minorHAnsi" w:cstheme="minorHAnsi"/>
          <w:i/>
          <w:sz w:val="20"/>
          <w:szCs w:val="20"/>
          <w:lang w:eastAsia="en-US"/>
        </w:rPr>
      </w:pPr>
      <w:r w:rsidRPr="00775AD9">
        <w:rPr>
          <w:rFonts w:asciiTheme="minorHAnsi" w:eastAsia="Calibri" w:hAnsiTheme="minorHAnsi" w:cstheme="minorHAnsi"/>
          <w:i/>
          <w:sz w:val="20"/>
          <w:szCs w:val="20"/>
          <w:lang w:eastAsia="en-US"/>
        </w:rPr>
        <w:t>Poznámky: položky č. 3 až 5 představují odhady indukovaných spill-overs v reálné ekonomice</w:t>
      </w:r>
      <w:r w:rsidRPr="00775AD9">
        <w:rPr>
          <w:rFonts w:asciiTheme="minorHAnsi" w:eastAsia="Calibri" w:hAnsiTheme="minorHAnsi" w:cstheme="minorHAnsi"/>
          <w:i/>
          <w:sz w:val="20"/>
          <w:szCs w:val="20"/>
          <w:lang w:eastAsia="en-US"/>
        </w:rPr>
        <w:sym w:font="Symbol" w:char="F03B"/>
      </w:r>
      <w:r w:rsidRPr="00775AD9">
        <w:rPr>
          <w:rFonts w:asciiTheme="minorHAnsi" w:eastAsia="Calibri" w:hAnsiTheme="minorHAnsi" w:cstheme="minorHAnsi"/>
          <w:i/>
          <w:sz w:val="20"/>
          <w:szCs w:val="20"/>
          <w:lang w:eastAsia="en-US"/>
        </w:rPr>
        <w:t xml:space="preserve"> původní položka č. 19</w:t>
      </w:r>
      <w:r w:rsidR="005862FC">
        <w:rPr>
          <w:rFonts w:asciiTheme="minorHAnsi" w:eastAsia="Calibri" w:hAnsiTheme="minorHAnsi" w:cstheme="minorHAnsi"/>
          <w:i/>
          <w:sz w:val="20"/>
          <w:szCs w:val="20"/>
          <w:lang w:eastAsia="en-US"/>
        </w:rPr>
        <w:t>,</w:t>
      </w:r>
      <w:r w:rsidRPr="00775AD9">
        <w:rPr>
          <w:rFonts w:asciiTheme="minorHAnsi" w:eastAsia="Calibri" w:hAnsiTheme="minorHAnsi" w:cstheme="minorHAnsi"/>
          <w:i/>
          <w:sz w:val="20"/>
          <w:szCs w:val="20"/>
          <w:lang w:eastAsia="en-US"/>
        </w:rPr>
        <w:t xml:space="preserve"> tj. počet nových pracovních míst mimo vědeckých praco</w:t>
      </w:r>
      <w:r w:rsidR="00395BBA">
        <w:rPr>
          <w:rFonts w:asciiTheme="minorHAnsi" w:eastAsia="Calibri" w:hAnsiTheme="minorHAnsi" w:cstheme="minorHAnsi"/>
          <w:i/>
          <w:sz w:val="20"/>
          <w:szCs w:val="20"/>
          <w:lang w:eastAsia="en-US"/>
        </w:rPr>
        <w:t>vníků byla vyřazena</w:t>
      </w:r>
      <w:r w:rsidRPr="00775AD9">
        <w:rPr>
          <w:rFonts w:asciiTheme="minorHAnsi" w:eastAsia="Calibri" w:hAnsiTheme="minorHAnsi" w:cstheme="minorHAnsi"/>
          <w:i/>
          <w:sz w:val="20"/>
          <w:szCs w:val="20"/>
          <w:lang w:eastAsia="en-US"/>
        </w:rPr>
        <w:t>.</w:t>
      </w:r>
    </w:p>
    <w:p w:rsidR="00754E12" w:rsidRDefault="006A2747" w:rsidP="00754E12">
      <w:pPr>
        <w:keepNext/>
        <w:ind w:left="-57"/>
        <w:jc w:val="center"/>
        <w:rPr>
          <w:rFonts w:asciiTheme="minorHAnsi" w:hAnsiTheme="minorHAnsi" w:cstheme="minorHAnsi"/>
          <w:bCs/>
          <w:i/>
        </w:rPr>
      </w:pPr>
      <w:r w:rsidRPr="00A90769">
        <w:rPr>
          <w:rFonts w:asciiTheme="minorHAnsi" w:eastAsia="Calibri" w:hAnsiTheme="minorHAnsi" w:cstheme="minorHAnsi"/>
          <w:i/>
          <w:lang w:eastAsia="en-US"/>
        </w:rPr>
        <w:t xml:space="preserve">Pramen: </w:t>
      </w:r>
      <w:r w:rsidR="006D46B0">
        <w:rPr>
          <w:rFonts w:asciiTheme="minorHAnsi" w:hAnsiTheme="minorHAnsi" w:cstheme="minorHAnsi"/>
          <w:bCs/>
          <w:i/>
        </w:rPr>
        <w:t xml:space="preserve">Jaspers – </w:t>
      </w:r>
      <w:r w:rsidRPr="00A90769">
        <w:rPr>
          <w:rFonts w:asciiTheme="minorHAnsi" w:hAnsiTheme="minorHAnsi" w:cstheme="minorHAnsi"/>
          <w:bCs/>
          <w:i/>
        </w:rPr>
        <w:t>EIB (2009</w:t>
      </w:r>
      <w:r w:rsidR="00775AD9">
        <w:rPr>
          <w:rFonts w:asciiTheme="minorHAnsi" w:hAnsiTheme="minorHAnsi" w:cstheme="minorHAnsi"/>
          <w:bCs/>
          <w:i/>
        </w:rPr>
        <w:t>)</w:t>
      </w:r>
      <w:r w:rsidR="00754E12">
        <w:rPr>
          <w:rFonts w:asciiTheme="minorHAnsi" w:hAnsiTheme="minorHAnsi" w:cstheme="minorHAnsi"/>
          <w:bCs/>
          <w:i/>
        </w:rPr>
        <w:t>.</w:t>
      </w:r>
    </w:p>
    <w:p w:rsidR="006A2747" w:rsidRPr="00754E12" w:rsidRDefault="006A2747" w:rsidP="00754E12">
      <w:pPr>
        <w:keepNext/>
        <w:ind w:left="-57" w:firstLine="777"/>
        <w:rPr>
          <w:rFonts w:asciiTheme="minorHAnsi" w:hAnsiTheme="minorHAnsi" w:cstheme="minorHAnsi"/>
          <w:bCs/>
          <w:i/>
        </w:rPr>
      </w:pPr>
      <w:r w:rsidRPr="00A90769">
        <w:rPr>
          <w:rFonts w:cs="Tahoma"/>
          <w:bCs/>
          <w:sz w:val="24"/>
          <w:szCs w:val="24"/>
        </w:rPr>
        <w:lastRenderedPageBreak/>
        <w:t xml:space="preserve">Na základě </w:t>
      </w:r>
      <w:r w:rsidR="003D4491">
        <w:rPr>
          <w:rFonts w:cs="Tahoma"/>
          <w:bCs/>
          <w:sz w:val="24"/>
          <w:szCs w:val="24"/>
        </w:rPr>
        <w:t xml:space="preserve">výše uvedených </w:t>
      </w:r>
      <w:r w:rsidRPr="00A90769">
        <w:rPr>
          <w:rFonts w:cs="Tahoma"/>
          <w:bCs/>
          <w:sz w:val="24"/>
          <w:szCs w:val="24"/>
        </w:rPr>
        <w:t>hodnot je možné kalkulovat hodnoty socioekonomické analýzy. Pro vlastní hodnocení byla použita diskontní sazba 5,5</w:t>
      </w:r>
      <w:r w:rsidR="00760C73">
        <w:rPr>
          <w:rFonts w:cs="Tahoma"/>
          <w:bCs/>
          <w:sz w:val="24"/>
          <w:szCs w:val="24"/>
        </w:rPr>
        <w:t xml:space="preserve"> </w:t>
      </w:r>
      <w:r w:rsidRPr="00A90769">
        <w:rPr>
          <w:rFonts w:cs="Tahoma"/>
          <w:bCs/>
          <w:sz w:val="24"/>
          <w:szCs w:val="24"/>
        </w:rPr>
        <w:t xml:space="preserve">% v reálném vyjádření (viz doporučení EK), ostatní použité parametry </w:t>
      </w:r>
      <w:r>
        <w:rPr>
          <w:rFonts w:cs="Tahoma"/>
          <w:bCs/>
          <w:sz w:val="24"/>
          <w:szCs w:val="24"/>
        </w:rPr>
        <w:t xml:space="preserve">jsou </w:t>
      </w:r>
      <w:r w:rsidRPr="00A90769">
        <w:rPr>
          <w:rFonts w:cs="Tahoma"/>
          <w:bCs/>
          <w:sz w:val="24"/>
          <w:szCs w:val="24"/>
        </w:rPr>
        <w:t>shodné s finanční analýzou.</w:t>
      </w:r>
    </w:p>
    <w:p w:rsidR="006A2747" w:rsidRPr="00DE18F9" w:rsidRDefault="006A2747" w:rsidP="00990721">
      <w:pPr>
        <w:pStyle w:val="0T-Titulek"/>
      </w:pPr>
      <w:bookmarkStart w:id="115" w:name="_Toc382326455"/>
      <w:r w:rsidRPr="00DE18F9">
        <w:t>Tabulka 28: Přehled výsledků socioekonomické analýzy</w:t>
      </w:r>
      <w:bookmarkEnd w:id="115"/>
      <w:r w:rsidRPr="00DE18F9">
        <w:t xml:space="preserve">  </w:t>
      </w:r>
    </w:p>
    <w:tbl>
      <w:tblPr>
        <w:tblStyle w:val="Mkatabulky8"/>
        <w:tblW w:w="9180" w:type="dxa"/>
        <w:tblLook w:val="04A0" w:firstRow="1" w:lastRow="0" w:firstColumn="1" w:lastColumn="0" w:noHBand="0" w:noVBand="1"/>
      </w:tblPr>
      <w:tblGrid>
        <w:gridCol w:w="2608"/>
        <w:gridCol w:w="1753"/>
        <w:gridCol w:w="1701"/>
        <w:gridCol w:w="1559"/>
        <w:gridCol w:w="1559"/>
      </w:tblGrid>
      <w:tr w:rsidR="006A2747" w:rsidRPr="00A90769" w:rsidTr="00754E12">
        <w:trPr>
          <w:trHeight w:hRule="exact" w:val="284"/>
        </w:trPr>
        <w:tc>
          <w:tcPr>
            <w:tcW w:w="2608" w:type="dxa"/>
            <w:tcBorders>
              <w:top w:val="single" w:sz="4" w:space="0" w:color="auto"/>
              <w:left w:val="single" w:sz="4" w:space="0" w:color="auto"/>
              <w:bottom w:val="single" w:sz="4" w:space="0" w:color="auto"/>
              <w:right w:val="single" w:sz="4" w:space="0" w:color="auto"/>
            </w:tcBorders>
          </w:tcPr>
          <w:p w:rsidR="006A2747" w:rsidRPr="00A90769" w:rsidRDefault="006A2747" w:rsidP="00423120">
            <w:pPr>
              <w:keepNext/>
              <w:jc w:val="center"/>
              <w:rPr>
                <w:rFonts w:asciiTheme="minorHAnsi" w:eastAsia="Calibri" w:hAnsiTheme="minorHAnsi" w:cstheme="minorHAnsi"/>
                <w:b/>
                <w:bCs/>
                <w:sz w:val="22"/>
                <w:szCs w:val="22"/>
              </w:rPr>
            </w:pPr>
          </w:p>
        </w:tc>
        <w:tc>
          <w:tcPr>
            <w:tcW w:w="1753" w:type="dxa"/>
            <w:tcBorders>
              <w:top w:val="single" w:sz="4" w:space="0" w:color="auto"/>
              <w:left w:val="single" w:sz="4" w:space="0" w:color="auto"/>
              <w:bottom w:val="single" w:sz="4" w:space="0" w:color="auto"/>
              <w:right w:val="single" w:sz="4" w:space="0" w:color="auto"/>
            </w:tcBorders>
            <w:hideMark/>
          </w:tcPr>
          <w:p w:rsidR="006A2747" w:rsidRPr="00A90769" w:rsidRDefault="006A2747" w:rsidP="00423120">
            <w:pPr>
              <w:keepNext/>
              <w:jc w:val="center"/>
              <w:rPr>
                <w:rFonts w:asciiTheme="minorHAnsi" w:eastAsia="Calibri" w:hAnsiTheme="minorHAnsi" w:cstheme="minorHAnsi"/>
                <w:b/>
                <w:bCs/>
                <w:sz w:val="22"/>
                <w:szCs w:val="22"/>
              </w:rPr>
            </w:pPr>
            <w:r>
              <w:rPr>
                <w:rFonts w:asciiTheme="minorHAnsi" w:eastAsia="Calibri" w:hAnsiTheme="minorHAnsi" w:cstheme="minorHAnsi"/>
                <w:b/>
                <w:bCs/>
                <w:sz w:val="22"/>
                <w:szCs w:val="22"/>
              </w:rPr>
              <w:t>F</w:t>
            </w:r>
            <w:r w:rsidRPr="00A90769">
              <w:rPr>
                <w:rFonts w:asciiTheme="minorHAnsi" w:eastAsia="Calibri" w:hAnsiTheme="minorHAnsi" w:cstheme="minorHAnsi"/>
                <w:b/>
                <w:bCs/>
                <w:sz w:val="22"/>
                <w:szCs w:val="22"/>
              </w:rPr>
              <w:t>NPV</w:t>
            </w:r>
          </w:p>
        </w:tc>
        <w:tc>
          <w:tcPr>
            <w:tcW w:w="1701" w:type="dxa"/>
            <w:tcBorders>
              <w:top w:val="single" w:sz="4" w:space="0" w:color="auto"/>
              <w:left w:val="single" w:sz="4" w:space="0" w:color="auto"/>
              <w:bottom w:val="single" w:sz="4" w:space="0" w:color="auto"/>
              <w:right w:val="single" w:sz="4" w:space="0" w:color="auto"/>
            </w:tcBorders>
            <w:hideMark/>
          </w:tcPr>
          <w:p w:rsidR="006A2747" w:rsidRPr="00A90769" w:rsidRDefault="006A2747" w:rsidP="00423120">
            <w:pPr>
              <w:keepNext/>
              <w:jc w:val="center"/>
              <w:rPr>
                <w:rFonts w:asciiTheme="minorHAnsi" w:eastAsia="Calibri" w:hAnsiTheme="minorHAnsi" w:cstheme="minorHAnsi"/>
                <w:b/>
                <w:bCs/>
                <w:sz w:val="22"/>
                <w:szCs w:val="22"/>
              </w:rPr>
            </w:pPr>
            <w:r>
              <w:rPr>
                <w:rFonts w:asciiTheme="minorHAnsi" w:eastAsia="Calibri" w:hAnsiTheme="minorHAnsi" w:cstheme="minorHAnsi"/>
                <w:b/>
                <w:bCs/>
                <w:sz w:val="22"/>
                <w:szCs w:val="22"/>
              </w:rPr>
              <w:t>F</w:t>
            </w:r>
            <w:r w:rsidRPr="00A90769">
              <w:rPr>
                <w:rFonts w:asciiTheme="minorHAnsi" w:eastAsia="Calibri" w:hAnsiTheme="minorHAnsi" w:cstheme="minorHAnsi"/>
                <w:b/>
                <w:bCs/>
                <w:sz w:val="22"/>
                <w:szCs w:val="22"/>
              </w:rPr>
              <w:t>NPV/I</w:t>
            </w:r>
          </w:p>
        </w:tc>
        <w:tc>
          <w:tcPr>
            <w:tcW w:w="1559" w:type="dxa"/>
            <w:tcBorders>
              <w:top w:val="single" w:sz="4" w:space="0" w:color="auto"/>
              <w:left w:val="single" w:sz="4" w:space="0" w:color="auto"/>
              <w:bottom w:val="single" w:sz="4" w:space="0" w:color="auto"/>
              <w:right w:val="single" w:sz="4" w:space="0" w:color="auto"/>
            </w:tcBorders>
            <w:hideMark/>
          </w:tcPr>
          <w:p w:rsidR="006A2747" w:rsidRPr="00A90769" w:rsidRDefault="006A2747" w:rsidP="00423120">
            <w:pPr>
              <w:keepNext/>
              <w:jc w:val="center"/>
              <w:rPr>
                <w:rFonts w:asciiTheme="minorHAnsi" w:eastAsia="Calibri" w:hAnsiTheme="minorHAnsi" w:cstheme="minorHAnsi"/>
                <w:b/>
                <w:bCs/>
                <w:sz w:val="22"/>
                <w:szCs w:val="22"/>
              </w:rPr>
            </w:pPr>
            <w:r>
              <w:rPr>
                <w:rFonts w:asciiTheme="minorHAnsi" w:eastAsia="Calibri" w:hAnsiTheme="minorHAnsi" w:cstheme="minorHAnsi"/>
                <w:b/>
                <w:bCs/>
                <w:sz w:val="22"/>
                <w:szCs w:val="22"/>
              </w:rPr>
              <w:t>F</w:t>
            </w:r>
            <w:r w:rsidRPr="00A90769">
              <w:rPr>
                <w:rFonts w:asciiTheme="minorHAnsi" w:eastAsia="Calibri" w:hAnsiTheme="minorHAnsi" w:cstheme="minorHAnsi"/>
                <w:b/>
                <w:bCs/>
                <w:sz w:val="22"/>
                <w:szCs w:val="22"/>
              </w:rPr>
              <w:t>IRR</w:t>
            </w:r>
          </w:p>
        </w:tc>
        <w:tc>
          <w:tcPr>
            <w:tcW w:w="1559" w:type="dxa"/>
            <w:tcBorders>
              <w:top w:val="single" w:sz="4" w:space="0" w:color="auto"/>
              <w:left w:val="single" w:sz="4" w:space="0" w:color="auto"/>
              <w:bottom w:val="single" w:sz="4" w:space="0" w:color="auto"/>
              <w:right w:val="single" w:sz="4" w:space="0" w:color="auto"/>
            </w:tcBorders>
            <w:hideMark/>
          </w:tcPr>
          <w:p w:rsidR="006A2747" w:rsidRPr="00A90769" w:rsidRDefault="006A2747" w:rsidP="00423120">
            <w:pPr>
              <w:keepNext/>
              <w:jc w:val="center"/>
              <w:rPr>
                <w:rFonts w:asciiTheme="minorHAnsi" w:eastAsia="Calibri" w:hAnsiTheme="minorHAnsi" w:cstheme="minorHAnsi"/>
                <w:b/>
                <w:bCs/>
                <w:sz w:val="22"/>
                <w:szCs w:val="22"/>
              </w:rPr>
            </w:pPr>
            <w:r>
              <w:rPr>
                <w:rFonts w:asciiTheme="minorHAnsi" w:eastAsia="Calibri" w:hAnsiTheme="minorHAnsi" w:cstheme="minorHAnsi"/>
                <w:b/>
                <w:bCs/>
                <w:sz w:val="22"/>
                <w:szCs w:val="22"/>
              </w:rPr>
              <w:t>DN</w:t>
            </w:r>
          </w:p>
        </w:tc>
      </w:tr>
      <w:tr w:rsidR="006A2747" w:rsidRPr="00A90769" w:rsidTr="00754E12">
        <w:trPr>
          <w:trHeight w:hRule="exact" w:val="284"/>
        </w:trPr>
        <w:tc>
          <w:tcPr>
            <w:tcW w:w="2608" w:type="dxa"/>
            <w:tcBorders>
              <w:top w:val="single" w:sz="4" w:space="0" w:color="auto"/>
              <w:left w:val="single" w:sz="4" w:space="0" w:color="auto"/>
              <w:bottom w:val="single" w:sz="4" w:space="0" w:color="auto"/>
              <w:right w:val="single" w:sz="4" w:space="0" w:color="auto"/>
            </w:tcBorders>
            <w:hideMark/>
          </w:tcPr>
          <w:p w:rsidR="006A2747" w:rsidRPr="00A90769" w:rsidRDefault="006A2747" w:rsidP="00423120">
            <w:pPr>
              <w:keepNext/>
              <w:rPr>
                <w:rFonts w:asciiTheme="minorHAnsi" w:eastAsia="Calibri" w:hAnsiTheme="minorHAnsi" w:cstheme="minorHAnsi"/>
                <w:bCs/>
                <w:sz w:val="22"/>
                <w:szCs w:val="22"/>
              </w:rPr>
            </w:pPr>
            <w:r w:rsidRPr="00A90769">
              <w:rPr>
                <w:rFonts w:asciiTheme="minorHAnsi" w:eastAsia="Calibri" w:hAnsiTheme="minorHAnsi" w:cstheme="minorHAnsi"/>
                <w:bCs/>
                <w:sz w:val="22"/>
                <w:szCs w:val="22"/>
              </w:rPr>
              <w:t xml:space="preserve">společenská návratnost </w:t>
            </w:r>
          </w:p>
        </w:tc>
        <w:tc>
          <w:tcPr>
            <w:tcW w:w="1753" w:type="dxa"/>
            <w:tcBorders>
              <w:top w:val="single" w:sz="4" w:space="0" w:color="auto"/>
              <w:left w:val="single" w:sz="4" w:space="0" w:color="auto"/>
              <w:bottom w:val="single" w:sz="4" w:space="0" w:color="auto"/>
              <w:right w:val="single" w:sz="4" w:space="0" w:color="auto"/>
            </w:tcBorders>
            <w:hideMark/>
          </w:tcPr>
          <w:p w:rsidR="006A2747" w:rsidRPr="00A90769" w:rsidRDefault="006A2747" w:rsidP="00423120">
            <w:pPr>
              <w:keepNext/>
              <w:jc w:val="center"/>
              <w:rPr>
                <w:rFonts w:asciiTheme="minorHAnsi" w:eastAsia="Calibri" w:hAnsiTheme="minorHAnsi" w:cstheme="minorHAnsi"/>
                <w:bCs/>
                <w:sz w:val="22"/>
                <w:szCs w:val="22"/>
              </w:rPr>
            </w:pPr>
            <w:r w:rsidRPr="00A90769">
              <w:rPr>
                <w:rFonts w:asciiTheme="minorHAnsi" w:eastAsia="Calibri" w:hAnsiTheme="minorHAnsi" w:cstheme="minorHAnsi"/>
                <w:bCs/>
                <w:sz w:val="22"/>
                <w:szCs w:val="22"/>
              </w:rPr>
              <w:t>156 mil. Kč</w:t>
            </w:r>
          </w:p>
        </w:tc>
        <w:tc>
          <w:tcPr>
            <w:tcW w:w="1701" w:type="dxa"/>
            <w:tcBorders>
              <w:top w:val="single" w:sz="4" w:space="0" w:color="auto"/>
              <w:left w:val="single" w:sz="4" w:space="0" w:color="auto"/>
              <w:bottom w:val="single" w:sz="4" w:space="0" w:color="auto"/>
              <w:right w:val="single" w:sz="4" w:space="0" w:color="auto"/>
            </w:tcBorders>
            <w:hideMark/>
          </w:tcPr>
          <w:p w:rsidR="006A2747" w:rsidRPr="00A90769" w:rsidRDefault="006A2747" w:rsidP="00423120">
            <w:pPr>
              <w:keepNext/>
              <w:jc w:val="center"/>
              <w:rPr>
                <w:rFonts w:asciiTheme="minorHAnsi" w:eastAsia="Calibri" w:hAnsiTheme="minorHAnsi" w:cstheme="minorHAnsi"/>
                <w:bCs/>
                <w:sz w:val="22"/>
                <w:szCs w:val="22"/>
              </w:rPr>
            </w:pPr>
            <w:r w:rsidRPr="00A90769">
              <w:rPr>
                <w:rFonts w:asciiTheme="minorHAnsi" w:eastAsia="Calibri" w:hAnsiTheme="minorHAnsi" w:cstheme="minorHAnsi"/>
                <w:bCs/>
                <w:sz w:val="22"/>
                <w:szCs w:val="22"/>
              </w:rPr>
              <w:t>2,8</w:t>
            </w:r>
            <w:r w:rsidR="00760C73">
              <w:rPr>
                <w:rFonts w:asciiTheme="minorHAnsi" w:eastAsia="Calibri" w:hAnsiTheme="minorHAnsi" w:cstheme="minorHAnsi"/>
                <w:bCs/>
                <w:sz w:val="22"/>
                <w:szCs w:val="22"/>
              </w:rPr>
              <w:t xml:space="preserve"> </w:t>
            </w:r>
            <w:r w:rsidRPr="00A90769">
              <w:rPr>
                <w:rFonts w:asciiTheme="minorHAnsi" w:eastAsia="Calibri" w:hAnsiTheme="minorHAnsi" w:cstheme="minorHAnsi"/>
                <w:bCs/>
                <w:sz w:val="22"/>
                <w:szCs w:val="22"/>
              </w:rPr>
              <w:t>%</w:t>
            </w:r>
          </w:p>
        </w:tc>
        <w:tc>
          <w:tcPr>
            <w:tcW w:w="1559" w:type="dxa"/>
            <w:tcBorders>
              <w:top w:val="single" w:sz="4" w:space="0" w:color="auto"/>
              <w:left w:val="single" w:sz="4" w:space="0" w:color="auto"/>
              <w:bottom w:val="single" w:sz="4" w:space="0" w:color="auto"/>
              <w:right w:val="single" w:sz="4" w:space="0" w:color="auto"/>
            </w:tcBorders>
            <w:hideMark/>
          </w:tcPr>
          <w:p w:rsidR="006A2747" w:rsidRPr="00A90769" w:rsidRDefault="006A2747" w:rsidP="00423120">
            <w:pPr>
              <w:keepNext/>
              <w:jc w:val="center"/>
              <w:rPr>
                <w:rFonts w:asciiTheme="minorHAnsi" w:eastAsia="Calibri" w:hAnsiTheme="minorHAnsi" w:cstheme="minorHAnsi"/>
                <w:bCs/>
                <w:sz w:val="22"/>
                <w:szCs w:val="22"/>
              </w:rPr>
            </w:pPr>
            <w:r w:rsidRPr="00A90769">
              <w:rPr>
                <w:rFonts w:asciiTheme="minorHAnsi" w:eastAsia="Calibri" w:hAnsiTheme="minorHAnsi" w:cstheme="minorHAnsi"/>
                <w:bCs/>
                <w:sz w:val="22"/>
                <w:szCs w:val="22"/>
              </w:rPr>
              <w:t>6,03</w:t>
            </w:r>
            <w:r w:rsidR="00760C73">
              <w:rPr>
                <w:rFonts w:asciiTheme="minorHAnsi" w:eastAsia="Calibri" w:hAnsiTheme="minorHAnsi" w:cstheme="minorHAnsi"/>
                <w:bCs/>
                <w:sz w:val="22"/>
                <w:szCs w:val="22"/>
              </w:rPr>
              <w:t xml:space="preserve"> </w:t>
            </w:r>
            <w:r w:rsidRPr="00A90769">
              <w:rPr>
                <w:rFonts w:asciiTheme="minorHAnsi" w:eastAsia="Calibri" w:hAnsiTheme="minorHAnsi" w:cstheme="minorHAnsi"/>
                <w:bCs/>
                <w:sz w:val="22"/>
                <w:szCs w:val="22"/>
              </w:rPr>
              <w:t>%</w:t>
            </w:r>
          </w:p>
        </w:tc>
        <w:tc>
          <w:tcPr>
            <w:tcW w:w="1559" w:type="dxa"/>
            <w:tcBorders>
              <w:top w:val="single" w:sz="4" w:space="0" w:color="auto"/>
              <w:left w:val="single" w:sz="4" w:space="0" w:color="auto"/>
              <w:bottom w:val="single" w:sz="4" w:space="0" w:color="auto"/>
              <w:right w:val="single" w:sz="4" w:space="0" w:color="auto"/>
            </w:tcBorders>
            <w:hideMark/>
          </w:tcPr>
          <w:p w:rsidR="006A2747" w:rsidRPr="00A90769" w:rsidRDefault="006A2747" w:rsidP="00423120">
            <w:pPr>
              <w:keepNext/>
              <w:jc w:val="center"/>
              <w:rPr>
                <w:rFonts w:asciiTheme="minorHAnsi" w:eastAsia="Calibri" w:hAnsiTheme="minorHAnsi" w:cstheme="minorHAnsi"/>
                <w:bCs/>
                <w:sz w:val="22"/>
                <w:szCs w:val="22"/>
              </w:rPr>
            </w:pPr>
            <w:r w:rsidRPr="00A90769">
              <w:rPr>
                <w:rFonts w:asciiTheme="minorHAnsi" w:eastAsia="Calibri" w:hAnsiTheme="minorHAnsi" w:cstheme="minorHAnsi"/>
                <w:bCs/>
                <w:sz w:val="22"/>
                <w:szCs w:val="22"/>
              </w:rPr>
              <w:t xml:space="preserve">13 let </w:t>
            </w:r>
          </w:p>
        </w:tc>
      </w:tr>
    </w:tbl>
    <w:p w:rsidR="00990721" w:rsidRPr="006F59A1" w:rsidRDefault="006F59A1" w:rsidP="006F59A1">
      <w:pPr>
        <w:keepNext/>
        <w:ind w:firstLine="720"/>
        <w:jc w:val="center"/>
        <w:rPr>
          <w:rFonts w:asciiTheme="minorHAnsi" w:hAnsiTheme="minorHAnsi" w:cstheme="minorHAnsi"/>
          <w:bCs/>
          <w:i/>
        </w:rPr>
      </w:pPr>
      <w:r w:rsidRPr="006F59A1">
        <w:rPr>
          <w:rFonts w:asciiTheme="minorHAnsi" w:hAnsiTheme="minorHAnsi" w:cstheme="minorHAnsi"/>
          <w:bCs/>
          <w:i/>
        </w:rPr>
        <w:t>Pramen: Vlastní výzkum.</w:t>
      </w:r>
    </w:p>
    <w:p w:rsidR="006A2747" w:rsidRPr="00093336" w:rsidRDefault="006A2747" w:rsidP="00423120">
      <w:pPr>
        <w:keepNext/>
        <w:ind w:firstLine="720"/>
        <w:jc w:val="both"/>
        <w:rPr>
          <w:rFonts w:cs="Tahoma"/>
          <w:bCs/>
          <w:sz w:val="24"/>
          <w:szCs w:val="24"/>
        </w:rPr>
      </w:pPr>
      <w:r>
        <w:rPr>
          <w:rFonts w:cs="Tahoma"/>
          <w:bCs/>
          <w:sz w:val="24"/>
          <w:szCs w:val="24"/>
        </w:rPr>
        <w:t>V</w:t>
      </w:r>
      <w:r w:rsidRPr="00A90769">
        <w:rPr>
          <w:rFonts w:cs="Tahoma"/>
          <w:bCs/>
          <w:sz w:val="24"/>
          <w:szCs w:val="24"/>
        </w:rPr>
        <w:t>ýsledky socioekonomické analýzy se pohybují mírně nad hranicí rentability</w:t>
      </w:r>
      <w:r w:rsidRPr="00093336">
        <w:rPr>
          <w:rFonts w:cs="Tahoma"/>
          <w:bCs/>
          <w:sz w:val="24"/>
          <w:szCs w:val="24"/>
        </w:rPr>
        <w:t xml:space="preserve"> (čistá současná hodnota projektu je kladná, ale </w:t>
      </w:r>
      <w:r>
        <w:rPr>
          <w:rFonts w:cs="Tahoma"/>
          <w:bCs/>
          <w:sz w:val="24"/>
          <w:szCs w:val="24"/>
        </w:rPr>
        <w:t>vzhledem k</w:t>
      </w:r>
      <w:r w:rsidRPr="00093336">
        <w:rPr>
          <w:rFonts w:cs="Tahoma"/>
          <w:bCs/>
          <w:sz w:val="24"/>
          <w:szCs w:val="24"/>
        </w:rPr>
        <w:t xml:space="preserve"> velikost</w:t>
      </w:r>
      <w:r>
        <w:rPr>
          <w:rFonts w:cs="Tahoma"/>
          <w:bCs/>
          <w:sz w:val="24"/>
          <w:szCs w:val="24"/>
        </w:rPr>
        <w:t>i</w:t>
      </w:r>
      <w:r w:rsidRPr="00093336">
        <w:rPr>
          <w:rFonts w:cs="Tahoma"/>
          <w:bCs/>
          <w:sz w:val="24"/>
          <w:szCs w:val="24"/>
        </w:rPr>
        <w:t xml:space="preserve"> investice velmi nízká, vnitřní výnosové procento pouze mírně převyšuje použitou diskontní sazbu 5,5</w:t>
      </w:r>
      <w:r w:rsidR="00760C73">
        <w:rPr>
          <w:rFonts w:cs="Tahoma"/>
          <w:bCs/>
          <w:sz w:val="24"/>
          <w:szCs w:val="24"/>
        </w:rPr>
        <w:t xml:space="preserve"> </w:t>
      </w:r>
      <w:r w:rsidR="008C6D7E">
        <w:rPr>
          <w:rFonts w:cs="Tahoma"/>
          <w:bCs/>
          <w:sz w:val="24"/>
          <w:szCs w:val="24"/>
        </w:rPr>
        <w:t>%). Pro rozhodnutí o </w:t>
      </w:r>
      <w:r w:rsidRPr="00093336">
        <w:rPr>
          <w:rFonts w:cs="Tahoma"/>
          <w:bCs/>
          <w:sz w:val="24"/>
          <w:szCs w:val="24"/>
        </w:rPr>
        <w:t>realizaci projektu je t</w:t>
      </w:r>
      <w:r>
        <w:rPr>
          <w:rFonts w:cs="Tahoma"/>
          <w:bCs/>
          <w:sz w:val="24"/>
          <w:szCs w:val="24"/>
        </w:rPr>
        <w:t xml:space="preserve">ak </w:t>
      </w:r>
      <w:r w:rsidRPr="00093336">
        <w:rPr>
          <w:rFonts w:cs="Tahoma"/>
          <w:bCs/>
          <w:sz w:val="24"/>
          <w:szCs w:val="24"/>
        </w:rPr>
        <w:t>nezbytné prov</w:t>
      </w:r>
      <w:r>
        <w:rPr>
          <w:rFonts w:cs="Tahoma"/>
          <w:bCs/>
          <w:sz w:val="24"/>
          <w:szCs w:val="24"/>
        </w:rPr>
        <w:t xml:space="preserve">ést </w:t>
      </w:r>
      <w:r w:rsidRPr="00093336">
        <w:rPr>
          <w:rFonts w:cs="Tahoma"/>
          <w:bCs/>
          <w:sz w:val="24"/>
          <w:szCs w:val="24"/>
        </w:rPr>
        <w:t>další analýzy, zejména s ohledem na charakter plánovaného vědeckého výzkumu a jeho výsledků (tj. specifikace jednotlivých vědeckých záměrů, předpokládané výsledky a možnost jejich použití, příp</w:t>
      </w:r>
      <w:r>
        <w:rPr>
          <w:rFonts w:cs="Tahoma"/>
          <w:bCs/>
          <w:sz w:val="24"/>
          <w:szCs w:val="24"/>
        </w:rPr>
        <w:t xml:space="preserve">. </w:t>
      </w:r>
      <w:r w:rsidRPr="00093336">
        <w:rPr>
          <w:rFonts w:cs="Tahoma"/>
          <w:bCs/>
          <w:sz w:val="24"/>
          <w:szCs w:val="24"/>
        </w:rPr>
        <w:t xml:space="preserve">pravděpodobnost úspěchu). </w:t>
      </w:r>
    </w:p>
    <w:p w:rsidR="006A2747" w:rsidRPr="00093336" w:rsidRDefault="006A2747" w:rsidP="00423120">
      <w:pPr>
        <w:keepNext/>
        <w:jc w:val="both"/>
        <w:rPr>
          <w:rFonts w:cs="Tahoma"/>
          <w:b/>
          <w:bCs/>
          <w:sz w:val="24"/>
          <w:szCs w:val="24"/>
        </w:rPr>
      </w:pPr>
      <w:r w:rsidRPr="00093336">
        <w:rPr>
          <w:rFonts w:cs="Tahoma"/>
          <w:b/>
          <w:bCs/>
          <w:sz w:val="24"/>
          <w:szCs w:val="24"/>
        </w:rPr>
        <w:t>Shrnutí</w:t>
      </w:r>
    </w:p>
    <w:p w:rsidR="006A2747" w:rsidRPr="00093336" w:rsidRDefault="006A2747" w:rsidP="00423120">
      <w:pPr>
        <w:keepNext/>
        <w:ind w:firstLine="720"/>
        <w:jc w:val="both"/>
        <w:rPr>
          <w:rFonts w:cs="Tahoma"/>
          <w:bCs/>
          <w:sz w:val="24"/>
          <w:szCs w:val="24"/>
        </w:rPr>
      </w:pPr>
      <w:r w:rsidRPr="00093336">
        <w:rPr>
          <w:rFonts w:cs="Tahoma"/>
          <w:bCs/>
          <w:sz w:val="24"/>
          <w:szCs w:val="24"/>
        </w:rPr>
        <w:t xml:space="preserve">Předmětem </w:t>
      </w:r>
      <w:r>
        <w:rPr>
          <w:rFonts w:cs="Tahoma"/>
          <w:bCs/>
          <w:sz w:val="24"/>
          <w:szCs w:val="24"/>
        </w:rPr>
        <w:t xml:space="preserve">modelového </w:t>
      </w:r>
      <w:r w:rsidRPr="00093336">
        <w:rPr>
          <w:rFonts w:cs="Tahoma"/>
          <w:bCs/>
          <w:sz w:val="24"/>
          <w:szCs w:val="24"/>
        </w:rPr>
        <w:t xml:space="preserve">projektu je vybudování vědeckovýzkumného centra excelence s významným nadregionálním, částečně i nadnárodním dopadem. Projekt zahrnuje výstavbu laboratorních prostor, jejich vybavení a náběh provozu. Vědeckovýzkumné centrum bude zaměřeno na obory s vysokým potenciálem, jako jsou nanotechnologie, genomika nebo molekulární medicína. Nositelem projektu je </w:t>
      </w:r>
      <w:r>
        <w:rPr>
          <w:rFonts w:cs="Tahoma"/>
          <w:bCs/>
          <w:sz w:val="24"/>
          <w:szCs w:val="24"/>
        </w:rPr>
        <w:t xml:space="preserve">vybraná </w:t>
      </w:r>
      <w:r w:rsidRPr="00093336">
        <w:rPr>
          <w:rFonts w:cs="Tahoma"/>
          <w:bCs/>
          <w:sz w:val="24"/>
          <w:szCs w:val="24"/>
        </w:rPr>
        <w:t>univerzita ve spolupráci s dalšími vysokými školami a vědeckými ústavy.  Realizace projektu bude hrazena z prostředků OP VaVpI, předpokládaný objem investice překračuje hranici 6</w:t>
      </w:r>
      <w:r w:rsidR="008C6D7E">
        <w:rPr>
          <w:rFonts w:cs="Tahoma"/>
          <w:bCs/>
          <w:sz w:val="24"/>
          <w:szCs w:val="24"/>
        </w:rPr>
        <w:t xml:space="preserve"> mld. Kč. Provoz centra bude do </w:t>
      </w:r>
      <w:r w:rsidRPr="00093336">
        <w:rPr>
          <w:rFonts w:cs="Tahoma"/>
          <w:bCs/>
          <w:sz w:val="24"/>
          <w:szCs w:val="24"/>
        </w:rPr>
        <w:t>značné míry závislý na veřejných financích. Nárokové zdroje pokrývají přibližně dvě třetiny provozního rozpočtu centra, zajištění dalších z</w:t>
      </w:r>
      <w:r w:rsidR="009A4AE0">
        <w:rPr>
          <w:rFonts w:cs="Tahoma"/>
          <w:bCs/>
          <w:sz w:val="24"/>
          <w:szCs w:val="24"/>
        </w:rPr>
        <w:t>drojů bude závislé</w:t>
      </w:r>
      <w:r w:rsidR="008C6D7E">
        <w:rPr>
          <w:rFonts w:cs="Tahoma"/>
          <w:bCs/>
          <w:sz w:val="24"/>
          <w:szCs w:val="24"/>
        </w:rPr>
        <w:t xml:space="preserve"> především na </w:t>
      </w:r>
      <w:r w:rsidRPr="00093336">
        <w:rPr>
          <w:rFonts w:cs="Tahoma"/>
          <w:bCs/>
          <w:sz w:val="24"/>
          <w:szCs w:val="24"/>
        </w:rPr>
        <w:t>vědeckých výsledcích centra a jeho schopnosti prosadit se v soutěžích o grantové financování. Celková roční potřeba zdrojů se pohybuje mezi 700 a 800 milióny Kč. Centrum současně vytvoří podmínky pro 360 vědeckých pracovníků a více než 1300 doktorských studentů. Předpokládané výstupy zahrnují 240 odborných článků ročně</w:t>
      </w:r>
      <w:r>
        <w:rPr>
          <w:rFonts w:cs="Tahoma"/>
          <w:bCs/>
          <w:sz w:val="24"/>
          <w:szCs w:val="24"/>
        </w:rPr>
        <w:t xml:space="preserve"> a </w:t>
      </w:r>
      <w:r w:rsidR="008C6D7E">
        <w:rPr>
          <w:rFonts w:cs="Tahoma"/>
          <w:bCs/>
          <w:sz w:val="24"/>
          <w:szCs w:val="24"/>
        </w:rPr>
        <w:t>desítky patentů a </w:t>
      </w:r>
      <w:r w:rsidRPr="00093336">
        <w:rPr>
          <w:rFonts w:cs="Tahoma"/>
          <w:bCs/>
          <w:sz w:val="24"/>
          <w:szCs w:val="24"/>
        </w:rPr>
        <w:t xml:space="preserve">prototypů.  </w:t>
      </w:r>
    </w:p>
    <w:p w:rsidR="00754E12" w:rsidRDefault="00754E12">
      <w:pPr>
        <w:spacing w:after="0" w:line="240" w:lineRule="auto"/>
        <w:rPr>
          <w:rFonts w:ascii="Cambria" w:hAnsi="Cambria"/>
          <w:b/>
          <w:bCs/>
          <w:color w:val="0070C0"/>
          <w:sz w:val="28"/>
          <w:szCs w:val="28"/>
        </w:rPr>
      </w:pPr>
      <w:r>
        <w:br w:type="page"/>
      </w:r>
    </w:p>
    <w:p w:rsidR="00C24344" w:rsidRPr="003766B5" w:rsidRDefault="00C24344" w:rsidP="00890421">
      <w:pPr>
        <w:pStyle w:val="02-Nadpis2"/>
      </w:pPr>
      <w:bookmarkStart w:id="116" w:name="_Toc382327207"/>
      <w:r w:rsidRPr="003766B5">
        <w:lastRenderedPageBreak/>
        <w:t>Použitá literatura</w:t>
      </w:r>
      <w:bookmarkEnd w:id="116"/>
    </w:p>
    <w:p w:rsidR="009A4AE0" w:rsidRPr="00232085" w:rsidRDefault="006A2747" w:rsidP="003B3C75">
      <w:pPr>
        <w:keepNext/>
        <w:spacing w:after="120" w:line="240" w:lineRule="auto"/>
        <w:jc w:val="both"/>
        <w:rPr>
          <w:rFonts w:eastAsia="Calibri"/>
          <w:sz w:val="24"/>
          <w:szCs w:val="24"/>
          <w:lang w:eastAsia="en-US"/>
        </w:rPr>
      </w:pPr>
      <w:r w:rsidRPr="00232085">
        <w:rPr>
          <w:rFonts w:eastAsia="Calibri"/>
          <w:caps/>
          <w:sz w:val="24"/>
          <w:szCs w:val="24"/>
          <w:lang w:eastAsia="en-US"/>
        </w:rPr>
        <w:t>Adámek, P., Stejskal, J.</w:t>
      </w:r>
      <w:r w:rsidRPr="00232085">
        <w:rPr>
          <w:rFonts w:eastAsia="Calibri"/>
          <w:sz w:val="24"/>
          <w:szCs w:val="24"/>
          <w:lang w:eastAsia="en-US"/>
        </w:rPr>
        <w:t xml:space="preserve"> (2006): Statistická identifikace klastrů. Zpráva o zdrojích dat. Praha, Berman Gr</w:t>
      </w:r>
      <w:r w:rsidR="009A4AE0">
        <w:rPr>
          <w:rFonts w:eastAsia="Calibri"/>
          <w:sz w:val="24"/>
          <w:szCs w:val="24"/>
          <w:lang w:eastAsia="en-US"/>
        </w:rPr>
        <w:t>oup.</w:t>
      </w:r>
    </w:p>
    <w:p w:rsidR="006A2747" w:rsidRPr="00232085" w:rsidRDefault="006A2747" w:rsidP="003B3C75">
      <w:pPr>
        <w:keepNext/>
        <w:keepLines/>
        <w:widowControl w:val="0"/>
        <w:suppressLineNumbers/>
        <w:spacing w:after="120" w:line="240" w:lineRule="auto"/>
        <w:jc w:val="both"/>
        <w:rPr>
          <w:rFonts w:eastAsia="Calibri"/>
          <w:sz w:val="24"/>
          <w:szCs w:val="24"/>
          <w:lang w:eastAsia="en-US"/>
        </w:rPr>
      </w:pPr>
      <w:r w:rsidRPr="00232085">
        <w:rPr>
          <w:rFonts w:eastAsia="Calibri"/>
          <w:caps/>
          <w:sz w:val="24"/>
          <w:szCs w:val="24"/>
          <w:lang w:eastAsia="en-US"/>
        </w:rPr>
        <w:t>Barro, R., Sala-i-Martin, X. (2004):</w:t>
      </w:r>
      <w:r w:rsidRPr="00232085">
        <w:rPr>
          <w:rFonts w:eastAsia="Calibri"/>
          <w:sz w:val="24"/>
          <w:szCs w:val="24"/>
          <w:lang w:eastAsia="en-US"/>
        </w:rPr>
        <w:t xml:space="preserve"> </w:t>
      </w:r>
      <w:proofErr w:type="gramStart"/>
      <w:r w:rsidRPr="00232085">
        <w:rPr>
          <w:rFonts w:eastAsia="Calibri"/>
          <w:sz w:val="24"/>
          <w:szCs w:val="24"/>
          <w:lang w:val="en-GB" w:eastAsia="en-US"/>
        </w:rPr>
        <w:t>Economic Growth.</w:t>
      </w:r>
      <w:proofErr w:type="gramEnd"/>
      <w:r w:rsidRPr="00232085">
        <w:rPr>
          <w:rFonts w:eastAsia="Calibri"/>
          <w:sz w:val="24"/>
          <w:szCs w:val="24"/>
          <w:lang w:val="en-GB" w:eastAsia="en-US"/>
        </w:rPr>
        <w:t xml:space="preserve"> </w:t>
      </w:r>
      <w:proofErr w:type="gramStart"/>
      <w:r w:rsidRPr="00232085">
        <w:rPr>
          <w:rFonts w:eastAsia="Calibri"/>
          <w:sz w:val="24"/>
          <w:szCs w:val="24"/>
          <w:lang w:val="en-GB" w:eastAsia="en-US"/>
        </w:rPr>
        <w:t>Cambridge, Massachusetts institute of Technology.</w:t>
      </w:r>
      <w:proofErr w:type="gramEnd"/>
      <w:r w:rsidRPr="00232085">
        <w:rPr>
          <w:rFonts w:eastAsia="Calibri"/>
          <w:sz w:val="24"/>
          <w:szCs w:val="24"/>
          <w:lang w:val="en-GB" w:eastAsia="en-US"/>
        </w:rPr>
        <w:t xml:space="preserve"> </w:t>
      </w:r>
    </w:p>
    <w:p w:rsidR="006A2747" w:rsidRPr="00232085" w:rsidRDefault="006A2747" w:rsidP="003B3C75">
      <w:pPr>
        <w:keepNext/>
        <w:keepLines/>
        <w:widowControl w:val="0"/>
        <w:suppressLineNumbers/>
        <w:spacing w:after="120" w:line="240" w:lineRule="auto"/>
        <w:jc w:val="both"/>
        <w:rPr>
          <w:rFonts w:eastAsia="Calibri"/>
          <w:iCs/>
          <w:sz w:val="24"/>
          <w:szCs w:val="24"/>
          <w:lang w:eastAsia="en-US"/>
        </w:rPr>
      </w:pPr>
      <w:r w:rsidRPr="00232085">
        <w:rPr>
          <w:rFonts w:eastAsia="Calibri"/>
          <w:iCs/>
          <w:caps/>
          <w:sz w:val="24"/>
          <w:szCs w:val="24"/>
          <w:lang w:eastAsia="en-US"/>
        </w:rPr>
        <w:t>BenÁČek, V.</w:t>
      </w:r>
      <w:r w:rsidRPr="00232085">
        <w:rPr>
          <w:rFonts w:eastAsia="Calibri"/>
          <w:iCs/>
          <w:sz w:val="24"/>
          <w:szCs w:val="24"/>
          <w:lang w:eastAsia="en-US"/>
        </w:rPr>
        <w:t xml:space="preserve"> (2000): Přímé zahraniční investice v české ekonomi</w:t>
      </w:r>
      <w:r w:rsidR="006D46B0">
        <w:rPr>
          <w:rFonts w:eastAsia="Calibri"/>
          <w:iCs/>
          <w:sz w:val="24"/>
          <w:szCs w:val="24"/>
          <w:lang w:eastAsia="en-US"/>
        </w:rPr>
        <w:t>ce. Politická ekonomie, 1, s. 7–</w:t>
      </w:r>
      <w:r w:rsidRPr="00232085">
        <w:rPr>
          <w:rFonts w:eastAsia="Calibri"/>
          <w:iCs/>
          <w:sz w:val="24"/>
          <w:szCs w:val="24"/>
          <w:lang w:eastAsia="en-US"/>
        </w:rPr>
        <w:t xml:space="preserve">24. </w:t>
      </w:r>
    </w:p>
    <w:p w:rsidR="006A2747" w:rsidRPr="00232085" w:rsidRDefault="006A2747" w:rsidP="003B3C75">
      <w:pPr>
        <w:keepNext/>
        <w:keepLines/>
        <w:widowControl w:val="0"/>
        <w:suppressLineNumbers/>
        <w:autoSpaceDE w:val="0"/>
        <w:autoSpaceDN w:val="0"/>
        <w:adjustRightInd w:val="0"/>
        <w:spacing w:after="120" w:line="240" w:lineRule="auto"/>
        <w:jc w:val="both"/>
        <w:rPr>
          <w:sz w:val="24"/>
          <w:szCs w:val="24"/>
        </w:rPr>
      </w:pPr>
      <w:r w:rsidRPr="00232085">
        <w:rPr>
          <w:caps/>
          <w:sz w:val="24"/>
          <w:szCs w:val="24"/>
        </w:rPr>
        <w:t>Blažek, J., Hejnová, T.</w:t>
      </w:r>
      <w:r w:rsidRPr="00232085">
        <w:rPr>
          <w:sz w:val="24"/>
          <w:szCs w:val="24"/>
        </w:rPr>
        <w:t xml:space="preserve"> (2012), Analýza prostorového rozložení klastrů v ČR aneb Mají české klastry potenciál pro dosažení synergií z aglomeračních výh</w:t>
      </w:r>
      <w:r w:rsidR="006D46B0">
        <w:rPr>
          <w:sz w:val="24"/>
          <w:szCs w:val="24"/>
        </w:rPr>
        <w:t>od?, Regionální studia, 2, s. 2–</w:t>
      </w:r>
      <w:r w:rsidRPr="00232085">
        <w:rPr>
          <w:sz w:val="24"/>
          <w:szCs w:val="24"/>
        </w:rPr>
        <w:t>13.</w:t>
      </w:r>
    </w:p>
    <w:p w:rsidR="006A2747" w:rsidRPr="00232085" w:rsidRDefault="006A2747" w:rsidP="003B3C75">
      <w:pPr>
        <w:keepNext/>
        <w:keepLines/>
        <w:widowControl w:val="0"/>
        <w:suppressLineNumbers/>
        <w:spacing w:after="120" w:line="240" w:lineRule="auto"/>
        <w:jc w:val="both"/>
        <w:rPr>
          <w:rFonts w:eastAsia="Calibri"/>
          <w:sz w:val="24"/>
          <w:szCs w:val="24"/>
          <w:lang w:eastAsia="en-US"/>
        </w:rPr>
      </w:pPr>
      <w:r w:rsidRPr="00232085">
        <w:rPr>
          <w:rFonts w:eastAsia="Calibri"/>
          <w:caps/>
          <w:sz w:val="24"/>
          <w:szCs w:val="24"/>
          <w:lang w:eastAsia="en-US"/>
        </w:rPr>
        <w:t>Brožová, D. (2006</w:t>
      </w:r>
      <w:r w:rsidRPr="00232085">
        <w:rPr>
          <w:rFonts w:eastAsia="Calibri"/>
          <w:sz w:val="24"/>
          <w:szCs w:val="24"/>
          <w:lang w:eastAsia="en-US"/>
        </w:rPr>
        <w:t>): Malé dějiny ekonomického myšlení. Praha, Vysoká škola ekonomická.</w:t>
      </w:r>
    </w:p>
    <w:p w:rsidR="006A2747" w:rsidRPr="00232085" w:rsidRDefault="006A2747" w:rsidP="003B3C75">
      <w:pPr>
        <w:keepNext/>
        <w:keepLines/>
        <w:widowControl w:val="0"/>
        <w:suppressLineNumbers/>
        <w:spacing w:after="120" w:line="240" w:lineRule="auto"/>
        <w:jc w:val="both"/>
        <w:rPr>
          <w:rFonts w:eastAsia="Calibri"/>
          <w:iCs/>
          <w:sz w:val="24"/>
          <w:szCs w:val="24"/>
          <w:lang w:eastAsia="en-US"/>
        </w:rPr>
      </w:pPr>
      <w:r w:rsidRPr="00232085">
        <w:rPr>
          <w:rFonts w:eastAsia="Calibri"/>
          <w:iCs/>
          <w:caps/>
          <w:sz w:val="24"/>
          <w:szCs w:val="24"/>
          <w:lang w:eastAsia="en-US"/>
        </w:rPr>
        <w:t>Buček, M. a kol</w:t>
      </w:r>
      <w:r w:rsidRPr="00232085">
        <w:rPr>
          <w:rFonts w:eastAsia="Calibri"/>
          <w:iCs/>
          <w:sz w:val="24"/>
          <w:szCs w:val="24"/>
          <w:lang w:eastAsia="en-US"/>
        </w:rPr>
        <w:t xml:space="preserve">. (2011): Regionálny rozvoj. Novšie teoretické koncepcie. Bratislava, Ekonóm. </w:t>
      </w:r>
    </w:p>
    <w:p w:rsidR="006A2747" w:rsidRPr="00232085" w:rsidRDefault="006A2747" w:rsidP="003B3C75">
      <w:pPr>
        <w:keepNext/>
        <w:keepLines/>
        <w:widowControl w:val="0"/>
        <w:suppressLineNumbers/>
        <w:autoSpaceDE w:val="0"/>
        <w:autoSpaceDN w:val="0"/>
        <w:adjustRightInd w:val="0"/>
        <w:spacing w:after="120" w:line="240" w:lineRule="auto"/>
        <w:jc w:val="both"/>
        <w:rPr>
          <w:sz w:val="24"/>
          <w:szCs w:val="24"/>
        </w:rPr>
      </w:pPr>
      <w:r w:rsidRPr="00232085">
        <w:rPr>
          <w:caps/>
          <w:sz w:val="24"/>
          <w:szCs w:val="24"/>
        </w:rPr>
        <w:t>Buček, M., Rehák, Š., Hudec, O.</w:t>
      </w:r>
      <w:r w:rsidRPr="00232085">
        <w:rPr>
          <w:sz w:val="24"/>
          <w:szCs w:val="24"/>
        </w:rPr>
        <w:t xml:space="preserve"> (2012), Regionálne trajektórie znalostnej ekonomiky (evolúcia klastrov). In: Koutský, J., Raška, P., Výzkum regionálního rozvoje – vybrané přístupy a témata, Univerzita Jana Evangelisty Purkyně v Ústí nad Labem, </w:t>
      </w:r>
      <w:r>
        <w:rPr>
          <w:sz w:val="24"/>
          <w:szCs w:val="24"/>
        </w:rPr>
        <w:t>s</w:t>
      </w:r>
      <w:r w:rsidR="006D46B0">
        <w:rPr>
          <w:sz w:val="24"/>
          <w:szCs w:val="24"/>
        </w:rPr>
        <w:t>. 19–</w:t>
      </w:r>
      <w:r w:rsidRPr="00232085">
        <w:rPr>
          <w:sz w:val="24"/>
          <w:szCs w:val="24"/>
        </w:rPr>
        <w:t>30.</w:t>
      </w:r>
    </w:p>
    <w:p w:rsidR="006A2747" w:rsidRPr="00232085" w:rsidRDefault="006A2747" w:rsidP="003B3C75">
      <w:pPr>
        <w:keepNext/>
        <w:spacing w:after="120" w:line="240" w:lineRule="auto"/>
        <w:jc w:val="both"/>
        <w:rPr>
          <w:rFonts w:eastAsia="Calibri"/>
          <w:sz w:val="24"/>
          <w:szCs w:val="24"/>
          <w:lang w:eastAsia="en-US"/>
        </w:rPr>
      </w:pPr>
      <w:r w:rsidRPr="00232085">
        <w:rPr>
          <w:rFonts w:eastAsia="Calibri"/>
          <w:caps/>
          <w:sz w:val="24"/>
          <w:szCs w:val="24"/>
          <w:lang w:eastAsia="en-US"/>
        </w:rPr>
        <w:t>Čadil, J. (2010):</w:t>
      </w:r>
      <w:r w:rsidRPr="00232085">
        <w:rPr>
          <w:rFonts w:eastAsia="Calibri"/>
          <w:sz w:val="24"/>
          <w:szCs w:val="24"/>
          <w:lang w:eastAsia="en-US"/>
        </w:rPr>
        <w:t xml:space="preserve"> Regionální ekonomie. Teorie a aplikace. Praha, C. H. Beck. </w:t>
      </w:r>
    </w:p>
    <w:p w:rsidR="006A2747" w:rsidRPr="00232085" w:rsidRDefault="006A2747" w:rsidP="003B3C75">
      <w:pPr>
        <w:keepNext/>
        <w:keepLines/>
        <w:widowControl w:val="0"/>
        <w:suppressLineNumbers/>
        <w:autoSpaceDE w:val="0"/>
        <w:autoSpaceDN w:val="0"/>
        <w:adjustRightInd w:val="0"/>
        <w:spacing w:after="120" w:line="240" w:lineRule="auto"/>
        <w:jc w:val="both"/>
        <w:rPr>
          <w:sz w:val="24"/>
          <w:szCs w:val="24"/>
        </w:rPr>
      </w:pPr>
      <w:r w:rsidRPr="00232085">
        <w:rPr>
          <w:caps/>
          <w:sz w:val="24"/>
          <w:szCs w:val="24"/>
        </w:rPr>
        <w:t>European Commission</w:t>
      </w:r>
      <w:r w:rsidRPr="00232085">
        <w:rPr>
          <w:sz w:val="24"/>
          <w:szCs w:val="24"/>
        </w:rPr>
        <w:t xml:space="preserve"> (1996): Regional Development Studies – The Impact of the Development of the Countries of Central and Eastern Europe on the Community Territory. Office for Official Publications of European Communities, Luxembourg.</w:t>
      </w:r>
    </w:p>
    <w:p w:rsidR="006A2747" w:rsidRPr="00232085" w:rsidRDefault="006A2747" w:rsidP="003B3C75">
      <w:pPr>
        <w:keepNext/>
        <w:keepLines/>
        <w:widowControl w:val="0"/>
        <w:suppressLineNumbers/>
        <w:autoSpaceDE w:val="0"/>
        <w:autoSpaceDN w:val="0"/>
        <w:adjustRightInd w:val="0"/>
        <w:spacing w:after="120" w:line="240" w:lineRule="auto"/>
        <w:jc w:val="both"/>
        <w:rPr>
          <w:sz w:val="24"/>
          <w:szCs w:val="24"/>
        </w:rPr>
      </w:pPr>
      <w:r w:rsidRPr="00232085">
        <w:rPr>
          <w:sz w:val="24"/>
          <w:szCs w:val="24"/>
        </w:rPr>
        <w:t>EUROSTAT (2012): Eurostat regional yearbook.  Publication Office of the EU, Luxembourg.</w:t>
      </w:r>
    </w:p>
    <w:p w:rsidR="006A2747" w:rsidRPr="00232085" w:rsidRDefault="006A2747" w:rsidP="003B3C75">
      <w:pPr>
        <w:keepNext/>
        <w:keepLines/>
        <w:widowControl w:val="0"/>
        <w:suppressLineNumbers/>
        <w:spacing w:after="120" w:line="240" w:lineRule="auto"/>
        <w:jc w:val="both"/>
        <w:rPr>
          <w:sz w:val="24"/>
          <w:szCs w:val="24"/>
          <w:lang w:val="sk-SK"/>
        </w:rPr>
      </w:pPr>
      <w:r w:rsidRPr="00232085">
        <w:rPr>
          <w:caps/>
          <w:sz w:val="24"/>
          <w:szCs w:val="24"/>
          <w:lang w:val="sk-SK"/>
        </w:rPr>
        <w:t>Hamalová, M. a kol.</w:t>
      </w:r>
      <w:r w:rsidRPr="00232085">
        <w:rPr>
          <w:sz w:val="24"/>
          <w:szCs w:val="24"/>
          <w:lang w:val="sk-SK"/>
        </w:rPr>
        <w:t xml:space="preserve"> (1996). Priestorová ekonomika. Bratislava, Ekonóm. </w:t>
      </w:r>
    </w:p>
    <w:p w:rsidR="006A2747" w:rsidRPr="00232085" w:rsidRDefault="006A2747" w:rsidP="003B3C75">
      <w:pPr>
        <w:keepNext/>
        <w:keepLines/>
        <w:widowControl w:val="0"/>
        <w:suppressLineNumbers/>
        <w:autoSpaceDE w:val="0"/>
        <w:autoSpaceDN w:val="0"/>
        <w:adjustRightInd w:val="0"/>
        <w:spacing w:after="120" w:line="240" w:lineRule="auto"/>
        <w:jc w:val="both"/>
        <w:rPr>
          <w:sz w:val="24"/>
          <w:szCs w:val="24"/>
        </w:rPr>
      </w:pPr>
      <w:r w:rsidRPr="00232085">
        <w:rPr>
          <w:sz w:val="24"/>
          <w:szCs w:val="24"/>
        </w:rPr>
        <w:t xml:space="preserve">HAMPL, M. (2010): Regionální diferenciace </w:t>
      </w:r>
      <w:r w:rsidR="006D46B0">
        <w:rPr>
          <w:sz w:val="24"/>
          <w:szCs w:val="24"/>
        </w:rPr>
        <w:t>společnosti, Geografie, 1, s. 1–</w:t>
      </w:r>
      <w:r w:rsidRPr="00232085">
        <w:rPr>
          <w:sz w:val="24"/>
          <w:szCs w:val="24"/>
        </w:rPr>
        <w:t>20.</w:t>
      </w:r>
    </w:p>
    <w:p w:rsidR="006A2747" w:rsidRPr="000F194E" w:rsidRDefault="006A2747" w:rsidP="003B3C75">
      <w:pPr>
        <w:keepNext/>
        <w:spacing w:after="120" w:line="240" w:lineRule="auto"/>
        <w:jc w:val="both"/>
        <w:outlineLvl w:val="1"/>
        <w:rPr>
          <w:rFonts w:eastAsia="Calibri"/>
          <w:bCs/>
          <w:iCs/>
          <w:sz w:val="24"/>
          <w:szCs w:val="24"/>
          <w:lang w:eastAsia="en-US"/>
        </w:rPr>
      </w:pPr>
      <w:r w:rsidRPr="000F194E">
        <w:rPr>
          <w:rFonts w:eastAsia="Calibri"/>
          <w:bCs/>
          <w:iCs/>
          <w:caps/>
          <w:sz w:val="24"/>
          <w:szCs w:val="24"/>
          <w:lang w:eastAsia="en-US"/>
        </w:rPr>
        <w:t xml:space="preserve">HARVEY, D. (1985): </w:t>
      </w:r>
      <w:r w:rsidRPr="000F194E">
        <w:rPr>
          <w:rFonts w:eastAsia="Calibri"/>
          <w:bCs/>
          <w:iCs/>
          <w:sz w:val="24"/>
          <w:szCs w:val="24"/>
          <w:lang w:eastAsia="en-US"/>
        </w:rPr>
        <w:t xml:space="preserve">The </w:t>
      </w:r>
      <w:r>
        <w:rPr>
          <w:rFonts w:eastAsia="Calibri"/>
          <w:bCs/>
          <w:iCs/>
          <w:sz w:val="24"/>
          <w:szCs w:val="24"/>
          <w:lang w:eastAsia="en-US"/>
        </w:rPr>
        <w:t>u</w:t>
      </w:r>
      <w:r w:rsidRPr="000F194E">
        <w:rPr>
          <w:rFonts w:eastAsia="Calibri"/>
          <w:bCs/>
          <w:iCs/>
          <w:sz w:val="24"/>
          <w:szCs w:val="24"/>
          <w:lang w:eastAsia="en-US"/>
        </w:rPr>
        <w:t xml:space="preserve">rbanization of </w:t>
      </w:r>
      <w:r>
        <w:rPr>
          <w:rFonts w:eastAsia="Calibri"/>
          <w:bCs/>
          <w:iCs/>
          <w:sz w:val="24"/>
          <w:szCs w:val="24"/>
          <w:lang w:eastAsia="en-US"/>
        </w:rPr>
        <w:t>c</w:t>
      </w:r>
      <w:r w:rsidRPr="000F194E">
        <w:rPr>
          <w:rFonts w:eastAsia="Calibri"/>
          <w:bCs/>
          <w:iCs/>
          <w:sz w:val="24"/>
          <w:szCs w:val="24"/>
          <w:lang w:eastAsia="en-US"/>
        </w:rPr>
        <w:t>apital:</w:t>
      </w:r>
      <w:r w:rsidRPr="000F194E">
        <w:rPr>
          <w:bCs/>
          <w:sz w:val="24"/>
          <w:szCs w:val="24"/>
          <w:lang w:val="en-GB" w:eastAsia="en-GB"/>
        </w:rPr>
        <w:t xml:space="preserve"> </w:t>
      </w:r>
      <w:r>
        <w:rPr>
          <w:bCs/>
          <w:sz w:val="24"/>
          <w:szCs w:val="24"/>
          <w:lang w:val="en-GB" w:eastAsia="en-GB"/>
        </w:rPr>
        <w:t>s</w:t>
      </w:r>
      <w:r w:rsidRPr="000F194E">
        <w:rPr>
          <w:bCs/>
          <w:sz w:val="24"/>
          <w:szCs w:val="24"/>
          <w:lang w:val="en-GB" w:eastAsia="en-GB"/>
        </w:rPr>
        <w:t>tudies in</w:t>
      </w:r>
      <w:r>
        <w:rPr>
          <w:bCs/>
          <w:sz w:val="24"/>
          <w:szCs w:val="24"/>
          <w:lang w:val="en-GB" w:eastAsia="en-GB"/>
        </w:rPr>
        <w:t xml:space="preserve"> </w:t>
      </w:r>
      <w:r w:rsidRPr="000F194E">
        <w:rPr>
          <w:bCs/>
          <w:sz w:val="24"/>
          <w:szCs w:val="24"/>
          <w:lang w:val="en-GB" w:eastAsia="en-GB"/>
        </w:rPr>
        <w:t>the history and theory of</w:t>
      </w:r>
      <w:r>
        <w:rPr>
          <w:bCs/>
          <w:sz w:val="24"/>
          <w:szCs w:val="24"/>
          <w:lang w:val="en-GB" w:eastAsia="en-GB"/>
        </w:rPr>
        <w:t xml:space="preserve"> </w:t>
      </w:r>
      <w:r w:rsidRPr="000F194E">
        <w:rPr>
          <w:bCs/>
          <w:sz w:val="24"/>
          <w:szCs w:val="24"/>
          <w:lang w:val="en-GB" w:eastAsia="en-GB"/>
        </w:rPr>
        <w:t xml:space="preserve">capitalist urbanization. </w:t>
      </w:r>
      <w:r w:rsidRPr="000F194E">
        <w:rPr>
          <w:rFonts w:eastAsia="Calibri"/>
          <w:bCs/>
          <w:iCs/>
          <w:sz w:val="24"/>
          <w:szCs w:val="24"/>
          <w:lang w:eastAsia="en-US"/>
        </w:rPr>
        <w:t xml:space="preserve"> J. Hopkins University Press, Baltimore. </w:t>
      </w:r>
    </w:p>
    <w:p w:rsidR="006A2747" w:rsidRPr="003C5E32" w:rsidRDefault="006A2747" w:rsidP="003B3C75">
      <w:pPr>
        <w:keepNext/>
        <w:keepLines/>
        <w:widowControl w:val="0"/>
        <w:suppressLineNumbers/>
        <w:autoSpaceDE w:val="0"/>
        <w:autoSpaceDN w:val="0"/>
        <w:adjustRightInd w:val="0"/>
        <w:spacing w:after="120" w:line="240" w:lineRule="auto"/>
        <w:jc w:val="both"/>
        <w:rPr>
          <w:sz w:val="24"/>
          <w:szCs w:val="24"/>
        </w:rPr>
      </w:pPr>
      <w:r w:rsidRPr="00232085">
        <w:rPr>
          <w:caps/>
          <w:sz w:val="24"/>
          <w:szCs w:val="24"/>
        </w:rPr>
        <w:t xml:space="preserve">Henning, M., Moodysson, J., Nilsson, M. </w:t>
      </w:r>
      <w:r w:rsidRPr="00232085">
        <w:rPr>
          <w:sz w:val="24"/>
          <w:szCs w:val="24"/>
        </w:rPr>
        <w:t xml:space="preserve">(2010), Innovation and Regional </w:t>
      </w:r>
      <w:r w:rsidRPr="003C5E32">
        <w:rPr>
          <w:sz w:val="24"/>
          <w:szCs w:val="24"/>
        </w:rPr>
        <w:t>Transformation – From Clusters to New Combinations.</w:t>
      </w:r>
    </w:p>
    <w:p w:rsidR="006A2747" w:rsidRPr="003C5E32" w:rsidRDefault="006A2747" w:rsidP="003B3C75">
      <w:pPr>
        <w:keepNext/>
        <w:keepLines/>
        <w:widowControl w:val="0"/>
        <w:suppressLineNumbers/>
        <w:spacing w:after="120" w:line="240" w:lineRule="auto"/>
        <w:jc w:val="both"/>
        <w:rPr>
          <w:rFonts w:eastAsia="Calibri"/>
          <w:caps/>
          <w:sz w:val="24"/>
          <w:szCs w:val="24"/>
          <w:lang w:eastAsia="en-US"/>
        </w:rPr>
      </w:pPr>
      <w:r w:rsidRPr="003C5E32">
        <w:rPr>
          <w:rFonts w:eastAsia="Calibri"/>
          <w:caps/>
          <w:sz w:val="24"/>
          <w:szCs w:val="24"/>
          <w:lang w:eastAsia="en-US"/>
        </w:rPr>
        <w:t xml:space="preserve">HOllING, C. (2001): </w:t>
      </w:r>
      <w:r w:rsidRPr="003C5E32">
        <w:rPr>
          <w:rFonts w:eastAsia="Calibri"/>
          <w:sz w:val="24"/>
          <w:szCs w:val="24"/>
          <w:lang w:eastAsia="en-US"/>
        </w:rPr>
        <w:t xml:space="preserve">Understanding the </w:t>
      </w:r>
      <w:r>
        <w:rPr>
          <w:rFonts w:eastAsia="Calibri"/>
          <w:sz w:val="24"/>
          <w:szCs w:val="24"/>
          <w:lang w:eastAsia="en-US"/>
        </w:rPr>
        <w:t>C</w:t>
      </w:r>
      <w:r w:rsidRPr="003C5E32">
        <w:rPr>
          <w:rFonts w:eastAsia="Calibri"/>
          <w:sz w:val="24"/>
          <w:szCs w:val="24"/>
          <w:lang w:eastAsia="en-US"/>
        </w:rPr>
        <w:t xml:space="preserve">omplexity of </w:t>
      </w:r>
      <w:r>
        <w:rPr>
          <w:rFonts w:eastAsia="Calibri"/>
          <w:sz w:val="24"/>
          <w:szCs w:val="24"/>
          <w:lang w:eastAsia="en-US"/>
        </w:rPr>
        <w:t>E</w:t>
      </w:r>
      <w:r w:rsidRPr="003C5E32">
        <w:rPr>
          <w:rFonts w:eastAsia="Calibri"/>
          <w:sz w:val="24"/>
          <w:szCs w:val="24"/>
          <w:lang w:eastAsia="en-US"/>
        </w:rPr>
        <w:t xml:space="preserve">conomic, </w:t>
      </w:r>
      <w:r>
        <w:rPr>
          <w:rFonts w:eastAsia="Calibri"/>
          <w:sz w:val="24"/>
          <w:szCs w:val="24"/>
          <w:lang w:eastAsia="en-US"/>
        </w:rPr>
        <w:t>E</w:t>
      </w:r>
      <w:r w:rsidRPr="003C5E32">
        <w:rPr>
          <w:rFonts w:eastAsia="Calibri"/>
          <w:sz w:val="24"/>
          <w:szCs w:val="24"/>
          <w:lang w:eastAsia="en-US"/>
        </w:rPr>
        <w:t xml:space="preserve">cological, and </w:t>
      </w:r>
      <w:r>
        <w:rPr>
          <w:rFonts w:eastAsia="Calibri"/>
          <w:sz w:val="24"/>
          <w:szCs w:val="24"/>
          <w:lang w:eastAsia="en-US"/>
        </w:rPr>
        <w:t>S</w:t>
      </w:r>
      <w:r w:rsidRPr="003C5E32">
        <w:rPr>
          <w:rFonts w:eastAsia="Calibri"/>
          <w:sz w:val="24"/>
          <w:szCs w:val="24"/>
          <w:lang w:eastAsia="en-US"/>
        </w:rPr>
        <w:t xml:space="preserve">ocial </w:t>
      </w:r>
      <w:r>
        <w:rPr>
          <w:rFonts w:eastAsia="Calibri"/>
          <w:sz w:val="24"/>
          <w:szCs w:val="24"/>
          <w:lang w:eastAsia="en-US"/>
        </w:rPr>
        <w:t>S</w:t>
      </w:r>
      <w:r w:rsidR="006D46B0">
        <w:rPr>
          <w:rFonts w:eastAsia="Calibri"/>
          <w:sz w:val="24"/>
          <w:szCs w:val="24"/>
          <w:lang w:eastAsia="en-US"/>
        </w:rPr>
        <w:t>ystems. Ecosystems, 4, pp. 390–</w:t>
      </w:r>
      <w:r w:rsidRPr="003C5E32">
        <w:rPr>
          <w:rFonts w:eastAsia="Calibri"/>
          <w:sz w:val="24"/>
          <w:szCs w:val="24"/>
          <w:lang w:eastAsia="en-US"/>
        </w:rPr>
        <w:t>405.</w:t>
      </w:r>
    </w:p>
    <w:p w:rsidR="006A2747" w:rsidRPr="003C5E32" w:rsidRDefault="006A2747" w:rsidP="003B3C75">
      <w:pPr>
        <w:keepNext/>
        <w:keepLines/>
        <w:widowControl w:val="0"/>
        <w:suppressLineNumbers/>
        <w:spacing w:after="120" w:line="240" w:lineRule="auto"/>
        <w:jc w:val="both"/>
        <w:rPr>
          <w:rFonts w:eastAsia="Calibri"/>
          <w:sz w:val="24"/>
          <w:szCs w:val="24"/>
          <w:lang w:eastAsia="en-US"/>
        </w:rPr>
      </w:pPr>
      <w:r w:rsidRPr="003C5E32">
        <w:rPr>
          <w:rFonts w:eastAsia="Calibri"/>
          <w:caps/>
          <w:sz w:val="24"/>
          <w:szCs w:val="24"/>
          <w:lang w:eastAsia="en-US"/>
        </w:rPr>
        <w:t>Holman, R. a kol. (</w:t>
      </w:r>
      <w:r w:rsidRPr="003C5E32">
        <w:rPr>
          <w:rFonts w:eastAsia="Calibri"/>
          <w:sz w:val="24"/>
          <w:szCs w:val="24"/>
          <w:lang w:eastAsia="en-US"/>
        </w:rPr>
        <w:t>2005): Dějiny ekonomického myšlení. Praha, C. H. Beck.</w:t>
      </w:r>
    </w:p>
    <w:p w:rsidR="006A2747" w:rsidRPr="00232085" w:rsidRDefault="006A2747" w:rsidP="003B3C75">
      <w:pPr>
        <w:keepNext/>
        <w:keepLines/>
        <w:widowControl w:val="0"/>
        <w:suppressLineNumbers/>
        <w:spacing w:after="120" w:line="240" w:lineRule="auto"/>
        <w:jc w:val="both"/>
        <w:rPr>
          <w:rFonts w:eastAsia="Calibri"/>
          <w:bCs/>
          <w:iCs/>
          <w:sz w:val="24"/>
          <w:szCs w:val="24"/>
          <w:lang w:eastAsia="en-US"/>
        </w:rPr>
      </w:pPr>
      <w:r w:rsidRPr="003C5E32">
        <w:rPr>
          <w:rFonts w:eastAsia="Calibri"/>
          <w:bCs/>
          <w:iCs/>
          <w:caps/>
          <w:sz w:val="24"/>
          <w:szCs w:val="24"/>
          <w:lang w:eastAsia="en-US"/>
        </w:rPr>
        <w:t>Janáček, K. (2006</w:t>
      </w:r>
      <w:r w:rsidRPr="003C5E32">
        <w:rPr>
          <w:rFonts w:eastAsia="Calibri"/>
          <w:bCs/>
          <w:iCs/>
          <w:sz w:val="24"/>
          <w:szCs w:val="24"/>
          <w:lang w:eastAsia="en-US"/>
        </w:rPr>
        <w:t xml:space="preserve">): Zahraniční </w:t>
      </w:r>
      <w:r w:rsidRPr="00232085">
        <w:rPr>
          <w:rFonts w:eastAsia="Calibri"/>
          <w:bCs/>
          <w:iCs/>
          <w:sz w:val="24"/>
          <w:szCs w:val="24"/>
          <w:lang w:eastAsia="en-US"/>
        </w:rPr>
        <w:t>investice a český trh práce. In S</w:t>
      </w:r>
      <w:r w:rsidRPr="00232085">
        <w:rPr>
          <w:rFonts w:eastAsia="Calibri"/>
          <w:iCs/>
          <w:sz w:val="24"/>
          <w:szCs w:val="24"/>
          <w:lang w:eastAsia="en-US"/>
        </w:rPr>
        <w:t xml:space="preserve">eminář </w:t>
      </w:r>
      <w:r w:rsidR="006D46B0">
        <w:rPr>
          <w:rFonts w:eastAsia="Calibri"/>
          <w:bCs/>
          <w:iCs/>
          <w:sz w:val="24"/>
          <w:szCs w:val="24"/>
          <w:lang w:eastAsia="en-US"/>
        </w:rPr>
        <w:t xml:space="preserve">Zahraniční investice – </w:t>
      </w:r>
      <w:r w:rsidRPr="00232085">
        <w:rPr>
          <w:rFonts w:eastAsia="Calibri"/>
          <w:bCs/>
          <w:iCs/>
          <w:sz w:val="24"/>
          <w:szCs w:val="24"/>
          <w:lang w:eastAsia="en-US"/>
        </w:rPr>
        <w:t>zázračný lék? Praha, Centrum pro ekonomiku a politiku, (</w:t>
      </w:r>
      <w:r w:rsidRPr="00232085">
        <w:rPr>
          <w:rFonts w:eastAsia="Calibri"/>
          <w:iCs/>
          <w:sz w:val="24"/>
          <w:szCs w:val="24"/>
          <w:lang w:eastAsia="en-US"/>
        </w:rPr>
        <w:t>Dostupné na &lt;http:// cepin.cz/cze/prednaska.php?ID=666).</w:t>
      </w:r>
    </w:p>
    <w:p w:rsidR="006A2747" w:rsidRPr="00232085" w:rsidRDefault="006D46B0" w:rsidP="003B3C75">
      <w:pPr>
        <w:keepNext/>
        <w:keepLines/>
        <w:autoSpaceDE w:val="0"/>
        <w:autoSpaceDN w:val="0"/>
        <w:adjustRightInd w:val="0"/>
        <w:spacing w:after="120" w:line="240" w:lineRule="auto"/>
        <w:jc w:val="both"/>
        <w:rPr>
          <w:sz w:val="24"/>
          <w:szCs w:val="24"/>
        </w:rPr>
      </w:pPr>
      <w:r>
        <w:rPr>
          <w:caps/>
          <w:sz w:val="24"/>
          <w:szCs w:val="24"/>
        </w:rPr>
        <w:t xml:space="preserve">JasperS – </w:t>
      </w:r>
      <w:r w:rsidR="006A2747" w:rsidRPr="00232085">
        <w:rPr>
          <w:caps/>
          <w:sz w:val="24"/>
          <w:szCs w:val="24"/>
        </w:rPr>
        <w:t>EIB (2009):</w:t>
      </w:r>
      <w:r w:rsidR="006A2747" w:rsidRPr="00232085">
        <w:rPr>
          <w:sz w:val="24"/>
          <w:szCs w:val="24"/>
        </w:rPr>
        <w:t xml:space="preserve"> Working document: Background Methodology for Preparing Feasibility and Cost-Benefit Analysis of R&amp;D Infrastructure Projects in Czech Republic, Luxembourg.</w:t>
      </w:r>
    </w:p>
    <w:p w:rsidR="006A2747" w:rsidRDefault="006A2747" w:rsidP="003B3C75">
      <w:pPr>
        <w:keepNext/>
        <w:keepLines/>
        <w:widowControl w:val="0"/>
        <w:suppressLineNumbers/>
        <w:spacing w:after="120" w:line="240" w:lineRule="auto"/>
        <w:jc w:val="both"/>
        <w:rPr>
          <w:rFonts w:eastAsia="Calibri"/>
          <w:iCs/>
          <w:sz w:val="24"/>
          <w:szCs w:val="24"/>
          <w:lang w:eastAsia="en-US"/>
        </w:rPr>
      </w:pPr>
      <w:r w:rsidRPr="00232085">
        <w:rPr>
          <w:rFonts w:eastAsia="Calibri"/>
          <w:iCs/>
          <w:caps/>
          <w:sz w:val="24"/>
          <w:szCs w:val="24"/>
          <w:lang w:eastAsia="en-US"/>
        </w:rPr>
        <w:t>Jeřábková, Z. (2008):</w:t>
      </w:r>
      <w:r w:rsidR="006D46B0">
        <w:rPr>
          <w:rFonts w:eastAsia="Calibri"/>
          <w:iCs/>
          <w:sz w:val="24"/>
          <w:szCs w:val="24"/>
          <w:lang w:eastAsia="en-US"/>
        </w:rPr>
        <w:t xml:space="preserve">  Přímé zahraniční investice – </w:t>
      </w:r>
      <w:r w:rsidRPr="00232085">
        <w:rPr>
          <w:rFonts w:eastAsia="Calibri"/>
          <w:iCs/>
          <w:sz w:val="24"/>
          <w:szCs w:val="24"/>
          <w:lang w:eastAsia="en-US"/>
        </w:rPr>
        <w:t xml:space="preserve">vybrané přínosy a náklady pro českou ekonomiku. Praha, Český statistický úřad (Dostupné na &lt;https:// </w:t>
      </w:r>
      <w:hyperlink r:id="rId65" w:history="1">
        <w:r w:rsidRPr="00232085">
          <w:rPr>
            <w:rStyle w:val="Hypertextovodkaz"/>
            <w:rFonts w:eastAsia="Calibri"/>
            <w:iCs/>
            <w:color w:val="auto"/>
            <w:sz w:val="24"/>
            <w:szCs w:val="24"/>
            <w:u w:val="none"/>
            <w:lang w:eastAsia="en-US"/>
          </w:rPr>
          <w:t>www.czso.cz/</w:t>
        </w:r>
      </w:hyperlink>
      <w:r w:rsidRPr="00232085">
        <w:rPr>
          <w:rFonts w:eastAsia="Calibri"/>
          <w:iCs/>
          <w:sz w:val="24"/>
          <w:szCs w:val="24"/>
          <w:lang w:eastAsia="en-US"/>
        </w:rPr>
        <w:t xml:space="preserve"> csu/csu.nsf/informace/ckta120208.doc).</w:t>
      </w:r>
    </w:p>
    <w:p w:rsidR="00BE7408" w:rsidRPr="00232085" w:rsidRDefault="00BE7408" w:rsidP="003B3C75">
      <w:pPr>
        <w:keepNext/>
        <w:keepLines/>
        <w:widowControl w:val="0"/>
        <w:suppressLineNumbers/>
        <w:spacing w:after="120" w:line="240" w:lineRule="auto"/>
        <w:jc w:val="both"/>
        <w:rPr>
          <w:rFonts w:eastAsia="Calibri"/>
          <w:iCs/>
          <w:sz w:val="24"/>
          <w:szCs w:val="24"/>
          <w:lang w:eastAsia="en-US"/>
        </w:rPr>
      </w:pPr>
      <w:r w:rsidRPr="00BE7408">
        <w:rPr>
          <w:rFonts w:eastAsia="Calibri"/>
          <w:iCs/>
          <w:sz w:val="24"/>
          <w:szCs w:val="24"/>
          <w:lang w:eastAsia="en-US"/>
        </w:rPr>
        <w:lastRenderedPageBreak/>
        <w:t>KOVÁČ GERULOVÁ</w:t>
      </w:r>
      <w:r>
        <w:rPr>
          <w:rFonts w:eastAsia="Calibri"/>
          <w:iCs/>
          <w:sz w:val="24"/>
          <w:szCs w:val="24"/>
          <w:lang w:eastAsia="en-US"/>
        </w:rPr>
        <w:t>, L.</w:t>
      </w:r>
      <w:r w:rsidRPr="00BE7408">
        <w:rPr>
          <w:rFonts w:eastAsia="Calibri"/>
          <w:iCs/>
          <w:sz w:val="24"/>
          <w:szCs w:val="24"/>
          <w:lang w:eastAsia="en-US"/>
        </w:rPr>
        <w:t xml:space="preserve"> A KOL. (2010): Regionálna konvergencia EÚ z pohľadu teorie a empírie.  In XIII. mezinárodní kolokvium o regionálních vědách. Brno, Masarykova univerzita.</w:t>
      </w:r>
    </w:p>
    <w:p w:rsidR="006A2747" w:rsidRPr="00232085" w:rsidRDefault="006A2747" w:rsidP="003B3C75">
      <w:pPr>
        <w:keepNext/>
        <w:widowControl w:val="0"/>
        <w:suppressLineNumbers/>
        <w:autoSpaceDE w:val="0"/>
        <w:autoSpaceDN w:val="0"/>
        <w:adjustRightInd w:val="0"/>
        <w:spacing w:after="120" w:line="240" w:lineRule="auto"/>
        <w:jc w:val="both"/>
        <w:rPr>
          <w:sz w:val="24"/>
          <w:szCs w:val="24"/>
        </w:rPr>
      </w:pPr>
      <w:r w:rsidRPr="00232085">
        <w:rPr>
          <w:caps/>
          <w:sz w:val="24"/>
          <w:szCs w:val="24"/>
        </w:rPr>
        <w:t>Kovárník, J</w:t>
      </w:r>
      <w:r w:rsidRPr="00232085">
        <w:rPr>
          <w:sz w:val="24"/>
          <w:szCs w:val="24"/>
        </w:rPr>
        <w:t xml:space="preserve">. (2008), Klastry jako nástroj regionální politiky </w:t>
      </w:r>
      <w:r>
        <w:rPr>
          <w:sz w:val="24"/>
          <w:szCs w:val="24"/>
        </w:rPr>
        <w:t>I</w:t>
      </w:r>
      <w:r w:rsidRPr="00232085">
        <w:rPr>
          <w:sz w:val="24"/>
          <w:szCs w:val="24"/>
        </w:rPr>
        <w:t>n</w:t>
      </w:r>
      <w:r>
        <w:rPr>
          <w:sz w:val="24"/>
          <w:szCs w:val="24"/>
        </w:rPr>
        <w:t xml:space="preserve"> </w:t>
      </w:r>
      <w:r w:rsidRPr="00232085">
        <w:rPr>
          <w:sz w:val="24"/>
          <w:szCs w:val="24"/>
        </w:rPr>
        <w:t xml:space="preserve">XI. Mezinárodní kolokvium o regionálních vědách, </w:t>
      </w:r>
      <w:r>
        <w:rPr>
          <w:sz w:val="24"/>
          <w:szCs w:val="24"/>
        </w:rPr>
        <w:t xml:space="preserve">s. </w:t>
      </w:r>
      <w:r w:rsidR="006D46B0">
        <w:rPr>
          <w:sz w:val="24"/>
          <w:szCs w:val="24"/>
        </w:rPr>
        <w:t>70–</w:t>
      </w:r>
      <w:r w:rsidRPr="00232085">
        <w:rPr>
          <w:sz w:val="24"/>
          <w:szCs w:val="24"/>
        </w:rPr>
        <w:t>75.</w:t>
      </w:r>
    </w:p>
    <w:p w:rsidR="006A2747" w:rsidRPr="00232085" w:rsidRDefault="006A2747" w:rsidP="003B3C75">
      <w:pPr>
        <w:keepNext/>
        <w:widowControl w:val="0"/>
        <w:suppressLineNumbers/>
        <w:autoSpaceDE w:val="0"/>
        <w:autoSpaceDN w:val="0"/>
        <w:adjustRightInd w:val="0"/>
        <w:spacing w:after="120" w:line="240" w:lineRule="auto"/>
        <w:jc w:val="both"/>
        <w:rPr>
          <w:sz w:val="24"/>
          <w:szCs w:val="24"/>
        </w:rPr>
      </w:pPr>
      <w:r w:rsidRPr="00232085">
        <w:rPr>
          <w:caps/>
          <w:sz w:val="24"/>
          <w:szCs w:val="24"/>
        </w:rPr>
        <w:t>Kovárník, J., Kala, T.</w:t>
      </w:r>
      <w:r w:rsidRPr="00232085">
        <w:rPr>
          <w:sz w:val="24"/>
          <w:szCs w:val="24"/>
        </w:rPr>
        <w:t xml:space="preserve"> (200</w:t>
      </w:r>
      <w:r>
        <w:rPr>
          <w:sz w:val="24"/>
          <w:szCs w:val="24"/>
        </w:rPr>
        <w:t>8</w:t>
      </w:r>
      <w:r w:rsidRPr="00232085">
        <w:rPr>
          <w:sz w:val="24"/>
          <w:szCs w:val="24"/>
        </w:rPr>
        <w:t>)</w:t>
      </w:r>
      <w:r>
        <w:rPr>
          <w:sz w:val="24"/>
          <w:szCs w:val="24"/>
        </w:rPr>
        <w:t>:</w:t>
      </w:r>
      <w:r w:rsidRPr="00232085">
        <w:rPr>
          <w:sz w:val="24"/>
          <w:szCs w:val="24"/>
        </w:rPr>
        <w:t xml:space="preserve"> Potenciál pro vznik klastrů v odvětví cestovního ruchu</w:t>
      </w:r>
      <w:r>
        <w:rPr>
          <w:sz w:val="24"/>
          <w:szCs w:val="24"/>
        </w:rPr>
        <w:t xml:space="preserve"> v</w:t>
      </w:r>
      <w:r w:rsidRPr="00232085">
        <w:rPr>
          <w:sz w:val="24"/>
          <w:szCs w:val="24"/>
        </w:rPr>
        <w:t> Královéhradeckém kraji. In XIII. Mezinárodní kolokviu</w:t>
      </w:r>
      <w:r w:rsidR="006D46B0">
        <w:rPr>
          <w:sz w:val="24"/>
          <w:szCs w:val="24"/>
        </w:rPr>
        <w:t>m o regionálních vědách, s. 348–</w:t>
      </w:r>
      <w:r w:rsidRPr="00232085">
        <w:rPr>
          <w:sz w:val="24"/>
          <w:szCs w:val="24"/>
        </w:rPr>
        <w:t>354.</w:t>
      </w:r>
    </w:p>
    <w:p w:rsidR="006A2747" w:rsidRPr="00232085" w:rsidRDefault="006A2747" w:rsidP="003B3C75">
      <w:pPr>
        <w:keepNext/>
        <w:widowControl w:val="0"/>
        <w:suppressLineNumbers/>
        <w:autoSpaceDE w:val="0"/>
        <w:autoSpaceDN w:val="0"/>
        <w:adjustRightInd w:val="0"/>
        <w:spacing w:after="120" w:line="240" w:lineRule="auto"/>
        <w:jc w:val="both"/>
        <w:rPr>
          <w:iCs/>
          <w:sz w:val="24"/>
          <w:szCs w:val="24"/>
          <w:lang w:eastAsia="en-GB"/>
        </w:rPr>
      </w:pPr>
      <w:r w:rsidRPr="00232085">
        <w:rPr>
          <w:caps/>
          <w:sz w:val="24"/>
          <w:szCs w:val="24"/>
        </w:rPr>
        <w:t xml:space="preserve">LUHMANn, N. </w:t>
      </w:r>
      <w:r w:rsidRPr="00232085">
        <w:rPr>
          <w:sz w:val="24"/>
          <w:szCs w:val="24"/>
        </w:rPr>
        <w:t xml:space="preserve">(1982): </w:t>
      </w:r>
      <w:r w:rsidRPr="00232085">
        <w:rPr>
          <w:iCs/>
          <w:sz w:val="24"/>
          <w:szCs w:val="24"/>
          <w:lang w:eastAsia="en-GB"/>
        </w:rPr>
        <w:t>The differentiation of society. Columbia University Press, New York.</w:t>
      </w:r>
    </w:p>
    <w:p w:rsidR="006A2747" w:rsidRPr="00232085" w:rsidRDefault="006A2747" w:rsidP="003B3C75">
      <w:pPr>
        <w:keepNext/>
        <w:widowControl w:val="0"/>
        <w:suppressLineNumbers/>
        <w:shd w:val="clear" w:color="auto" w:fill="FFFFFF"/>
        <w:spacing w:after="120" w:line="240" w:lineRule="auto"/>
        <w:jc w:val="both"/>
        <w:rPr>
          <w:sz w:val="24"/>
          <w:szCs w:val="24"/>
          <w:lang w:eastAsia="en-US"/>
        </w:rPr>
      </w:pPr>
      <w:r w:rsidRPr="00232085">
        <w:rPr>
          <w:sz w:val="24"/>
          <w:szCs w:val="24"/>
          <w:lang w:eastAsia="en-US"/>
        </w:rPr>
        <w:t xml:space="preserve">LUNDVALL, B-A. (1992, ed.). National systems of innovation: towards a theory of innovation and interactive learning. Pinter, London. </w:t>
      </w:r>
    </w:p>
    <w:p w:rsidR="006A2747" w:rsidRPr="00232085" w:rsidRDefault="006A2747" w:rsidP="003B3C75">
      <w:pPr>
        <w:keepNext/>
        <w:widowControl w:val="0"/>
        <w:suppressLineNumbers/>
        <w:autoSpaceDE w:val="0"/>
        <w:autoSpaceDN w:val="0"/>
        <w:adjustRightInd w:val="0"/>
        <w:spacing w:after="120" w:line="240" w:lineRule="auto"/>
        <w:jc w:val="both"/>
        <w:rPr>
          <w:sz w:val="24"/>
          <w:szCs w:val="24"/>
          <w:lang w:eastAsia="en-US"/>
        </w:rPr>
      </w:pPr>
      <w:r w:rsidRPr="00232085">
        <w:rPr>
          <w:sz w:val="24"/>
          <w:szCs w:val="24"/>
          <w:lang w:eastAsia="en-US"/>
        </w:rPr>
        <w:t>KRUGMAN</w:t>
      </w:r>
      <w:r w:rsidRPr="00232085">
        <w:rPr>
          <w:caps/>
          <w:sz w:val="24"/>
          <w:szCs w:val="24"/>
          <w:lang w:eastAsia="en-US"/>
        </w:rPr>
        <w:t>, P.</w:t>
      </w:r>
      <w:r w:rsidRPr="00232085">
        <w:rPr>
          <w:sz w:val="24"/>
          <w:szCs w:val="24"/>
          <w:lang w:eastAsia="en-US"/>
        </w:rPr>
        <w:t xml:space="preserve"> (1991): Geography and Trade. MIT Press, Cambridge, USA.</w:t>
      </w:r>
    </w:p>
    <w:p w:rsidR="006A2747" w:rsidRPr="00232085" w:rsidRDefault="006A2747" w:rsidP="003B3C75">
      <w:pPr>
        <w:keepNext/>
        <w:widowControl w:val="0"/>
        <w:suppressLineNumbers/>
        <w:spacing w:after="120" w:line="240" w:lineRule="auto"/>
        <w:jc w:val="both"/>
        <w:rPr>
          <w:rFonts w:eastAsia="Calibri"/>
          <w:sz w:val="24"/>
          <w:szCs w:val="24"/>
          <w:lang w:eastAsia="en-US"/>
        </w:rPr>
      </w:pPr>
      <w:r w:rsidRPr="00232085">
        <w:rPr>
          <w:rFonts w:eastAsia="Calibri"/>
          <w:caps/>
          <w:sz w:val="24"/>
          <w:szCs w:val="24"/>
          <w:lang w:eastAsia="en-US"/>
        </w:rPr>
        <w:t>Kucharčíková, A. a kol</w:t>
      </w:r>
      <w:r w:rsidRPr="00232085">
        <w:rPr>
          <w:rFonts w:eastAsia="Calibri"/>
          <w:sz w:val="24"/>
          <w:szCs w:val="24"/>
          <w:lang w:eastAsia="en-US"/>
        </w:rPr>
        <w:t>. (2011): Efektivní výroba. Praha, CPress.</w:t>
      </w:r>
    </w:p>
    <w:p w:rsidR="006A2747" w:rsidRPr="00232085" w:rsidRDefault="006A2747" w:rsidP="003B3C75">
      <w:pPr>
        <w:keepNext/>
        <w:widowControl w:val="0"/>
        <w:suppressLineNumbers/>
        <w:autoSpaceDE w:val="0"/>
        <w:autoSpaceDN w:val="0"/>
        <w:adjustRightInd w:val="0"/>
        <w:spacing w:after="120" w:line="240" w:lineRule="auto"/>
        <w:jc w:val="both"/>
        <w:rPr>
          <w:sz w:val="24"/>
          <w:szCs w:val="24"/>
          <w:lang w:eastAsia="en-US"/>
        </w:rPr>
      </w:pPr>
      <w:r w:rsidRPr="00232085">
        <w:rPr>
          <w:caps/>
          <w:sz w:val="24"/>
          <w:szCs w:val="24"/>
          <w:lang w:eastAsia="en-US"/>
        </w:rPr>
        <w:t>Lucas, R. E.</w:t>
      </w:r>
      <w:r w:rsidRPr="00232085">
        <w:rPr>
          <w:sz w:val="24"/>
          <w:szCs w:val="24"/>
          <w:lang w:eastAsia="en-US"/>
        </w:rPr>
        <w:t xml:space="preserve"> (1988): On the </w:t>
      </w:r>
      <w:r>
        <w:rPr>
          <w:sz w:val="24"/>
          <w:szCs w:val="24"/>
          <w:lang w:eastAsia="en-US"/>
        </w:rPr>
        <w:t>M</w:t>
      </w:r>
      <w:r w:rsidRPr="00232085">
        <w:rPr>
          <w:sz w:val="24"/>
          <w:szCs w:val="24"/>
          <w:lang w:eastAsia="en-US"/>
        </w:rPr>
        <w:t xml:space="preserve">echanics of Economic </w:t>
      </w:r>
      <w:r>
        <w:rPr>
          <w:sz w:val="24"/>
          <w:szCs w:val="24"/>
          <w:lang w:eastAsia="en-US"/>
        </w:rPr>
        <w:t>D</w:t>
      </w:r>
      <w:r w:rsidRPr="00232085">
        <w:rPr>
          <w:sz w:val="24"/>
          <w:szCs w:val="24"/>
          <w:lang w:eastAsia="en-US"/>
        </w:rPr>
        <w:t>evelopment. Journal o</w:t>
      </w:r>
      <w:r w:rsidR="006D46B0">
        <w:rPr>
          <w:sz w:val="24"/>
          <w:szCs w:val="24"/>
          <w:lang w:eastAsia="en-US"/>
        </w:rPr>
        <w:t>f Monetary Economics, 22, pp. 3–</w:t>
      </w:r>
      <w:r w:rsidRPr="00232085">
        <w:rPr>
          <w:sz w:val="24"/>
          <w:szCs w:val="24"/>
          <w:lang w:eastAsia="en-US"/>
        </w:rPr>
        <w:t>42.</w:t>
      </w:r>
    </w:p>
    <w:p w:rsidR="006A2747" w:rsidRPr="00232085" w:rsidRDefault="006A2747" w:rsidP="003B3C75">
      <w:pPr>
        <w:keepNext/>
        <w:widowControl w:val="0"/>
        <w:suppressLineNumbers/>
        <w:spacing w:after="120" w:line="240" w:lineRule="auto"/>
        <w:jc w:val="both"/>
        <w:rPr>
          <w:rFonts w:eastAsia="Calibri"/>
          <w:sz w:val="24"/>
          <w:szCs w:val="24"/>
          <w:lang w:eastAsia="en-US"/>
        </w:rPr>
      </w:pPr>
      <w:r w:rsidRPr="00232085">
        <w:rPr>
          <w:rFonts w:eastAsia="Calibri"/>
          <w:caps/>
          <w:sz w:val="24"/>
          <w:szCs w:val="24"/>
          <w:lang w:eastAsia="en-US"/>
        </w:rPr>
        <w:t>Macháček, J., Toth, P., Wokoun, R</w:t>
      </w:r>
      <w:r w:rsidRPr="00232085">
        <w:rPr>
          <w:rFonts w:eastAsia="Calibri"/>
          <w:sz w:val="24"/>
          <w:szCs w:val="24"/>
          <w:lang w:eastAsia="en-US"/>
        </w:rPr>
        <w:t xml:space="preserve">. (2011): Regionální a municipální ekonomie. Praha, Vysoká škola ekonomická. </w:t>
      </w:r>
    </w:p>
    <w:p w:rsidR="006A2747" w:rsidRPr="00232085" w:rsidRDefault="000724A0" w:rsidP="003B3C75">
      <w:pPr>
        <w:keepNext/>
        <w:widowControl w:val="0"/>
        <w:suppressLineNumbers/>
        <w:spacing w:after="120" w:line="240" w:lineRule="auto"/>
        <w:jc w:val="both"/>
        <w:rPr>
          <w:color w:val="FF0000"/>
          <w:sz w:val="24"/>
          <w:szCs w:val="24"/>
        </w:rPr>
      </w:pPr>
      <w:r>
        <w:rPr>
          <w:caps/>
          <w:sz w:val="24"/>
          <w:szCs w:val="24"/>
        </w:rPr>
        <w:t>Maier, K., ČtyR</w:t>
      </w:r>
      <w:r w:rsidR="006A2747" w:rsidRPr="00232085">
        <w:rPr>
          <w:caps/>
          <w:sz w:val="24"/>
          <w:szCs w:val="24"/>
        </w:rPr>
        <w:t>oký, J.</w:t>
      </w:r>
      <w:r w:rsidR="006A2747" w:rsidRPr="00232085">
        <w:rPr>
          <w:sz w:val="24"/>
          <w:szCs w:val="24"/>
        </w:rPr>
        <w:t xml:space="preserve"> (2001): Ekonomika územního rozvoje. Praha, Grada Publishing. </w:t>
      </w:r>
    </w:p>
    <w:p w:rsidR="006A2747" w:rsidRPr="00232085" w:rsidRDefault="006A2747" w:rsidP="003B3C75">
      <w:pPr>
        <w:keepNext/>
        <w:widowControl w:val="0"/>
        <w:suppressLineNumbers/>
        <w:spacing w:after="120" w:line="240" w:lineRule="auto"/>
        <w:jc w:val="both"/>
        <w:rPr>
          <w:sz w:val="24"/>
          <w:szCs w:val="24"/>
        </w:rPr>
      </w:pPr>
      <w:r w:rsidRPr="00232085">
        <w:rPr>
          <w:caps/>
          <w:sz w:val="24"/>
          <w:szCs w:val="24"/>
        </w:rPr>
        <w:t>Matoušková, Z. a kol.</w:t>
      </w:r>
      <w:r w:rsidRPr="00232085">
        <w:rPr>
          <w:sz w:val="24"/>
          <w:szCs w:val="24"/>
        </w:rPr>
        <w:t xml:space="preserve"> (1995): Úvod do prostorové ekonomiky. Praha, Vysoká škola ekonomická. </w:t>
      </w:r>
    </w:p>
    <w:p w:rsidR="006A2747" w:rsidRPr="00232085" w:rsidRDefault="006A2747" w:rsidP="003B3C75">
      <w:pPr>
        <w:keepNext/>
        <w:widowControl w:val="0"/>
        <w:suppressLineNumbers/>
        <w:spacing w:after="120" w:line="240" w:lineRule="auto"/>
        <w:jc w:val="both"/>
        <w:rPr>
          <w:rFonts w:eastAsia="Calibri"/>
          <w:sz w:val="24"/>
          <w:szCs w:val="24"/>
          <w:lang w:eastAsia="en-US"/>
        </w:rPr>
      </w:pPr>
      <w:r w:rsidRPr="00232085">
        <w:rPr>
          <w:rFonts w:eastAsia="Calibri"/>
          <w:caps/>
          <w:sz w:val="24"/>
          <w:szCs w:val="24"/>
          <w:lang w:eastAsia="en-US"/>
        </w:rPr>
        <w:t xml:space="preserve">Nevima, J., Melecký, L. </w:t>
      </w:r>
      <w:r w:rsidRPr="00232085">
        <w:rPr>
          <w:rFonts w:eastAsia="Calibri"/>
          <w:sz w:val="24"/>
          <w:szCs w:val="24"/>
          <w:lang w:eastAsia="en-US"/>
        </w:rPr>
        <w:t>(2011):  Analýza beta-konvergence regionů zemí visegrádské čtyřky prostřednictvím nelineárního regresního modelu. Acta a</w:t>
      </w:r>
      <w:r w:rsidR="006D46B0">
        <w:rPr>
          <w:rFonts w:eastAsia="Calibri"/>
          <w:sz w:val="24"/>
          <w:szCs w:val="24"/>
          <w:lang w:eastAsia="en-US"/>
        </w:rPr>
        <w:t>cademica karviniensia, 3, s. 43–</w:t>
      </w:r>
      <w:r w:rsidRPr="00232085">
        <w:rPr>
          <w:rFonts w:eastAsia="Calibri"/>
          <w:sz w:val="24"/>
          <w:szCs w:val="24"/>
          <w:lang w:eastAsia="en-US"/>
        </w:rPr>
        <w:t>57.</w:t>
      </w:r>
    </w:p>
    <w:p w:rsidR="006A2747" w:rsidRPr="00232085" w:rsidRDefault="006A2747" w:rsidP="003B3C75">
      <w:pPr>
        <w:keepNext/>
        <w:widowControl w:val="0"/>
        <w:suppressLineNumbers/>
        <w:spacing w:after="120" w:line="240" w:lineRule="auto"/>
        <w:jc w:val="both"/>
        <w:rPr>
          <w:sz w:val="24"/>
          <w:szCs w:val="24"/>
          <w:lang w:eastAsia="en-US"/>
        </w:rPr>
      </w:pPr>
      <w:r w:rsidRPr="00232085">
        <w:rPr>
          <w:caps/>
          <w:sz w:val="24"/>
          <w:szCs w:val="24"/>
          <w:lang w:eastAsia="en-US"/>
        </w:rPr>
        <w:t>O´Sullivan</w:t>
      </w:r>
      <w:r w:rsidR="00BE7408">
        <w:rPr>
          <w:caps/>
          <w:sz w:val="24"/>
          <w:szCs w:val="24"/>
          <w:lang w:eastAsia="en-US"/>
        </w:rPr>
        <w:t>, A.</w:t>
      </w:r>
      <w:r w:rsidRPr="00232085">
        <w:rPr>
          <w:caps/>
          <w:sz w:val="24"/>
          <w:szCs w:val="24"/>
          <w:lang w:eastAsia="en-US"/>
        </w:rPr>
        <w:t xml:space="preserve"> (2009):</w:t>
      </w:r>
      <w:r w:rsidRPr="00232085">
        <w:rPr>
          <w:sz w:val="24"/>
          <w:szCs w:val="24"/>
          <w:lang w:eastAsia="en-US"/>
        </w:rPr>
        <w:t xml:space="preserve"> Urban economics, McGraw Hill.</w:t>
      </w:r>
    </w:p>
    <w:p w:rsidR="006A2747" w:rsidRPr="00232085" w:rsidRDefault="006A2747" w:rsidP="003B3C75">
      <w:pPr>
        <w:keepNext/>
        <w:widowControl w:val="0"/>
        <w:suppressLineNumbers/>
        <w:spacing w:after="120" w:line="240" w:lineRule="auto"/>
        <w:jc w:val="both"/>
        <w:rPr>
          <w:sz w:val="24"/>
          <w:szCs w:val="24"/>
        </w:rPr>
      </w:pPr>
      <w:r w:rsidRPr="00232085">
        <w:rPr>
          <w:caps/>
          <w:sz w:val="24"/>
          <w:szCs w:val="24"/>
        </w:rPr>
        <w:t>Patočková, S.</w:t>
      </w:r>
      <w:r w:rsidRPr="00232085">
        <w:rPr>
          <w:sz w:val="24"/>
          <w:szCs w:val="24"/>
        </w:rPr>
        <w:t xml:space="preserve"> (2008): </w:t>
      </w:r>
      <w:r w:rsidRPr="00232085">
        <w:rPr>
          <w:iCs/>
          <w:sz w:val="24"/>
          <w:szCs w:val="24"/>
        </w:rPr>
        <w:t>Geografie: studijní materiály nejen pro maturanty</w:t>
      </w:r>
      <w:r w:rsidRPr="00232085">
        <w:rPr>
          <w:sz w:val="24"/>
          <w:szCs w:val="24"/>
        </w:rPr>
        <w:t xml:space="preserve">. Uherské Hradiště, Tribun EU. </w:t>
      </w:r>
    </w:p>
    <w:p w:rsidR="006A2747" w:rsidRPr="00232085" w:rsidRDefault="006A2747" w:rsidP="003B3C75">
      <w:pPr>
        <w:keepNext/>
        <w:widowControl w:val="0"/>
        <w:suppressLineNumbers/>
        <w:spacing w:after="120" w:line="240" w:lineRule="auto"/>
        <w:jc w:val="both"/>
        <w:rPr>
          <w:rFonts w:eastAsia="Calibri"/>
          <w:sz w:val="24"/>
          <w:szCs w:val="24"/>
          <w:lang w:eastAsia="en-US"/>
        </w:rPr>
      </w:pPr>
      <w:r w:rsidRPr="00232085">
        <w:rPr>
          <w:rFonts w:eastAsia="Calibri"/>
          <w:caps/>
          <w:sz w:val="24"/>
          <w:szCs w:val="24"/>
          <w:lang w:eastAsia="en-US"/>
        </w:rPr>
        <w:t>Pavelková, D. (2009):</w:t>
      </w:r>
      <w:r w:rsidRPr="00232085">
        <w:rPr>
          <w:rFonts w:eastAsia="Calibri"/>
          <w:sz w:val="24"/>
          <w:szCs w:val="24"/>
          <w:lang w:eastAsia="en-US"/>
        </w:rPr>
        <w:t xml:space="preserve"> Klastry a jejich vliv na výkonnost firem. Praha, Grada. </w:t>
      </w:r>
    </w:p>
    <w:p w:rsidR="006A2747" w:rsidRPr="00232085" w:rsidRDefault="006A2747" w:rsidP="003B3C75">
      <w:pPr>
        <w:keepNext/>
        <w:widowControl w:val="0"/>
        <w:suppressLineNumbers/>
        <w:spacing w:after="120" w:line="240" w:lineRule="auto"/>
        <w:jc w:val="both"/>
        <w:rPr>
          <w:sz w:val="24"/>
          <w:szCs w:val="24"/>
          <w:lang w:eastAsia="en-US"/>
        </w:rPr>
      </w:pPr>
      <w:r w:rsidRPr="00232085">
        <w:rPr>
          <w:caps/>
          <w:sz w:val="24"/>
          <w:szCs w:val="24"/>
          <w:lang w:eastAsia="en-US"/>
        </w:rPr>
        <w:t>Porter, M. E. (</w:t>
      </w:r>
      <w:r w:rsidRPr="00232085">
        <w:rPr>
          <w:sz w:val="24"/>
          <w:szCs w:val="24"/>
          <w:lang w:eastAsia="en-US"/>
        </w:rPr>
        <w:t xml:space="preserve">1990): The Competitive Advantage of Nations. New York, Free Press. </w:t>
      </w:r>
    </w:p>
    <w:p w:rsidR="006A2747" w:rsidRPr="00232085" w:rsidRDefault="006A2747" w:rsidP="003B3C75">
      <w:pPr>
        <w:keepNext/>
        <w:widowControl w:val="0"/>
        <w:suppressLineNumbers/>
        <w:spacing w:after="120" w:line="240" w:lineRule="auto"/>
        <w:jc w:val="both"/>
        <w:rPr>
          <w:rFonts w:eastAsia="Calibri"/>
          <w:sz w:val="24"/>
          <w:szCs w:val="24"/>
          <w:lang w:eastAsia="en-US"/>
        </w:rPr>
      </w:pPr>
      <w:r w:rsidRPr="00232085">
        <w:rPr>
          <w:rFonts w:eastAsia="Calibri"/>
          <w:caps/>
          <w:sz w:val="24"/>
          <w:szCs w:val="24"/>
          <w:lang w:eastAsia="en-US"/>
        </w:rPr>
        <w:t>Porter, M. E. (1998</w:t>
      </w:r>
      <w:r w:rsidRPr="00232085">
        <w:rPr>
          <w:rFonts w:eastAsia="Calibri"/>
          <w:sz w:val="24"/>
          <w:szCs w:val="24"/>
          <w:lang w:eastAsia="en-US"/>
        </w:rPr>
        <w:t xml:space="preserve">): The </w:t>
      </w:r>
      <w:r>
        <w:rPr>
          <w:rFonts w:eastAsia="Calibri"/>
          <w:sz w:val="24"/>
          <w:szCs w:val="24"/>
          <w:lang w:eastAsia="en-US"/>
        </w:rPr>
        <w:t>C</w:t>
      </w:r>
      <w:r w:rsidRPr="00232085">
        <w:rPr>
          <w:rFonts w:eastAsia="Calibri"/>
          <w:sz w:val="24"/>
          <w:szCs w:val="24"/>
          <w:lang w:eastAsia="en-US"/>
        </w:rPr>
        <w:t xml:space="preserve">ompetitive </w:t>
      </w:r>
      <w:r>
        <w:rPr>
          <w:rFonts w:eastAsia="Calibri"/>
          <w:sz w:val="24"/>
          <w:szCs w:val="24"/>
          <w:lang w:eastAsia="en-US"/>
        </w:rPr>
        <w:t>A</w:t>
      </w:r>
      <w:r w:rsidRPr="00232085">
        <w:rPr>
          <w:rFonts w:eastAsia="Calibri"/>
          <w:sz w:val="24"/>
          <w:szCs w:val="24"/>
          <w:lang w:eastAsia="en-US"/>
        </w:rPr>
        <w:t xml:space="preserve">dvantage of </w:t>
      </w:r>
      <w:r>
        <w:rPr>
          <w:rFonts w:eastAsia="Calibri"/>
          <w:sz w:val="24"/>
          <w:szCs w:val="24"/>
          <w:lang w:eastAsia="en-US"/>
        </w:rPr>
        <w:t>N</w:t>
      </w:r>
      <w:r w:rsidRPr="00232085">
        <w:rPr>
          <w:rFonts w:eastAsia="Calibri"/>
          <w:sz w:val="24"/>
          <w:szCs w:val="24"/>
          <w:lang w:eastAsia="en-US"/>
        </w:rPr>
        <w:t xml:space="preserve">ations: with a </w:t>
      </w:r>
      <w:r>
        <w:rPr>
          <w:rFonts w:eastAsia="Calibri"/>
          <w:sz w:val="24"/>
          <w:szCs w:val="24"/>
          <w:lang w:eastAsia="en-US"/>
        </w:rPr>
        <w:t>N</w:t>
      </w:r>
      <w:r w:rsidRPr="00232085">
        <w:rPr>
          <w:rFonts w:eastAsia="Calibri"/>
          <w:sz w:val="24"/>
          <w:szCs w:val="24"/>
          <w:lang w:eastAsia="en-US"/>
        </w:rPr>
        <w:t xml:space="preserve">ew </w:t>
      </w:r>
      <w:r>
        <w:rPr>
          <w:rFonts w:eastAsia="Calibri"/>
          <w:sz w:val="24"/>
          <w:szCs w:val="24"/>
          <w:lang w:eastAsia="en-US"/>
        </w:rPr>
        <w:t>I</w:t>
      </w:r>
      <w:r w:rsidRPr="00232085">
        <w:rPr>
          <w:rFonts w:eastAsia="Calibri"/>
          <w:sz w:val="24"/>
          <w:szCs w:val="24"/>
          <w:lang w:eastAsia="en-US"/>
        </w:rPr>
        <w:t>ntroduction. New York, Free Press.</w:t>
      </w:r>
    </w:p>
    <w:p w:rsidR="006A2747" w:rsidRPr="00232085" w:rsidRDefault="006A2747" w:rsidP="003B3C75">
      <w:pPr>
        <w:keepNext/>
        <w:widowControl w:val="0"/>
        <w:suppressLineNumbers/>
        <w:autoSpaceDE w:val="0"/>
        <w:autoSpaceDN w:val="0"/>
        <w:adjustRightInd w:val="0"/>
        <w:spacing w:after="120" w:line="240" w:lineRule="auto"/>
        <w:jc w:val="both"/>
        <w:rPr>
          <w:sz w:val="24"/>
          <w:szCs w:val="24"/>
          <w:lang w:eastAsia="en-US"/>
        </w:rPr>
      </w:pPr>
      <w:r w:rsidRPr="00232085">
        <w:rPr>
          <w:caps/>
          <w:sz w:val="24"/>
          <w:szCs w:val="24"/>
          <w:lang w:eastAsia="en-US"/>
        </w:rPr>
        <w:t xml:space="preserve">romer, P. </w:t>
      </w:r>
      <w:r w:rsidRPr="00232085">
        <w:rPr>
          <w:sz w:val="24"/>
          <w:szCs w:val="24"/>
          <w:lang w:eastAsia="en-US"/>
        </w:rPr>
        <w:t>(19</w:t>
      </w:r>
      <w:r>
        <w:rPr>
          <w:sz w:val="24"/>
          <w:szCs w:val="24"/>
          <w:lang w:eastAsia="en-US"/>
        </w:rPr>
        <w:t>90</w:t>
      </w:r>
      <w:r w:rsidRPr="00232085">
        <w:rPr>
          <w:sz w:val="24"/>
          <w:szCs w:val="24"/>
          <w:lang w:eastAsia="en-US"/>
        </w:rPr>
        <w:t xml:space="preserve">): </w:t>
      </w:r>
      <w:r>
        <w:rPr>
          <w:sz w:val="24"/>
          <w:szCs w:val="24"/>
          <w:lang w:eastAsia="en-US"/>
        </w:rPr>
        <w:t>Endogenous technological change</w:t>
      </w:r>
      <w:r w:rsidRPr="00232085">
        <w:rPr>
          <w:sz w:val="24"/>
          <w:szCs w:val="24"/>
          <w:lang w:eastAsia="en-US"/>
        </w:rPr>
        <w:t>. Journal of Political Economy</w:t>
      </w:r>
      <w:r>
        <w:rPr>
          <w:sz w:val="24"/>
          <w:szCs w:val="24"/>
          <w:lang w:eastAsia="en-US"/>
        </w:rPr>
        <w:t>,</w:t>
      </w:r>
      <w:r w:rsidRPr="00232085">
        <w:rPr>
          <w:sz w:val="24"/>
          <w:szCs w:val="24"/>
          <w:lang w:eastAsia="en-US"/>
        </w:rPr>
        <w:t xml:space="preserve"> 5, pp. </w:t>
      </w:r>
      <w:r>
        <w:rPr>
          <w:sz w:val="24"/>
          <w:szCs w:val="24"/>
          <w:lang w:eastAsia="en-US"/>
        </w:rPr>
        <w:t>7</w:t>
      </w:r>
      <w:r w:rsidR="006D46B0">
        <w:rPr>
          <w:sz w:val="24"/>
          <w:szCs w:val="24"/>
          <w:lang w:eastAsia="en-US"/>
        </w:rPr>
        <w:t>1–</w:t>
      </w:r>
      <w:r w:rsidRPr="00232085">
        <w:rPr>
          <w:sz w:val="24"/>
          <w:szCs w:val="24"/>
          <w:lang w:eastAsia="en-US"/>
        </w:rPr>
        <w:t>10</w:t>
      </w:r>
      <w:r>
        <w:rPr>
          <w:sz w:val="24"/>
          <w:szCs w:val="24"/>
          <w:lang w:eastAsia="en-US"/>
        </w:rPr>
        <w:t>2</w:t>
      </w:r>
      <w:r w:rsidRPr="00232085">
        <w:rPr>
          <w:sz w:val="24"/>
          <w:szCs w:val="24"/>
          <w:lang w:eastAsia="en-US"/>
        </w:rPr>
        <w:t>.</w:t>
      </w:r>
    </w:p>
    <w:p w:rsidR="006A2747" w:rsidRPr="00702941" w:rsidRDefault="006A2747" w:rsidP="003B3C75">
      <w:pPr>
        <w:keepNext/>
        <w:keepLines/>
        <w:autoSpaceDE w:val="0"/>
        <w:autoSpaceDN w:val="0"/>
        <w:adjustRightInd w:val="0"/>
        <w:spacing w:after="120" w:line="240" w:lineRule="auto"/>
        <w:jc w:val="both"/>
        <w:rPr>
          <w:rFonts w:eastAsia="CenturySchL-Roma"/>
          <w:sz w:val="24"/>
          <w:szCs w:val="24"/>
        </w:rPr>
      </w:pPr>
      <w:r w:rsidRPr="00702941">
        <w:rPr>
          <w:sz w:val="24"/>
          <w:szCs w:val="24"/>
        </w:rPr>
        <w:t>SEDLÁČEK</w:t>
      </w:r>
      <w:r w:rsidRPr="00702941">
        <w:rPr>
          <w:rFonts w:eastAsia="CenturySchL-Roma"/>
          <w:sz w:val="24"/>
          <w:szCs w:val="24"/>
        </w:rPr>
        <w:t>, T. (2012): Ekonomie dobra a zla. Nakladatelství 65. pole, Praha.</w:t>
      </w:r>
    </w:p>
    <w:p w:rsidR="006A2747" w:rsidRPr="00232085" w:rsidRDefault="006A2747" w:rsidP="003B3C75">
      <w:pPr>
        <w:keepNext/>
        <w:autoSpaceDE w:val="0"/>
        <w:autoSpaceDN w:val="0"/>
        <w:adjustRightInd w:val="0"/>
        <w:spacing w:after="120" w:line="240" w:lineRule="auto"/>
        <w:rPr>
          <w:rFonts w:eastAsia="Calibri"/>
          <w:sz w:val="24"/>
          <w:szCs w:val="24"/>
          <w:lang w:eastAsia="en-US"/>
        </w:rPr>
      </w:pPr>
      <w:r w:rsidRPr="00232085">
        <w:rPr>
          <w:rFonts w:eastAsia="Calibri"/>
          <w:caps/>
          <w:sz w:val="24"/>
          <w:szCs w:val="24"/>
          <w:lang w:eastAsia="en-US"/>
        </w:rPr>
        <w:t>Sirůček, P. a kol.</w:t>
      </w:r>
      <w:r w:rsidRPr="00232085">
        <w:rPr>
          <w:rFonts w:eastAsia="Calibri"/>
          <w:sz w:val="24"/>
          <w:szCs w:val="24"/>
          <w:lang w:eastAsia="en-US"/>
        </w:rPr>
        <w:t xml:space="preserve"> (2007): Hospodářské dějiny a ekonomické teorie. Slaný, Melandrium.</w:t>
      </w:r>
    </w:p>
    <w:p w:rsidR="006A2747" w:rsidRPr="00232085" w:rsidRDefault="006A2747" w:rsidP="003B3C75">
      <w:pPr>
        <w:keepNext/>
        <w:widowControl w:val="0"/>
        <w:suppressLineNumbers/>
        <w:spacing w:after="120" w:line="240" w:lineRule="auto"/>
        <w:jc w:val="both"/>
        <w:rPr>
          <w:rFonts w:eastAsia="Calibri"/>
          <w:sz w:val="24"/>
          <w:szCs w:val="24"/>
          <w:lang w:eastAsia="en-US"/>
        </w:rPr>
      </w:pPr>
      <w:r w:rsidRPr="00232085">
        <w:rPr>
          <w:rFonts w:eastAsia="Calibri"/>
          <w:caps/>
          <w:sz w:val="24"/>
          <w:szCs w:val="24"/>
          <w:lang w:eastAsia="en-US"/>
        </w:rPr>
        <w:t>Skokan, K.</w:t>
      </w:r>
      <w:r w:rsidRPr="00232085">
        <w:rPr>
          <w:rFonts w:eastAsia="Calibri"/>
          <w:sz w:val="24"/>
          <w:szCs w:val="24"/>
          <w:lang w:eastAsia="en-US"/>
        </w:rPr>
        <w:t xml:space="preserve"> (2004): Konkurenceschopnost, inovace a klastry v regionálním rozvoji. Ostrava, Repronis.</w:t>
      </w:r>
    </w:p>
    <w:p w:rsidR="006A2747" w:rsidRPr="00232085" w:rsidRDefault="006A2747" w:rsidP="003B3C75">
      <w:pPr>
        <w:keepNext/>
        <w:widowControl w:val="0"/>
        <w:suppressLineNumbers/>
        <w:spacing w:after="120" w:line="240" w:lineRule="auto"/>
        <w:jc w:val="both"/>
        <w:rPr>
          <w:rFonts w:eastAsia="Calibri"/>
          <w:sz w:val="24"/>
          <w:szCs w:val="24"/>
          <w:lang w:eastAsia="en-US"/>
        </w:rPr>
      </w:pPr>
      <w:r w:rsidRPr="00232085">
        <w:rPr>
          <w:rFonts w:eastAsia="Calibri"/>
          <w:caps/>
          <w:sz w:val="24"/>
          <w:szCs w:val="24"/>
          <w:lang w:eastAsia="en-US"/>
        </w:rPr>
        <w:t>Slavík, C. (2007</w:t>
      </w:r>
      <w:r w:rsidRPr="00232085">
        <w:rPr>
          <w:rFonts w:eastAsia="Calibri"/>
          <w:sz w:val="24"/>
          <w:szCs w:val="24"/>
          <w:lang w:eastAsia="en-US"/>
        </w:rPr>
        <w:t>): Reálná konvergence České republiky k Evropské unii v porovnání s ostatními novými členskými zeměmi. P</w:t>
      </w:r>
      <w:r w:rsidR="006D46B0">
        <w:rPr>
          <w:rFonts w:eastAsia="Calibri"/>
          <w:sz w:val="24"/>
          <w:szCs w:val="24"/>
          <w:lang w:eastAsia="en-US"/>
        </w:rPr>
        <w:t>olitická ekonomie, 1, s. 23–</w:t>
      </w:r>
      <w:r w:rsidRPr="00232085">
        <w:rPr>
          <w:rFonts w:eastAsia="Calibri"/>
          <w:sz w:val="24"/>
          <w:szCs w:val="24"/>
          <w:lang w:eastAsia="en-US"/>
        </w:rPr>
        <w:t>40.</w:t>
      </w:r>
    </w:p>
    <w:p w:rsidR="006A2747" w:rsidRPr="00232085" w:rsidRDefault="006A2747" w:rsidP="003B3C75">
      <w:pPr>
        <w:keepNext/>
        <w:widowControl w:val="0"/>
        <w:suppressLineNumbers/>
        <w:spacing w:after="120" w:line="240" w:lineRule="auto"/>
        <w:jc w:val="both"/>
        <w:rPr>
          <w:rFonts w:eastAsia="Calibri"/>
          <w:iCs/>
          <w:sz w:val="24"/>
          <w:szCs w:val="24"/>
          <w:lang w:eastAsia="en-US"/>
        </w:rPr>
      </w:pPr>
      <w:r w:rsidRPr="00232085">
        <w:rPr>
          <w:rFonts w:eastAsia="Calibri"/>
          <w:iCs/>
          <w:caps/>
          <w:sz w:val="24"/>
          <w:szCs w:val="24"/>
          <w:lang w:eastAsia="en-US"/>
        </w:rPr>
        <w:t>Srholec, M.</w:t>
      </w:r>
      <w:r w:rsidRPr="00232085">
        <w:rPr>
          <w:rFonts w:eastAsia="Calibri"/>
          <w:iCs/>
          <w:sz w:val="24"/>
          <w:szCs w:val="24"/>
          <w:lang w:eastAsia="en-US"/>
        </w:rPr>
        <w:t xml:space="preserve"> (2004): Přímé zahraniční investice v České republice. Teorie a praxe v mezinárodním srovnání. Praha, Linde. </w:t>
      </w:r>
    </w:p>
    <w:p w:rsidR="006A2747" w:rsidRPr="00232085" w:rsidRDefault="006A2747" w:rsidP="003B3C75">
      <w:pPr>
        <w:keepNext/>
        <w:widowControl w:val="0"/>
        <w:suppressLineNumbers/>
        <w:autoSpaceDE w:val="0"/>
        <w:autoSpaceDN w:val="0"/>
        <w:adjustRightInd w:val="0"/>
        <w:spacing w:after="120" w:line="240" w:lineRule="auto"/>
        <w:jc w:val="both"/>
        <w:rPr>
          <w:sz w:val="24"/>
          <w:szCs w:val="24"/>
        </w:rPr>
      </w:pPr>
      <w:r w:rsidRPr="00232085">
        <w:rPr>
          <w:caps/>
          <w:sz w:val="24"/>
          <w:szCs w:val="24"/>
        </w:rPr>
        <w:lastRenderedPageBreak/>
        <w:t>Stejskal, J., Charburský, M.,</w:t>
      </w:r>
      <w:r w:rsidRPr="00232085">
        <w:rPr>
          <w:sz w:val="24"/>
          <w:szCs w:val="24"/>
        </w:rPr>
        <w:t xml:space="preserve"> (2008), Kritická analýza regionální inovační strategie Pardubického kraje</w:t>
      </w:r>
      <w:r>
        <w:rPr>
          <w:sz w:val="24"/>
          <w:szCs w:val="24"/>
        </w:rPr>
        <w:t>. I</w:t>
      </w:r>
      <w:r w:rsidRPr="00232085">
        <w:rPr>
          <w:sz w:val="24"/>
          <w:szCs w:val="24"/>
        </w:rPr>
        <w:t>n</w:t>
      </w:r>
      <w:r>
        <w:rPr>
          <w:sz w:val="24"/>
          <w:szCs w:val="24"/>
        </w:rPr>
        <w:t xml:space="preserve"> </w:t>
      </w:r>
      <w:r w:rsidRPr="00232085">
        <w:rPr>
          <w:sz w:val="24"/>
          <w:szCs w:val="24"/>
        </w:rPr>
        <w:t>XI. Mezinárodní kolokvi</w:t>
      </w:r>
      <w:r w:rsidR="006D46B0">
        <w:rPr>
          <w:sz w:val="24"/>
          <w:szCs w:val="24"/>
        </w:rPr>
        <w:t>um o regionálních vědách, s. 61–</w:t>
      </w:r>
      <w:r w:rsidRPr="00232085">
        <w:rPr>
          <w:sz w:val="24"/>
          <w:szCs w:val="24"/>
        </w:rPr>
        <w:t>69.</w:t>
      </w:r>
    </w:p>
    <w:p w:rsidR="006A2747" w:rsidRPr="00232085" w:rsidRDefault="006A2747" w:rsidP="003B3C75">
      <w:pPr>
        <w:keepNext/>
        <w:widowControl w:val="0"/>
        <w:suppressLineNumbers/>
        <w:spacing w:after="120" w:line="240" w:lineRule="auto"/>
        <w:jc w:val="both"/>
        <w:rPr>
          <w:rFonts w:eastAsia="Calibri"/>
          <w:bCs/>
          <w:iCs/>
          <w:sz w:val="24"/>
          <w:szCs w:val="24"/>
          <w:lang w:eastAsia="en-US"/>
        </w:rPr>
      </w:pPr>
      <w:r w:rsidRPr="00232085">
        <w:rPr>
          <w:rFonts w:eastAsia="Calibri"/>
          <w:iCs/>
          <w:caps/>
          <w:sz w:val="24"/>
          <w:szCs w:val="24"/>
          <w:lang w:eastAsia="en-US"/>
        </w:rPr>
        <w:t>Tomšík, V</w:t>
      </w:r>
      <w:r w:rsidRPr="00232085">
        <w:rPr>
          <w:rFonts w:eastAsia="Calibri"/>
          <w:iCs/>
          <w:sz w:val="24"/>
          <w:szCs w:val="24"/>
          <w:lang w:eastAsia="en-US"/>
        </w:rPr>
        <w:t>. (2006): Mýty o přímých zahraničních investicích.</w:t>
      </w:r>
      <w:r w:rsidRPr="00232085">
        <w:rPr>
          <w:rFonts w:eastAsia="Calibri"/>
          <w:iCs/>
          <w:caps/>
          <w:sz w:val="24"/>
          <w:szCs w:val="24"/>
          <w:lang w:eastAsia="en-US"/>
        </w:rPr>
        <w:t xml:space="preserve"> </w:t>
      </w:r>
      <w:r w:rsidRPr="00232085">
        <w:rPr>
          <w:rFonts w:eastAsia="Calibri"/>
          <w:bCs/>
          <w:iCs/>
          <w:sz w:val="24"/>
          <w:szCs w:val="24"/>
          <w:lang w:eastAsia="en-US"/>
        </w:rPr>
        <w:t>In S</w:t>
      </w:r>
      <w:r w:rsidRPr="00232085">
        <w:rPr>
          <w:rFonts w:eastAsia="Calibri"/>
          <w:iCs/>
          <w:sz w:val="24"/>
          <w:szCs w:val="24"/>
          <w:lang w:eastAsia="en-US"/>
        </w:rPr>
        <w:t xml:space="preserve">eminář </w:t>
      </w:r>
      <w:r w:rsidR="006D46B0">
        <w:rPr>
          <w:rFonts w:eastAsia="Calibri"/>
          <w:bCs/>
          <w:iCs/>
          <w:sz w:val="24"/>
          <w:szCs w:val="24"/>
          <w:lang w:eastAsia="en-US"/>
        </w:rPr>
        <w:t xml:space="preserve">Zahraniční investice – </w:t>
      </w:r>
      <w:r w:rsidRPr="00232085">
        <w:rPr>
          <w:rFonts w:eastAsia="Calibri"/>
          <w:bCs/>
          <w:iCs/>
          <w:sz w:val="24"/>
          <w:szCs w:val="24"/>
          <w:lang w:eastAsia="en-US"/>
        </w:rPr>
        <w:t>zázračný lék? Praha, Centrum pro ekonomiku a politiku, (</w:t>
      </w:r>
      <w:r w:rsidRPr="00232085">
        <w:rPr>
          <w:rFonts w:eastAsia="Calibri"/>
          <w:iCs/>
          <w:sz w:val="24"/>
          <w:szCs w:val="24"/>
          <w:lang w:eastAsia="en-US"/>
        </w:rPr>
        <w:t>Dostupné na http:// cepin.cz/cze/prednaska.php?ID=666).</w:t>
      </w:r>
    </w:p>
    <w:p w:rsidR="006A2747" w:rsidRPr="00232085" w:rsidRDefault="006A2747" w:rsidP="003B3C75">
      <w:pPr>
        <w:keepNext/>
        <w:widowControl w:val="0"/>
        <w:suppressLineNumbers/>
        <w:spacing w:after="120" w:line="240" w:lineRule="auto"/>
        <w:jc w:val="both"/>
        <w:rPr>
          <w:sz w:val="24"/>
          <w:szCs w:val="24"/>
        </w:rPr>
      </w:pPr>
      <w:r w:rsidRPr="00232085">
        <w:rPr>
          <w:caps/>
          <w:sz w:val="24"/>
          <w:szCs w:val="24"/>
        </w:rPr>
        <w:t>Toušek, V., Kunc, J., Vystoupil, J. a kol</w:t>
      </w:r>
      <w:r w:rsidRPr="00232085">
        <w:rPr>
          <w:sz w:val="24"/>
          <w:szCs w:val="24"/>
        </w:rPr>
        <w:t xml:space="preserve">. (2008):Ekonomická a sociální geografie. Plzeň, Vydavatelství a nakladatelství Aleš Čeněk. </w:t>
      </w:r>
    </w:p>
    <w:p w:rsidR="006A2747" w:rsidRPr="00232085" w:rsidRDefault="006A2747" w:rsidP="003B3C75">
      <w:pPr>
        <w:keepNext/>
        <w:keepLines/>
        <w:widowControl w:val="0"/>
        <w:suppressLineNumbers/>
        <w:autoSpaceDE w:val="0"/>
        <w:autoSpaceDN w:val="0"/>
        <w:adjustRightInd w:val="0"/>
        <w:spacing w:after="120" w:line="240" w:lineRule="auto"/>
        <w:jc w:val="both"/>
        <w:rPr>
          <w:sz w:val="24"/>
          <w:szCs w:val="24"/>
          <w:lang w:eastAsia="en-US"/>
        </w:rPr>
      </w:pPr>
      <w:r w:rsidRPr="00232085">
        <w:rPr>
          <w:caps/>
          <w:sz w:val="24"/>
          <w:szCs w:val="24"/>
          <w:lang w:eastAsia="en-US"/>
        </w:rPr>
        <w:t>Viturka, M. (2007):</w:t>
      </w:r>
      <w:r w:rsidRPr="00232085">
        <w:rPr>
          <w:sz w:val="24"/>
          <w:szCs w:val="24"/>
          <w:lang w:eastAsia="en-US"/>
        </w:rPr>
        <w:t xml:space="preserve"> Konkurenceschopnost regionů a možnosti jejího hodnocení</w:t>
      </w:r>
      <w:r w:rsidR="006D46B0">
        <w:rPr>
          <w:sz w:val="24"/>
          <w:szCs w:val="24"/>
          <w:lang w:eastAsia="en-US"/>
        </w:rPr>
        <w:t>. Politická ekonomie, 5, s. 637–</w:t>
      </w:r>
      <w:r w:rsidRPr="00232085">
        <w:rPr>
          <w:sz w:val="24"/>
          <w:szCs w:val="24"/>
          <w:lang w:eastAsia="en-US"/>
        </w:rPr>
        <w:t>658.</w:t>
      </w:r>
    </w:p>
    <w:p w:rsidR="006A2747" w:rsidRPr="00232085" w:rsidRDefault="006A2747" w:rsidP="003B3C75">
      <w:pPr>
        <w:keepNext/>
        <w:keepLines/>
        <w:widowControl w:val="0"/>
        <w:suppressLineNumbers/>
        <w:autoSpaceDE w:val="0"/>
        <w:autoSpaceDN w:val="0"/>
        <w:adjustRightInd w:val="0"/>
        <w:spacing w:after="120" w:line="240" w:lineRule="auto"/>
        <w:jc w:val="both"/>
        <w:rPr>
          <w:sz w:val="24"/>
          <w:szCs w:val="24"/>
          <w:lang w:eastAsia="en-US"/>
        </w:rPr>
      </w:pPr>
      <w:r w:rsidRPr="00232085">
        <w:rPr>
          <w:caps/>
          <w:sz w:val="24"/>
          <w:szCs w:val="24"/>
          <w:lang w:eastAsia="en-US"/>
        </w:rPr>
        <w:t>Viturka, M. A</w:t>
      </w:r>
      <w:r w:rsidRPr="00232085">
        <w:rPr>
          <w:rFonts w:eastAsia="CenturySchL-Roma"/>
          <w:sz w:val="24"/>
          <w:szCs w:val="24"/>
          <w:lang w:eastAsia="en-US"/>
        </w:rPr>
        <w:t xml:space="preserve"> </w:t>
      </w:r>
      <w:r w:rsidRPr="00232085">
        <w:rPr>
          <w:caps/>
          <w:sz w:val="24"/>
          <w:szCs w:val="24"/>
          <w:lang w:eastAsia="en-US"/>
        </w:rPr>
        <w:t xml:space="preserve">kol. (2010): </w:t>
      </w:r>
      <w:r w:rsidRPr="00232085">
        <w:rPr>
          <w:sz w:val="24"/>
          <w:szCs w:val="24"/>
          <w:lang w:eastAsia="en-US"/>
        </w:rPr>
        <w:t>Kvalita podnikatelského prostředí, regionální konkurenceschopnost a strategie regionálního rozvoje České republiky. Nakladatelství Grada, Praha.</w:t>
      </w:r>
    </w:p>
    <w:p w:rsidR="006A2747" w:rsidRPr="00232085" w:rsidRDefault="006A2747" w:rsidP="003B3C75">
      <w:pPr>
        <w:keepNext/>
        <w:keepLines/>
        <w:widowControl w:val="0"/>
        <w:suppressLineNumbers/>
        <w:autoSpaceDE w:val="0"/>
        <w:autoSpaceDN w:val="0"/>
        <w:adjustRightInd w:val="0"/>
        <w:spacing w:after="120" w:line="240" w:lineRule="auto"/>
        <w:jc w:val="both"/>
        <w:rPr>
          <w:sz w:val="24"/>
          <w:szCs w:val="24"/>
          <w:lang w:eastAsia="en-US"/>
        </w:rPr>
      </w:pPr>
      <w:r w:rsidRPr="00232085">
        <w:rPr>
          <w:caps/>
          <w:sz w:val="24"/>
          <w:szCs w:val="24"/>
          <w:lang w:eastAsia="en-US"/>
        </w:rPr>
        <w:t xml:space="preserve">Viturka, M., Žítek, V., Klímová, V., Tonev, P. (2011): </w:t>
      </w:r>
      <w:r w:rsidRPr="00232085">
        <w:rPr>
          <w:bCs/>
          <w:sz w:val="24"/>
          <w:szCs w:val="24"/>
          <w:lang w:eastAsia="en-US"/>
        </w:rPr>
        <w:t xml:space="preserve">Application of Microeconomic and Macroeconomic Approach to Evaluating Disparities in the Regional Development. </w:t>
      </w:r>
      <w:r w:rsidR="006D46B0">
        <w:rPr>
          <w:sz w:val="24"/>
          <w:szCs w:val="24"/>
          <w:lang w:eastAsia="en-US"/>
        </w:rPr>
        <w:t>Ekonomický časopis, 7, pp. 655–</w:t>
      </w:r>
      <w:r w:rsidRPr="00232085">
        <w:rPr>
          <w:sz w:val="24"/>
          <w:szCs w:val="24"/>
          <w:lang w:eastAsia="en-US"/>
        </w:rPr>
        <w:t xml:space="preserve">668 </w:t>
      </w:r>
    </w:p>
    <w:p w:rsidR="006A2747" w:rsidRPr="00232085" w:rsidRDefault="006A2747" w:rsidP="003B3C75">
      <w:pPr>
        <w:keepNext/>
        <w:keepLines/>
        <w:widowControl w:val="0"/>
        <w:suppressLineNumbers/>
        <w:autoSpaceDE w:val="0"/>
        <w:autoSpaceDN w:val="0"/>
        <w:adjustRightInd w:val="0"/>
        <w:spacing w:after="120" w:line="240" w:lineRule="auto"/>
        <w:jc w:val="both"/>
        <w:rPr>
          <w:sz w:val="24"/>
          <w:szCs w:val="24"/>
        </w:rPr>
      </w:pPr>
      <w:r w:rsidRPr="00232085">
        <w:rPr>
          <w:caps/>
          <w:sz w:val="24"/>
          <w:szCs w:val="24"/>
        </w:rPr>
        <w:t xml:space="preserve">Viturka, M. (2011): </w:t>
      </w:r>
      <w:r w:rsidRPr="00232085">
        <w:rPr>
          <w:sz w:val="24"/>
          <w:szCs w:val="24"/>
        </w:rPr>
        <w:t>Integrační teorie udržitelného regionálního rozvoje – představení a aplikace</w:t>
      </w:r>
      <w:r w:rsidR="006D46B0">
        <w:rPr>
          <w:sz w:val="24"/>
          <w:szCs w:val="24"/>
        </w:rPr>
        <w:t>. Politická ekonomie, 6, s. 794–</w:t>
      </w:r>
      <w:r w:rsidRPr="00232085">
        <w:rPr>
          <w:sz w:val="24"/>
          <w:szCs w:val="24"/>
        </w:rPr>
        <w:t>809.</w:t>
      </w:r>
    </w:p>
    <w:p w:rsidR="006A2747" w:rsidRPr="00232085" w:rsidRDefault="006A2747" w:rsidP="003B3C75">
      <w:pPr>
        <w:keepNext/>
        <w:keepLines/>
        <w:widowControl w:val="0"/>
        <w:suppressLineNumbers/>
        <w:autoSpaceDE w:val="0"/>
        <w:autoSpaceDN w:val="0"/>
        <w:adjustRightInd w:val="0"/>
        <w:spacing w:after="120" w:line="240" w:lineRule="auto"/>
        <w:jc w:val="both"/>
        <w:rPr>
          <w:sz w:val="24"/>
          <w:szCs w:val="24"/>
        </w:rPr>
      </w:pPr>
      <w:r w:rsidRPr="00232085">
        <w:rPr>
          <w:caps/>
          <w:sz w:val="24"/>
          <w:szCs w:val="24"/>
        </w:rPr>
        <w:t>Viturka, M., Wokoun, R, Krejčová, N., Tonev, P., ŽÍTEK, V.</w:t>
      </w:r>
      <w:r w:rsidRPr="00232085">
        <w:rPr>
          <w:sz w:val="24"/>
          <w:szCs w:val="24"/>
        </w:rPr>
        <w:t xml:space="preserve"> (2013): The regional relationship between quality of business and social environment: harmony or disharmony ?, E</w:t>
      </w:r>
      <w:r w:rsidR="006D46B0">
        <w:rPr>
          <w:sz w:val="24"/>
          <w:szCs w:val="24"/>
        </w:rPr>
        <w:t>konomie a management, 2, pp. 22–</w:t>
      </w:r>
      <w:r w:rsidRPr="00232085">
        <w:rPr>
          <w:sz w:val="24"/>
          <w:szCs w:val="24"/>
        </w:rPr>
        <w:t>40.</w:t>
      </w:r>
    </w:p>
    <w:p w:rsidR="006A2747" w:rsidRPr="00232085" w:rsidRDefault="006A2747" w:rsidP="003B3C75">
      <w:pPr>
        <w:keepNext/>
        <w:keepLines/>
        <w:widowControl w:val="0"/>
        <w:suppressLineNumbers/>
        <w:autoSpaceDE w:val="0"/>
        <w:autoSpaceDN w:val="0"/>
        <w:adjustRightInd w:val="0"/>
        <w:spacing w:after="120" w:line="240" w:lineRule="auto"/>
        <w:jc w:val="both"/>
        <w:rPr>
          <w:rFonts w:eastAsia="Calibri"/>
          <w:caps/>
          <w:sz w:val="24"/>
          <w:szCs w:val="24"/>
          <w:lang w:eastAsia="en-US"/>
        </w:rPr>
      </w:pPr>
      <w:r w:rsidRPr="00232085">
        <w:rPr>
          <w:rFonts w:eastAsia="Calibri"/>
          <w:caps/>
          <w:sz w:val="24"/>
          <w:szCs w:val="24"/>
          <w:lang w:eastAsia="en-US"/>
        </w:rPr>
        <w:t>Volejníková, J.</w:t>
      </w:r>
      <w:r w:rsidRPr="00232085">
        <w:rPr>
          <w:rFonts w:eastAsia="Calibri"/>
          <w:sz w:val="24"/>
          <w:szCs w:val="24"/>
          <w:lang w:eastAsia="en-US"/>
        </w:rPr>
        <w:t xml:space="preserve"> (2005): Moderní kompendium ekonomických teorií. Praha, Profess Consulting.</w:t>
      </w:r>
      <w:r w:rsidRPr="00232085">
        <w:rPr>
          <w:rFonts w:eastAsia="Calibri"/>
          <w:caps/>
          <w:sz w:val="24"/>
          <w:szCs w:val="24"/>
          <w:lang w:eastAsia="en-US"/>
        </w:rPr>
        <w:t xml:space="preserve"> </w:t>
      </w:r>
    </w:p>
    <w:p w:rsidR="006A2747" w:rsidRPr="00232085" w:rsidRDefault="006A2747" w:rsidP="003B3C75">
      <w:pPr>
        <w:keepNext/>
        <w:keepLines/>
        <w:widowControl w:val="0"/>
        <w:suppressLineNumbers/>
        <w:autoSpaceDE w:val="0"/>
        <w:autoSpaceDN w:val="0"/>
        <w:adjustRightInd w:val="0"/>
        <w:spacing w:after="120" w:line="240" w:lineRule="auto"/>
        <w:jc w:val="both"/>
        <w:rPr>
          <w:rFonts w:eastAsia="Calibri"/>
          <w:sz w:val="24"/>
          <w:szCs w:val="24"/>
          <w:lang w:eastAsia="en-US"/>
        </w:rPr>
      </w:pPr>
      <w:r w:rsidRPr="00232085">
        <w:rPr>
          <w:rFonts w:eastAsia="Calibri"/>
          <w:caps/>
          <w:sz w:val="24"/>
          <w:szCs w:val="24"/>
          <w:lang w:eastAsia="en-US"/>
        </w:rPr>
        <w:t>Výrostová, E (2010):</w:t>
      </w:r>
      <w:r w:rsidRPr="00232085">
        <w:rPr>
          <w:rFonts w:eastAsia="Calibri"/>
          <w:sz w:val="24"/>
          <w:szCs w:val="24"/>
          <w:lang w:eastAsia="en-US"/>
        </w:rPr>
        <w:t xml:space="preserve"> Regionálna ekonomika a rozvoj. Bratislava, Iura Edition. </w:t>
      </w:r>
    </w:p>
    <w:p w:rsidR="006A2747" w:rsidRPr="00232085" w:rsidRDefault="006A2747" w:rsidP="003B3C75">
      <w:pPr>
        <w:keepNext/>
        <w:spacing w:after="120" w:line="240" w:lineRule="auto"/>
        <w:jc w:val="both"/>
        <w:rPr>
          <w:rFonts w:eastAsia="Calibri"/>
          <w:sz w:val="24"/>
          <w:szCs w:val="24"/>
          <w:lang w:eastAsia="en-US"/>
        </w:rPr>
      </w:pPr>
      <w:r w:rsidRPr="00232085">
        <w:rPr>
          <w:rFonts w:eastAsia="Calibri"/>
          <w:caps/>
          <w:sz w:val="24"/>
          <w:szCs w:val="24"/>
          <w:lang w:eastAsia="en-US"/>
        </w:rPr>
        <w:t>Žižka M. (2004</w:t>
      </w:r>
      <w:r w:rsidRPr="00232085">
        <w:rPr>
          <w:rFonts w:eastAsia="Calibri"/>
          <w:sz w:val="24"/>
          <w:szCs w:val="24"/>
          <w:lang w:eastAsia="en-US"/>
        </w:rPr>
        <w:t xml:space="preserve">): Metody identifikace klastrů. E+M </w:t>
      </w:r>
      <w:r w:rsidR="006D46B0">
        <w:rPr>
          <w:rFonts w:eastAsia="Calibri"/>
          <w:sz w:val="24"/>
          <w:szCs w:val="24"/>
          <w:lang w:eastAsia="en-US"/>
        </w:rPr>
        <w:t>Ekonomie a management, 4, s. 32–</w:t>
      </w:r>
      <w:r w:rsidRPr="00232085">
        <w:rPr>
          <w:rFonts w:eastAsia="Calibri"/>
          <w:sz w:val="24"/>
          <w:szCs w:val="24"/>
          <w:lang w:eastAsia="en-US"/>
        </w:rPr>
        <w:t>46</w:t>
      </w:r>
    </w:p>
    <w:p w:rsidR="006F59A1" w:rsidRPr="003B3C75" w:rsidRDefault="006A2747" w:rsidP="003B3C75">
      <w:pPr>
        <w:keepNext/>
        <w:keepLines/>
        <w:widowControl w:val="0"/>
        <w:suppressLineNumbers/>
        <w:autoSpaceDE w:val="0"/>
        <w:autoSpaceDN w:val="0"/>
        <w:adjustRightInd w:val="0"/>
        <w:spacing w:after="120" w:line="240" w:lineRule="auto"/>
        <w:jc w:val="both"/>
        <w:rPr>
          <w:rFonts w:eastAsia="Calibri"/>
          <w:sz w:val="24"/>
          <w:szCs w:val="24"/>
          <w:lang w:eastAsia="en-US"/>
        </w:rPr>
      </w:pPr>
      <w:r w:rsidRPr="00232085">
        <w:rPr>
          <w:rFonts w:eastAsia="Calibri"/>
          <w:caps/>
          <w:sz w:val="24"/>
          <w:szCs w:val="24"/>
          <w:lang w:eastAsia="en-US"/>
        </w:rPr>
        <w:t>Žižka, M. (2010</w:t>
      </w:r>
      <w:r w:rsidRPr="00232085">
        <w:rPr>
          <w:rFonts w:eastAsia="Calibri"/>
          <w:sz w:val="24"/>
          <w:szCs w:val="24"/>
          <w:lang w:eastAsia="en-US"/>
        </w:rPr>
        <w:t>): Quantitative Methods of Identification of Industry Clusters, In Proceedings of 28th International Conference Mat</w:t>
      </w:r>
      <w:r w:rsidR="006F59A1">
        <w:rPr>
          <w:rFonts w:eastAsia="Calibri"/>
          <w:sz w:val="24"/>
          <w:szCs w:val="24"/>
          <w:lang w:eastAsia="en-US"/>
        </w:rPr>
        <w:t>hematical Methods in Economics.</w:t>
      </w:r>
    </w:p>
    <w:p w:rsidR="006F59A1" w:rsidRPr="00FC2742" w:rsidRDefault="006F59A1" w:rsidP="003B3C75">
      <w:pPr>
        <w:keepNext/>
        <w:keepLines/>
        <w:widowControl w:val="0"/>
        <w:suppressLineNumbers/>
        <w:autoSpaceDE w:val="0"/>
        <w:autoSpaceDN w:val="0"/>
        <w:adjustRightInd w:val="0"/>
        <w:spacing w:after="120" w:line="240" w:lineRule="auto"/>
        <w:jc w:val="both"/>
        <w:rPr>
          <w:rFonts w:asciiTheme="majorHAnsi" w:eastAsia="Calibri" w:hAnsiTheme="majorHAnsi"/>
          <w:b/>
          <w:color w:val="548DD4" w:themeColor="text2" w:themeTint="99"/>
          <w:sz w:val="24"/>
          <w:szCs w:val="24"/>
          <w:lang w:eastAsia="en-US"/>
        </w:rPr>
      </w:pPr>
      <w:r w:rsidRPr="00FC2742">
        <w:rPr>
          <w:rFonts w:asciiTheme="majorHAnsi" w:eastAsia="Calibri" w:hAnsiTheme="majorHAnsi"/>
          <w:b/>
          <w:color w:val="548DD4" w:themeColor="text2" w:themeTint="99"/>
          <w:sz w:val="24"/>
          <w:szCs w:val="24"/>
          <w:lang w:eastAsia="en-US"/>
        </w:rPr>
        <w:t>Ostatní zdroje:</w:t>
      </w:r>
    </w:p>
    <w:p w:rsidR="006A2747" w:rsidRPr="00232085" w:rsidRDefault="006A2747" w:rsidP="003B3C75">
      <w:pPr>
        <w:keepNext/>
        <w:spacing w:after="120" w:line="240" w:lineRule="auto"/>
        <w:jc w:val="both"/>
        <w:rPr>
          <w:rFonts w:eastAsia="Calibri"/>
          <w:sz w:val="24"/>
          <w:szCs w:val="24"/>
          <w:lang w:eastAsia="en-US"/>
        </w:rPr>
      </w:pPr>
      <w:r w:rsidRPr="00232085">
        <w:rPr>
          <w:rFonts w:eastAsia="Calibri"/>
          <w:sz w:val="24"/>
          <w:szCs w:val="24"/>
          <w:lang w:eastAsia="en-US"/>
        </w:rPr>
        <w:t>CzechInvest.(2005): Průvodce klastrem (Dostupné na www.czechinvest.cz).</w:t>
      </w:r>
    </w:p>
    <w:p w:rsidR="006A2747" w:rsidRPr="00232085" w:rsidRDefault="006A2747" w:rsidP="003B3C75">
      <w:pPr>
        <w:keepNext/>
        <w:keepLines/>
        <w:widowControl w:val="0"/>
        <w:suppressLineNumbers/>
        <w:spacing w:after="120" w:line="240" w:lineRule="auto"/>
        <w:jc w:val="both"/>
        <w:rPr>
          <w:rFonts w:eastAsia="Calibri"/>
          <w:iCs/>
          <w:sz w:val="24"/>
          <w:szCs w:val="24"/>
          <w:lang w:eastAsia="en-US"/>
        </w:rPr>
      </w:pPr>
      <w:r w:rsidRPr="00232085">
        <w:rPr>
          <w:rFonts w:eastAsia="Calibri"/>
          <w:iCs/>
          <w:sz w:val="24"/>
          <w:szCs w:val="24"/>
          <w:lang w:eastAsia="en-US"/>
        </w:rPr>
        <w:t>CzechInvest (2010): Vliv přímých zahraničních investic (Dostupné na http://www.czechinvest.org/vliv-pzi).</w:t>
      </w:r>
    </w:p>
    <w:p w:rsidR="006A2747" w:rsidRPr="00232085" w:rsidRDefault="006A2747" w:rsidP="003B3C75">
      <w:pPr>
        <w:keepNext/>
        <w:keepLines/>
        <w:widowControl w:val="0"/>
        <w:suppressLineNumbers/>
        <w:spacing w:after="120" w:line="240" w:lineRule="auto"/>
        <w:jc w:val="both"/>
        <w:rPr>
          <w:rFonts w:eastAsia="Calibri"/>
          <w:iCs/>
          <w:sz w:val="24"/>
          <w:szCs w:val="24"/>
          <w:lang w:eastAsia="en-US"/>
        </w:rPr>
      </w:pPr>
      <w:r w:rsidRPr="00232085">
        <w:rPr>
          <w:rFonts w:eastAsia="Calibri"/>
          <w:iCs/>
          <w:sz w:val="24"/>
          <w:szCs w:val="24"/>
          <w:lang w:eastAsia="en-US"/>
        </w:rPr>
        <w:t>CzechInvest (2013): Investiční pobídky (Dostupné na http://www.czechinvest.org/ investicni-pobidky-nove).</w:t>
      </w:r>
    </w:p>
    <w:p w:rsidR="006A2747" w:rsidRPr="00232085" w:rsidRDefault="006A2747" w:rsidP="003B3C75">
      <w:pPr>
        <w:keepNext/>
        <w:keepLines/>
        <w:widowControl w:val="0"/>
        <w:suppressLineNumbers/>
        <w:spacing w:after="120" w:line="240" w:lineRule="auto"/>
        <w:jc w:val="both"/>
        <w:rPr>
          <w:sz w:val="24"/>
          <w:szCs w:val="24"/>
        </w:rPr>
      </w:pPr>
      <w:r w:rsidRPr="00232085">
        <w:rPr>
          <w:sz w:val="24"/>
          <w:szCs w:val="24"/>
        </w:rPr>
        <w:t>Český statistický úřad</w:t>
      </w:r>
      <w:r w:rsidRPr="00232085">
        <w:rPr>
          <w:caps/>
          <w:sz w:val="24"/>
          <w:szCs w:val="24"/>
        </w:rPr>
        <w:t xml:space="preserve"> (2008):</w:t>
      </w:r>
      <w:r w:rsidRPr="00232085">
        <w:rPr>
          <w:sz w:val="24"/>
          <w:szCs w:val="24"/>
        </w:rPr>
        <w:t xml:space="preserve"> Inovační aktivity podniků v České republice v letech 2004-2006.</w:t>
      </w:r>
    </w:p>
    <w:p w:rsidR="006A2747" w:rsidRPr="00232085" w:rsidRDefault="006A2747" w:rsidP="003B3C75">
      <w:pPr>
        <w:keepNext/>
        <w:keepLines/>
        <w:widowControl w:val="0"/>
        <w:suppressLineNumbers/>
        <w:spacing w:after="120" w:line="240" w:lineRule="auto"/>
        <w:jc w:val="both"/>
        <w:rPr>
          <w:sz w:val="24"/>
          <w:szCs w:val="24"/>
        </w:rPr>
      </w:pPr>
      <w:r w:rsidRPr="00232085">
        <w:rPr>
          <w:sz w:val="24"/>
          <w:szCs w:val="24"/>
        </w:rPr>
        <w:t>Český statistický úřad (2012): Inovační aktivity podniků v České republice v letech 2008-2010.</w:t>
      </w:r>
    </w:p>
    <w:p w:rsidR="006A2747" w:rsidRPr="00232085" w:rsidRDefault="006A2747" w:rsidP="003B3C75">
      <w:pPr>
        <w:keepNext/>
        <w:keepLines/>
        <w:widowControl w:val="0"/>
        <w:suppressLineNumbers/>
        <w:spacing w:after="120" w:line="240" w:lineRule="auto"/>
        <w:jc w:val="both"/>
        <w:rPr>
          <w:sz w:val="24"/>
          <w:szCs w:val="24"/>
        </w:rPr>
      </w:pPr>
      <w:r w:rsidRPr="00232085">
        <w:rPr>
          <w:sz w:val="24"/>
          <w:szCs w:val="24"/>
        </w:rPr>
        <w:t>Český statistický úřad (2009): Ukazatelé výzkumu a vývoje.</w:t>
      </w:r>
    </w:p>
    <w:p w:rsidR="006A2747" w:rsidRPr="00232085" w:rsidRDefault="006A2747" w:rsidP="003B3C75">
      <w:pPr>
        <w:keepNext/>
        <w:keepLines/>
        <w:widowControl w:val="0"/>
        <w:suppressLineNumbers/>
        <w:spacing w:after="120" w:line="240" w:lineRule="auto"/>
        <w:jc w:val="both"/>
        <w:rPr>
          <w:rFonts w:eastAsia="Calibri"/>
          <w:iCs/>
          <w:color w:val="FF0000"/>
          <w:sz w:val="24"/>
          <w:szCs w:val="24"/>
          <w:lang w:eastAsia="en-US"/>
        </w:rPr>
      </w:pPr>
      <w:r w:rsidRPr="00232085">
        <w:rPr>
          <w:sz w:val="24"/>
          <w:szCs w:val="24"/>
        </w:rPr>
        <w:t>Český statistický úřad (2013): Ukazatelé výzkumu a vývoje.</w:t>
      </w:r>
      <w:r w:rsidRPr="00232085">
        <w:rPr>
          <w:rFonts w:eastAsia="Calibri"/>
          <w:iCs/>
          <w:color w:val="FF0000"/>
          <w:sz w:val="24"/>
          <w:szCs w:val="24"/>
          <w:lang w:eastAsia="en-US"/>
        </w:rPr>
        <w:t xml:space="preserve"> </w:t>
      </w:r>
    </w:p>
    <w:p w:rsidR="006A2747" w:rsidRPr="00232085" w:rsidRDefault="006A2747" w:rsidP="003B3C75">
      <w:pPr>
        <w:keepNext/>
        <w:keepLines/>
        <w:widowControl w:val="0"/>
        <w:suppressLineNumbers/>
        <w:spacing w:after="120" w:line="240" w:lineRule="auto"/>
        <w:jc w:val="both"/>
        <w:rPr>
          <w:rFonts w:eastAsia="Calibri"/>
          <w:sz w:val="24"/>
          <w:szCs w:val="24"/>
          <w:lang w:eastAsia="en-US"/>
        </w:rPr>
      </w:pPr>
      <w:r w:rsidRPr="00232085">
        <w:rPr>
          <w:sz w:val="24"/>
          <w:szCs w:val="24"/>
        </w:rPr>
        <w:t>Český statistický úřad</w:t>
      </w:r>
      <w:r w:rsidRPr="00232085">
        <w:rPr>
          <w:rFonts w:eastAsia="Calibri"/>
          <w:sz w:val="24"/>
          <w:szCs w:val="24"/>
          <w:lang w:eastAsia="en-US"/>
        </w:rPr>
        <w:t xml:space="preserve"> (2013): Zaměstnanost a nezaměstnanost podle VŠPS – roční průměry 2012. (Dostupné na </w:t>
      </w:r>
      <w:hyperlink r:id="rId66" w:history="1">
        <w:r w:rsidRPr="00232085">
          <w:rPr>
            <w:rStyle w:val="Hypertextovodkaz"/>
            <w:rFonts w:eastAsia="Calibri"/>
            <w:color w:val="auto"/>
            <w:sz w:val="24"/>
            <w:szCs w:val="24"/>
            <w:u w:val="none"/>
            <w:lang w:eastAsia="en-US"/>
          </w:rPr>
          <w:t>http://www.czso.cz/csu/2013edicniplan.nsf/publ/3115-13-r_2013</w:t>
        </w:r>
      </w:hyperlink>
      <w:r w:rsidRPr="00232085">
        <w:rPr>
          <w:rFonts w:eastAsia="Calibri"/>
          <w:sz w:val="24"/>
          <w:szCs w:val="24"/>
          <w:lang w:eastAsia="en-US"/>
        </w:rPr>
        <w:t>).</w:t>
      </w:r>
    </w:p>
    <w:p w:rsidR="006A2747" w:rsidRPr="00232085" w:rsidRDefault="006A2747" w:rsidP="003B3C75">
      <w:pPr>
        <w:keepNext/>
        <w:keepLines/>
        <w:widowControl w:val="0"/>
        <w:suppressLineNumbers/>
        <w:spacing w:after="120" w:line="240" w:lineRule="auto"/>
        <w:jc w:val="both"/>
        <w:rPr>
          <w:rFonts w:eastAsia="Calibri"/>
          <w:iCs/>
          <w:sz w:val="24"/>
          <w:szCs w:val="24"/>
          <w:lang w:eastAsia="en-US"/>
        </w:rPr>
      </w:pPr>
      <w:r w:rsidRPr="00232085">
        <w:rPr>
          <w:rFonts w:eastAsia="Calibri"/>
          <w:iCs/>
          <w:sz w:val="24"/>
          <w:szCs w:val="24"/>
          <w:lang w:eastAsia="en-US"/>
        </w:rPr>
        <w:lastRenderedPageBreak/>
        <w:t>ČNB (2012): Přímé zahraniční investice za rok 2011 (Dostupné na http://www.cnb.cz/cs/ statistika/platebni_bilance_stat/publikace_pb/pzi/index.html).</w:t>
      </w:r>
    </w:p>
    <w:p w:rsidR="006A2747" w:rsidRPr="00232085" w:rsidRDefault="006A2747" w:rsidP="003B3C75">
      <w:pPr>
        <w:keepNext/>
        <w:keepLines/>
        <w:autoSpaceDE w:val="0"/>
        <w:autoSpaceDN w:val="0"/>
        <w:adjustRightInd w:val="0"/>
        <w:spacing w:after="120" w:line="240" w:lineRule="auto"/>
        <w:jc w:val="both"/>
        <w:rPr>
          <w:sz w:val="24"/>
          <w:szCs w:val="24"/>
        </w:rPr>
      </w:pPr>
      <w:r w:rsidRPr="00232085">
        <w:rPr>
          <w:sz w:val="24"/>
          <w:szCs w:val="24"/>
        </w:rPr>
        <w:t xml:space="preserve">Ministerstvo školství, mládeže a tělovýchovy (2010): Výzva č. 1.1 k předkládání projektů OP VaVpI (Dostupné na http://www.msmt.cz/strukturalni-fondy/vyzva-v-ramci-prioritni-osy-1). </w:t>
      </w:r>
    </w:p>
    <w:p w:rsidR="006A2747" w:rsidRDefault="006A2747" w:rsidP="003B3C75">
      <w:pPr>
        <w:keepNext/>
        <w:spacing w:after="120" w:line="240" w:lineRule="auto"/>
        <w:jc w:val="both"/>
        <w:rPr>
          <w:rFonts w:eastAsia="Calibri"/>
          <w:sz w:val="24"/>
          <w:szCs w:val="24"/>
          <w:lang w:eastAsia="en-US"/>
        </w:rPr>
      </w:pPr>
      <w:r>
        <w:rPr>
          <w:rFonts w:eastAsia="Calibri"/>
          <w:sz w:val="24"/>
          <w:szCs w:val="24"/>
          <w:lang w:eastAsia="en-US"/>
        </w:rPr>
        <w:t xml:space="preserve">Territorial Agenda of the European Union 2020 </w:t>
      </w:r>
      <w:r w:rsidRPr="00232085">
        <w:rPr>
          <w:rFonts w:eastAsia="Calibri"/>
          <w:sz w:val="24"/>
          <w:szCs w:val="24"/>
          <w:lang w:eastAsia="en-US"/>
        </w:rPr>
        <w:t>(</w:t>
      </w:r>
      <w:r w:rsidRPr="005C0DE5">
        <w:rPr>
          <w:rFonts w:eastAsia="Calibri"/>
          <w:sz w:val="24"/>
          <w:szCs w:val="24"/>
          <w:lang w:eastAsia="en-US"/>
        </w:rPr>
        <w:t xml:space="preserve">Dostupné na </w:t>
      </w:r>
      <w:hyperlink r:id="rId67" w:history="1">
        <w:r w:rsidRPr="005C0DE5">
          <w:rPr>
            <w:rStyle w:val="Hypertextovodkaz"/>
            <w:rFonts w:eastAsia="Calibri"/>
            <w:color w:val="auto"/>
            <w:sz w:val="24"/>
            <w:szCs w:val="24"/>
            <w:u w:val="none"/>
            <w:lang w:eastAsia="en-US"/>
          </w:rPr>
          <w:t>http://www.mmr.cz/</w:t>
        </w:r>
      </w:hyperlink>
      <w:r w:rsidRPr="005C0DE5">
        <w:rPr>
          <w:rFonts w:eastAsia="Calibri"/>
          <w:sz w:val="24"/>
          <w:szCs w:val="24"/>
          <w:lang w:eastAsia="en-US"/>
        </w:rPr>
        <w:t xml:space="preserve"> getmedia/ fb9825b3-9d22-490d-bcd0-43528e505ea3/Uzemni-agenda-2020-(EN-verze).</w:t>
      </w:r>
    </w:p>
    <w:p w:rsidR="006A2747" w:rsidRPr="00232085" w:rsidRDefault="006A2747" w:rsidP="003B3C75">
      <w:pPr>
        <w:keepNext/>
        <w:spacing w:after="120" w:line="240" w:lineRule="auto"/>
        <w:jc w:val="both"/>
        <w:rPr>
          <w:rFonts w:eastAsia="Calibri"/>
          <w:sz w:val="24"/>
          <w:szCs w:val="24"/>
          <w:lang w:eastAsia="en-US"/>
        </w:rPr>
      </w:pPr>
      <w:r w:rsidRPr="00232085">
        <w:rPr>
          <w:rFonts w:eastAsia="Calibri"/>
          <w:sz w:val="24"/>
          <w:szCs w:val="24"/>
          <w:lang w:eastAsia="en-US"/>
        </w:rPr>
        <w:t xml:space="preserve">The Scottish Government (2010): The Scottish Innovation System: Actors, Roles and Actions (Dostupné na www.scotland.gov.uk). </w:t>
      </w:r>
    </w:p>
    <w:p w:rsidR="002078FC" w:rsidRPr="00D02928" w:rsidRDefault="006A2747" w:rsidP="00D02928">
      <w:pPr>
        <w:keepNext/>
        <w:keepLines/>
        <w:widowControl w:val="0"/>
        <w:suppressLineNumbers/>
        <w:spacing w:after="120" w:line="240" w:lineRule="auto"/>
        <w:jc w:val="both"/>
        <w:rPr>
          <w:sz w:val="24"/>
          <w:szCs w:val="24"/>
        </w:rPr>
      </w:pPr>
      <w:r w:rsidRPr="00232085">
        <w:rPr>
          <w:sz w:val="24"/>
          <w:szCs w:val="24"/>
        </w:rPr>
        <w:t>Vláda ČR. Zásady regionální politiky ČR. Usnesení vlády č.</w:t>
      </w:r>
      <w:r w:rsidR="00D02928">
        <w:rPr>
          <w:sz w:val="24"/>
          <w:szCs w:val="24"/>
        </w:rPr>
        <w:t xml:space="preserve"> 759/1992</w:t>
      </w:r>
      <w:r w:rsidR="002078FC">
        <w:rPr>
          <w:rFonts w:asciiTheme="majorHAnsi" w:hAnsiTheme="majorHAnsi"/>
          <w:b/>
          <w:color w:val="3333FF"/>
          <w:sz w:val="32"/>
          <w:szCs w:val="32"/>
        </w:rPr>
        <w:br w:type="page"/>
      </w:r>
    </w:p>
    <w:p w:rsidR="00A8071D" w:rsidRPr="009D30D7" w:rsidRDefault="009D30D7" w:rsidP="009D30D7">
      <w:pPr>
        <w:pStyle w:val="01-Nadpis1"/>
      </w:pPr>
      <w:bookmarkStart w:id="117" w:name="_Toc382327208"/>
      <w:r>
        <w:lastRenderedPageBreak/>
        <w:t xml:space="preserve">4. </w:t>
      </w:r>
      <w:r w:rsidR="00A8071D" w:rsidRPr="009D30D7">
        <w:t>Makroregionální úroveň rozv</w:t>
      </w:r>
      <w:r w:rsidR="00B70A29" w:rsidRPr="009D30D7">
        <w:t>oje</w:t>
      </w:r>
      <w:bookmarkEnd w:id="117"/>
    </w:p>
    <w:p w:rsidR="00B70A29" w:rsidRPr="00A54449" w:rsidRDefault="004D36C1" w:rsidP="00A54449">
      <w:pPr>
        <w:pStyle w:val="02-Nadpis2"/>
      </w:pPr>
      <w:bookmarkStart w:id="118" w:name="_Toc382327209"/>
      <w:r>
        <w:t>4.1</w:t>
      </w:r>
      <w:r w:rsidR="00A54449">
        <w:t>. Úvodní poznámky</w:t>
      </w:r>
      <w:bookmarkEnd w:id="118"/>
    </w:p>
    <w:p w:rsidR="003E0D09" w:rsidRPr="003E0D09" w:rsidRDefault="003E0D09" w:rsidP="00423120">
      <w:pPr>
        <w:keepNext/>
        <w:autoSpaceDE w:val="0"/>
        <w:autoSpaceDN w:val="0"/>
        <w:adjustRightInd w:val="0"/>
        <w:ind w:firstLine="720"/>
        <w:jc w:val="both"/>
        <w:rPr>
          <w:sz w:val="24"/>
          <w:szCs w:val="24"/>
        </w:rPr>
      </w:pPr>
      <w:r w:rsidRPr="003E0D09">
        <w:rPr>
          <w:rFonts w:cs="TimesNewRomanPSMT"/>
          <w:sz w:val="24"/>
          <w:szCs w:val="20"/>
        </w:rPr>
        <w:t>M</w:t>
      </w:r>
      <w:r w:rsidRPr="003E0D09">
        <w:rPr>
          <w:sz w:val="24"/>
          <w:szCs w:val="24"/>
        </w:rPr>
        <w:t>akroregionální úroveň je nejčastěji ztotožňována s legislativně jasně definovaným územím jednotlivých států, přičemž jejím charakteristickým atributem je koncentrace centrálních politicko-správních a dalších významných veřejných funkcí do historicky konstituovaného centra, která zformovala základní územní polaritu do obvyklé podoby hlavní</w:t>
      </w:r>
      <w:r w:rsidR="009D2790">
        <w:rPr>
          <w:sz w:val="24"/>
          <w:szCs w:val="24"/>
        </w:rPr>
        <w:t>ho města</w:t>
      </w:r>
      <w:r w:rsidRPr="003E0D09">
        <w:rPr>
          <w:sz w:val="24"/>
          <w:szCs w:val="24"/>
        </w:rPr>
        <w:t xml:space="preserve"> státu (nejvýznamnější pól rozvoje) – podřízené mezoregiony. Koncentrace politické moci návazně stimuluje i koncentraci řídících funkcí v podnikatelské sféře, která tak dále posiluje procesy spojené s politicko-ekonomickou integrací daného státu – integrace na bázi řídících</w:t>
      </w:r>
      <w:r w:rsidR="00BA6F21">
        <w:rPr>
          <w:sz w:val="24"/>
          <w:szCs w:val="24"/>
        </w:rPr>
        <w:t xml:space="preserve">, </w:t>
      </w:r>
      <w:r w:rsidRPr="003E0D09">
        <w:rPr>
          <w:sz w:val="24"/>
          <w:szCs w:val="24"/>
        </w:rPr>
        <w:t>resp. manažerských interakcí (tyto interakce zde chápeme nejen jako systémově ukotvené organizační a technologické vazby, ale i jako operativní vazby mezi jednotlivými subjekty). Makroregionální hierarchická úroveň nepochybně hraje zcela zásadní roli v dynamickém procesu tvorby institucionálního prostředí jednotlivých zemí a úměrně s dosaženým stupněm decentralizace veřejné správy (naplňujícím princip subsidiarity) i</w:t>
      </w:r>
      <w:r w:rsidRPr="003E0D09">
        <w:rPr>
          <w:rFonts w:cs="TimesNewRomanPSMT"/>
          <w:sz w:val="24"/>
          <w:szCs w:val="24"/>
        </w:rPr>
        <w:t xml:space="preserve"> </w:t>
      </w:r>
      <w:r w:rsidRPr="003E0D09">
        <w:rPr>
          <w:sz w:val="24"/>
          <w:szCs w:val="24"/>
        </w:rPr>
        <w:t>jejich regionů. K tomu je účelné poznamenat, že kvalitní institucionální prostředí a konstruktivně orientovaný a racionálně strukturovaný management veřejné správy generuje celou řadu pozitivních synergických efektů (s adekvátními dopady na tvorbu, transfer a adopci technických i netechnických inovací a tedy i na vědecko-technický pokrok), které významným způsobem ovlivňují celkovou d</w:t>
      </w:r>
      <w:r w:rsidR="008C6D7E">
        <w:rPr>
          <w:sz w:val="24"/>
          <w:szCs w:val="24"/>
        </w:rPr>
        <w:t>ynamiku společenského rozvoje a </w:t>
      </w:r>
      <w:r w:rsidRPr="003E0D09">
        <w:rPr>
          <w:sz w:val="24"/>
          <w:szCs w:val="24"/>
        </w:rPr>
        <w:t xml:space="preserve">konkurenceschopnost daného státu. </w:t>
      </w:r>
    </w:p>
    <w:p w:rsidR="003E0D09" w:rsidRPr="003E0D09" w:rsidRDefault="003E0D09" w:rsidP="00AA5DD2">
      <w:pPr>
        <w:pStyle w:val="02-Nadpis2"/>
        <w:ind w:left="792" w:hanging="792"/>
        <w:rPr>
          <w:rFonts w:asciiTheme="majorHAnsi" w:hAnsiTheme="majorHAnsi" w:cs="TimesNewRomanPSMT"/>
          <w:b w:val="0"/>
          <w:color w:val="3333FF"/>
        </w:rPr>
      </w:pPr>
      <w:bookmarkStart w:id="119" w:name="_Toc382327210"/>
      <w:r w:rsidRPr="00A70B0A">
        <w:t>4.2. Kvalita institucionálního prostředí</w:t>
      </w:r>
      <w:bookmarkEnd w:id="119"/>
      <w:r w:rsidRPr="00A70B0A">
        <w:t xml:space="preserve"> </w:t>
      </w:r>
    </w:p>
    <w:p w:rsidR="003E0D09" w:rsidRPr="003E0D09" w:rsidRDefault="003E0D09" w:rsidP="00AA5DD2">
      <w:pPr>
        <w:keepNext/>
        <w:spacing w:after="120"/>
        <w:ind w:firstLine="720"/>
        <w:jc w:val="both"/>
        <w:rPr>
          <w:rFonts w:eastAsia="Calibri"/>
          <w:color w:val="0070C0"/>
          <w:sz w:val="24"/>
          <w:szCs w:val="24"/>
          <w:lang w:eastAsia="en-US"/>
        </w:rPr>
      </w:pPr>
      <w:r w:rsidRPr="003E0D09">
        <w:rPr>
          <w:rFonts w:eastAsia="Calibri"/>
          <w:sz w:val="24"/>
          <w:szCs w:val="24"/>
          <w:lang w:eastAsia="en-US"/>
        </w:rPr>
        <w:t>Na základě kritiky neoklasické ekonomie vznikl na počátku minulého století institucionalismus. Tento směr vychází z přesvědčení, že nelze zúžit národní hospodářství pouze na souhrn individuálních směnných transakcí a ekonomické zákony pak na výsledek působení nabídky a poptávky. Klade důraz na potřebu primárního studia institucí a teprve následně na chování člověka. Současně upozorňuje na nutnost zasazení ekonomie do kontextu ostatních společenských věd, což umožňuje aplikovat interdisciplinární přístup ke zkoumání dané problematiky (Kliková, Kotlán a kol., 2012). Institucionální škola ekonomického myšlení objevuje a aplikuje analogie mezi biologickým</w:t>
      </w:r>
      <w:r w:rsidR="008C6D7E">
        <w:rPr>
          <w:rFonts w:eastAsia="Calibri"/>
          <w:sz w:val="24"/>
          <w:szCs w:val="24"/>
          <w:lang w:eastAsia="en-US"/>
        </w:rPr>
        <w:t>i vědami a ekonomií a využívá i </w:t>
      </w:r>
      <w:r w:rsidRPr="003E0D09">
        <w:rPr>
          <w:rFonts w:eastAsia="Calibri"/>
          <w:sz w:val="24"/>
          <w:szCs w:val="24"/>
          <w:lang w:eastAsia="en-US"/>
        </w:rPr>
        <w:t>poznatky psychologie. Tyto analogie souvisí s evolucí jako základním principem vývoje. V tomto smyslu se přisuzuje klíčový význam interakcím mezi jednotlivci a skupinami ekonomických aktérů na straně jedné a institucemi na straně druhé, pro které jsou typické určité typy praktických postupů i hodnotových preferencí. To se projevuje nejen ve formování vztahů mezi hlavními subjekty ovlivňujícími hospodářský (regionální) rozvoj, ale i v dalších oblastech jako je kultura, technologické změny či vzorce spotřeby. Pro regionálně významné součásti institucionální e</w:t>
      </w:r>
      <w:r w:rsidR="008B3681">
        <w:rPr>
          <w:rFonts w:eastAsia="Calibri"/>
          <w:sz w:val="24"/>
          <w:szCs w:val="24"/>
          <w:lang w:eastAsia="en-US"/>
        </w:rPr>
        <w:t xml:space="preserve">konomie je </w:t>
      </w:r>
      <w:r w:rsidRPr="003E0D09">
        <w:rPr>
          <w:rFonts w:eastAsia="Calibri"/>
          <w:sz w:val="24"/>
          <w:szCs w:val="24"/>
          <w:lang w:eastAsia="en-US"/>
        </w:rPr>
        <w:t>charakteristický i určitý odstup vůči formalizačním metodám či matematickému vyjádření prostorových vztahů. Ustupuje se od jednoho ze základních předpokladů neoklasického ekonomie, kterým je homogenní povaha produkčních faktorů, zejména pracovní sily. Z toho vyplývá dů</w:t>
      </w:r>
      <w:r w:rsidR="008C6D7E">
        <w:rPr>
          <w:rFonts w:eastAsia="Calibri"/>
          <w:sz w:val="24"/>
          <w:szCs w:val="24"/>
          <w:lang w:eastAsia="en-US"/>
        </w:rPr>
        <w:t>raz na strukturální dispozice a </w:t>
      </w:r>
      <w:r w:rsidRPr="003E0D09">
        <w:rPr>
          <w:rFonts w:eastAsia="Calibri"/>
          <w:sz w:val="24"/>
          <w:szCs w:val="24"/>
          <w:lang w:eastAsia="en-US"/>
        </w:rPr>
        <w:t xml:space="preserve">endogenní možnosti regionálního rozvoje. Pro objasňování růstových rozdílů má zcela </w:t>
      </w:r>
      <w:r w:rsidRPr="003E0D09">
        <w:rPr>
          <w:rFonts w:eastAsia="Calibri"/>
          <w:sz w:val="24"/>
          <w:szCs w:val="24"/>
          <w:lang w:eastAsia="en-US"/>
        </w:rPr>
        <w:lastRenderedPageBreak/>
        <w:t>zásadní význam kontextuální analýza motivů rozhodování a chování klíčových ekonomických aktérů, stejně jako výsledky procesu „učení“ v případě těchto a</w:t>
      </w:r>
      <w:r w:rsidR="008C6D7E">
        <w:rPr>
          <w:rFonts w:eastAsia="Calibri"/>
          <w:sz w:val="24"/>
          <w:szCs w:val="24"/>
          <w:lang w:eastAsia="en-US"/>
        </w:rPr>
        <w:t>ktérů příp. dalších institucí i </w:t>
      </w:r>
      <w:r w:rsidRPr="003E0D09">
        <w:rPr>
          <w:rFonts w:eastAsia="Calibri"/>
          <w:sz w:val="24"/>
          <w:szCs w:val="24"/>
          <w:lang w:eastAsia="en-US"/>
        </w:rPr>
        <w:t>jednotlivců. Od pozitivisticky založeného neoklasického přístupu k posuzování růstových rozdílů a jejich potenciálních změn se institucionální přístup v souladu se značnou inercií regionálních systémů liší i rezignací na určování cílových stavů s vyšší mírou závaznosti. Zdůrazňují se omezené možnosti predikce obecně a za realistické je tak považováno pojetí vycházející z návaznosti dílčích procesů, na jejichž základě se formuje celý vývojový proces. V tomto kontextu jsou pak uplatňov</w:t>
      </w:r>
      <w:r w:rsidR="009D2790">
        <w:rPr>
          <w:rFonts w:eastAsia="Calibri"/>
          <w:sz w:val="24"/>
          <w:szCs w:val="24"/>
          <w:lang w:eastAsia="en-US"/>
        </w:rPr>
        <w:t>ány „gradualistické intervence“</w:t>
      </w:r>
      <w:r w:rsidRPr="003E0D09">
        <w:rPr>
          <w:rFonts w:eastAsia="Calibri"/>
          <w:sz w:val="24"/>
          <w:szCs w:val="24"/>
          <w:lang w:eastAsia="en-US"/>
        </w:rPr>
        <w:t xml:space="preserve">, přičemž je zohledňována skutečnost, že vstupují-li do jakékoliv interakce dva aktéři, existuje v jejich chování značná nejistota. Tuto nejistotu mohou snížit instituce, které však prodlužují časový horizont jednání a logicky tak vedou ke specializaci (prohloubení dělby práce). Instituce lze současně chápat jako výsledek i pravidla chování, která regulují opakující </w:t>
      </w:r>
      <w:r w:rsidR="00E27A91" w:rsidRPr="003E0D09">
        <w:rPr>
          <w:rFonts w:eastAsia="Calibri"/>
          <w:sz w:val="24"/>
          <w:szCs w:val="24"/>
          <w:lang w:eastAsia="en-US"/>
        </w:rPr>
        <w:t xml:space="preserve">se </w:t>
      </w:r>
      <w:r w:rsidRPr="003E0D09">
        <w:rPr>
          <w:rFonts w:eastAsia="Calibri"/>
          <w:sz w:val="24"/>
          <w:szCs w:val="24"/>
          <w:lang w:eastAsia="en-US"/>
        </w:rPr>
        <w:t>interakce mezi subjekty a jsou prosazována přirozeně či externí autoritou při existenci potenciální či reálné sankce. Instituce neprosazující se přes stát se označují jako interní a instituce prosazované státem jako externí. Voight (2008) popisuje následující vztahy mezi externími a interními institucemi:</w:t>
      </w:r>
    </w:p>
    <w:p w:rsidR="003E0D09" w:rsidRPr="003E0D09" w:rsidRDefault="003E0D09" w:rsidP="00423120">
      <w:pPr>
        <w:keepNext/>
        <w:numPr>
          <w:ilvl w:val="0"/>
          <w:numId w:val="24"/>
        </w:numPr>
        <w:ind w:left="284" w:hanging="284"/>
        <w:contextualSpacing/>
        <w:jc w:val="both"/>
        <w:rPr>
          <w:rFonts w:eastAsia="Calibri"/>
          <w:sz w:val="24"/>
          <w:szCs w:val="24"/>
          <w:lang w:eastAsia="en-US"/>
        </w:rPr>
      </w:pPr>
      <w:r w:rsidRPr="003E0D09">
        <w:rPr>
          <w:rFonts w:eastAsia="Calibri"/>
          <w:sz w:val="24"/>
          <w:szCs w:val="24"/>
          <w:lang w:eastAsia="en-US"/>
        </w:rPr>
        <w:t>neutrální vztahy orientované na vzájemně nepropojené oblasti,</w:t>
      </w:r>
    </w:p>
    <w:p w:rsidR="003E0D09" w:rsidRPr="003E0D09" w:rsidRDefault="003E0D09" w:rsidP="00423120">
      <w:pPr>
        <w:keepNext/>
        <w:numPr>
          <w:ilvl w:val="0"/>
          <w:numId w:val="24"/>
        </w:numPr>
        <w:ind w:left="284" w:hanging="284"/>
        <w:contextualSpacing/>
        <w:jc w:val="both"/>
        <w:rPr>
          <w:rFonts w:eastAsia="Calibri"/>
          <w:sz w:val="24"/>
          <w:szCs w:val="24"/>
          <w:lang w:eastAsia="en-US"/>
        </w:rPr>
      </w:pPr>
      <w:r w:rsidRPr="003E0D09">
        <w:rPr>
          <w:rFonts w:eastAsia="Calibri"/>
          <w:sz w:val="24"/>
          <w:szCs w:val="24"/>
          <w:lang w:eastAsia="en-US"/>
        </w:rPr>
        <w:t>komplementární vztahy regulující chování doplňujícím se způsobem (na dodržování pravidel dohlíží stát i soukromé subjekty),</w:t>
      </w:r>
    </w:p>
    <w:p w:rsidR="003E0D09" w:rsidRPr="003E0D09" w:rsidRDefault="003E0D09" w:rsidP="00423120">
      <w:pPr>
        <w:keepNext/>
        <w:numPr>
          <w:ilvl w:val="0"/>
          <w:numId w:val="24"/>
        </w:numPr>
        <w:ind w:left="284" w:hanging="284"/>
        <w:contextualSpacing/>
        <w:jc w:val="both"/>
        <w:rPr>
          <w:rFonts w:eastAsia="Calibri"/>
          <w:sz w:val="24"/>
          <w:szCs w:val="24"/>
          <w:lang w:eastAsia="en-US"/>
        </w:rPr>
      </w:pPr>
      <w:r w:rsidRPr="003E0D09">
        <w:rPr>
          <w:rFonts w:eastAsia="Calibri"/>
          <w:sz w:val="24"/>
          <w:szCs w:val="24"/>
          <w:lang w:eastAsia="en-US"/>
        </w:rPr>
        <w:t>substituční vztahy regulující chování obdobným způsobem (na dodržování pravidel dohlíží stát nebo soukromé subjekty),</w:t>
      </w:r>
    </w:p>
    <w:p w:rsidR="003E0D09" w:rsidRDefault="003E0D09" w:rsidP="00423120">
      <w:pPr>
        <w:keepNext/>
        <w:numPr>
          <w:ilvl w:val="0"/>
          <w:numId w:val="24"/>
        </w:numPr>
        <w:ind w:left="284" w:hanging="284"/>
        <w:contextualSpacing/>
        <w:jc w:val="both"/>
        <w:rPr>
          <w:rFonts w:eastAsia="Calibri"/>
          <w:sz w:val="24"/>
          <w:szCs w:val="24"/>
          <w:lang w:eastAsia="en-US"/>
        </w:rPr>
      </w:pPr>
      <w:r w:rsidRPr="003E0D09">
        <w:rPr>
          <w:rFonts w:eastAsia="Calibri"/>
          <w:sz w:val="24"/>
          <w:szCs w:val="24"/>
          <w:lang w:eastAsia="en-US"/>
        </w:rPr>
        <w:t>konfliktní vztahy, kdy respektování pravidel interní instituce se nachází v rozporu s pravidly instituce exte</w:t>
      </w:r>
      <w:r w:rsidR="009D2790">
        <w:rPr>
          <w:rFonts w:eastAsia="Calibri"/>
          <w:sz w:val="24"/>
          <w:szCs w:val="24"/>
          <w:lang w:eastAsia="en-US"/>
        </w:rPr>
        <w:t>rní.</w:t>
      </w:r>
    </w:p>
    <w:p w:rsidR="009D2790" w:rsidRPr="003E0D09" w:rsidRDefault="009D2790" w:rsidP="009D2790">
      <w:pPr>
        <w:keepNext/>
        <w:ind w:left="284"/>
        <w:contextualSpacing/>
        <w:jc w:val="both"/>
        <w:rPr>
          <w:rFonts w:eastAsia="Calibri"/>
          <w:sz w:val="24"/>
          <w:szCs w:val="24"/>
          <w:lang w:eastAsia="en-US"/>
        </w:rPr>
      </w:pPr>
    </w:p>
    <w:p w:rsidR="003E0D09" w:rsidRPr="003E0D09" w:rsidRDefault="003E0D09" w:rsidP="00423120">
      <w:pPr>
        <w:keepNext/>
        <w:ind w:firstLine="720"/>
        <w:jc w:val="both"/>
        <w:rPr>
          <w:rFonts w:eastAsia="Calibri"/>
          <w:sz w:val="24"/>
          <w:szCs w:val="24"/>
          <w:lang w:eastAsia="en-US"/>
        </w:rPr>
      </w:pPr>
      <w:r w:rsidRPr="003E0D09">
        <w:rPr>
          <w:rFonts w:eastAsia="Calibri"/>
          <w:sz w:val="24"/>
          <w:szCs w:val="24"/>
          <w:lang w:eastAsia="en-US"/>
        </w:rPr>
        <w:t>Za zakladatele (především amerického) instituc</w:t>
      </w:r>
      <w:r w:rsidR="008C6D7E">
        <w:rPr>
          <w:rFonts w:eastAsia="Calibri"/>
          <w:sz w:val="24"/>
          <w:szCs w:val="24"/>
          <w:lang w:eastAsia="en-US"/>
        </w:rPr>
        <w:t>ionalismu je považován ekonom a </w:t>
      </w:r>
      <w:r w:rsidRPr="003E0D09">
        <w:rPr>
          <w:rFonts w:eastAsia="Calibri"/>
          <w:sz w:val="24"/>
          <w:szCs w:val="24"/>
          <w:lang w:eastAsia="en-US"/>
        </w:rPr>
        <w:t>sociolog T. Veblen, který je spojován se sociálně psychologickým pojetím institucí. Veblen považuje instituce za souhrn zvykového chování, které je z logiky věci historicky proměnné. Ve svém díle „Teorie zahálčivé třídy“ zdůraznil roli peněz j</w:t>
      </w:r>
      <w:r w:rsidR="008C6D7E">
        <w:rPr>
          <w:rFonts w:eastAsia="Calibri"/>
          <w:sz w:val="24"/>
          <w:szCs w:val="24"/>
          <w:lang w:eastAsia="en-US"/>
        </w:rPr>
        <w:t>akožto měřítka bohatství, podle </w:t>
      </w:r>
      <w:r w:rsidRPr="003E0D09">
        <w:rPr>
          <w:rFonts w:eastAsia="Calibri"/>
          <w:sz w:val="24"/>
          <w:szCs w:val="24"/>
          <w:lang w:eastAsia="en-US"/>
        </w:rPr>
        <w:t>kterého se poměřují veškeré lidské aktivity a kvality. Ideálem společnosti se namísto tvořivé lidské práce stalo okázalé zahálení a okázalá spotřeba, jejichž cílem je demonstrace postavení člověka ve společnosti. V souladu s tím pak spotřeba nezávisí na potřebách člověka a vede k plýtvání lidskou prací i ostatními zdroji (Volejníková, 2005). Jeho myšlenky se staly základem tzv. Veblenova efektu, dle kterého pokles ceny určitého statku (např. určité značky automobilu) může vyvolat pokles poptávky určité skupiny po tomto statku, neboť pro ni představuje ztrátu schopnosti demonstrovat při jeho spotřebě své společenské postavení. Své názory rozpracoval Veblen v knize „Teorie podnikání“, kde dělí instituce na industrie (výroba pro užití) a business (výroba pro zisk). Business si v kapitalistické společnosti podmaňuje industrie a parazituje na ní. Jedná se o konflikt mezi technickým pokrokem (inženýři, vývojáři) a peněžními zájmy (podnikatelé, finančníci). Důsledkem snahy maximalizovat zisk jsou hospodářské cykly, oddělení vlastnictví a řízení ve firm</w:t>
      </w:r>
      <w:r w:rsidR="008C6D7E">
        <w:rPr>
          <w:rFonts w:eastAsia="Calibri"/>
          <w:sz w:val="24"/>
          <w:szCs w:val="24"/>
          <w:lang w:eastAsia="en-US"/>
        </w:rPr>
        <w:t xml:space="preserve">ách, ale také vojenské výdaje </w:t>
      </w:r>
      <w:r w:rsidR="008C6D7E" w:rsidRPr="008C6D7E">
        <w:rPr>
          <w:rFonts w:eastAsia="Calibri"/>
        </w:rPr>
        <w:t>a</w:t>
      </w:r>
      <w:r w:rsidRPr="008C6D7E">
        <w:rPr>
          <w:rFonts w:eastAsia="Calibri"/>
        </w:rPr>
        <w:t>války</w:t>
      </w:r>
      <w:r w:rsidRPr="003E0D09">
        <w:rPr>
          <w:rFonts w:eastAsia="Calibri"/>
          <w:sz w:val="24"/>
          <w:szCs w:val="24"/>
          <w:lang w:eastAsia="en-US"/>
        </w:rPr>
        <w:t xml:space="preserve">, neboť politická moc je ovládána businessem (Holman, 2005). Právního pojetí institucí pak rozvinul J. Commons, který se na rozdíl od Veblena podílel na rozpracování teoretických základů reformních opatření a jejich uvádění do praxe. Zastával názor, že teorie se musí zabývat především kolektivním jednáním, tedy regulací individuálního jednání. Stát plní </w:t>
      </w:r>
      <w:r w:rsidRPr="003E0D09">
        <w:rPr>
          <w:rFonts w:eastAsia="Calibri"/>
          <w:sz w:val="24"/>
          <w:szCs w:val="24"/>
          <w:lang w:eastAsia="en-US"/>
        </w:rPr>
        <w:lastRenderedPageBreak/>
        <w:t>úlohu tvůrce kompromisu mezi protichůdnými eko</w:t>
      </w:r>
      <w:r w:rsidR="008C6D7E">
        <w:rPr>
          <w:rFonts w:eastAsia="Calibri"/>
          <w:sz w:val="24"/>
          <w:szCs w:val="24"/>
          <w:lang w:eastAsia="en-US"/>
        </w:rPr>
        <w:t>nomickými zájmy jednotlivců. Za </w:t>
      </w:r>
      <w:r w:rsidRPr="003E0D09">
        <w:rPr>
          <w:rFonts w:eastAsia="Calibri"/>
          <w:sz w:val="24"/>
          <w:szCs w:val="24"/>
          <w:lang w:eastAsia="en-US"/>
        </w:rPr>
        <w:t xml:space="preserve">nejdůležitější z existujících transakcí považoval transakce manažerské (vykonávání příkazů nadřízených jeho podřízenými) a rozdělovací (rozdělování výnosů a nákladů mezi členy určité organizace). Commons rovněž prosazoval koncept rozumné ceny, která vzniká přímým vyjednáváním či sbližováním stanovisek účastníků transakce nikoliv prostřednictvím „neosobního“ trhu (Liška, Sluková, Volejníková, 2011). Za pozornost dále stojí i dílo Veblenova žáka W. Mitchella, který na základě zkoumání hospodářských cyklů dospěl k závěru, že ve své podstatě se jedná o vývojovou poruchu permanentního charakteru a cyklus je tedy nedílnou součást vývoje kapitalistické ekonomiky (Volejníková, 2005). </w:t>
      </w:r>
    </w:p>
    <w:p w:rsidR="003E0D09" w:rsidRPr="003E0D09" w:rsidRDefault="003E0D09" w:rsidP="00423120">
      <w:pPr>
        <w:keepNext/>
        <w:ind w:firstLine="720"/>
        <w:jc w:val="both"/>
        <w:rPr>
          <w:rFonts w:eastAsia="Calibri"/>
          <w:color w:val="FF0000"/>
          <w:sz w:val="24"/>
          <w:szCs w:val="24"/>
          <w:lang w:eastAsia="en-US"/>
        </w:rPr>
      </w:pPr>
      <w:r w:rsidRPr="003E0D09">
        <w:rPr>
          <w:rFonts w:eastAsia="Calibri"/>
          <w:sz w:val="24"/>
          <w:szCs w:val="24"/>
          <w:lang w:eastAsia="en-US"/>
        </w:rPr>
        <w:t>Jedním z možných konceptů institucionálního uspořádání ch</w:t>
      </w:r>
      <w:r w:rsidR="006F59A1">
        <w:rPr>
          <w:rFonts w:eastAsia="Calibri"/>
          <w:sz w:val="24"/>
          <w:szCs w:val="24"/>
          <w:lang w:eastAsia="en-US"/>
        </w:rPr>
        <w:t>ování aktérů představuje Coaseho</w:t>
      </w:r>
      <w:r w:rsidRPr="003E0D09">
        <w:rPr>
          <w:rFonts w:eastAsia="Calibri"/>
          <w:sz w:val="24"/>
          <w:szCs w:val="24"/>
          <w:lang w:eastAsia="en-US"/>
        </w:rPr>
        <w:t xml:space="preserve"> teorém, podle kterého mohou být všechny externí efekty odstraněny cestou vyjednávání mezi zúčastněným subjekty a zásah státu tedy není nutný (základem teorému jsou jednoznačně definovaná vlastnická nebo dispoziční práva). Kompenzace může být realizována jak u původce externality, tak u zasaženého su</w:t>
      </w:r>
      <w:r w:rsidR="008C6D7E">
        <w:rPr>
          <w:rFonts w:eastAsia="Calibri"/>
          <w:sz w:val="24"/>
          <w:szCs w:val="24"/>
          <w:lang w:eastAsia="en-US"/>
        </w:rPr>
        <w:t>bjektu. Situaci lze objasnit na </w:t>
      </w:r>
      <w:r w:rsidRPr="003E0D09">
        <w:rPr>
          <w:rFonts w:eastAsia="Calibri"/>
          <w:sz w:val="24"/>
          <w:szCs w:val="24"/>
          <w:lang w:eastAsia="en-US"/>
        </w:rPr>
        <w:t>následujícím příkladu dvou sousedů, z nichž jeden provozuje továrnu na výrobu PET láhví (továrník) a druhý pěstuje obilí na okolních polích (zemědělec).</w:t>
      </w:r>
      <w:r w:rsidR="009C7624">
        <w:rPr>
          <w:rFonts w:eastAsia="Calibri"/>
          <w:sz w:val="24"/>
          <w:szCs w:val="24"/>
          <w:lang w:eastAsia="en-US"/>
        </w:rPr>
        <w:t xml:space="preserve"> </w:t>
      </w:r>
      <w:r w:rsidRPr="003E0D09">
        <w:rPr>
          <w:rFonts w:eastAsia="Calibri"/>
          <w:sz w:val="24"/>
          <w:szCs w:val="24"/>
          <w:lang w:eastAsia="en-US"/>
        </w:rPr>
        <w:t xml:space="preserve">Zvyšuje-li továrník svou výrobu, dosahuje přírůstku svého produktu, avšak zároveň způsobuje škodu zemědělci. Vzniká tedy negativní externalita, která může být internalizována továrníkem i zemědělcem. Uvažujme mezní ztrátu zemědělce a mezní zisk továrníka </w:t>
      </w:r>
      <w:r w:rsidR="00FC2742">
        <w:rPr>
          <w:rFonts w:eastAsia="Calibri"/>
          <w:sz w:val="24"/>
          <w:szCs w:val="24"/>
          <w:lang w:eastAsia="en-US"/>
        </w:rPr>
        <w:t>při</w:t>
      </w:r>
      <w:r w:rsidRPr="003E0D09">
        <w:rPr>
          <w:rFonts w:eastAsia="Calibri"/>
          <w:sz w:val="24"/>
          <w:szCs w:val="24"/>
          <w:lang w:eastAsia="en-US"/>
        </w:rPr>
        <w:t> různ</w:t>
      </w:r>
      <w:r w:rsidR="00FC2742">
        <w:rPr>
          <w:rFonts w:eastAsia="Calibri"/>
          <w:sz w:val="24"/>
          <w:szCs w:val="24"/>
          <w:lang w:eastAsia="en-US"/>
        </w:rPr>
        <w:t xml:space="preserve">ém </w:t>
      </w:r>
      <w:r w:rsidRPr="003E0D09">
        <w:rPr>
          <w:rFonts w:eastAsia="Calibri"/>
          <w:sz w:val="24"/>
          <w:szCs w:val="24"/>
          <w:lang w:eastAsia="en-US"/>
        </w:rPr>
        <w:t>znečištění dle obrázku</w:t>
      </w:r>
      <w:r w:rsidR="00FC2742">
        <w:rPr>
          <w:rFonts w:eastAsia="Calibri"/>
          <w:sz w:val="24"/>
          <w:szCs w:val="24"/>
          <w:lang w:eastAsia="en-US"/>
        </w:rPr>
        <w:t>.</w:t>
      </w:r>
      <w:r w:rsidRPr="003E0D09">
        <w:rPr>
          <w:rFonts w:eastAsia="Calibri"/>
          <w:sz w:val="24"/>
          <w:szCs w:val="24"/>
          <w:lang w:eastAsia="en-US"/>
        </w:rPr>
        <w:t xml:space="preserve"> </w:t>
      </w:r>
    </w:p>
    <w:p w:rsidR="003E0D09" w:rsidRPr="003E0D09" w:rsidRDefault="003E0D09" w:rsidP="003A0A08">
      <w:pPr>
        <w:keepNext/>
        <w:spacing w:after="0" w:line="257" w:lineRule="auto"/>
        <w:jc w:val="center"/>
        <w:rPr>
          <w:rFonts w:eastAsia="Calibri"/>
          <w:color w:val="FF0000"/>
          <w:sz w:val="24"/>
          <w:szCs w:val="24"/>
          <w:lang w:eastAsia="en-US"/>
        </w:rPr>
      </w:pPr>
      <w:r w:rsidRPr="003E0D09">
        <w:rPr>
          <w:rFonts w:ascii="Calibri" w:eastAsia="Calibri" w:hAnsi="Calibri"/>
          <w:noProof/>
          <w:color w:val="FF0000"/>
          <w:lang w:val="en-GB" w:eastAsia="en-GB"/>
        </w:rPr>
        <w:drawing>
          <wp:inline distT="0" distB="0" distL="0" distR="0" wp14:anchorId="6B3C6CC0" wp14:editId="082504F4">
            <wp:extent cx="4963795" cy="2007235"/>
            <wp:effectExtent l="0" t="0" r="27305" b="12065"/>
            <wp:docPr id="150" name="Graf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E0D09" w:rsidRPr="003E0D09" w:rsidRDefault="003E0D09" w:rsidP="00FC2742">
      <w:pPr>
        <w:keepNext/>
        <w:keepLines/>
        <w:spacing w:before="100"/>
        <w:jc w:val="center"/>
        <w:rPr>
          <w:rFonts w:ascii="Calibri" w:eastAsia="Calibri" w:hAnsi="Calibri" w:cs="Calibri"/>
          <w:sz w:val="24"/>
          <w:szCs w:val="24"/>
          <w:lang w:eastAsia="en-US"/>
        </w:rPr>
      </w:pPr>
      <w:bookmarkStart w:id="120" w:name="_Toc382326827"/>
      <w:r w:rsidRPr="00E808B4">
        <w:rPr>
          <w:rStyle w:val="0G-TitulekChar"/>
          <w:rFonts w:eastAsia="Calibri"/>
        </w:rPr>
        <w:t>Obrázek 22: Mezní zisk továrníka a mezní ztráta zemědělce při různém stupni znečištění</w:t>
      </w:r>
      <w:bookmarkEnd w:id="120"/>
      <w:r w:rsidRPr="003C57FB">
        <w:rPr>
          <w:rFonts w:ascii="Calibri" w:hAnsi="Calibri" w:cs="Calibri"/>
          <w:b/>
          <w:sz w:val="24"/>
          <w:szCs w:val="24"/>
          <w:lang w:eastAsia="en-US"/>
        </w:rPr>
        <w:t xml:space="preserve"> </w:t>
      </w:r>
      <w:r w:rsidR="003C57FB" w:rsidRPr="003C57FB">
        <w:rPr>
          <w:rFonts w:ascii="Calibri" w:hAnsi="Calibri" w:cs="Calibri"/>
          <w:sz w:val="24"/>
          <w:szCs w:val="24"/>
          <w:lang w:eastAsia="en-US"/>
        </w:rPr>
        <w:t>(</w:t>
      </w:r>
      <w:r w:rsidRPr="003E0D09">
        <w:rPr>
          <w:rFonts w:ascii="Calibri" w:eastAsia="Calibri" w:hAnsi="Calibri" w:cs="Calibri"/>
          <w:i/>
          <w:lang w:eastAsia="en-US"/>
        </w:rPr>
        <w:t>aplikace Coaseho teorému)</w:t>
      </w:r>
      <w:r w:rsidRPr="003E0D09">
        <w:rPr>
          <w:rFonts w:ascii="Calibri" w:eastAsia="Calibri" w:hAnsi="Calibri" w:cs="Calibri"/>
          <w:sz w:val="24"/>
          <w:szCs w:val="24"/>
          <w:lang w:eastAsia="en-US"/>
        </w:rPr>
        <w:t xml:space="preserve"> </w:t>
      </w:r>
    </w:p>
    <w:p w:rsidR="003E0D09" w:rsidRPr="003E0D09" w:rsidRDefault="003E0D09" w:rsidP="00AA5DD2">
      <w:pPr>
        <w:keepNext/>
        <w:ind w:firstLine="720"/>
        <w:jc w:val="both"/>
        <w:rPr>
          <w:rFonts w:eastAsia="Calibri"/>
          <w:color w:val="FF0000"/>
          <w:sz w:val="24"/>
          <w:szCs w:val="24"/>
          <w:lang w:eastAsia="en-US"/>
        </w:rPr>
      </w:pPr>
      <w:r w:rsidRPr="003E0D09">
        <w:rPr>
          <w:rFonts w:eastAsia="Calibri"/>
          <w:sz w:val="24"/>
          <w:szCs w:val="24"/>
          <w:lang w:eastAsia="en-US"/>
        </w:rPr>
        <w:t xml:space="preserve">Pokud továrník neodpovídá za způsobené škody (má právo znečišťovat), zemědělec s ním bude vyjednávat tak, aby snížil škody na svém majetku. Předpokládejme úroveň znečištění 3 jednotky. V tom případě zemědělec ztrácí 100 tis. Kč a továrník získává za tohoto </w:t>
      </w:r>
      <w:r w:rsidRPr="002A736A">
        <w:rPr>
          <w:rFonts w:eastAsia="Calibri"/>
          <w:sz w:val="24"/>
          <w:szCs w:val="24"/>
          <w:lang w:eastAsia="en-US"/>
        </w:rPr>
        <w:t>znečištění navíc 70 tis. Kč. Zemědělec chce ale minimalizovat ztrátu a snížit množství znečištění o 2 jednotky. Nabídne tedy továrníkovi kompenzaci. Zemědělec je ochoten zaplatit částku maximálně 100 tis. Kč (částka, o kterou by se snížila škoda při produkci</w:t>
      </w:r>
      <w:r w:rsidR="008C6D7E">
        <w:rPr>
          <w:rFonts w:eastAsia="Calibri"/>
          <w:sz w:val="24"/>
          <w:szCs w:val="24"/>
          <w:lang w:eastAsia="en-US"/>
        </w:rPr>
        <w:t xml:space="preserve"> znečištění 2 </w:t>
      </w:r>
      <w:r w:rsidRPr="002A736A">
        <w:rPr>
          <w:rFonts w:eastAsia="Calibri"/>
          <w:sz w:val="24"/>
          <w:szCs w:val="24"/>
          <w:lang w:eastAsia="en-US"/>
        </w:rPr>
        <w:t>jednotky) a továrník je ochoten přijmout částku alespoň 70 tis. Kč (částka, o kterou by se snížil zisk při produkci znečištění</w:t>
      </w:r>
      <w:r w:rsidR="0066538F">
        <w:rPr>
          <w:rFonts w:eastAsia="Calibri"/>
          <w:sz w:val="24"/>
          <w:szCs w:val="24"/>
          <w:lang w:eastAsia="en-US"/>
        </w:rPr>
        <w:t xml:space="preserve"> 2 jednotek). Dohodnou-li se</w:t>
      </w:r>
      <w:r w:rsidRPr="002A736A">
        <w:rPr>
          <w:rFonts w:eastAsia="Calibri"/>
          <w:sz w:val="24"/>
          <w:szCs w:val="24"/>
          <w:lang w:eastAsia="en-US"/>
        </w:rPr>
        <w:t xml:space="preserve">, vydělají na tom oba. Pokud bude chtít zemědělec snížit objem znečištění na 1 jednotku, požadoval by továrník analogicky částku vyšší 80 tis. Kč, zemědělec by mu mohl nabídnout maximálně 50 tis. Kč. V této fázi se </w:t>
      </w:r>
      <w:r w:rsidRPr="002A736A">
        <w:rPr>
          <w:rFonts w:eastAsia="Calibri"/>
          <w:sz w:val="24"/>
          <w:szCs w:val="24"/>
          <w:lang w:eastAsia="en-US"/>
        </w:rPr>
        <w:lastRenderedPageBreak/>
        <w:t>už tedy nedoho</w:t>
      </w:r>
      <w:r w:rsidR="009D2790">
        <w:rPr>
          <w:rFonts w:eastAsia="Calibri"/>
          <w:sz w:val="24"/>
          <w:szCs w:val="24"/>
          <w:lang w:eastAsia="en-US"/>
        </w:rPr>
        <w:t xml:space="preserve">dnou, úroveň znečištění </w:t>
      </w:r>
      <w:proofErr w:type="gramStart"/>
      <w:r w:rsidR="009D2790">
        <w:rPr>
          <w:rFonts w:eastAsia="Calibri"/>
          <w:sz w:val="24"/>
          <w:szCs w:val="24"/>
          <w:lang w:eastAsia="en-US"/>
        </w:rPr>
        <w:t>zůstane</w:t>
      </w:r>
      <w:proofErr w:type="gramEnd"/>
      <w:r w:rsidR="009D2790">
        <w:rPr>
          <w:rFonts w:eastAsia="Calibri"/>
          <w:sz w:val="24"/>
          <w:szCs w:val="24"/>
          <w:lang w:eastAsia="en-US"/>
        </w:rPr>
        <w:t xml:space="preserve"> </w:t>
      </w:r>
      <w:r w:rsidRPr="002A736A">
        <w:rPr>
          <w:rFonts w:eastAsia="Calibri"/>
          <w:sz w:val="24"/>
          <w:szCs w:val="24"/>
          <w:lang w:eastAsia="en-US"/>
        </w:rPr>
        <w:t xml:space="preserve">tedy na 2 jednotkách </w:t>
      </w:r>
      <w:r w:rsidR="0045306D" w:rsidRPr="002A736A">
        <w:rPr>
          <w:rFonts w:eastAsia="Calibri"/>
          <w:sz w:val="24"/>
          <w:szCs w:val="24"/>
          <w:lang w:eastAsia="en-US"/>
        </w:rPr>
        <w:t xml:space="preserve"> </w:t>
      </w:r>
      <w:r w:rsidRPr="002A736A">
        <w:rPr>
          <w:rFonts w:eastAsia="Calibri"/>
          <w:sz w:val="24"/>
          <w:szCs w:val="24"/>
          <w:lang w:eastAsia="en-US"/>
        </w:rPr>
        <w:t xml:space="preserve">Pokud </w:t>
      </w:r>
      <w:proofErr w:type="gramStart"/>
      <w:r w:rsidRPr="002A736A">
        <w:rPr>
          <w:rFonts w:eastAsia="Calibri"/>
          <w:sz w:val="24"/>
          <w:szCs w:val="24"/>
          <w:lang w:eastAsia="en-US"/>
        </w:rPr>
        <w:t>by</w:t>
      </w:r>
      <w:proofErr w:type="gramEnd"/>
      <w:r w:rsidRPr="002A736A">
        <w:rPr>
          <w:rFonts w:eastAsia="Calibri"/>
          <w:sz w:val="24"/>
          <w:szCs w:val="24"/>
          <w:lang w:eastAsia="en-US"/>
        </w:rPr>
        <w:t xml:space="preserve"> továrník odpovídal za škody způsobené zemědělci, bude situace opačná. Továrník bude muset snížit objem znečištění nebo platit kompenzace. Pokud by chtěl továrník </w:t>
      </w:r>
      <w:r w:rsidRPr="003E0D09">
        <w:rPr>
          <w:rFonts w:eastAsia="Calibri"/>
          <w:sz w:val="24"/>
          <w:szCs w:val="24"/>
          <w:lang w:eastAsia="en-US"/>
        </w:rPr>
        <w:t xml:space="preserve">emitovat 3 jednotky znečištění, musel by zemědělci zaplatit kompenzaci 100 tis. Kč. Aby pro něho tato úroveň znečištění byla ale stále zisková, mohl by zemědělci nabídnout pouze 70 tis. Kč. Jestli ale továrník sníží znečištění na 2 jednotky, zemědělec bude požadovat kompenzaci ve výši 50 tis. Kč. Továrník je v této fázi ochoten zaplatit až 80 tis. Kč. Dohodnou-li se tak, vydělají na tom oba. Úroveň znečištění </w:t>
      </w:r>
      <w:r w:rsidR="00A574E0">
        <w:rPr>
          <w:rFonts w:eastAsia="Calibri"/>
          <w:sz w:val="24"/>
          <w:szCs w:val="24"/>
          <w:lang w:eastAsia="en-US"/>
        </w:rPr>
        <w:t xml:space="preserve">v tomto případě </w:t>
      </w:r>
      <w:r w:rsidRPr="003E0D09">
        <w:rPr>
          <w:rFonts w:eastAsia="Calibri"/>
          <w:sz w:val="24"/>
          <w:szCs w:val="24"/>
          <w:lang w:eastAsia="en-US"/>
        </w:rPr>
        <w:t>zůstane opět na 2 jednotkách.</w:t>
      </w:r>
    </w:p>
    <w:p w:rsidR="003E0D09" w:rsidRPr="003E0D09" w:rsidRDefault="003E0D09" w:rsidP="00423120">
      <w:pPr>
        <w:keepNext/>
        <w:ind w:firstLine="720"/>
        <w:jc w:val="both"/>
        <w:rPr>
          <w:rFonts w:eastAsia="Calibri"/>
          <w:sz w:val="24"/>
          <w:szCs w:val="24"/>
          <w:lang w:eastAsia="en-US"/>
        </w:rPr>
      </w:pPr>
      <w:r w:rsidRPr="003E0D09">
        <w:rPr>
          <w:rFonts w:eastAsia="Calibri"/>
          <w:sz w:val="24"/>
          <w:szCs w:val="24"/>
          <w:lang w:eastAsia="en-US"/>
        </w:rPr>
        <w:t>Uvedený příklad ukazuje, že ať jsou vlastnická práva na straně továrníka nebo zemědělce, cestou vyjednávání vždy dospějí ke stejnému výsledku, tj. alokace</w:t>
      </w:r>
      <w:r w:rsidR="002138AC">
        <w:rPr>
          <w:rFonts w:eastAsia="Calibri"/>
          <w:sz w:val="24"/>
          <w:szCs w:val="24"/>
          <w:lang w:eastAsia="en-US"/>
        </w:rPr>
        <w:t xml:space="preserve"> zdrojů zůstane stejná. Coaseho</w:t>
      </w:r>
      <w:r w:rsidRPr="003E0D09">
        <w:rPr>
          <w:rFonts w:eastAsia="Calibri"/>
          <w:sz w:val="24"/>
          <w:szCs w:val="24"/>
          <w:lang w:eastAsia="en-US"/>
        </w:rPr>
        <w:t xml:space="preserve"> teorém nabídl nový pohled na řešení externalit – zatímco Pigou viděl řešení pouze ve fo</w:t>
      </w:r>
      <w:r w:rsidR="009D2790">
        <w:rPr>
          <w:rFonts w:eastAsia="Calibri"/>
          <w:sz w:val="24"/>
          <w:szCs w:val="24"/>
          <w:lang w:eastAsia="en-US"/>
        </w:rPr>
        <w:t xml:space="preserve">rmě státních zásahů, Coase </w:t>
      </w:r>
      <w:r w:rsidRPr="003E0D09">
        <w:rPr>
          <w:rFonts w:eastAsia="Calibri"/>
          <w:sz w:val="24"/>
          <w:szCs w:val="24"/>
          <w:lang w:eastAsia="en-US"/>
        </w:rPr>
        <w:t xml:space="preserve">v soukromých vyjednáváních. Je však zřejmé, že dohoda mezi dvěma stranami je (zejména při existenci více stran) těžká ne-li nemožná. Vždy je ovšem potřeba značného množství času, aby mohl být zformován společný postup. </w:t>
      </w:r>
    </w:p>
    <w:p w:rsidR="003E0D09" w:rsidRPr="003E0D09" w:rsidRDefault="003E0D09" w:rsidP="00AA5DD2">
      <w:pPr>
        <w:keepNext/>
        <w:spacing w:after="120"/>
        <w:ind w:firstLine="720"/>
        <w:jc w:val="both"/>
        <w:rPr>
          <w:rFonts w:eastAsia="Calibri"/>
          <w:sz w:val="24"/>
          <w:szCs w:val="24"/>
          <w:lang w:eastAsia="en-US"/>
        </w:rPr>
      </w:pPr>
      <w:r w:rsidRPr="003E0D09">
        <w:rPr>
          <w:rFonts w:eastAsia="Calibri"/>
          <w:sz w:val="24"/>
          <w:szCs w:val="24"/>
          <w:lang w:eastAsia="en-US"/>
        </w:rPr>
        <w:t xml:space="preserve">Transakční náklady jsou klíčovým pojmem institucionální analýzy trhu. Podrobnější rozpracování ekonomie transakčních nákladů je spojena se jménem O. Williamsona, podle nějž se transakce odlišují ve třech oblastech: </w:t>
      </w:r>
    </w:p>
    <w:p w:rsidR="003E0D09" w:rsidRPr="003E0D09" w:rsidRDefault="003E0D09" w:rsidP="00423120">
      <w:pPr>
        <w:keepNext/>
        <w:numPr>
          <w:ilvl w:val="0"/>
          <w:numId w:val="24"/>
        </w:numPr>
        <w:ind w:left="284" w:hanging="284"/>
        <w:contextualSpacing/>
        <w:jc w:val="both"/>
        <w:rPr>
          <w:rFonts w:eastAsia="Calibri"/>
          <w:sz w:val="24"/>
          <w:szCs w:val="24"/>
          <w:lang w:eastAsia="en-US"/>
        </w:rPr>
      </w:pPr>
      <w:r w:rsidRPr="003E0D09">
        <w:rPr>
          <w:rFonts w:eastAsia="Calibri"/>
          <w:sz w:val="24"/>
          <w:szCs w:val="24"/>
          <w:lang w:eastAsia="en-US"/>
        </w:rPr>
        <w:t>periodicita (četnost) transakce – může jít o záležitost jednorázovou, příležitostnou či pravidelnou; čím je transakce četnější, tím více se vyplatí subjektům upřednostnit vertikální integraci v rámci organizace před možností jejich zajištění na trhu (typicky dlouhodobé dodavatelsko-odběratelské vztahy vs. jednorázová konzultace/služba)</w:t>
      </w:r>
    </w:p>
    <w:p w:rsidR="003E0D09" w:rsidRPr="003E0D09" w:rsidRDefault="003E0D09" w:rsidP="00423120">
      <w:pPr>
        <w:keepNext/>
        <w:numPr>
          <w:ilvl w:val="0"/>
          <w:numId w:val="24"/>
        </w:numPr>
        <w:ind w:left="284" w:hanging="284"/>
        <w:contextualSpacing/>
        <w:jc w:val="both"/>
        <w:rPr>
          <w:rFonts w:eastAsia="Calibri"/>
          <w:sz w:val="24"/>
          <w:szCs w:val="24"/>
          <w:lang w:eastAsia="en-US"/>
        </w:rPr>
      </w:pPr>
      <w:r w:rsidRPr="003E0D09">
        <w:rPr>
          <w:rFonts w:eastAsia="Calibri"/>
          <w:sz w:val="24"/>
          <w:szCs w:val="24"/>
          <w:lang w:eastAsia="en-US"/>
        </w:rPr>
        <w:t>nejistota – je otázkou vyplývající z míry obtížnosti předpovědi okolností, které mohou transakci ovlivňovat</w:t>
      </w:r>
      <w:r w:rsidR="00BA6F21">
        <w:rPr>
          <w:rFonts w:eastAsia="Calibri"/>
          <w:sz w:val="24"/>
          <w:szCs w:val="24"/>
          <w:lang w:eastAsia="en-US"/>
        </w:rPr>
        <w:t>,</w:t>
      </w:r>
      <w:r w:rsidR="00C23604">
        <w:rPr>
          <w:rFonts w:eastAsia="Calibri"/>
          <w:sz w:val="24"/>
          <w:szCs w:val="24"/>
          <w:lang w:eastAsia="en-US"/>
        </w:rPr>
        <w:t xml:space="preserve"> resp. událostí</w:t>
      </w:r>
      <w:r w:rsidRPr="003E0D09">
        <w:rPr>
          <w:rFonts w:eastAsia="Calibri"/>
          <w:sz w:val="24"/>
          <w:szCs w:val="24"/>
          <w:lang w:eastAsia="en-US"/>
        </w:rPr>
        <w:t xml:space="preserve">, které mohou nastat; k vertikální integraci lze přistoupit, pokud existuje možnost snížit s tím spojené transakční náklady </w:t>
      </w:r>
    </w:p>
    <w:p w:rsidR="003A0A08" w:rsidRPr="00AA5DD2" w:rsidRDefault="00C23604" w:rsidP="00AA5DD2">
      <w:pPr>
        <w:keepNext/>
        <w:numPr>
          <w:ilvl w:val="0"/>
          <w:numId w:val="24"/>
        </w:numPr>
        <w:ind w:left="284" w:hanging="284"/>
        <w:contextualSpacing/>
        <w:jc w:val="both"/>
        <w:rPr>
          <w:rFonts w:eastAsia="Calibri"/>
          <w:sz w:val="24"/>
          <w:szCs w:val="24"/>
          <w:lang w:eastAsia="en-US"/>
        </w:rPr>
      </w:pPr>
      <w:r>
        <w:rPr>
          <w:rFonts w:eastAsia="Calibri"/>
          <w:sz w:val="24"/>
          <w:szCs w:val="24"/>
          <w:lang w:eastAsia="en-US"/>
        </w:rPr>
        <w:t>specifičnost aktiv/</w:t>
      </w:r>
      <w:r w:rsidR="003E0D09" w:rsidRPr="003E0D09">
        <w:rPr>
          <w:rFonts w:eastAsia="Calibri"/>
          <w:sz w:val="24"/>
          <w:szCs w:val="24"/>
          <w:lang w:eastAsia="en-US"/>
        </w:rPr>
        <w:t>investic – je znakem jedinečnosti transakce, od které se pak odvozuje charakter smluvního vztahu; čím je specifičnost aktiv (fyzických nebo lidských) vyšší, tím větší je snaha snížit transakční náklady vertikální integrací v rámci dané organizace.</w:t>
      </w:r>
    </w:p>
    <w:p w:rsidR="003E0D09" w:rsidRPr="003E0D09" w:rsidRDefault="003E0D09" w:rsidP="006B61FE">
      <w:pPr>
        <w:pStyle w:val="0T-Titulek"/>
        <w:rPr>
          <w:rFonts w:eastAsia="Calibri"/>
        </w:rPr>
      </w:pPr>
      <w:bookmarkStart w:id="121" w:name="_Toc382326456"/>
      <w:r w:rsidRPr="003E0D09">
        <w:rPr>
          <w:rFonts w:eastAsia="Calibri"/>
        </w:rPr>
        <w:t>Tabulka 29: Vzájemný vztah mezi specifičností aktiv a nejistotou</w:t>
      </w:r>
      <w:bookmarkEnd w:id="121"/>
    </w:p>
    <w:tbl>
      <w:tblPr>
        <w:tblStyle w:val="Mkatabulky21"/>
        <w:tblW w:w="0" w:type="auto"/>
        <w:jc w:val="center"/>
        <w:tblBorders>
          <w:top w:val="none" w:sz="0" w:space="0" w:color="auto"/>
          <w:left w:val="none" w:sz="0" w:space="0" w:color="auto"/>
        </w:tblBorders>
        <w:tblLook w:val="04A0" w:firstRow="1" w:lastRow="0" w:firstColumn="1" w:lastColumn="0" w:noHBand="0" w:noVBand="1"/>
      </w:tblPr>
      <w:tblGrid>
        <w:gridCol w:w="1842"/>
        <w:gridCol w:w="1842"/>
        <w:gridCol w:w="1842"/>
        <w:gridCol w:w="1843"/>
        <w:gridCol w:w="1843"/>
      </w:tblGrid>
      <w:tr w:rsidR="003E0D09" w:rsidRPr="003E0D09" w:rsidTr="00F24D96">
        <w:trPr>
          <w:jc w:val="center"/>
        </w:trPr>
        <w:tc>
          <w:tcPr>
            <w:tcW w:w="3684" w:type="dxa"/>
            <w:gridSpan w:val="2"/>
            <w:vMerge w:val="restart"/>
            <w:tcBorders>
              <w:top w:val="nil"/>
              <w:left w:val="nil"/>
              <w:bottom w:val="single" w:sz="4" w:space="0" w:color="auto"/>
              <w:right w:val="single" w:sz="4" w:space="0" w:color="auto"/>
            </w:tcBorders>
          </w:tcPr>
          <w:p w:rsidR="003E0D09" w:rsidRPr="003E0D09" w:rsidRDefault="003E0D09" w:rsidP="00423120">
            <w:pPr>
              <w:keepNext/>
              <w:keepLines/>
              <w:jc w:val="both"/>
            </w:pPr>
          </w:p>
        </w:tc>
        <w:tc>
          <w:tcPr>
            <w:tcW w:w="5528" w:type="dxa"/>
            <w:gridSpan w:val="3"/>
            <w:tcBorders>
              <w:top w:val="single" w:sz="4" w:space="0" w:color="auto"/>
              <w:left w:val="single" w:sz="4" w:space="0" w:color="auto"/>
              <w:bottom w:val="single" w:sz="4" w:space="0" w:color="auto"/>
              <w:right w:val="single" w:sz="4" w:space="0" w:color="auto"/>
            </w:tcBorders>
            <w:hideMark/>
          </w:tcPr>
          <w:p w:rsidR="003E0D09" w:rsidRPr="003E0D09" w:rsidRDefault="003E0D09" w:rsidP="00423120">
            <w:pPr>
              <w:keepNext/>
              <w:keepLines/>
              <w:jc w:val="center"/>
              <w:rPr>
                <w:rFonts w:asciiTheme="minorHAnsi" w:hAnsiTheme="minorHAnsi" w:cstheme="minorHAnsi"/>
                <w:b/>
              </w:rPr>
            </w:pPr>
            <w:r w:rsidRPr="003E0D09">
              <w:rPr>
                <w:rFonts w:asciiTheme="minorHAnsi" w:hAnsiTheme="minorHAnsi" w:cstheme="minorHAnsi"/>
                <w:b/>
              </w:rPr>
              <w:t>specifičnost aktiv</w:t>
            </w:r>
          </w:p>
        </w:tc>
      </w:tr>
      <w:tr w:rsidR="003E0D09" w:rsidRPr="003E0D09" w:rsidTr="00F24D96">
        <w:trPr>
          <w:trHeight w:val="506"/>
          <w:jc w:val="center"/>
        </w:trPr>
        <w:tc>
          <w:tcPr>
            <w:tcW w:w="0" w:type="auto"/>
            <w:gridSpan w:val="2"/>
            <w:vMerge/>
            <w:tcBorders>
              <w:top w:val="nil"/>
              <w:left w:val="nil"/>
              <w:bottom w:val="single" w:sz="4" w:space="0" w:color="auto"/>
              <w:right w:val="single" w:sz="4" w:space="0" w:color="auto"/>
            </w:tcBorders>
            <w:vAlign w:val="center"/>
            <w:hideMark/>
          </w:tcPr>
          <w:p w:rsidR="003E0D09" w:rsidRPr="003E0D09" w:rsidRDefault="003E0D09" w:rsidP="00423120">
            <w:pPr>
              <w:keepNext/>
            </w:pPr>
          </w:p>
        </w:tc>
        <w:tc>
          <w:tcPr>
            <w:tcW w:w="1842" w:type="dxa"/>
            <w:tcBorders>
              <w:top w:val="single" w:sz="4" w:space="0" w:color="auto"/>
              <w:left w:val="single" w:sz="4" w:space="0" w:color="auto"/>
              <w:bottom w:val="single" w:sz="4" w:space="0" w:color="auto"/>
              <w:right w:val="single" w:sz="4" w:space="0" w:color="auto"/>
            </w:tcBorders>
            <w:vAlign w:val="center"/>
            <w:hideMark/>
          </w:tcPr>
          <w:p w:rsidR="003E0D09" w:rsidRPr="003E0D09" w:rsidRDefault="003E0D09" w:rsidP="00423120">
            <w:pPr>
              <w:keepNext/>
              <w:keepLines/>
              <w:jc w:val="center"/>
              <w:rPr>
                <w:rFonts w:asciiTheme="minorHAnsi" w:hAnsiTheme="minorHAnsi" w:cstheme="minorHAnsi"/>
              </w:rPr>
            </w:pPr>
            <w:r w:rsidRPr="003E0D09">
              <w:rPr>
                <w:rFonts w:asciiTheme="minorHAnsi" w:hAnsiTheme="minorHAnsi" w:cstheme="minorHAnsi"/>
              </w:rPr>
              <w:t>nízká</w:t>
            </w:r>
          </w:p>
        </w:tc>
        <w:tc>
          <w:tcPr>
            <w:tcW w:w="1843" w:type="dxa"/>
            <w:tcBorders>
              <w:top w:val="single" w:sz="4" w:space="0" w:color="auto"/>
              <w:left w:val="single" w:sz="4" w:space="0" w:color="auto"/>
              <w:bottom w:val="single" w:sz="4" w:space="0" w:color="auto"/>
              <w:right w:val="single" w:sz="4" w:space="0" w:color="auto"/>
            </w:tcBorders>
            <w:vAlign w:val="center"/>
            <w:hideMark/>
          </w:tcPr>
          <w:p w:rsidR="003E0D09" w:rsidRPr="003E0D09" w:rsidRDefault="003E0D09" w:rsidP="00423120">
            <w:pPr>
              <w:keepNext/>
              <w:keepLines/>
              <w:jc w:val="center"/>
              <w:rPr>
                <w:rFonts w:asciiTheme="minorHAnsi" w:hAnsiTheme="minorHAnsi" w:cstheme="minorHAnsi"/>
              </w:rPr>
            </w:pPr>
            <w:r w:rsidRPr="003E0D09">
              <w:rPr>
                <w:rFonts w:asciiTheme="minorHAnsi" w:hAnsiTheme="minorHAnsi" w:cstheme="minorHAnsi"/>
              </w:rPr>
              <w:t>vysoká</w:t>
            </w:r>
          </w:p>
        </w:tc>
        <w:tc>
          <w:tcPr>
            <w:tcW w:w="1843" w:type="dxa"/>
            <w:tcBorders>
              <w:top w:val="single" w:sz="4" w:space="0" w:color="auto"/>
              <w:left w:val="single" w:sz="4" w:space="0" w:color="auto"/>
              <w:bottom w:val="single" w:sz="4" w:space="0" w:color="auto"/>
              <w:right w:val="single" w:sz="4" w:space="0" w:color="auto"/>
            </w:tcBorders>
            <w:vAlign w:val="center"/>
            <w:hideMark/>
          </w:tcPr>
          <w:p w:rsidR="003E0D09" w:rsidRPr="003E0D09" w:rsidRDefault="003A0A08" w:rsidP="003A0A08">
            <w:pPr>
              <w:keepNext/>
              <w:keepLines/>
              <w:jc w:val="center"/>
              <w:rPr>
                <w:rFonts w:asciiTheme="minorHAnsi" w:hAnsiTheme="minorHAnsi" w:cstheme="minorHAnsi"/>
              </w:rPr>
            </w:pPr>
            <w:r>
              <w:rPr>
                <w:rFonts w:asciiTheme="minorHAnsi" w:hAnsiTheme="minorHAnsi" w:cstheme="minorHAnsi"/>
              </w:rPr>
              <w:t xml:space="preserve">nízká pro jednu </w:t>
            </w:r>
            <w:r w:rsidR="003E0D09" w:rsidRPr="003E0D09">
              <w:rPr>
                <w:rFonts w:asciiTheme="minorHAnsi" w:hAnsiTheme="minorHAnsi" w:cstheme="minorHAnsi"/>
              </w:rPr>
              <w:t>a vysoká pro druhou stranu</w:t>
            </w:r>
          </w:p>
        </w:tc>
      </w:tr>
      <w:tr w:rsidR="003E0D09" w:rsidRPr="003E0D09" w:rsidTr="00F24D96">
        <w:trPr>
          <w:jc w:val="center"/>
        </w:trPr>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3E0D09" w:rsidRPr="003E0D09" w:rsidRDefault="003E0D09" w:rsidP="00423120">
            <w:pPr>
              <w:keepNext/>
              <w:keepLines/>
              <w:jc w:val="center"/>
              <w:rPr>
                <w:b/>
              </w:rPr>
            </w:pPr>
            <w:r w:rsidRPr="003E0D09">
              <w:rPr>
                <w:b/>
              </w:rPr>
              <w:t>nejistota</w:t>
            </w:r>
          </w:p>
        </w:tc>
        <w:tc>
          <w:tcPr>
            <w:tcW w:w="1842" w:type="dxa"/>
            <w:tcBorders>
              <w:top w:val="single" w:sz="4" w:space="0" w:color="auto"/>
              <w:left w:val="single" w:sz="4" w:space="0" w:color="auto"/>
              <w:bottom w:val="single" w:sz="4" w:space="0" w:color="auto"/>
              <w:right w:val="single" w:sz="4" w:space="0" w:color="auto"/>
            </w:tcBorders>
            <w:hideMark/>
          </w:tcPr>
          <w:p w:rsidR="003E0D09" w:rsidRPr="003E0D09" w:rsidRDefault="003E0D09" w:rsidP="00423120">
            <w:pPr>
              <w:keepNext/>
              <w:keepLines/>
              <w:jc w:val="center"/>
            </w:pPr>
            <w:r w:rsidRPr="003E0D09">
              <w:t>vysoká</w:t>
            </w:r>
          </w:p>
        </w:tc>
        <w:tc>
          <w:tcPr>
            <w:tcW w:w="1842" w:type="dxa"/>
            <w:tcBorders>
              <w:top w:val="single" w:sz="4" w:space="0" w:color="auto"/>
              <w:left w:val="single" w:sz="4" w:space="0" w:color="auto"/>
              <w:bottom w:val="single" w:sz="4" w:space="0" w:color="auto"/>
              <w:right w:val="single" w:sz="4" w:space="0" w:color="auto"/>
            </w:tcBorders>
            <w:hideMark/>
          </w:tcPr>
          <w:p w:rsidR="003E0D09" w:rsidRPr="003E0D09" w:rsidRDefault="003E0D09" w:rsidP="00423120">
            <w:pPr>
              <w:keepNext/>
              <w:keepLines/>
              <w:numPr>
                <w:ilvl w:val="0"/>
                <w:numId w:val="25"/>
              </w:numPr>
              <w:ind w:left="270" w:hanging="162"/>
              <w:contextualSpacing/>
              <w:jc w:val="both"/>
              <w:rPr>
                <w:rFonts w:asciiTheme="minorHAnsi" w:hAnsiTheme="minorHAnsi" w:cstheme="minorHAnsi"/>
              </w:rPr>
            </w:pPr>
            <w:r w:rsidRPr="003E0D09">
              <w:rPr>
                <w:rFonts w:asciiTheme="minorHAnsi" w:hAnsiTheme="minorHAnsi" w:cstheme="minorHAnsi"/>
              </w:rPr>
              <w:t>kontrakt (trh)</w:t>
            </w:r>
          </w:p>
          <w:p w:rsidR="003E0D09" w:rsidRPr="003E0D09" w:rsidRDefault="003E0D09" w:rsidP="00423120">
            <w:pPr>
              <w:keepNext/>
              <w:keepLines/>
              <w:numPr>
                <w:ilvl w:val="0"/>
                <w:numId w:val="25"/>
              </w:numPr>
              <w:ind w:left="270" w:hanging="162"/>
              <w:contextualSpacing/>
              <w:jc w:val="both"/>
              <w:rPr>
                <w:rFonts w:asciiTheme="minorHAnsi" w:hAnsiTheme="minorHAnsi" w:cstheme="minorHAnsi"/>
              </w:rPr>
            </w:pPr>
            <w:r w:rsidRPr="003E0D09">
              <w:rPr>
                <w:rFonts w:asciiTheme="minorHAnsi" w:hAnsiTheme="minorHAnsi" w:cstheme="minorHAnsi"/>
              </w:rPr>
              <w:t>vertikální integrace</w:t>
            </w:r>
          </w:p>
        </w:tc>
        <w:tc>
          <w:tcPr>
            <w:tcW w:w="1843" w:type="dxa"/>
            <w:tcBorders>
              <w:top w:val="single" w:sz="4" w:space="0" w:color="auto"/>
              <w:left w:val="single" w:sz="4" w:space="0" w:color="auto"/>
              <w:bottom w:val="single" w:sz="4" w:space="0" w:color="auto"/>
              <w:right w:val="single" w:sz="4" w:space="0" w:color="auto"/>
            </w:tcBorders>
            <w:hideMark/>
          </w:tcPr>
          <w:p w:rsidR="003E0D09" w:rsidRPr="003E0D09" w:rsidRDefault="003E0D09" w:rsidP="00423120">
            <w:pPr>
              <w:keepNext/>
              <w:keepLines/>
              <w:numPr>
                <w:ilvl w:val="0"/>
                <w:numId w:val="25"/>
              </w:numPr>
              <w:ind w:left="248" w:hanging="248"/>
              <w:contextualSpacing/>
              <w:jc w:val="both"/>
              <w:rPr>
                <w:rFonts w:asciiTheme="minorHAnsi" w:hAnsiTheme="minorHAnsi" w:cstheme="minorHAnsi"/>
              </w:rPr>
            </w:pPr>
            <w:r w:rsidRPr="003E0D09">
              <w:rPr>
                <w:rFonts w:asciiTheme="minorHAnsi" w:hAnsiTheme="minorHAnsi" w:cstheme="minorHAnsi"/>
              </w:rPr>
              <w:t>vertikální integrace</w:t>
            </w:r>
          </w:p>
        </w:tc>
        <w:tc>
          <w:tcPr>
            <w:tcW w:w="1843" w:type="dxa"/>
            <w:tcBorders>
              <w:top w:val="single" w:sz="4" w:space="0" w:color="auto"/>
              <w:left w:val="single" w:sz="4" w:space="0" w:color="auto"/>
              <w:bottom w:val="single" w:sz="4" w:space="0" w:color="auto"/>
              <w:right w:val="single" w:sz="4" w:space="0" w:color="auto"/>
            </w:tcBorders>
            <w:hideMark/>
          </w:tcPr>
          <w:p w:rsidR="003E0D09" w:rsidRPr="003E0D09" w:rsidRDefault="003E0D09" w:rsidP="003B3C75">
            <w:pPr>
              <w:keepNext/>
              <w:keepLines/>
              <w:numPr>
                <w:ilvl w:val="0"/>
                <w:numId w:val="25"/>
              </w:numPr>
              <w:spacing w:after="0" w:line="240" w:lineRule="auto"/>
              <w:ind w:left="249" w:hanging="249"/>
              <w:contextualSpacing/>
              <w:jc w:val="both"/>
              <w:rPr>
                <w:rFonts w:asciiTheme="minorHAnsi" w:hAnsiTheme="minorHAnsi" w:cstheme="minorHAnsi"/>
              </w:rPr>
            </w:pPr>
            <w:r w:rsidRPr="003E0D09">
              <w:rPr>
                <w:rFonts w:asciiTheme="minorHAnsi" w:hAnsiTheme="minorHAnsi" w:cstheme="minorHAnsi"/>
              </w:rPr>
              <w:t>vertikální integrace</w:t>
            </w:r>
          </w:p>
        </w:tc>
      </w:tr>
      <w:tr w:rsidR="003E0D09" w:rsidRPr="003E0D09" w:rsidTr="00F24D9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0D09" w:rsidRPr="003E0D09" w:rsidRDefault="003E0D09" w:rsidP="00423120">
            <w:pPr>
              <w:keepNext/>
            </w:pPr>
          </w:p>
        </w:tc>
        <w:tc>
          <w:tcPr>
            <w:tcW w:w="1842" w:type="dxa"/>
            <w:tcBorders>
              <w:top w:val="single" w:sz="4" w:space="0" w:color="auto"/>
              <w:left w:val="single" w:sz="4" w:space="0" w:color="auto"/>
              <w:bottom w:val="single" w:sz="4" w:space="0" w:color="auto"/>
              <w:right w:val="single" w:sz="4" w:space="0" w:color="auto"/>
            </w:tcBorders>
            <w:hideMark/>
          </w:tcPr>
          <w:p w:rsidR="003E0D09" w:rsidRPr="003E0D09" w:rsidRDefault="003E0D09" w:rsidP="00423120">
            <w:pPr>
              <w:keepNext/>
              <w:keepLines/>
              <w:jc w:val="center"/>
            </w:pPr>
            <w:r w:rsidRPr="003E0D09">
              <w:t>nízká</w:t>
            </w:r>
          </w:p>
        </w:tc>
        <w:tc>
          <w:tcPr>
            <w:tcW w:w="1842" w:type="dxa"/>
            <w:tcBorders>
              <w:top w:val="single" w:sz="4" w:space="0" w:color="auto"/>
              <w:left w:val="single" w:sz="4" w:space="0" w:color="auto"/>
              <w:bottom w:val="single" w:sz="4" w:space="0" w:color="auto"/>
              <w:right w:val="single" w:sz="4" w:space="0" w:color="auto"/>
            </w:tcBorders>
            <w:hideMark/>
          </w:tcPr>
          <w:p w:rsidR="003E0D09" w:rsidRPr="003E0D09" w:rsidRDefault="003E0D09" w:rsidP="00423120">
            <w:pPr>
              <w:keepNext/>
              <w:keepLines/>
              <w:numPr>
                <w:ilvl w:val="0"/>
                <w:numId w:val="26"/>
              </w:numPr>
              <w:ind w:left="247" w:hanging="141"/>
              <w:contextualSpacing/>
              <w:jc w:val="both"/>
              <w:rPr>
                <w:rFonts w:asciiTheme="minorHAnsi" w:hAnsiTheme="minorHAnsi" w:cstheme="minorHAnsi"/>
              </w:rPr>
            </w:pPr>
            <w:r w:rsidRPr="003E0D09">
              <w:rPr>
                <w:rFonts w:asciiTheme="minorHAnsi" w:hAnsiTheme="minorHAnsi" w:cstheme="minorHAnsi"/>
              </w:rPr>
              <w:t>kontrakt (trh)</w:t>
            </w:r>
          </w:p>
        </w:tc>
        <w:tc>
          <w:tcPr>
            <w:tcW w:w="1843" w:type="dxa"/>
            <w:tcBorders>
              <w:top w:val="single" w:sz="4" w:space="0" w:color="auto"/>
              <w:left w:val="single" w:sz="4" w:space="0" w:color="auto"/>
              <w:bottom w:val="single" w:sz="4" w:space="0" w:color="auto"/>
              <w:right w:val="single" w:sz="4" w:space="0" w:color="auto"/>
            </w:tcBorders>
            <w:hideMark/>
          </w:tcPr>
          <w:p w:rsidR="003E0D09" w:rsidRPr="003E0D09" w:rsidRDefault="003E0D09" w:rsidP="00423120">
            <w:pPr>
              <w:keepNext/>
              <w:keepLines/>
              <w:numPr>
                <w:ilvl w:val="0"/>
                <w:numId w:val="27"/>
              </w:numPr>
              <w:ind w:left="248" w:hanging="142"/>
              <w:contextualSpacing/>
              <w:jc w:val="both"/>
              <w:rPr>
                <w:rFonts w:asciiTheme="minorHAnsi" w:hAnsiTheme="minorHAnsi" w:cstheme="minorHAnsi"/>
              </w:rPr>
            </w:pPr>
            <w:r w:rsidRPr="003E0D09">
              <w:rPr>
                <w:rFonts w:asciiTheme="minorHAnsi" w:hAnsiTheme="minorHAnsi" w:cstheme="minorHAnsi"/>
              </w:rPr>
              <w:t>kontrakt (trh)</w:t>
            </w:r>
          </w:p>
        </w:tc>
        <w:tc>
          <w:tcPr>
            <w:tcW w:w="1843" w:type="dxa"/>
            <w:tcBorders>
              <w:top w:val="single" w:sz="4" w:space="0" w:color="auto"/>
              <w:left w:val="single" w:sz="4" w:space="0" w:color="auto"/>
              <w:bottom w:val="single" w:sz="4" w:space="0" w:color="auto"/>
              <w:right w:val="single" w:sz="4" w:space="0" w:color="auto"/>
            </w:tcBorders>
            <w:hideMark/>
          </w:tcPr>
          <w:p w:rsidR="003E0D09" w:rsidRPr="003E0D09" w:rsidRDefault="003E0D09" w:rsidP="00423120">
            <w:pPr>
              <w:keepNext/>
              <w:keepLines/>
              <w:numPr>
                <w:ilvl w:val="0"/>
                <w:numId w:val="28"/>
              </w:numPr>
              <w:ind w:left="258" w:hanging="176"/>
              <w:contextualSpacing/>
              <w:jc w:val="both"/>
              <w:rPr>
                <w:rFonts w:asciiTheme="minorHAnsi" w:hAnsiTheme="minorHAnsi" w:cstheme="minorHAnsi"/>
              </w:rPr>
            </w:pPr>
            <w:r w:rsidRPr="003E0D09">
              <w:rPr>
                <w:rFonts w:asciiTheme="minorHAnsi" w:hAnsiTheme="minorHAnsi" w:cstheme="minorHAnsi"/>
              </w:rPr>
              <w:t>vertikální integrace</w:t>
            </w:r>
          </w:p>
        </w:tc>
      </w:tr>
    </w:tbl>
    <w:p w:rsidR="003E0D09" w:rsidRPr="003E0D09" w:rsidRDefault="003E0D09" w:rsidP="003A0A08">
      <w:pPr>
        <w:keepNext/>
        <w:keepLines/>
        <w:jc w:val="center"/>
        <w:rPr>
          <w:rFonts w:asciiTheme="minorHAnsi" w:eastAsia="Calibri" w:hAnsiTheme="minorHAnsi" w:cstheme="minorHAnsi"/>
          <w:lang w:eastAsia="en-US"/>
        </w:rPr>
      </w:pPr>
      <w:r w:rsidRPr="003E0D09">
        <w:rPr>
          <w:rFonts w:asciiTheme="minorHAnsi" w:eastAsia="Calibri" w:hAnsiTheme="minorHAnsi" w:cstheme="minorHAnsi"/>
          <w:i/>
          <w:lang w:eastAsia="en-US"/>
        </w:rPr>
        <w:t>Pramen: Liška, Sluková, Volejníková, 2011.</w:t>
      </w:r>
    </w:p>
    <w:p w:rsidR="003E0D09" w:rsidRPr="003E0D09" w:rsidRDefault="003E0D09" w:rsidP="00AA5DD2">
      <w:pPr>
        <w:keepNext/>
        <w:spacing w:after="120"/>
        <w:ind w:firstLine="720"/>
        <w:jc w:val="both"/>
        <w:rPr>
          <w:rFonts w:eastAsia="Calibri"/>
          <w:sz w:val="24"/>
          <w:szCs w:val="24"/>
          <w:lang w:eastAsia="en-US"/>
        </w:rPr>
      </w:pPr>
      <w:r w:rsidRPr="003E0D09">
        <w:rPr>
          <w:rFonts w:eastAsia="Calibri"/>
          <w:sz w:val="24"/>
          <w:szCs w:val="24"/>
          <w:lang w:eastAsia="en-US"/>
        </w:rPr>
        <w:t>L</w:t>
      </w:r>
      <w:r w:rsidRPr="00AA5DD2">
        <w:rPr>
          <w:rFonts w:eastAsia="Calibri"/>
          <w:sz w:val="24"/>
          <w:szCs w:val="24"/>
          <w:lang w:eastAsia="en-US"/>
        </w:rPr>
        <w:t>z</w:t>
      </w:r>
      <w:r w:rsidRPr="003E0D09">
        <w:rPr>
          <w:rFonts w:eastAsia="Calibri"/>
          <w:sz w:val="24"/>
          <w:szCs w:val="24"/>
          <w:lang w:eastAsia="en-US"/>
        </w:rPr>
        <w:t xml:space="preserve">e konstatovat, že specifičnost aktiv je </w:t>
      </w:r>
      <w:r w:rsidR="001406BB">
        <w:rPr>
          <w:rFonts w:eastAsia="Calibri"/>
          <w:sz w:val="24"/>
          <w:szCs w:val="24"/>
          <w:lang w:eastAsia="en-US"/>
        </w:rPr>
        <w:t xml:space="preserve">hlavním </w:t>
      </w:r>
      <w:r w:rsidRPr="003E0D09">
        <w:rPr>
          <w:rFonts w:eastAsia="Calibri"/>
          <w:sz w:val="24"/>
          <w:szCs w:val="24"/>
          <w:lang w:eastAsia="en-US"/>
        </w:rPr>
        <w:t>faktorem vertikální integrac</w:t>
      </w:r>
      <w:r w:rsidR="001406BB">
        <w:rPr>
          <w:rFonts w:eastAsia="Calibri"/>
          <w:sz w:val="24"/>
          <w:szCs w:val="24"/>
          <w:lang w:eastAsia="en-US"/>
        </w:rPr>
        <w:t>e</w:t>
      </w:r>
      <w:r w:rsidR="008C6D7E">
        <w:rPr>
          <w:rFonts w:eastAsia="Calibri"/>
          <w:sz w:val="24"/>
          <w:szCs w:val="24"/>
          <w:lang w:eastAsia="en-US"/>
        </w:rPr>
        <w:t>. Na </w:t>
      </w:r>
      <w:r w:rsidRPr="003E0D09">
        <w:rPr>
          <w:rFonts w:eastAsia="Calibri"/>
          <w:sz w:val="24"/>
          <w:szCs w:val="24"/>
          <w:lang w:eastAsia="en-US"/>
        </w:rPr>
        <w:t xml:space="preserve">základě popsaného vztahu mezi specifičností aktiv a výší transakčních nákladů je </w:t>
      </w:r>
      <w:r w:rsidRPr="003E0D09">
        <w:rPr>
          <w:rFonts w:eastAsia="Calibri"/>
          <w:sz w:val="24"/>
          <w:szCs w:val="24"/>
          <w:lang w:eastAsia="en-US"/>
        </w:rPr>
        <w:lastRenderedPageBreak/>
        <w:t>formulován Williamsonův jednoduchý (heuristický) model, a to ve dvou krocích (Mlčoch, 2005):</w:t>
      </w:r>
    </w:p>
    <w:p w:rsidR="003E0D09" w:rsidRPr="003E0D09" w:rsidRDefault="003E0D09" w:rsidP="00423120">
      <w:pPr>
        <w:keepNext/>
        <w:numPr>
          <w:ilvl w:val="0"/>
          <w:numId w:val="29"/>
        </w:numPr>
        <w:ind w:left="284" w:hanging="284"/>
        <w:contextualSpacing/>
        <w:jc w:val="both"/>
        <w:rPr>
          <w:rFonts w:eastAsia="Calibri"/>
          <w:sz w:val="24"/>
          <w:szCs w:val="24"/>
          <w:lang w:eastAsia="en-US"/>
        </w:rPr>
      </w:pPr>
      <w:r w:rsidRPr="003E0D09">
        <w:rPr>
          <w:rFonts w:eastAsia="Calibri"/>
          <w:sz w:val="24"/>
          <w:szCs w:val="24"/>
          <w:lang w:eastAsia="en-US"/>
        </w:rPr>
        <w:t>předpoklad konstantního výstupu firmy – volba mezi tržním zajištěním a vertikální integrací závisí jen na výši transakčních nákladů,</w:t>
      </w:r>
    </w:p>
    <w:p w:rsidR="00AA5DD2" w:rsidRPr="00AA5DD2" w:rsidRDefault="003E0D09" w:rsidP="00AA5DD2">
      <w:pPr>
        <w:keepNext/>
        <w:numPr>
          <w:ilvl w:val="0"/>
          <w:numId w:val="29"/>
        </w:numPr>
        <w:spacing w:before="120" w:after="120" w:line="480" w:lineRule="auto"/>
        <w:ind w:left="284" w:hanging="284"/>
        <w:contextualSpacing/>
        <w:jc w:val="both"/>
        <w:rPr>
          <w:rFonts w:eastAsia="Calibri"/>
          <w:sz w:val="24"/>
          <w:szCs w:val="24"/>
          <w:lang w:eastAsia="en-US"/>
        </w:rPr>
      </w:pPr>
      <w:r w:rsidRPr="003E0D09">
        <w:rPr>
          <w:rFonts w:eastAsia="Calibri"/>
          <w:sz w:val="24"/>
          <w:szCs w:val="24"/>
          <w:lang w:eastAsia="en-US"/>
        </w:rPr>
        <w:t>zohlednění vlivu výnosů z rozsahu, které ovlivňují výrobní náklady.</w:t>
      </w:r>
    </w:p>
    <w:p w:rsidR="003E0D09" w:rsidRPr="00AA5DD2" w:rsidRDefault="003E0D09" w:rsidP="00AA5DD2">
      <w:pPr>
        <w:keepNext/>
        <w:spacing w:before="120" w:after="120"/>
        <w:ind w:firstLine="720"/>
        <w:contextualSpacing/>
        <w:jc w:val="both"/>
        <w:rPr>
          <w:rFonts w:eastAsia="Calibri"/>
          <w:sz w:val="24"/>
          <w:szCs w:val="24"/>
          <w:lang w:eastAsia="en-US"/>
        </w:rPr>
      </w:pPr>
      <w:r w:rsidRPr="00AA5DD2">
        <w:rPr>
          <w:rFonts w:eastAsia="Calibri"/>
          <w:sz w:val="24"/>
          <w:szCs w:val="24"/>
          <w:lang w:eastAsia="en-US"/>
        </w:rPr>
        <w:t xml:space="preserve">Pro první krok platí, že firma má náklady na „interní ovládání“ (organizaci a řízení uvnitř firmy) a náklady spojené se zajištěním produktu na trhu. </w:t>
      </w:r>
      <w:r w:rsidR="001406BB" w:rsidRPr="00AA5DD2">
        <w:rPr>
          <w:rFonts w:eastAsia="Calibri"/>
          <w:sz w:val="24"/>
          <w:szCs w:val="24"/>
          <w:lang w:eastAsia="en-US"/>
        </w:rPr>
        <w:t xml:space="preserve">V </w:t>
      </w:r>
      <w:r w:rsidRPr="00AA5DD2">
        <w:rPr>
          <w:rFonts w:eastAsia="Calibri"/>
          <w:sz w:val="24"/>
          <w:szCs w:val="24"/>
          <w:lang w:eastAsia="en-US"/>
        </w:rPr>
        <w:t>následující</w:t>
      </w:r>
      <w:r w:rsidR="001406BB" w:rsidRPr="00AA5DD2">
        <w:rPr>
          <w:rFonts w:eastAsia="Calibri"/>
          <w:sz w:val="24"/>
          <w:szCs w:val="24"/>
          <w:lang w:eastAsia="en-US"/>
        </w:rPr>
        <w:t>m</w:t>
      </w:r>
      <w:r w:rsidRPr="00AA5DD2">
        <w:rPr>
          <w:rFonts w:eastAsia="Calibri"/>
          <w:sz w:val="24"/>
          <w:szCs w:val="24"/>
          <w:lang w:eastAsia="en-US"/>
        </w:rPr>
        <w:t xml:space="preserve"> obrázk</w:t>
      </w:r>
      <w:r w:rsidR="001406BB" w:rsidRPr="00AA5DD2">
        <w:rPr>
          <w:rFonts w:eastAsia="Calibri"/>
          <w:sz w:val="24"/>
          <w:szCs w:val="24"/>
          <w:lang w:eastAsia="en-US"/>
        </w:rPr>
        <w:t xml:space="preserve">u je </w:t>
      </w:r>
      <w:r w:rsidR="008C6D7E">
        <w:rPr>
          <w:rFonts w:eastAsia="Calibri"/>
          <w:sz w:val="24"/>
          <w:szCs w:val="24"/>
          <w:lang w:eastAsia="en-US"/>
        </w:rPr>
        <w:t>k </w:t>
      </w:r>
      <w:proofErr w:type="gramStart"/>
      <w:r w:rsidRPr="00AA5DD2">
        <w:rPr>
          <w:rFonts w:eastAsia="Calibri"/>
          <w:sz w:val="24"/>
          <w:szCs w:val="24"/>
          <w:lang w:eastAsia="en-US"/>
        </w:rPr>
        <w:t>index</w:t>
      </w:r>
      <w:proofErr w:type="gramEnd"/>
      <w:r w:rsidRPr="00AA5DD2">
        <w:rPr>
          <w:rFonts w:eastAsia="Calibri"/>
          <w:sz w:val="24"/>
          <w:szCs w:val="24"/>
          <w:lang w:eastAsia="en-US"/>
        </w:rPr>
        <w:t xml:space="preserve"> specifičnosti aktiv (v intervalu 0,1), B (k) interní náklady organizace, T (k) tržní transakční náklady a G rozdíl mezi interními a transakčními náklady (předpokládá se, že B (k) &gt; T (k), </w:t>
      </w:r>
      <w:r w:rsidR="001406BB" w:rsidRPr="00AA5DD2">
        <w:rPr>
          <w:rFonts w:eastAsia="Calibri"/>
          <w:sz w:val="24"/>
          <w:szCs w:val="24"/>
          <w:lang w:eastAsia="en-US"/>
        </w:rPr>
        <w:t>jinak</w:t>
      </w:r>
      <w:r w:rsidRPr="00AA5DD2">
        <w:rPr>
          <w:rFonts w:eastAsia="Calibri"/>
          <w:sz w:val="24"/>
          <w:szCs w:val="24"/>
          <w:lang w:eastAsia="en-US"/>
        </w:rPr>
        <w:t xml:space="preserve"> je vhodnější tržní řešení). </w:t>
      </w:r>
      <w:r w:rsidR="001406BB" w:rsidRPr="00AA5DD2">
        <w:rPr>
          <w:rFonts w:eastAsia="Calibri"/>
          <w:sz w:val="24"/>
          <w:szCs w:val="24"/>
          <w:lang w:eastAsia="en-US"/>
        </w:rPr>
        <w:t>S</w:t>
      </w:r>
      <w:r w:rsidRPr="00AA5DD2">
        <w:rPr>
          <w:rFonts w:eastAsia="Calibri"/>
          <w:sz w:val="24"/>
          <w:szCs w:val="24"/>
          <w:lang w:eastAsia="en-US"/>
        </w:rPr>
        <w:t xml:space="preserve"> růstem </w:t>
      </w:r>
      <w:r w:rsidR="00A574E0" w:rsidRPr="00AA5DD2">
        <w:rPr>
          <w:rFonts w:eastAsia="Calibri"/>
          <w:sz w:val="24"/>
          <w:szCs w:val="24"/>
          <w:lang w:eastAsia="en-US"/>
        </w:rPr>
        <w:t xml:space="preserve">míry </w:t>
      </w:r>
      <w:r w:rsidRPr="00AA5DD2">
        <w:rPr>
          <w:rFonts w:eastAsia="Calibri"/>
          <w:sz w:val="24"/>
          <w:szCs w:val="24"/>
          <w:lang w:eastAsia="en-US"/>
        </w:rPr>
        <w:t xml:space="preserve">specifičnosti </w:t>
      </w:r>
      <w:r w:rsidR="001406BB" w:rsidRPr="00AA5DD2">
        <w:rPr>
          <w:rFonts w:eastAsia="Calibri"/>
          <w:sz w:val="24"/>
          <w:szCs w:val="24"/>
          <w:lang w:eastAsia="en-US"/>
        </w:rPr>
        <w:t>roste</w:t>
      </w:r>
      <w:r w:rsidRPr="00AA5DD2">
        <w:rPr>
          <w:rFonts w:eastAsia="Calibri"/>
          <w:sz w:val="24"/>
          <w:szCs w:val="24"/>
          <w:lang w:eastAsia="en-US"/>
        </w:rPr>
        <w:t xml:space="preserve"> pravděpodobnost vertikální integrace.</w:t>
      </w:r>
    </w:p>
    <w:p w:rsidR="003E0D09" w:rsidRPr="003E0D09" w:rsidRDefault="00B40349" w:rsidP="00AA5DD2">
      <w:pPr>
        <w:keepNext/>
        <w:keepLines/>
        <w:rPr>
          <w:rFonts w:eastAsia="Calibri"/>
          <w:lang w:eastAsia="en-US"/>
        </w:rPr>
      </w:pPr>
      <w:r>
        <w:rPr>
          <w:rFonts w:ascii="Calibri" w:eastAsia="Calibri" w:hAnsi="Calibri"/>
          <w:noProof/>
        </w:rPr>
        <w:pict>
          <v:shape id="Textové pole 9" o:spid="_x0000_s1056" type="#_x0000_t202" style="position:absolute;margin-left:1.8pt;margin-top:11pt;width:55.1pt;height:4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" filled="f" strokecolor="window" strokeweight=".5pt">
            <v:textbox style="mso-next-textbox:#Textové pole 9">
              <w:txbxContent>
                <w:p w:rsidR="00B40349" w:rsidRDefault="00B40349" w:rsidP="003E0D09">
                  <w:pPr>
                    <w:spacing w:after="0"/>
                    <w:rPr>
                      <w:sz w:val="16"/>
                    </w:rPr>
                  </w:pPr>
                  <w:r>
                    <w:rPr>
                      <w:sz w:val="16"/>
                    </w:rPr>
                    <w:t>náklady v Kč</w:t>
                  </w:r>
                </w:p>
              </w:txbxContent>
            </v:textbox>
          </v:shape>
        </w:pict>
      </w:r>
      <w:r>
        <w:rPr>
          <w:rFonts w:ascii="Calibri" w:eastAsia="Calibri" w:hAnsi="Calibri"/>
          <w:noProof/>
        </w:rPr>
        <w:pict>
          <v:shapetype id="_x0000_t32" coordsize="21600,21600" o:spt="32" o:oned="t" path="m,l21600,21600e" filled="f">
            <v:path arrowok="t" fillok="f" o:connecttype="none"/>
            <o:lock v:ext="edit" shapetype="t"/>
          </v:shapetype>
          <v:shape id="Přímá spojnice se šipkou 7" o:spid="_x0000_s1097" type="#_x0000_t32" style="position:absolute;margin-left:2.75pt;margin-top:20.05pt;width:0;height:139.1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" strokecolor="windowText">
            <v:stroke endarrow="open"/>
          </v:shape>
        </w:pict>
      </w:r>
      <w:r>
        <w:rPr>
          <w:rFonts w:ascii="Calibri" w:eastAsia="Calibri" w:hAnsi="Calibri"/>
          <w:noProof/>
        </w:rPr>
        <w:pict>
          <v:shape id="Volný tvar 13" o:spid="_x0000_s1096" style="position:absolute;margin-left:1.75pt;margin-top:20.8pt;width:221.25pt;height:7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8450,163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" path="m,1633537c516334,1508124,1032669,1382712,1419225,1204912v386556,-177800,663575,-437356,900112,-638175c2555875,365918,2838450,,2838450,r,e" filled="f" strokecolor="windowText" strokeweight="1pt">
            <v:path arrowok="t" o:connecttype="custom" o:connectlocs="0,972820;1404938,717561;2295988,337509;2809875,0;2809875,0" o:connectangles="0,0,0,0,0"/>
          </v:shape>
        </w:pict>
      </w:r>
      <w:r>
        <w:rPr>
          <w:rFonts w:ascii="Calibri" w:eastAsia="Calibri" w:hAnsi="Calibri"/>
          <w:noProof/>
        </w:rPr>
        <w:pict>
          <v:shape id="Textové pole 64" o:spid="_x0000_s1057" type="#_x0000_t202" style="position:absolute;margin-left:166.9pt;margin-top:22.15pt;width:39pt;height:2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" filled="f" strokecolor="window" strokeweight=".5pt">
            <v:stroke opacity="0"/>
            <v:textbox style="mso-next-textbox:#Textové pole 64">
              <w:txbxContent>
                <w:p w:rsidR="00B40349" w:rsidRDefault="00B40349" w:rsidP="003E0D09">
                  <w:pPr>
                    <w:spacing w:after="0"/>
                    <w:rPr>
                      <w:sz w:val="16"/>
                    </w:rPr>
                  </w:pPr>
                  <w:r>
                    <w:rPr>
                      <w:sz w:val="16"/>
                    </w:rPr>
                    <w:t>T (k)</w:t>
                  </w:r>
                </w:p>
              </w:txbxContent>
            </v:textbox>
          </v:shape>
        </w:pict>
      </w:r>
      <w:r>
        <w:rPr>
          <w:rFonts w:ascii="Calibri" w:eastAsia="Calibri" w:hAnsi="Calibri"/>
          <w:noProof/>
        </w:rPr>
        <w:pict>
          <v:shape id="Volný tvar 62" o:spid="_x0000_s1095" style="position:absolute;margin-left:2.65pt;margin-top:20.65pt;width:169.5pt;height:13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52650,177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" path="m,1771650l657225,1657350v136525,-23813,104775,-14288,161925,-28575c876300,1614487,930275,1598612,1000125,1571625v69850,-26988,165100,-58738,238125,-104775c1311275,1420812,1362075,1379537,1438275,1295400v76200,-84137,160338,-177800,257175,-333375c1792287,806450,1943100,522287,2019300,361950,2095500,201612,2152650,,2152650,r,e" filled="f" strokecolor="windowText">
            <v:path arrowok="t" o:connecttype="custom" o:connectlocs="0,1771650;657225,1657350;819150,1628775;1000125,1571625;1238250,1466850;1438275,1295400;1695450,962025;2019300,361950;2152650,0;2152650,0" o:connectangles="0,0,0,0,0,0,0,0,0,0"/>
          </v:shape>
        </w:pict>
      </w:r>
      <w:r>
        <w:rPr>
          <w:rFonts w:ascii="Calibri" w:eastAsia="Calibri" w:hAnsi="Calibri"/>
          <w:noProof/>
        </w:rPr>
        <w:pict>
          <v:line id="Přímá spojnice 59" o:spid="_x0000_s1094" style="position:absolute;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9pt,22.15pt" to="155.65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" strokecolor="windowText">
            <v:stroke dashstyle="dash"/>
          </v:line>
        </w:pict>
      </w:r>
      <w:r>
        <w:rPr>
          <w:rFonts w:ascii="Calibri" w:eastAsia="Calibri" w:hAnsi="Calibri"/>
          <w:noProof/>
        </w:rPr>
        <w:pict>
          <v:shape id="Textové pole 67" o:spid="_x0000_s1058" type="#_x0000_t202" style="position:absolute;margin-left:96.4pt;margin-top:1.35pt;width:66.75pt;height:2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" filled="f" strokecolor="window" strokeweight=".5pt">
            <v:stroke opacity="0"/>
            <v:textbox style="mso-next-textbox:#Textové pole 67">
              <w:txbxContent>
                <w:p w:rsidR="00B40349" w:rsidRDefault="00B40349" w:rsidP="003E0D09">
                  <w:pPr>
                    <w:spacing w:after="0"/>
                    <w:rPr>
                      <w:sz w:val="16"/>
                    </w:rPr>
                  </w:pPr>
                  <w:r>
                    <w:rPr>
                      <w:sz w:val="16"/>
                    </w:rPr>
                    <w:t>hranice firmy</w:t>
                  </w:r>
                </w:p>
              </w:txbxContent>
            </v:textbox>
          </v:shape>
        </w:pict>
      </w:r>
      <w:r>
        <w:rPr>
          <w:rFonts w:ascii="Calibri" w:eastAsia="Calibri" w:hAnsi="Calibri"/>
          <w:noProof/>
        </w:rPr>
        <w:pict>
          <v:shape id="Textové pole 65" o:spid="_x0000_s1059" type="#_x0000_t202" style="position:absolute;margin-left:199.15pt;margin-top:6.95pt;width:37.5pt;height:2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" filled="f" strokecolor="window" strokeweight=".5pt">
            <v:stroke opacity="0"/>
            <v:textbox style="mso-next-textbox:#Textové pole 65">
              <w:txbxContent>
                <w:p w:rsidR="00B40349" w:rsidRDefault="00B40349" w:rsidP="003E0D09">
                  <w:pPr>
                    <w:spacing w:after="0"/>
                    <w:rPr>
                      <w:sz w:val="16"/>
                    </w:rPr>
                  </w:pPr>
                  <w:r>
                    <w:rPr>
                      <w:sz w:val="16"/>
                    </w:rPr>
                    <w:t>B (k)</w:t>
                  </w:r>
                </w:p>
              </w:txbxContent>
            </v:textbox>
          </v:shape>
        </w:pict>
      </w:r>
    </w:p>
    <w:p w:rsidR="003E0D09" w:rsidRPr="003E0D09" w:rsidRDefault="003E0D09" w:rsidP="00423120">
      <w:pPr>
        <w:keepNext/>
        <w:keepLines/>
        <w:jc w:val="both"/>
        <w:rPr>
          <w:rFonts w:eastAsia="Calibri"/>
          <w:lang w:eastAsia="en-US"/>
        </w:rPr>
      </w:pPr>
    </w:p>
    <w:p w:rsidR="003E0D09" w:rsidRPr="003E0D09" w:rsidRDefault="00B40349" w:rsidP="00423120">
      <w:pPr>
        <w:keepNext/>
        <w:keepLines/>
        <w:tabs>
          <w:tab w:val="center" w:pos="4536"/>
        </w:tabs>
        <w:jc w:val="both"/>
        <w:rPr>
          <w:rFonts w:eastAsia="Calibri"/>
          <w:lang w:eastAsia="en-US"/>
        </w:rPr>
      </w:pPr>
      <w:r>
        <w:rPr>
          <w:rFonts w:ascii="Calibri" w:eastAsia="Calibri" w:hAnsi="Calibri"/>
          <w:noProof/>
        </w:rPr>
        <w:pict>
          <v:shape id="Volný tvar 58" o:spid="_x0000_s1093" style="position:absolute;left:0;text-align:left;margin-left:3.25pt;margin-top:21.55pt;width:164.25pt;height:8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85975,103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" path="m,9877c41275,5114,82550,352,180975,352v98425,,292100,-3175,409575,9525c708025,22577,788988,49565,885825,76552v96838,26988,203200,63500,285750,95250c1254125,203552,1308100,224190,1381125,267052v73025,42862,169863,112713,228600,161925c1668463,478190,1684337,506764,1733550,562327v49213,55563,112713,120650,171450,200025c1963737,841727,2024856,940152,2085975,1038577e" filled="f" strokecolor="windowText">
            <v:path arrowok="t" o:connecttype="custom" o:connectlocs="0,9880;180975,352;590550,9880;885825,76573;1171575,171849;1381125,267125;1609725,429094;1733550,562480;1905000,762560;2085975,1038860" o:connectangles="0,0,0,0,0,0,0,0,0,0"/>
          </v:shape>
        </w:pict>
      </w:r>
      <w:r w:rsidR="003E0D09" w:rsidRPr="003E0D09">
        <w:rPr>
          <w:rFonts w:eastAsia="Calibri"/>
          <w:lang w:eastAsia="en-US"/>
        </w:rPr>
        <w:tab/>
      </w:r>
    </w:p>
    <w:p w:rsidR="003E0D09" w:rsidRPr="003E0D09" w:rsidRDefault="00B40349" w:rsidP="00423120">
      <w:pPr>
        <w:keepNext/>
        <w:keepLines/>
        <w:jc w:val="both"/>
        <w:rPr>
          <w:rFonts w:eastAsia="Calibri"/>
          <w:lang w:eastAsia="en-US"/>
        </w:rPr>
      </w:pPr>
      <w:r>
        <w:rPr>
          <w:rFonts w:ascii="Calibri" w:eastAsia="Calibri" w:hAnsi="Calibri"/>
          <w:noProof/>
        </w:rPr>
        <w:pict>
          <v:shape id="Textové pole 66" o:spid="_x0000_s1060" type="#_x0000_t202" style="position:absolute;left:0;text-align:left;margin-left:132.4pt;margin-top:19.55pt;width:69pt;height:34.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" filled="f" strokecolor="window" strokeweight=".5pt">
            <v:stroke opacity="0"/>
            <v:textbox style="mso-next-textbox:#Textové pole 66">
              <w:txbxContent>
                <w:p w:rsidR="00B40349" w:rsidRDefault="00B40349" w:rsidP="003E0D09">
                  <w:pPr>
                    <w:spacing w:after="0"/>
                    <w:rPr>
                      <w:sz w:val="16"/>
                    </w:rPr>
                  </w:pPr>
                  <w:r>
                    <w:rPr>
                      <w:sz w:val="16"/>
                    </w:rPr>
                    <w:t>G = B (k) – T (k)</w:t>
                  </w:r>
                </w:p>
              </w:txbxContent>
            </v:textbox>
          </v:shape>
        </w:pict>
      </w:r>
    </w:p>
    <w:p w:rsidR="003E0D09" w:rsidRPr="003E0D09" w:rsidRDefault="00B40349" w:rsidP="00423120">
      <w:pPr>
        <w:keepNext/>
        <w:keepLines/>
        <w:jc w:val="both"/>
        <w:rPr>
          <w:rFonts w:eastAsia="Calibri"/>
          <w:lang w:eastAsia="en-US"/>
        </w:rPr>
      </w:pPr>
      <w:r>
        <w:rPr>
          <w:rFonts w:ascii="Calibri" w:eastAsia="Calibri" w:hAnsi="Calibri"/>
          <w:noProof/>
        </w:rPr>
        <w:pict>
          <v:shape id="Textové pole 46" o:spid="_x0000_s1061" type="#_x0000_t202" style="position:absolute;left:0;text-align:left;margin-left:186.4pt;margin-top:36.15pt;width:83.25pt;height:25.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" filled="f" strokecolor="window" strokeweight=".5pt">
            <v:textbox style="mso-next-textbox:#Textové pole 46">
              <w:txbxContent>
                <w:p w:rsidR="00B40349" w:rsidRDefault="00B40349" w:rsidP="003E0D09">
                  <w:pPr>
                    <w:spacing w:after="0"/>
                    <w:rPr>
                      <w:sz w:val="16"/>
                    </w:rPr>
                  </w:pPr>
                  <w:r>
                    <w:rPr>
                      <w:sz w:val="16"/>
                    </w:rPr>
                    <w:t>k (specifičnost aktiv)</w:t>
                  </w:r>
                </w:p>
              </w:txbxContent>
            </v:textbox>
          </v:shape>
        </w:pict>
      </w:r>
      <w:r>
        <w:rPr>
          <w:rFonts w:ascii="Calibri" w:eastAsia="Calibri" w:hAnsi="Calibri"/>
          <w:noProof/>
        </w:rPr>
        <w:pict>
          <v:shape id="Textové pole 48" o:spid="_x0000_s1062" type="#_x0000_t202" style="position:absolute;left:0;text-align:left;margin-left:-7.1pt;margin-top:38.3pt;width:18.75pt;height:25.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" filled="f" strokecolor="window" strokeweight=".5pt">
            <v:textbox style="mso-next-textbox:#Textové pole 48">
              <w:txbxContent>
                <w:p w:rsidR="00B40349" w:rsidRDefault="00B40349" w:rsidP="003E0D09">
                  <w:pPr>
                    <w:spacing w:after="0"/>
                    <w:rPr>
                      <w:sz w:val="16"/>
                    </w:rPr>
                  </w:pPr>
                  <w:r>
                    <w:rPr>
                      <w:sz w:val="16"/>
                    </w:rPr>
                    <w:t>0</w:t>
                  </w:r>
                </w:p>
              </w:txbxContent>
            </v:textbox>
          </v:shape>
        </w:pict>
      </w:r>
      <w:r>
        <w:rPr>
          <w:rFonts w:ascii="Calibri" w:eastAsia="Calibri" w:hAnsi="Calibri"/>
          <w:noProof/>
        </w:rPr>
        <w:pict>
          <v:shape id="Textové pole 20" o:spid="_x0000_s1063" type="#_x0000_t202" style="position:absolute;left:0;text-align:left;margin-left:138.4pt;margin-top:37.5pt;width:28.5pt;height:2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" filled="f" strokecolor="window" strokeweight=".5pt">
            <v:stroke opacity="0"/>
            <v:textbox style="mso-next-textbox:#Textové pole 20">
              <w:txbxContent>
                <w:p w:rsidR="00B40349" w:rsidRDefault="00B40349" w:rsidP="003E0D09">
                  <w:pPr>
                    <w:spacing w:after="0"/>
                    <w:rPr>
                      <w:sz w:val="16"/>
                    </w:rPr>
                  </w:pPr>
                  <w:r>
                    <w:rPr>
                      <w:sz w:val="16"/>
                    </w:rPr>
                    <w:t>k</w:t>
                  </w:r>
                </w:p>
              </w:txbxContent>
            </v:textbox>
          </v:shape>
        </w:pict>
      </w:r>
    </w:p>
    <w:p w:rsidR="003E0D09" w:rsidRPr="003E0D09" w:rsidRDefault="00B40349" w:rsidP="00423120">
      <w:pPr>
        <w:keepNext/>
        <w:keepLines/>
        <w:jc w:val="both"/>
        <w:rPr>
          <w:rFonts w:eastAsia="Calibri"/>
          <w:i/>
          <w:sz w:val="20"/>
          <w:szCs w:val="20"/>
          <w:lang w:eastAsia="en-US"/>
        </w:rPr>
      </w:pPr>
      <w:r>
        <w:rPr>
          <w:rFonts w:ascii="Calibri" w:eastAsia="Calibri" w:hAnsi="Calibri"/>
          <w:noProof/>
        </w:rPr>
        <w:pict>
          <v:shape id="Přímá spojnice se šipkou 52" o:spid="_x0000_s1092" type="#_x0000_t32" style="position:absolute;left:0;text-align:left;margin-left:3.05pt;margin-top:12.55pt;width:251.9pt;height:.6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" strokecolor="windowText">
            <v:stroke endarrow="open"/>
          </v:shape>
        </w:pict>
      </w:r>
    </w:p>
    <w:p w:rsidR="003E0D09" w:rsidRPr="003E0D09" w:rsidRDefault="003E0D09" w:rsidP="00103F8F">
      <w:pPr>
        <w:keepNext/>
        <w:keepLines/>
        <w:rPr>
          <w:rFonts w:ascii="Calibri" w:eastAsia="Calibri" w:hAnsi="Calibri" w:cs="Calibri"/>
          <w:b/>
          <w:sz w:val="24"/>
          <w:szCs w:val="24"/>
          <w:lang w:eastAsia="en-US"/>
        </w:rPr>
      </w:pPr>
    </w:p>
    <w:p w:rsidR="003E0D09" w:rsidRPr="003E0D09" w:rsidRDefault="003E0D09" w:rsidP="00AA5DD2">
      <w:pPr>
        <w:pStyle w:val="0G-Titulek"/>
        <w:ind w:firstLine="0"/>
        <w:jc w:val="left"/>
        <w:rPr>
          <w:rFonts w:eastAsia="Calibri"/>
        </w:rPr>
      </w:pPr>
      <w:bookmarkStart w:id="122" w:name="_Toc382326828"/>
      <w:r w:rsidRPr="003E0D09">
        <w:rPr>
          <w:rFonts w:eastAsia="Calibri"/>
        </w:rPr>
        <w:t>Obrázek 23: Volba mezi firemním a tržním zajištěním produktu (vymezení hranice firmy)</w:t>
      </w:r>
      <w:bookmarkEnd w:id="122"/>
    </w:p>
    <w:p w:rsidR="003E0D09" w:rsidRPr="003E0D09" w:rsidRDefault="003E0D09" w:rsidP="00AA5DD2">
      <w:pPr>
        <w:keepNext/>
        <w:keepLines/>
        <w:spacing w:after="120"/>
        <w:jc w:val="center"/>
        <w:rPr>
          <w:rFonts w:ascii="Calibri" w:eastAsia="Calibri" w:hAnsi="Calibri" w:cs="Calibri"/>
          <w:i/>
          <w:lang w:eastAsia="en-US"/>
        </w:rPr>
      </w:pPr>
      <w:r w:rsidRPr="003E0D09">
        <w:rPr>
          <w:rFonts w:ascii="Calibri" w:eastAsia="Calibri" w:hAnsi="Calibri" w:cs="Calibri"/>
          <w:i/>
          <w:lang w:eastAsia="en-US"/>
        </w:rPr>
        <w:t>Pramen: Mlčoch 2005; Liška, Sluková, Volejníková 2011; upraveno.</w:t>
      </w:r>
    </w:p>
    <w:p w:rsidR="003E0D09" w:rsidRPr="003E0D09" w:rsidRDefault="003E0D09" w:rsidP="00AA5DD2">
      <w:pPr>
        <w:keepNext/>
        <w:spacing w:after="0"/>
        <w:ind w:firstLine="720"/>
        <w:jc w:val="both"/>
        <w:rPr>
          <w:rFonts w:eastAsia="Calibri"/>
          <w:sz w:val="24"/>
          <w:szCs w:val="24"/>
          <w:lang w:eastAsia="en-US"/>
        </w:rPr>
      </w:pPr>
      <w:r w:rsidRPr="003E0D09">
        <w:rPr>
          <w:rFonts w:eastAsia="Calibri"/>
          <w:sz w:val="24"/>
          <w:szCs w:val="24"/>
          <w:lang w:eastAsia="en-US"/>
        </w:rPr>
        <w:t>Ve druhém kroku je definována nákladová funkce výrobních nákladů N (k)</w:t>
      </w:r>
      <w:r w:rsidR="005862FC">
        <w:rPr>
          <w:rFonts w:eastAsia="Calibri"/>
          <w:sz w:val="24"/>
          <w:szCs w:val="24"/>
          <w:lang w:eastAsia="en-US"/>
        </w:rPr>
        <w:t>,</w:t>
      </w:r>
      <w:r w:rsidRPr="003E0D09">
        <w:rPr>
          <w:rFonts w:eastAsia="Calibri"/>
          <w:sz w:val="24"/>
          <w:szCs w:val="24"/>
          <w:lang w:eastAsia="en-US"/>
        </w:rPr>
        <w:t xml:space="preserve"> tj. rozdíl mezi nákladovou funkcí vlastní výroby a nákladovou funkcí tržní nabídky. N (k) dosahuje kladných hodnot a je klesající s rostoucí specifičností aktiv k. Cílem je minimalizovat součet transakčních a výrobních nákladů (N+G). V bodě K se tento součet stává záporným</w:t>
      </w:r>
      <w:r w:rsidR="00A574E0">
        <w:rPr>
          <w:rFonts w:eastAsia="Calibri"/>
          <w:sz w:val="24"/>
          <w:szCs w:val="24"/>
          <w:lang w:eastAsia="en-US"/>
        </w:rPr>
        <w:t xml:space="preserve"> a</w:t>
      </w:r>
      <w:r w:rsidRPr="003E0D09">
        <w:rPr>
          <w:rFonts w:eastAsia="Calibri"/>
          <w:sz w:val="24"/>
          <w:szCs w:val="24"/>
          <w:lang w:eastAsia="en-US"/>
        </w:rPr>
        <w:t xml:space="preserve"> za tímto bodem </w:t>
      </w:r>
      <w:r w:rsidR="00A574E0">
        <w:rPr>
          <w:rFonts w:eastAsia="Calibri"/>
          <w:sz w:val="24"/>
          <w:szCs w:val="24"/>
          <w:lang w:eastAsia="en-US"/>
        </w:rPr>
        <w:t xml:space="preserve">tak </w:t>
      </w:r>
      <w:r w:rsidRPr="003E0D09">
        <w:rPr>
          <w:rFonts w:eastAsia="Calibri"/>
          <w:sz w:val="24"/>
          <w:szCs w:val="24"/>
          <w:lang w:eastAsia="en-US"/>
        </w:rPr>
        <w:t>váha výnosů z rozsahu přestává preferovat tržní řešení</w:t>
      </w:r>
      <w:r w:rsidR="00A574E0">
        <w:rPr>
          <w:rFonts w:eastAsia="Calibri"/>
          <w:sz w:val="24"/>
          <w:szCs w:val="24"/>
          <w:lang w:eastAsia="en-US"/>
        </w:rPr>
        <w:t>. F</w:t>
      </w:r>
      <w:r w:rsidRPr="003E0D09">
        <w:rPr>
          <w:rFonts w:eastAsia="Calibri"/>
          <w:sz w:val="24"/>
          <w:szCs w:val="24"/>
          <w:lang w:eastAsia="en-US"/>
        </w:rPr>
        <w:t>irma si zajišťuje produkt sama, protože vliv specifičnosti aktiv preferuje vertikální integraci (Mlčoch, 2005).</w:t>
      </w:r>
    </w:p>
    <w:p w:rsidR="003E0D09" w:rsidRPr="003E0D09" w:rsidRDefault="00B40349" w:rsidP="00423120">
      <w:pPr>
        <w:keepNext/>
        <w:keepLines/>
        <w:jc w:val="center"/>
        <w:rPr>
          <w:rFonts w:eastAsia="Calibri"/>
          <w:lang w:eastAsia="en-US"/>
        </w:rPr>
      </w:pPr>
      <w:r>
        <w:rPr>
          <w:rFonts w:ascii="Calibri" w:eastAsia="Calibri" w:hAnsi="Calibri"/>
          <w:noProof/>
        </w:rPr>
        <w:pict>
          <v:shape id="Volný tvar 45" o:spid="_x0000_s1091" style="position:absolute;left:0;text-align:left;margin-left:0;margin-top:2.1pt;width:177pt;height:153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coordsize="2247900,19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" path="m,l381000,57150v90487,12700,84138,,161925,19050c620712,95250,754063,131763,847725,171450v93663,39688,184150,98425,257175,142875c1177925,358775,1208088,377825,1285875,438150v77787,60325,192088,141288,285750,238125c1665287,773112,1776413,908050,1847850,1019175v71437,111125,100012,200025,152400,323850c2052638,1466850,2120900,1662113,2162175,1762125v41275,100013,85725,180975,85725,180975l2247900,1943100e" filled="f" strokecolor="windowText">
            <v:path arrowok="t" o:connecttype="custom" o:connectlocs="0,0;381000,57150;542925,76200;847725,171450;1104900,314325;1285875,438150;1571625,676275;1847850,1019175;2000250,1343025;2162175,1762125;2247900,1943100;2247900,1943100" o:connectangles="0,0,0,0,0,0,0,0,0,0,0,0"/>
            <w10:wrap anchorx="margin"/>
          </v:shape>
        </w:pict>
      </w:r>
      <w:r>
        <w:rPr>
          <w:rFonts w:ascii="Calibri" w:eastAsia="Calibri" w:hAnsi="Calibri"/>
          <w:noProof/>
        </w:rPr>
        <w:pict>
          <v:shape id="Textové pole 75" o:spid="_x0000_s1064" type="#_x0000_t202" style="position:absolute;left:0;text-align:left;margin-left:0;margin-top:15.6pt;width:54.15pt;height:36.8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" filled="f" strokecolor="window" strokeweight=".5pt">
            <v:textbox style="mso-next-textbox:#Textové pole 75">
              <w:txbxContent>
                <w:p w:rsidR="00B40349" w:rsidRDefault="00B40349" w:rsidP="003E0D09">
                  <w:pPr>
                    <w:spacing w:after="0"/>
                    <w:rPr>
                      <w:sz w:val="16"/>
                    </w:rPr>
                  </w:pPr>
                  <w:r>
                    <w:rPr>
                      <w:sz w:val="16"/>
                    </w:rPr>
                    <w:t>náklady v Kč</w:t>
                  </w:r>
                </w:p>
              </w:txbxContent>
            </v:textbox>
            <w10:wrap anchorx="margin"/>
          </v:shape>
        </w:pict>
      </w:r>
      <w:r>
        <w:rPr>
          <w:rFonts w:ascii="Calibri" w:eastAsia="Calibri" w:hAnsi="Calibri"/>
          <w:noProof/>
        </w:rPr>
        <w:pict>
          <v:shape id="Přímá spojnice se šipkou 72" o:spid="_x0000_s1090" type="#_x0000_t32" style="position:absolute;left:0;text-align:left;margin-left:1.9pt;margin-top:22.15pt;width:0;height:139.1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" strokecolor="windowText">
            <v:stroke endarrow="open"/>
          </v:shape>
        </w:pict>
      </w:r>
      <w:r>
        <w:rPr>
          <w:rFonts w:ascii="Calibri" w:eastAsia="Calibri" w:hAnsi="Calibri"/>
          <w:noProof/>
        </w:rPr>
        <w:pict>
          <v:shape id="Volný tvar 15" o:spid="_x0000_s1089" style="position:absolute;left:0;text-align:left;margin-left:2.65pt;margin-top:42.05pt;width:255.75pt;height:84.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48025,107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" path="m,l323850,133350v82550,33337,171450,66675,171450,66675c555625,223837,627063,249238,685800,276225v58737,26987,98425,58738,161925,85725c911225,388937,1006475,414338,1066800,438150v60325,23812,39688,25400,142875,66675c1312862,546100,1554163,633413,1685925,685800v131762,52387,314325,133350,314325,133350c2108200,865187,2208213,922338,2333625,962025v125413,39688,303213,76200,419100,95250c2868613,1076325,2946400,1073150,3028950,1076325v82550,3175,150812,1587,219075,e" filled="f" strokecolor="windowText">
            <v:path arrowok="t" o:connecttype="custom" o:connectlocs="0,0;323850,133280;495300,199921;685800,276081;847725,361761;1066800,437922;1209675,504562;1685925,685443;2000250,818723;2333625,961524;2752725,1056724;3028950,1075764;3248025,1075764" o:connectangles="0,0,0,0,0,0,0,0,0,0,0,0,0"/>
          </v:shape>
        </w:pict>
      </w:r>
      <w:r>
        <w:rPr>
          <w:rFonts w:ascii="Calibri" w:eastAsia="Calibri" w:hAnsi="Calibri"/>
          <w:noProof/>
        </w:rPr>
        <w:pict>
          <v:shape id="Textové pole 16" o:spid="_x0000_s1065" type="#_x0000_t202" style="position:absolute;left:0;text-align:left;margin-left:51.4pt;margin-top:47.3pt;width:24.75pt;height:21.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" filled="f" strokecolor="window" strokeweight=".5pt">
            <v:stroke opacity="0"/>
            <v:textbox style="mso-next-textbox:#Textové pole 16">
              <w:txbxContent>
                <w:p w:rsidR="00B40349" w:rsidRDefault="00B40349" w:rsidP="003E0D09">
                  <w:pPr>
                    <w:spacing w:after="0"/>
                    <w:rPr>
                      <w:sz w:val="16"/>
                    </w:rPr>
                  </w:pPr>
                  <w:r>
                    <w:rPr>
                      <w:sz w:val="16"/>
                    </w:rPr>
                    <w:t>N</w:t>
                  </w:r>
                </w:p>
              </w:txbxContent>
            </v:textbox>
          </v:shape>
        </w:pict>
      </w:r>
      <w:r>
        <w:rPr>
          <w:rFonts w:ascii="Calibri" w:eastAsia="Calibri" w:hAnsi="Calibri"/>
          <w:noProof/>
        </w:rPr>
        <w:pict>
          <v:shape id="Textové pole 19" o:spid="_x0000_s1066" type="#_x0000_t202" style="position:absolute;left:0;text-align:left;margin-left:100.9pt;margin-top:25.55pt;width:36pt;height:2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" filled="f" strokecolor="window" strokeweight=".5pt">
            <v:stroke opacity="0"/>
            <v:textbox style="mso-next-textbox:#Textové pole 19">
              <w:txbxContent>
                <w:p w:rsidR="00B40349" w:rsidRDefault="00B40349" w:rsidP="003E0D09">
                  <w:pPr>
                    <w:spacing w:after="0"/>
                    <w:rPr>
                      <w:sz w:val="16"/>
                    </w:rPr>
                  </w:pPr>
                  <w:r>
                    <w:rPr>
                      <w:sz w:val="16"/>
                    </w:rPr>
                    <w:t>N + G</w:t>
                  </w:r>
                </w:p>
              </w:txbxContent>
            </v:textbox>
          </v:shape>
        </w:pict>
      </w:r>
    </w:p>
    <w:p w:rsidR="003E0D09" w:rsidRPr="003E0D09" w:rsidRDefault="003E0D09" w:rsidP="00423120">
      <w:pPr>
        <w:keepNext/>
        <w:keepLines/>
        <w:jc w:val="both"/>
        <w:rPr>
          <w:rFonts w:eastAsia="Calibri"/>
          <w:lang w:eastAsia="en-US"/>
        </w:rPr>
      </w:pPr>
    </w:p>
    <w:p w:rsidR="003E0D09" w:rsidRPr="003E0D09" w:rsidRDefault="00B40349" w:rsidP="00423120">
      <w:pPr>
        <w:keepNext/>
        <w:keepLines/>
        <w:tabs>
          <w:tab w:val="center" w:pos="4536"/>
        </w:tabs>
        <w:jc w:val="both"/>
        <w:rPr>
          <w:rFonts w:eastAsia="Calibri"/>
          <w:lang w:eastAsia="en-US"/>
        </w:rPr>
      </w:pPr>
      <w:r>
        <w:rPr>
          <w:rFonts w:ascii="Calibri" w:eastAsia="Calibri" w:hAnsi="Calibri"/>
          <w:noProof/>
        </w:rPr>
        <w:pict>
          <v:shape id="Volný tvar 76" o:spid="_x0000_s1088" style="position:absolute;left:0;text-align:left;margin-left:2.65pt;margin-top:23.5pt;width:164.25pt;height:8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85975,103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" path="m,9877c41275,5114,82550,352,180975,352v98425,,292100,-3175,409575,9525c708025,22577,788988,49565,885825,76552v96838,26988,203200,63500,285750,95250c1254125,203552,1308100,224190,1381125,267052v73025,42862,169863,112713,228600,161925c1668463,478190,1684337,506764,1733550,562327v49213,55563,112713,120650,171450,200025c1963737,841727,2024856,940152,2085975,1038577e" filled="f" strokecolor="windowText">
            <v:path arrowok="t" o:connecttype="custom" o:connectlocs="0,9874;180975,352;590550,9874;885825,76526;1171575,171744;1381125,266961;1609725,428832;1733550,562136;1905000,762094;2085975,1038225" o:connectangles="0,0,0,0,0,0,0,0,0,0"/>
          </v:shape>
        </w:pict>
      </w:r>
      <w:r w:rsidR="003E0D09" w:rsidRPr="003E0D09">
        <w:rPr>
          <w:rFonts w:eastAsia="Calibri"/>
          <w:lang w:eastAsia="en-US"/>
        </w:rPr>
        <w:tab/>
      </w:r>
    </w:p>
    <w:p w:rsidR="003E0D09" w:rsidRPr="003E0D09" w:rsidRDefault="00B40349" w:rsidP="00423120">
      <w:pPr>
        <w:keepNext/>
        <w:keepLines/>
        <w:jc w:val="both"/>
        <w:rPr>
          <w:rFonts w:eastAsia="Calibri"/>
          <w:lang w:eastAsia="en-US"/>
        </w:rPr>
      </w:pPr>
      <w:r>
        <w:rPr>
          <w:rFonts w:ascii="Calibri" w:eastAsia="Calibri" w:hAnsi="Calibri"/>
          <w:noProof/>
        </w:rPr>
        <w:pict>
          <v:shape id="Textové pole 77" o:spid="_x0000_s1067" type="#_x0000_t202" style="position:absolute;left:0;text-align:left;margin-left:76.15pt;margin-top:16.2pt;width:24.75pt;height:2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" filled="f" strokecolor="window" strokeweight=".5pt">
            <v:stroke opacity="0"/>
            <v:textbox style="mso-next-textbox:#Textové pole 77">
              <w:txbxContent>
                <w:p w:rsidR="00B40349" w:rsidRDefault="00B40349" w:rsidP="003E0D09">
                  <w:pPr>
                    <w:spacing w:after="0"/>
                    <w:rPr>
                      <w:sz w:val="16"/>
                    </w:rPr>
                  </w:pPr>
                  <w:r>
                    <w:rPr>
                      <w:sz w:val="16"/>
                    </w:rPr>
                    <w:t xml:space="preserve">G </w:t>
                  </w:r>
                </w:p>
              </w:txbxContent>
            </v:textbox>
          </v:shape>
        </w:pict>
      </w:r>
      <w:r>
        <w:rPr>
          <w:rFonts w:ascii="Calibri" w:eastAsia="Calibri" w:hAnsi="Calibri"/>
          <w:noProof/>
        </w:rPr>
        <w:pict>
          <v:shape id="Textové pole 78" o:spid="_x0000_s1068" type="#_x0000_t202" style="position:absolute;left:0;text-align:left;margin-left:186.4pt;margin-top:60.9pt;width:83.25pt;height:25.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" filled="f" strokecolor="window" strokeweight=".5pt">
            <v:textbox style="mso-next-textbox:#Textové pole 78">
              <w:txbxContent>
                <w:p w:rsidR="00B40349" w:rsidRDefault="00B40349" w:rsidP="003E0D09">
                  <w:pPr>
                    <w:spacing w:after="0"/>
                    <w:rPr>
                      <w:sz w:val="16"/>
                    </w:rPr>
                  </w:pPr>
                  <w:r>
                    <w:rPr>
                      <w:sz w:val="16"/>
                    </w:rPr>
                    <w:t>k (specifičnost aktiv)</w:t>
                  </w:r>
                </w:p>
              </w:txbxContent>
            </v:textbox>
          </v:shape>
        </w:pict>
      </w:r>
      <w:r>
        <w:rPr>
          <w:rFonts w:ascii="Calibri" w:eastAsia="Calibri" w:hAnsi="Calibri"/>
          <w:noProof/>
        </w:rPr>
        <w:pict>
          <v:shape id="Textové pole 79" o:spid="_x0000_s1069" type="#_x0000_t202" style="position:absolute;left:0;text-align:left;margin-left:-7.1pt;margin-top:63.05pt;width:18.75pt;height:25.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" filled="f" strokecolor="window" strokeweight=".5pt">
            <v:textbox style="mso-next-textbox:#Textové pole 79">
              <w:txbxContent>
                <w:p w:rsidR="00B40349" w:rsidRDefault="00B40349" w:rsidP="003E0D09">
                  <w:pPr>
                    <w:spacing w:after="0"/>
                    <w:rPr>
                      <w:sz w:val="16"/>
                    </w:rPr>
                  </w:pPr>
                  <w:r>
                    <w:rPr>
                      <w:sz w:val="16"/>
                    </w:rPr>
                    <w:t>0</w:t>
                  </w:r>
                </w:p>
              </w:txbxContent>
            </v:textbox>
          </v:shape>
        </w:pict>
      </w:r>
      <w:r>
        <w:rPr>
          <w:rFonts w:ascii="Calibri" w:eastAsia="Calibri" w:hAnsi="Calibri"/>
          <w:noProof/>
        </w:rPr>
        <w:pict>
          <v:shape id="Přímá spojnice se šipkou 80" o:spid="_x0000_s1087" type="#_x0000_t32" style="position:absolute;left:0;text-align:left;margin-left:1.9pt;margin-top:63.45pt;width:265.9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" strokecolor="windowText">
            <v:stroke endarrow="open"/>
          </v:shape>
        </w:pict>
      </w:r>
      <w:r>
        <w:rPr>
          <w:rFonts w:ascii="Calibri" w:eastAsia="Calibri" w:hAnsi="Calibri"/>
          <w:noProof/>
        </w:rPr>
        <w:pict>
          <v:shape id="Textové pole 22" o:spid="_x0000_s1070" type="#_x0000_t202" style="position:absolute;left:0;text-align:left;margin-left:136.9pt;margin-top:62.45pt;width:28.5pt;height:2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" filled="f" strokecolor="window" strokeweight=".5pt">
            <v:stroke opacity="0"/>
            <v:textbox style="mso-next-textbox:#Textové pole 22">
              <w:txbxContent>
                <w:p w:rsidR="00B40349" w:rsidRDefault="00B40349" w:rsidP="003E0D09">
                  <w:pPr>
                    <w:spacing w:after="0"/>
                    <w:rPr>
                      <w:sz w:val="16"/>
                    </w:rPr>
                  </w:pPr>
                  <w:r>
                    <w:rPr>
                      <w:sz w:val="16"/>
                    </w:rPr>
                    <w:t>k</w:t>
                  </w:r>
                </w:p>
              </w:txbxContent>
            </v:textbox>
          </v:shape>
        </w:pict>
      </w:r>
      <w:r>
        <w:rPr>
          <w:rFonts w:ascii="Calibri" w:eastAsia="Calibri" w:hAnsi="Calibri"/>
          <w:noProof/>
        </w:rPr>
        <w:pict>
          <v:shape id="Textové pole 23" o:spid="_x0000_s1071" type="#_x0000_t202" style="position:absolute;left:0;text-align:left;margin-left:165.4pt;margin-top:48.65pt;width:28.5pt;height:2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" filled="f" strokecolor="window" strokeweight=".5pt">
            <v:stroke opacity="0"/>
            <v:textbox style="mso-next-textbox:#Textové pole 23">
              <w:txbxContent>
                <w:p w:rsidR="00B40349" w:rsidRDefault="00B40349" w:rsidP="003E0D09">
                  <w:pPr>
                    <w:spacing w:after="0"/>
                    <w:rPr>
                      <w:sz w:val="16"/>
                    </w:rPr>
                  </w:pPr>
                  <w:r>
                    <w:rPr>
                      <w:sz w:val="16"/>
                    </w:rPr>
                    <w:t>K</w:t>
                  </w:r>
                </w:p>
              </w:txbxContent>
            </v:textbox>
          </v:shape>
        </w:pict>
      </w:r>
    </w:p>
    <w:p w:rsidR="003E0D09" w:rsidRPr="003E0D09" w:rsidRDefault="003E0D09" w:rsidP="00423120">
      <w:pPr>
        <w:keepNext/>
        <w:keepLines/>
        <w:jc w:val="both"/>
        <w:rPr>
          <w:rFonts w:eastAsia="Calibri"/>
          <w:lang w:eastAsia="en-US"/>
        </w:rPr>
      </w:pPr>
    </w:p>
    <w:p w:rsidR="00103F8F" w:rsidRDefault="00103F8F" w:rsidP="00103F8F">
      <w:pPr>
        <w:keepNext/>
        <w:rPr>
          <w:rFonts w:eastAsia="Calibri"/>
          <w:i/>
          <w:sz w:val="20"/>
          <w:szCs w:val="20"/>
          <w:lang w:eastAsia="en-US"/>
        </w:rPr>
      </w:pPr>
    </w:p>
    <w:p w:rsidR="00EF40F9" w:rsidRDefault="00EF40F9" w:rsidP="00EF40F9">
      <w:pPr>
        <w:pStyle w:val="0G-Titulek"/>
        <w:spacing w:before="100"/>
        <w:ind w:firstLine="0"/>
        <w:rPr>
          <w:rFonts w:eastAsia="Calibri"/>
        </w:rPr>
      </w:pPr>
      <w:bookmarkStart w:id="123" w:name="_Toc382326829"/>
    </w:p>
    <w:p w:rsidR="003E0D09" w:rsidRPr="003E0D09" w:rsidRDefault="003E0D09" w:rsidP="00EF40F9">
      <w:pPr>
        <w:pStyle w:val="0G-Titulek"/>
        <w:spacing w:before="100"/>
        <w:ind w:firstLine="0"/>
        <w:rPr>
          <w:rFonts w:eastAsia="Calibri"/>
        </w:rPr>
      </w:pPr>
      <w:r w:rsidRPr="003E0D09">
        <w:rPr>
          <w:rFonts w:eastAsia="Calibri"/>
        </w:rPr>
        <w:t>Obrázek 24: Komparativní náklady na výrobu</w:t>
      </w:r>
      <w:bookmarkEnd w:id="123"/>
    </w:p>
    <w:p w:rsidR="003E0D09" w:rsidRPr="003E0D09" w:rsidRDefault="003E0D09" w:rsidP="00103F8F">
      <w:pPr>
        <w:keepNext/>
        <w:jc w:val="center"/>
        <w:rPr>
          <w:rFonts w:asciiTheme="minorHAnsi" w:eastAsia="Calibri" w:hAnsiTheme="minorHAnsi" w:cstheme="minorHAnsi"/>
          <w:lang w:eastAsia="en-US"/>
        </w:rPr>
      </w:pPr>
      <w:r w:rsidRPr="003E0D09">
        <w:rPr>
          <w:rFonts w:asciiTheme="minorHAnsi" w:eastAsia="Calibri" w:hAnsiTheme="minorHAnsi" w:cstheme="minorHAnsi"/>
          <w:i/>
          <w:lang w:eastAsia="en-US"/>
        </w:rPr>
        <w:t>Pramen: Mlčoch 2005; upraveno.</w:t>
      </w:r>
    </w:p>
    <w:p w:rsidR="003E0D09" w:rsidRPr="00A70B0A" w:rsidRDefault="003E0D09" w:rsidP="004179AF">
      <w:pPr>
        <w:pStyle w:val="02-Nadpis2"/>
        <w:ind w:left="567" w:hanging="567"/>
      </w:pPr>
      <w:bookmarkStart w:id="124" w:name="_Toc382327211"/>
      <w:r w:rsidRPr="00A70B0A">
        <w:lastRenderedPageBreak/>
        <w:t>4.3. Integrační procesy na bázi manažerských interakcí ve veřejné správě</w:t>
      </w:r>
      <w:bookmarkEnd w:id="124"/>
      <w:r w:rsidRPr="00A70B0A">
        <w:t xml:space="preserve"> </w:t>
      </w:r>
    </w:p>
    <w:p w:rsidR="003E0D09" w:rsidRPr="003E0D09" w:rsidRDefault="003E0D09" w:rsidP="00423120">
      <w:pPr>
        <w:keepNext/>
        <w:autoSpaceDE w:val="0"/>
        <w:autoSpaceDN w:val="0"/>
        <w:adjustRightInd w:val="0"/>
        <w:ind w:firstLine="720"/>
        <w:jc w:val="both"/>
        <w:rPr>
          <w:rFonts w:cs="TimesNewRomanPSMT"/>
          <w:sz w:val="24"/>
          <w:szCs w:val="24"/>
        </w:rPr>
      </w:pPr>
      <w:r w:rsidRPr="003E0D09">
        <w:rPr>
          <w:rFonts w:cs="TimesNewRomanPSMT"/>
          <w:sz w:val="24"/>
          <w:szCs w:val="24"/>
        </w:rPr>
        <w:t>Integritu státu a jeho mezinárodní suverenitu (vycházející z principu teritoriality) lze pokládat za základní předpoklady pro jeho fungování. Zajištění a udržení integrity se odvíjí od schopností státu vnutit svoji legitimní vůli a z ní se odvíjející veřejné zájmy jednotlivcům, sociálním skupinám i celé společnosti (Holl</w:t>
      </w:r>
      <w:r w:rsidRPr="003E0D09">
        <w:rPr>
          <w:sz w:val="24"/>
          <w:szCs w:val="24"/>
        </w:rPr>
        <w:t>ä</w:t>
      </w:r>
      <w:r w:rsidRPr="003E0D09">
        <w:rPr>
          <w:rFonts w:cs="TimesNewRomanPSMT"/>
          <w:sz w:val="24"/>
          <w:szCs w:val="24"/>
        </w:rPr>
        <w:t>nder, 1995). V souladu s tím stát prostřednictvím svých orgánů vykonává odpovídající manažerské, správní a další funkce a v tomto kontextu podporuje, koordinuje a reguluje uplatňování různorodých celospolečenských, skupinových a</w:t>
      </w:r>
      <w:r w:rsidR="008C6D7E">
        <w:rPr>
          <w:rFonts w:cs="TimesNewRomanPSMT"/>
          <w:sz w:val="24"/>
          <w:szCs w:val="24"/>
        </w:rPr>
        <w:t> </w:t>
      </w:r>
      <w:r w:rsidRPr="003E0D09">
        <w:rPr>
          <w:rFonts w:cs="TimesNewRomanPSMT"/>
          <w:sz w:val="24"/>
          <w:szCs w:val="24"/>
        </w:rPr>
        <w:t>individuálních zájmů tak, aby byly co nejlépe naplňovány všeobecné ideály a kolektivní preference vyznávané danou společností (týkající se zejména zajištění mezinárodního postavení, vnitřní a vnější bezpečnosti, ochrany práv občanů, produkce vybraných druhů sociálních služeb a dalších aktivit, např. výstavby a údržby dopravní infrastruktury). Dynamika těchto procesů je významně ovlivňována pokr</w:t>
      </w:r>
      <w:r w:rsidR="008C6D7E">
        <w:rPr>
          <w:rFonts w:cs="TimesNewRomanPSMT"/>
          <w:sz w:val="24"/>
          <w:szCs w:val="24"/>
        </w:rPr>
        <w:t>ačující globalizací ekonomiky a </w:t>
      </w:r>
      <w:r w:rsidRPr="003E0D09">
        <w:rPr>
          <w:rFonts w:cs="TimesNewRomanPSMT"/>
          <w:sz w:val="24"/>
          <w:szCs w:val="24"/>
        </w:rPr>
        <w:t>prohlubující se demokratizací politiky, které mají adekvátní dopady na rozvoj dělby práce při uplatňování státní moci. Tato dělba práce je v moderních demokratických zemích zajišťována prostřednictvím přizpůsobeného</w:t>
      </w:r>
      <w:r w:rsidR="00BA6F21">
        <w:rPr>
          <w:rFonts w:cs="TimesNewRomanPSMT"/>
          <w:sz w:val="24"/>
          <w:szCs w:val="24"/>
        </w:rPr>
        <w:t xml:space="preserve">, </w:t>
      </w:r>
      <w:r w:rsidRPr="003E0D09">
        <w:rPr>
          <w:rFonts w:cs="TimesNewRomanPSMT"/>
          <w:sz w:val="24"/>
          <w:szCs w:val="24"/>
        </w:rPr>
        <w:t>resp. inovovaného tradičního modelu oddělení moci výkonné, zákonodárné a soudní v kombinaci s rozdělením výkonu veřejné správy mezi státní správu a územní či zájmovou (např. profesní a stavovské komory) samosprávu, kdy je navíc garantována možnost variantního zajišťování</w:t>
      </w:r>
      <w:r w:rsidR="008C6D7E">
        <w:rPr>
          <w:rFonts w:cs="TimesNewRomanPSMT"/>
          <w:sz w:val="24"/>
          <w:szCs w:val="24"/>
        </w:rPr>
        <w:t xml:space="preserve"> veřejných služeb i soukromým a </w:t>
      </w:r>
      <w:r w:rsidRPr="003E0D09">
        <w:rPr>
          <w:rFonts w:cs="TimesNewRomanPSMT"/>
          <w:sz w:val="24"/>
          <w:szCs w:val="24"/>
        </w:rPr>
        <w:t>občanským</w:t>
      </w:r>
      <w:r w:rsidR="00BA6F21">
        <w:rPr>
          <w:rFonts w:cs="TimesNewRomanPSMT"/>
          <w:sz w:val="24"/>
          <w:szCs w:val="24"/>
        </w:rPr>
        <w:t>,</w:t>
      </w:r>
      <w:r w:rsidRPr="003E0D09">
        <w:rPr>
          <w:rFonts w:cs="TimesNewRomanPSMT"/>
          <w:sz w:val="24"/>
          <w:szCs w:val="24"/>
        </w:rPr>
        <w:t xml:space="preserve"> resp. neziskovým sektorem. Probíhající funkční proměny státu pak lze výstižně označit pojmem regulovaná samoregulace, pro kterou je charakteristická aplikace vertikálních intervencí uskutečňovaných pomocí legislativy nebo finan</w:t>
      </w:r>
      <w:r w:rsidR="006E44D0">
        <w:rPr>
          <w:rFonts w:cs="TimesNewRomanPSMT"/>
          <w:sz w:val="24"/>
          <w:szCs w:val="24"/>
        </w:rPr>
        <w:t>čních stimulů, které jsou účelně</w:t>
      </w:r>
      <w:r w:rsidRPr="003E0D09">
        <w:rPr>
          <w:rFonts w:cs="TimesNewRomanPSMT"/>
          <w:sz w:val="24"/>
          <w:szCs w:val="24"/>
        </w:rPr>
        <w:t xml:space="preserve"> propojovány s kooperativními horizontálními vztahy mezi aktéry veřejného a soukromého sektoru v průběhu formování a implementace jednotlivých veřejných politik (Knill, 2004). S tímto vývojem souvisí i aplikace relevantních systémových nástrojů, ze kterých jsou nejčastěji zmiňovány deregulace a decentralizace výkonu veřejné správy </w:t>
      </w:r>
      <w:r w:rsidRPr="003E0D09">
        <w:rPr>
          <w:rFonts w:cs="TimesNewRomanPSMT"/>
          <w:sz w:val="24"/>
          <w:szCs w:val="24"/>
          <w:vertAlign w:val="superscript"/>
        </w:rPr>
        <w:footnoteReference w:id="29"/>
      </w:r>
      <w:r w:rsidRPr="003E0D09">
        <w:rPr>
          <w:rFonts w:cs="TimesNewRomanPSMT"/>
          <w:sz w:val="24"/>
          <w:szCs w:val="24"/>
        </w:rPr>
        <w:t xml:space="preserve">. </w:t>
      </w:r>
    </w:p>
    <w:p w:rsidR="003E0D09" w:rsidRPr="003E0D09" w:rsidRDefault="002A4F19" w:rsidP="00423120">
      <w:pPr>
        <w:keepNext/>
        <w:widowControl w:val="0"/>
        <w:autoSpaceDE w:val="0"/>
        <w:autoSpaceDN w:val="0"/>
        <w:adjustRightInd w:val="0"/>
        <w:ind w:firstLine="720"/>
        <w:jc w:val="both"/>
        <w:rPr>
          <w:rFonts w:eastAsia="TimesNewRoman"/>
          <w:sz w:val="24"/>
          <w:szCs w:val="24"/>
          <w:lang w:eastAsia="en-US"/>
        </w:rPr>
      </w:pPr>
      <w:r>
        <w:rPr>
          <w:rFonts w:cs="TimesNewRomanPSMT"/>
          <w:sz w:val="24"/>
          <w:szCs w:val="24"/>
        </w:rPr>
        <w:t>P</w:t>
      </w:r>
      <w:r w:rsidR="003E0D09" w:rsidRPr="003E0D09">
        <w:rPr>
          <w:rFonts w:cs="TimesNewRomanPSMT"/>
          <w:sz w:val="24"/>
          <w:szCs w:val="24"/>
        </w:rPr>
        <w:t>opsané změny se v zájmu zajištění spravedlivého, jednotného a racionálního výkonu veřejné správy neobejdou bez průběžné koncepční a operační optimalizace systému (viz např. postupné opouštění ultraliberálních představ o veřejné správě). Tento proces probíhá v podmínkách politické i</w:t>
      </w:r>
      <w:r w:rsidR="003E0D09" w:rsidRPr="003E0D09">
        <w:rPr>
          <w:sz w:val="24"/>
          <w:szCs w:val="24"/>
        </w:rPr>
        <w:t>ntegrace státu na bázi m</w:t>
      </w:r>
      <w:r w:rsidR="003E0D09" w:rsidRPr="003E0D09">
        <w:rPr>
          <w:rFonts w:cs="TimesNewRomanPSMT"/>
          <w:sz w:val="24"/>
          <w:szCs w:val="24"/>
        </w:rPr>
        <w:t>anažerských</w:t>
      </w:r>
      <w:r w:rsidR="003E0D09" w:rsidRPr="003E0D09">
        <w:rPr>
          <w:sz w:val="24"/>
          <w:szCs w:val="24"/>
        </w:rPr>
        <w:t xml:space="preserve"> interakcí s důrazem na</w:t>
      </w:r>
      <w:r w:rsidR="003E0D09" w:rsidRPr="003E0D09">
        <w:rPr>
          <w:sz w:val="24"/>
          <w:szCs w:val="24"/>
          <w:lang w:eastAsia="en-US"/>
        </w:rPr>
        <w:t xml:space="preserve"> jejich koordinaci a uplatňování principu subsidiarity </w:t>
      </w:r>
      <w:r>
        <w:rPr>
          <w:sz w:val="24"/>
          <w:szCs w:val="24"/>
          <w:lang w:eastAsia="en-US"/>
        </w:rPr>
        <w:t xml:space="preserve">(přenesení výkonu správy </w:t>
      </w:r>
      <w:r w:rsidR="003E0D09" w:rsidRPr="003E0D09">
        <w:rPr>
          <w:sz w:val="24"/>
          <w:szCs w:val="24"/>
          <w:lang w:eastAsia="en-US"/>
        </w:rPr>
        <w:t>v souladu s</w:t>
      </w:r>
      <w:r>
        <w:rPr>
          <w:sz w:val="24"/>
          <w:szCs w:val="24"/>
          <w:lang w:eastAsia="en-US"/>
        </w:rPr>
        <w:t xml:space="preserve"> povahou dané činnosti na </w:t>
      </w:r>
      <w:r w:rsidR="003E0D09" w:rsidRPr="003E0D09">
        <w:rPr>
          <w:sz w:val="24"/>
          <w:szCs w:val="24"/>
          <w:lang w:eastAsia="en-US"/>
        </w:rPr>
        <w:t>ten stupeň veřejné správy, který je nejbližší občanům)</w:t>
      </w:r>
      <w:r w:rsidR="003E0D09" w:rsidRPr="003E0D09">
        <w:rPr>
          <w:sz w:val="24"/>
          <w:szCs w:val="24"/>
        </w:rPr>
        <w:t xml:space="preserve"> </w:t>
      </w:r>
      <w:r w:rsidR="003E0D09" w:rsidRPr="003E0D09">
        <w:rPr>
          <w:sz w:val="24"/>
          <w:szCs w:val="24"/>
          <w:lang w:eastAsia="en-US"/>
        </w:rPr>
        <w:t xml:space="preserve">jako základních kamenů flexibilního, </w:t>
      </w:r>
      <w:r w:rsidR="003E0D09" w:rsidRPr="003E0D09">
        <w:rPr>
          <w:rFonts w:cs="TimesNewRomanPSMT"/>
          <w:sz w:val="24"/>
          <w:szCs w:val="24"/>
        </w:rPr>
        <w:t xml:space="preserve">efektivního </w:t>
      </w:r>
      <w:r w:rsidR="003E0D09" w:rsidRPr="003E0D09">
        <w:rPr>
          <w:sz w:val="24"/>
          <w:szCs w:val="24"/>
          <w:lang w:eastAsia="en-US"/>
        </w:rPr>
        <w:t>a udržitelného fungování veřejné správy. Aplikace popsaného přístupu je považována za primární předpoklad</w:t>
      </w:r>
      <w:r w:rsidR="003E0D09" w:rsidRPr="003E0D09">
        <w:rPr>
          <w:rFonts w:cs="TimesNewRomanPSMT"/>
          <w:sz w:val="24"/>
          <w:szCs w:val="24"/>
        </w:rPr>
        <w:t xml:space="preserve"> dosažení dynamické rovnováhy ekonomických, sociálních a environmentálních zájmů, při které jsou minimalizovány negativní interakce a maximalizovány pozitivní synergické efekty (Berger, Steurer, 2009). </w:t>
      </w:r>
    </w:p>
    <w:p w:rsidR="00251737" w:rsidRDefault="003E0D09" w:rsidP="006E44D0">
      <w:pPr>
        <w:keepNext/>
        <w:widowControl w:val="0"/>
        <w:spacing w:after="0"/>
        <w:jc w:val="center"/>
        <w:rPr>
          <w:rStyle w:val="0G-TitulekChar"/>
        </w:rPr>
      </w:pPr>
      <w:r w:rsidRPr="003E0D09">
        <w:rPr>
          <w:rFonts w:ascii="Calibri" w:hAnsi="Calibri" w:cs="Calibri"/>
          <w:b/>
          <w:noProof/>
          <w:color w:val="0000FF"/>
          <w:sz w:val="24"/>
          <w:szCs w:val="24"/>
          <w:lang w:val="en-GB" w:eastAsia="en-GB"/>
        </w:rPr>
        <w:lastRenderedPageBreak/>
        <w:drawing>
          <wp:inline distT="0" distB="0" distL="0" distR="0" wp14:anchorId="0F3BBA38" wp14:editId="0163A4F4">
            <wp:extent cx="5038725" cy="3000576"/>
            <wp:effectExtent l="0" t="0" r="0" b="0"/>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l="27708" t="31725" r="33229" b="29828"/>
                    <a:stretch>
                      <a:fillRect/>
                    </a:stretch>
                  </pic:blipFill>
                  <pic:spPr bwMode="auto">
                    <a:xfrm>
                      <a:off x="0" y="0"/>
                      <a:ext cx="5055303" cy="3010448"/>
                    </a:xfrm>
                    <a:prstGeom prst="rect">
                      <a:avLst/>
                    </a:prstGeom>
                    <a:noFill/>
                    <a:ln>
                      <a:noFill/>
                    </a:ln>
                  </pic:spPr>
                </pic:pic>
              </a:graphicData>
            </a:graphic>
          </wp:inline>
        </w:drawing>
      </w:r>
    </w:p>
    <w:p w:rsidR="003E0D09" w:rsidRPr="00251737" w:rsidRDefault="00251737" w:rsidP="00251737">
      <w:pPr>
        <w:pStyle w:val="0G-Titulek"/>
        <w:rPr>
          <w:rStyle w:val="0G-TitulekChar"/>
          <w:b/>
        </w:rPr>
      </w:pPr>
      <w:bookmarkStart w:id="125" w:name="_Toc382326830"/>
      <w:r w:rsidRPr="00251737">
        <w:rPr>
          <w:rStyle w:val="0G-TitulekChar"/>
          <w:b/>
        </w:rPr>
        <w:t>Obrázek 25: Ilustrativní schéma horizontální, vertikální a diagonální integrace</w:t>
      </w:r>
      <w:bookmarkEnd w:id="125"/>
    </w:p>
    <w:p w:rsidR="003E0D09" w:rsidRPr="003E0D09" w:rsidRDefault="003E0D09" w:rsidP="00715337">
      <w:pPr>
        <w:keepNext/>
        <w:widowControl w:val="0"/>
        <w:spacing w:after="120"/>
        <w:jc w:val="center"/>
        <w:rPr>
          <w:rFonts w:ascii="Calibri" w:hAnsi="Calibri" w:cs="Calibri"/>
          <w:i/>
        </w:rPr>
      </w:pPr>
      <w:r w:rsidRPr="003E0D09">
        <w:rPr>
          <w:rFonts w:ascii="Calibri" w:hAnsi="Calibri" w:cs="Calibri"/>
          <w:i/>
        </w:rPr>
        <w:t>Pramen: Berger, Steurer 2009</w:t>
      </w:r>
      <w:r w:rsidRPr="003E0D09">
        <w:rPr>
          <w:rFonts w:asciiTheme="minorHAnsi" w:eastAsia="Calibri" w:hAnsiTheme="minorHAnsi" w:cstheme="minorHAnsi"/>
          <w:i/>
          <w:lang w:eastAsia="en-US"/>
        </w:rPr>
        <w:t>;</w:t>
      </w:r>
      <w:r w:rsidRPr="003E0D09">
        <w:rPr>
          <w:rFonts w:ascii="Calibri" w:hAnsi="Calibri" w:cs="Calibri"/>
          <w:i/>
        </w:rPr>
        <w:t xml:space="preserve"> vlastní úprava.</w:t>
      </w:r>
    </w:p>
    <w:p w:rsidR="003E0D09" w:rsidRPr="003E0D09" w:rsidRDefault="003E0D09" w:rsidP="00423120">
      <w:pPr>
        <w:keepNext/>
        <w:autoSpaceDE w:val="0"/>
        <w:autoSpaceDN w:val="0"/>
        <w:adjustRightInd w:val="0"/>
        <w:ind w:firstLine="720"/>
        <w:jc w:val="both"/>
        <w:rPr>
          <w:rFonts w:eastAsia="TimesNewRoman"/>
          <w:sz w:val="24"/>
          <w:szCs w:val="24"/>
          <w:lang w:eastAsia="en-US"/>
        </w:rPr>
      </w:pPr>
      <w:r w:rsidRPr="003E0D09">
        <w:rPr>
          <w:sz w:val="24"/>
          <w:szCs w:val="24"/>
        </w:rPr>
        <w:t xml:space="preserve">V daném kontextu postupně nabývá na významu tzv. strategické vládnutí, které lze </w:t>
      </w:r>
      <w:r w:rsidRPr="003E0D09">
        <w:rPr>
          <w:sz w:val="24"/>
          <w:szCs w:val="24"/>
          <w:lang w:eastAsia="en-US"/>
        </w:rPr>
        <w:t>chápat jako určitý koncept usilující o hledání udržitelné rozvojové orientace</w:t>
      </w:r>
      <w:r w:rsidR="00BA6F21">
        <w:rPr>
          <w:sz w:val="24"/>
          <w:szCs w:val="24"/>
          <w:lang w:eastAsia="en-US"/>
        </w:rPr>
        <w:t>,</w:t>
      </w:r>
      <w:r w:rsidRPr="003E0D09">
        <w:rPr>
          <w:sz w:val="24"/>
          <w:szCs w:val="24"/>
          <w:lang w:eastAsia="en-US"/>
        </w:rPr>
        <w:t xml:space="preserve"> resp. sociálního kontraktu slučitelného s dlouhodobými zájmy celé společnosti, včetně jejích budoucích generací. Tento principiálně integrativní koncept </w:t>
      </w:r>
      <w:r w:rsidRPr="003E0D09">
        <w:rPr>
          <w:sz w:val="24"/>
          <w:szCs w:val="24"/>
        </w:rPr>
        <w:t>klade trvalý důraz zejména na následující tři kritéria: hospodářský růst (pokládaný za hybnou sílu společenského pohybu), kvalitu života (pokládanou za hlavní cíl společenského pohybu) a udržitelný rozvoj (pokládaný za ideální směr společenského pohybu). Aplikace tohoto přístupu je obvykle spojována s dosahováním významných synergických a dalších efektů stimulovaný</w:t>
      </w:r>
      <w:r w:rsidR="008C6D7E">
        <w:rPr>
          <w:sz w:val="24"/>
          <w:szCs w:val="24"/>
        </w:rPr>
        <w:t>ch sdílením společných hodnot a </w:t>
      </w:r>
      <w:r w:rsidRPr="003E0D09">
        <w:rPr>
          <w:sz w:val="24"/>
          <w:szCs w:val="24"/>
        </w:rPr>
        <w:t xml:space="preserve">vytvářejících příznivé prostředí pro zvyšování efektivity veřejné správy, např. prostřednictvím standardizace běžných veřejných služeb (a na druhé straně s omezováním negativních synergických efektů generovaných např. špatnou koordinací výběru rozvojových cílů). Zde je potřebné upozornit i na potenciální problémy vznikající v souvislosti s </w:t>
      </w:r>
      <w:r w:rsidRPr="003E0D09">
        <w:rPr>
          <w:rFonts w:eastAsia="TimesNewRoman"/>
          <w:sz w:val="24"/>
          <w:szCs w:val="24"/>
          <w:lang w:eastAsia="en-US"/>
        </w:rPr>
        <w:t xml:space="preserve">vertikální i horizontální roztříštěnosti veřejné správy, která může vést </w:t>
      </w:r>
      <w:r w:rsidR="008C6D7E">
        <w:rPr>
          <w:rFonts w:eastAsia="TimesNewRoman"/>
          <w:sz w:val="24"/>
          <w:szCs w:val="24"/>
          <w:lang w:eastAsia="en-US"/>
        </w:rPr>
        <w:t>k neefektivnosti a duplicitám v </w:t>
      </w:r>
      <w:r w:rsidRPr="003E0D09">
        <w:rPr>
          <w:rFonts w:eastAsia="TimesNewRoman"/>
          <w:sz w:val="24"/>
          <w:szCs w:val="24"/>
          <w:lang w:eastAsia="en-US"/>
        </w:rPr>
        <w:t>implementaci jednotlivých politik (Nunvářová, Hrabalová, Klímová, 2005).</w:t>
      </w:r>
    </w:p>
    <w:p w:rsidR="003E0D09" w:rsidRPr="003E0D09" w:rsidRDefault="003E0D09" w:rsidP="00715337">
      <w:pPr>
        <w:keepNext/>
        <w:autoSpaceDE w:val="0"/>
        <w:autoSpaceDN w:val="0"/>
        <w:adjustRightInd w:val="0"/>
        <w:spacing w:after="120"/>
        <w:ind w:firstLine="720"/>
        <w:jc w:val="both"/>
        <w:rPr>
          <w:rFonts w:cs="TimesNewRomanPSMT"/>
          <w:sz w:val="24"/>
          <w:szCs w:val="24"/>
        </w:rPr>
      </w:pPr>
      <w:r w:rsidRPr="003E0D09">
        <w:rPr>
          <w:rFonts w:cs="TimesNewRomanPSMT"/>
          <w:sz w:val="24"/>
          <w:szCs w:val="24"/>
        </w:rPr>
        <w:t>V návaznosti na výše diskutované otázky je užitečné upozornit i na dynamicky se rozvíjející koncept sociální odpovědnosti firem (</w:t>
      </w:r>
      <w:r w:rsidRPr="003E0D09">
        <w:rPr>
          <w:iCs/>
          <w:sz w:val="24"/>
          <w:szCs w:val="24"/>
          <w:lang w:eastAsia="en-US"/>
        </w:rPr>
        <w:t>corporate social responsibility)</w:t>
      </w:r>
      <w:r w:rsidRPr="003E0D09">
        <w:rPr>
          <w:rFonts w:cs="TimesNewRomanPSMT"/>
          <w:sz w:val="24"/>
          <w:szCs w:val="24"/>
        </w:rPr>
        <w:t>, který je chápán jako</w:t>
      </w:r>
      <w:r w:rsidRPr="003E0D09">
        <w:rPr>
          <w:sz w:val="24"/>
          <w:szCs w:val="24"/>
          <w:lang w:eastAsia="en-US"/>
        </w:rPr>
        <w:t xml:space="preserve"> dobrovolná integrace sociálních a ekologických hledisek do každodenních firemních operací včetně interakcí firmy s jejími </w:t>
      </w:r>
      <w:hyperlink r:id="rId70" w:tooltip="Stakeholder" w:history="1">
        <w:r w:rsidRPr="003E0D09">
          <w:rPr>
            <w:sz w:val="24"/>
            <w:szCs w:val="24"/>
            <w:lang w:eastAsia="en-US"/>
          </w:rPr>
          <w:t>stakeholder</w:t>
        </w:r>
      </w:hyperlink>
      <w:r w:rsidRPr="003E0D09">
        <w:rPr>
          <w:sz w:val="24"/>
          <w:szCs w:val="24"/>
          <w:lang w:eastAsia="en-US"/>
        </w:rPr>
        <w:t>y</w:t>
      </w:r>
      <w:r w:rsidR="005862FC">
        <w:rPr>
          <w:sz w:val="24"/>
          <w:szCs w:val="24"/>
          <w:lang w:eastAsia="en-US"/>
        </w:rPr>
        <w:t>,</w:t>
      </w:r>
      <w:r w:rsidRPr="003E0D09">
        <w:rPr>
          <w:sz w:val="24"/>
          <w:szCs w:val="24"/>
          <w:lang w:eastAsia="en-US"/>
        </w:rPr>
        <w:t xml:space="preserve"> </w:t>
      </w:r>
      <w:r w:rsidRPr="003E0D09">
        <w:rPr>
          <w:rFonts w:cs="TimesNewRomanPSMT"/>
          <w:sz w:val="24"/>
          <w:szCs w:val="24"/>
        </w:rPr>
        <w:t xml:space="preserve">tj. </w:t>
      </w:r>
      <w:r w:rsidRPr="003E0D09">
        <w:rPr>
          <w:sz w:val="24"/>
          <w:szCs w:val="24"/>
        </w:rPr>
        <w:t>všemi institucemi a osobami majícími určité vazby s danou podnikatelskou činností</w:t>
      </w:r>
      <w:r w:rsidRPr="003E0D09">
        <w:rPr>
          <w:rFonts w:cs="TimesNewRomanPSMT"/>
          <w:sz w:val="24"/>
          <w:szCs w:val="24"/>
        </w:rPr>
        <w:t xml:space="preserve"> (Koontz, Weihrich, 1993). V tomto ohledu je možné rozlišovat různé typy synergických efektů, které je v souladu s manažerskou metodou balanced scorecard jako komplexního nástroje měření výkonnosti firem (viz Kaplan, Norton, 2006) účelně členit do čtyř oblastí vyprofilovaných na základě dále definovaných efektů. Tento procesně orientovaný přístup, </w:t>
      </w:r>
      <w:r w:rsidRPr="003E0D09">
        <w:rPr>
          <w:sz w:val="24"/>
          <w:szCs w:val="24"/>
        </w:rPr>
        <w:t>který se</w:t>
      </w:r>
      <w:r w:rsidRPr="003E0D09">
        <w:rPr>
          <w:sz w:val="24"/>
          <w:szCs w:val="24"/>
          <w:lang w:eastAsia="en-US"/>
        </w:rPr>
        <w:t xml:space="preserve"> uživatelsky velmi vhodně doplňuje s benchmarkingem, </w:t>
      </w:r>
      <w:r w:rsidRPr="003E0D09">
        <w:rPr>
          <w:sz w:val="24"/>
          <w:szCs w:val="24"/>
        </w:rPr>
        <w:t xml:space="preserve">je </w:t>
      </w:r>
      <w:r w:rsidRPr="003E0D09">
        <w:rPr>
          <w:sz w:val="24"/>
          <w:szCs w:val="24"/>
          <w:lang w:eastAsia="en-US"/>
        </w:rPr>
        <w:t>v případě respektování stanovených princip</w:t>
      </w:r>
      <w:r w:rsidRPr="003E0D09">
        <w:rPr>
          <w:rFonts w:eastAsia="TimesNewRoman"/>
          <w:sz w:val="24"/>
          <w:szCs w:val="24"/>
          <w:lang w:eastAsia="en-US"/>
        </w:rPr>
        <w:t xml:space="preserve">ů dobře </w:t>
      </w:r>
      <w:r w:rsidRPr="003E0D09">
        <w:rPr>
          <w:sz w:val="24"/>
          <w:szCs w:val="24"/>
        </w:rPr>
        <w:t>přenositelný</w:t>
      </w:r>
      <w:r w:rsidR="008C6D7E">
        <w:rPr>
          <w:rFonts w:cs="TimesNewRomanPSMT"/>
          <w:sz w:val="24"/>
          <w:szCs w:val="24"/>
        </w:rPr>
        <w:t xml:space="preserve"> i na </w:t>
      </w:r>
      <w:r w:rsidRPr="003E0D09">
        <w:rPr>
          <w:rFonts w:cs="TimesNewRomanPSMT"/>
          <w:sz w:val="24"/>
          <w:szCs w:val="24"/>
        </w:rPr>
        <w:t xml:space="preserve">veřejnou správu, zejména na </w:t>
      </w:r>
      <w:r w:rsidRPr="003E0D09">
        <w:rPr>
          <w:sz w:val="24"/>
          <w:szCs w:val="24"/>
          <w:lang w:eastAsia="en-US"/>
        </w:rPr>
        <w:t>územní samosprávu.</w:t>
      </w:r>
      <w:r w:rsidRPr="003E0D09">
        <w:rPr>
          <w:rFonts w:cs="TimesNewRomanPSMT"/>
          <w:sz w:val="24"/>
          <w:szCs w:val="24"/>
        </w:rPr>
        <w:t xml:space="preserve"> Konkrétně jde o následující oblasti:</w:t>
      </w:r>
    </w:p>
    <w:p w:rsidR="003E0D09" w:rsidRPr="003E0D09" w:rsidRDefault="003E0D09" w:rsidP="00AA5DD2">
      <w:pPr>
        <w:keepNext/>
        <w:widowControl w:val="0"/>
        <w:numPr>
          <w:ilvl w:val="0"/>
          <w:numId w:val="18"/>
        </w:numPr>
        <w:suppressLineNumbers/>
        <w:spacing w:after="120"/>
        <w:ind w:left="284" w:hanging="284"/>
        <w:jc w:val="both"/>
        <w:rPr>
          <w:sz w:val="24"/>
          <w:szCs w:val="24"/>
          <w:lang w:eastAsia="en-GB"/>
        </w:rPr>
      </w:pPr>
      <w:r w:rsidRPr="008C6D7E">
        <w:rPr>
          <w:b/>
          <w:sz w:val="24"/>
          <w:szCs w:val="24"/>
          <w:lang w:eastAsia="en-GB"/>
        </w:rPr>
        <w:lastRenderedPageBreak/>
        <w:t>finanční</w:t>
      </w:r>
      <w:r w:rsidRPr="003E0D09">
        <w:rPr>
          <w:sz w:val="24"/>
          <w:szCs w:val="24"/>
          <w:lang w:eastAsia="en-GB"/>
        </w:rPr>
        <w:t xml:space="preserve"> – zvyšování nákladové efektivnosti veřejné správy s důrazem na systematickou spolupráci s externími partnery (s logickými vazbami </w:t>
      </w:r>
      <w:r w:rsidR="00AA5DD2">
        <w:rPr>
          <w:sz w:val="24"/>
          <w:szCs w:val="24"/>
          <w:lang w:eastAsia="en-GB"/>
        </w:rPr>
        <w:t>na fiskální a daňovou politiku),</w:t>
      </w:r>
    </w:p>
    <w:p w:rsidR="003E0D09" w:rsidRPr="003E0D09" w:rsidRDefault="003E0D09" w:rsidP="00AA5DD2">
      <w:pPr>
        <w:keepNext/>
        <w:widowControl w:val="0"/>
        <w:numPr>
          <w:ilvl w:val="0"/>
          <w:numId w:val="18"/>
        </w:numPr>
        <w:suppressLineNumbers/>
        <w:spacing w:after="120"/>
        <w:ind w:left="284" w:hanging="284"/>
        <w:jc w:val="both"/>
        <w:rPr>
          <w:sz w:val="24"/>
          <w:szCs w:val="24"/>
          <w:lang w:eastAsia="en-GB"/>
        </w:rPr>
      </w:pPr>
      <w:r w:rsidRPr="008C6D7E">
        <w:rPr>
          <w:b/>
          <w:sz w:val="24"/>
          <w:szCs w:val="24"/>
          <w:lang w:eastAsia="en-GB"/>
        </w:rPr>
        <w:t>zákaznická</w:t>
      </w:r>
      <w:r w:rsidRPr="003E0D09">
        <w:rPr>
          <w:sz w:val="24"/>
          <w:szCs w:val="24"/>
          <w:lang w:eastAsia="en-GB"/>
        </w:rPr>
        <w:t xml:space="preserve"> – zvyšování přidané hodnoty pro současné i budoucí zákazníky prostřednictvím aplikace integrovaného přístupu k zajišťování veřejných služeb</w:t>
      </w:r>
      <w:r w:rsidR="00AA5DD2">
        <w:rPr>
          <w:sz w:val="24"/>
          <w:szCs w:val="24"/>
          <w:lang w:eastAsia="en-GB"/>
        </w:rPr>
        <w:t>,</w:t>
      </w:r>
      <w:r w:rsidRPr="003E0D09">
        <w:rPr>
          <w:sz w:val="24"/>
          <w:szCs w:val="24"/>
          <w:lang w:eastAsia="en-GB"/>
        </w:rPr>
        <w:t xml:space="preserve"> </w:t>
      </w:r>
    </w:p>
    <w:p w:rsidR="003E0D09" w:rsidRPr="003E0D09" w:rsidRDefault="00E53286" w:rsidP="00AA5DD2">
      <w:pPr>
        <w:keepNext/>
        <w:widowControl w:val="0"/>
        <w:numPr>
          <w:ilvl w:val="0"/>
          <w:numId w:val="18"/>
        </w:numPr>
        <w:suppressLineNumbers/>
        <w:spacing w:after="120"/>
        <w:ind w:left="284" w:hanging="284"/>
        <w:jc w:val="both"/>
        <w:rPr>
          <w:sz w:val="24"/>
          <w:szCs w:val="24"/>
          <w:lang w:eastAsia="en-GB"/>
        </w:rPr>
      </w:pPr>
      <w:r w:rsidRPr="008C6D7E">
        <w:rPr>
          <w:b/>
          <w:sz w:val="24"/>
          <w:szCs w:val="24"/>
          <w:lang w:eastAsia="en-GB"/>
        </w:rPr>
        <w:t>interních procesů</w:t>
      </w:r>
      <w:r>
        <w:rPr>
          <w:sz w:val="24"/>
          <w:szCs w:val="24"/>
          <w:lang w:eastAsia="en-GB"/>
        </w:rPr>
        <w:t xml:space="preserve"> – z</w:t>
      </w:r>
      <w:r w:rsidR="003E0D09" w:rsidRPr="003E0D09">
        <w:rPr>
          <w:sz w:val="24"/>
          <w:szCs w:val="24"/>
          <w:lang w:eastAsia="en-GB"/>
        </w:rPr>
        <w:t>ajišťování hmotných i nehmotných aktiv potřebných pro zkvalitňování veřejné správy a služeb v interakci s identifikací klíčových procesů</w:t>
      </w:r>
      <w:r w:rsidR="00AA5DD2">
        <w:rPr>
          <w:sz w:val="24"/>
          <w:szCs w:val="24"/>
          <w:lang w:eastAsia="en-GB"/>
        </w:rPr>
        <w:t>,</w:t>
      </w:r>
    </w:p>
    <w:p w:rsidR="003E0D09" w:rsidRPr="003E0D09" w:rsidRDefault="003E0D09" w:rsidP="00715337">
      <w:pPr>
        <w:keepNext/>
        <w:widowControl w:val="0"/>
        <w:numPr>
          <w:ilvl w:val="0"/>
          <w:numId w:val="18"/>
        </w:numPr>
        <w:suppressLineNumbers/>
        <w:ind w:left="284" w:hanging="284"/>
        <w:jc w:val="both"/>
        <w:rPr>
          <w:sz w:val="24"/>
          <w:szCs w:val="24"/>
          <w:lang w:eastAsia="en-GB"/>
        </w:rPr>
      </w:pPr>
      <w:r w:rsidRPr="008C6D7E">
        <w:rPr>
          <w:b/>
          <w:sz w:val="24"/>
          <w:szCs w:val="24"/>
          <w:lang w:eastAsia="en-GB"/>
        </w:rPr>
        <w:t>učení a růstu</w:t>
      </w:r>
      <w:r w:rsidRPr="003E0D09">
        <w:rPr>
          <w:sz w:val="24"/>
          <w:szCs w:val="24"/>
          <w:lang w:eastAsia="en-GB"/>
        </w:rPr>
        <w:t xml:space="preserve"> – zlepšování kvality lidských zdrojů a systémů práce jako nezbytných předpokladů pro zvyšování budoucí výkonnosti.</w:t>
      </w:r>
    </w:p>
    <w:p w:rsidR="003E0D09" w:rsidRPr="003E0D09" w:rsidRDefault="003E0D09" w:rsidP="00715337">
      <w:pPr>
        <w:keepNext/>
        <w:spacing w:after="120"/>
        <w:ind w:firstLine="720"/>
        <w:jc w:val="both"/>
        <w:rPr>
          <w:rFonts w:cs="TimesNewRomanPSMT"/>
          <w:sz w:val="24"/>
          <w:szCs w:val="24"/>
        </w:rPr>
      </w:pPr>
      <w:r w:rsidRPr="003E0D09">
        <w:rPr>
          <w:rFonts w:eastAsia="Calibri"/>
          <w:sz w:val="24"/>
          <w:szCs w:val="24"/>
          <w:lang w:eastAsia="en-US"/>
        </w:rPr>
        <w:t xml:space="preserve">Z  regionálního </w:t>
      </w:r>
      <w:r w:rsidR="002C4680" w:rsidRPr="003E0D09">
        <w:rPr>
          <w:rFonts w:eastAsia="Calibri"/>
          <w:sz w:val="24"/>
          <w:szCs w:val="24"/>
          <w:lang w:eastAsia="en-US"/>
        </w:rPr>
        <w:t xml:space="preserve">hlediska </w:t>
      </w:r>
      <w:r w:rsidRPr="003E0D09">
        <w:rPr>
          <w:rFonts w:eastAsia="Calibri"/>
          <w:sz w:val="24"/>
          <w:szCs w:val="24"/>
          <w:lang w:eastAsia="en-US"/>
        </w:rPr>
        <w:t>je užitečné poukázat</w:t>
      </w:r>
      <w:r w:rsidR="008C6D7E">
        <w:rPr>
          <w:rFonts w:eastAsia="Calibri"/>
          <w:sz w:val="24"/>
          <w:szCs w:val="24"/>
          <w:lang w:eastAsia="en-US"/>
        </w:rPr>
        <w:t xml:space="preserve"> na názor amerického ekonoma R. </w:t>
      </w:r>
      <w:r w:rsidRPr="003E0D09">
        <w:rPr>
          <w:rFonts w:eastAsia="Calibri"/>
          <w:sz w:val="24"/>
          <w:szCs w:val="24"/>
          <w:lang w:eastAsia="en-US"/>
        </w:rPr>
        <w:t xml:space="preserve">Nelsona, který považuje formální i neformální instituce spolu s inovacemi, procesem učení a pojetím firmy za podstatné pro pochopení rozdílů ve  výkonnosti ekonomik (Blažek, Uhlíř, 2011). V této souvislosti je třeba uvést alespoň tabulkový přehled nejvýznamnějších teorií resp. konceptů veřejné správy, za které jsou obvykle považovány </w:t>
      </w:r>
      <w:r w:rsidRPr="003E0D09">
        <w:rPr>
          <w:rFonts w:cs="TimesNewRomanPSMT"/>
          <w:sz w:val="24"/>
          <w:szCs w:val="24"/>
        </w:rPr>
        <w:t>Weberův koncept</w:t>
      </w:r>
      <w:r w:rsidR="00BA6F21">
        <w:rPr>
          <w:rFonts w:cs="TimesNewRomanPSMT"/>
          <w:sz w:val="24"/>
          <w:szCs w:val="24"/>
        </w:rPr>
        <w:t>,</w:t>
      </w:r>
      <w:r w:rsidRPr="003E0D09">
        <w:rPr>
          <w:rFonts w:cs="TimesNewRomanPSMT"/>
          <w:sz w:val="24"/>
          <w:szCs w:val="24"/>
        </w:rPr>
        <w:t xml:space="preserve"> byrokracie, new public management a new governance. I přes existující rozdíly v přístupech panuje rámcová shoda na hlavních atributech kvalitního výkonu veřejné správy, za které jsou považovány jasná hierarchie (vazby na odpovědnost a transparentnost), specializace (vazby na kompetence a kvalitu služeb), standardizace (vazby na efektivnost a rovnost přístupu), decentralizace (přesun kompetencí) a samozřejmě i relevantní institucionální prostředí.</w:t>
      </w:r>
    </w:p>
    <w:p w:rsidR="003E0D09" w:rsidRPr="006B61FE" w:rsidRDefault="003E0D09" w:rsidP="00715337">
      <w:pPr>
        <w:pStyle w:val="0T-Titulek"/>
        <w:spacing w:line="240" w:lineRule="auto"/>
      </w:pPr>
      <w:bookmarkStart w:id="126" w:name="_Toc382326457"/>
      <w:r w:rsidRPr="006B61FE">
        <w:t>Tabulka 30: Charakteristiky byrokracie, new public managementu a new governance</w:t>
      </w:r>
      <w:bookmarkEnd w:id="126"/>
      <w:r w:rsidRPr="006B61FE">
        <w:t xml:space="preserve"> </w:t>
      </w:r>
    </w:p>
    <w:tbl>
      <w:tblPr>
        <w:tblStyle w:val="Mkatabulky9"/>
        <w:tblW w:w="0" w:type="auto"/>
        <w:jc w:val="center"/>
        <w:tblLook w:val="04A0" w:firstRow="1" w:lastRow="0" w:firstColumn="1" w:lastColumn="0" w:noHBand="0" w:noVBand="1"/>
      </w:tblPr>
      <w:tblGrid>
        <w:gridCol w:w="1758"/>
        <w:gridCol w:w="2438"/>
        <w:gridCol w:w="2438"/>
        <w:gridCol w:w="2438"/>
      </w:tblGrid>
      <w:tr w:rsidR="003E0D09" w:rsidRPr="003E0D09" w:rsidTr="00715337">
        <w:trPr>
          <w:trHeight w:hRule="exact" w:val="397"/>
          <w:jc w:val="center"/>
        </w:trPr>
        <w:tc>
          <w:tcPr>
            <w:tcW w:w="175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b/>
                <w:iCs/>
                <w:lang w:eastAsia="en-GB"/>
              </w:rPr>
            </w:pP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b/>
                <w:bCs/>
                <w:iCs/>
                <w:vanish/>
                <w:lang w:eastAsia="en-GB"/>
              </w:rPr>
              <w:t>Bureaucracy</w:t>
            </w:r>
            <w:r w:rsidRPr="008C6D7E">
              <w:rPr>
                <w:rFonts w:asciiTheme="minorHAnsi" w:hAnsiTheme="minorHAnsi" w:cstheme="minorHAnsi"/>
                <w:lang w:eastAsia="en-GB"/>
              </w:rPr>
              <w:t xml:space="preserve"> </w:t>
            </w:r>
            <w:r w:rsidRPr="008C6D7E">
              <w:rPr>
                <w:rFonts w:asciiTheme="minorHAnsi" w:hAnsiTheme="minorHAnsi" w:cstheme="minorHAnsi"/>
                <w:b/>
                <w:lang w:eastAsia="en-GB"/>
              </w:rPr>
              <w:t>b</w:t>
            </w:r>
            <w:r w:rsidRPr="008C6D7E">
              <w:rPr>
                <w:rFonts w:asciiTheme="minorHAnsi" w:hAnsiTheme="minorHAnsi" w:cstheme="minorHAnsi"/>
                <w:b/>
                <w:bCs/>
                <w:iCs/>
                <w:lang w:eastAsia="en-GB"/>
              </w:rPr>
              <w:t>yrokracie</w:t>
            </w:r>
            <w:r w:rsidRPr="008C6D7E">
              <w:rPr>
                <w:rFonts w:asciiTheme="minorHAnsi" w:hAnsiTheme="minorHAnsi" w:cstheme="minorHAnsi"/>
                <w:lang w:eastAsia="en-GB"/>
              </w:rPr>
              <w:t xml:space="preserve"> </w:t>
            </w:r>
          </w:p>
        </w:tc>
        <w:tc>
          <w:tcPr>
            <w:tcW w:w="2438" w:type="dxa"/>
            <w:vAlign w:val="center"/>
          </w:tcPr>
          <w:p w:rsidR="003E0D09" w:rsidRPr="008C6D7E" w:rsidRDefault="003E0D09" w:rsidP="00715337">
            <w:pPr>
              <w:keepNext/>
              <w:widowControl w:val="0"/>
              <w:suppressLineNumbers/>
              <w:spacing w:line="240" w:lineRule="auto"/>
              <w:ind w:left="-113" w:right="-113"/>
              <w:jc w:val="center"/>
              <w:rPr>
                <w:rFonts w:asciiTheme="minorHAnsi" w:hAnsiTheme="minorHAnsi" w:cstheme="minorHAnsi"/>
                <w:lang w:eastAsia="en-GB"/>
              </w:rPr>
            </w:pPr>
            <w:r w:rsidRPr="008C6D7E">
              <w:rPr>
                <w:rFonts w:asciiTheme="minorHAnsi" w:hAnsiTheme="minorHAnsi" w:cstheme="minorHAnsi"/>
                <w:b/>
                <w:bCs/>
                <w:iCs/>
                <w:vanish/>
                <w:lang w:eastAsia="en-GB"/>
              </w:rPr>
              <w:t>New Public Management</w:t>
            </w:r>
            <w:r w:rsidRPr="008C6D7E">
              <w:rPr>
                <w:rFonts w:asciiTheme="minorHAnsi" w:hAnsiTheme="minorHAnsi" w:cstheme="minorHAnsi"/>
                <w:lang w:eastAsia="en-GB"/>
              </w:rPr>
              <w:t xml:space="preserve"> n</w:t>
            </w:r>
            <w:r w:rsidRPr="008C6D7E">
              <w:rPr>
                <w:rFonts w:asciiTheme="minorHAnsi" w:hAnsiTheme="minorHAnsi" w:cstheme="minorHAnsi"/>
                <w:b/>
                <w:bCs/>
                <w:iCs/>
                <w:lang w:eastAsia="en-GB"/>
              </w:rPr>
              <w:t>ew public management</w:t>
            </w:r>
            <w:r w:rsidRPr="008C6D7E">
              <w:rPr>
                <w:rFonts w:asciiTheme="minorHAnsi" w:hAnsiTheme="minorHAnsi" w:cstheme="minorHAnsi"/>
                <w:lang w:eastAsia="en-GB"/>
              </w:rPr>
              <w:t xml:space="preserve"> </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b/>
                <w:bCs/>
                <w:iCs/>
                <w:vanish/>
                <w:lang w:eastAsia="en-GB"/>
              </w:rPr>
              <w:t>New Governance</w:t>
            </w:r>
            <w:r w:rsidRPr="008C6D7E">
              <w:rPr>
                <w:rFonts w:asciiTheme="minorHAnsi" w:hAnsiTheme="minorHAnsi" w:cstheme="minorHAnsi"/>
                <w:lang w:eastAsia="en-GB"/>
              </w:rPr>
              <w:t xml:space="preserve"> n</w:t>
            </w:r>
            <w:r w:rsidRPr="008C6D7E">
              <w:rPr>
                <w:rFonts w:asciiTheme="minorHAnsi" w:hAnsiTheme="minorHAnsi" w:cstheme="minorHAnsi"/>
                <w:b/>
                <w:bCs/>
                <w:iCs/>
                <w:lang w:eastAsia="en-GB"/>
              </w:rPr>
              <w:t>ew governance</w:t>
            </w:r>
            <w:r w:rsidRPr="008C6D7E">
              <w:rPr>
                <w:rFonts w:asciiTheme="minorHAnsi" w:hAnsiTheme="minorHAnsi" w:cstheme="minorHAnsi"/>
                <w:lang w:eastAsia="en-GB"/>
              </w:rPr>
              <w:t xml:space="preserve"> </w:t>
            </w:r>
          </w:p>
        </w:tc>
      </w:tr>
      <w:tr w:rsidR="003E0D09" w:rsidRPr="003E0D09" w:rsidTr="00715337">
        <w:trPr>
          <w:trHeight w:hRule="exact" w:val="510"/>
          <w:jc w:val="center"/>
          <w:hidden/>
        </w:trPr>
        <w:tc>
          <w:tcPr>
            <w:tcW w:w="1758" w:type="dxa"/>
          </w:tcPr>
          <w:p w:rsidR="003E0D09" w:rsidRPr="008C6D7E" w:rsidRDefault="003E0D09" w:rsidP="00715337">
            <w:pPr>
              <w:keepNext/>
              <w:widowControl w:val="0"/>
              <w:suppressLineNumbers/>
              <w:spacing w:line="240" w:lineRule="auto"/>
              <w:ind w:left="-113" w:right="-113"/>
              <w:jc w:val="center"/>
              <w:rPr>
                <w:rFonts w:asciiTheme="minorHAnsi" w:hAnsiTheme="minorHAnsi" w:cstheme="minorHAnsi"/>
                <w:b/>
                <w:lang w:eastAsia="en-GB"/>
              </w:rPr>
            </w:pPr>
            <w:r w:rsidRPr="008C6D7E">
              <w:rPr>
                <w:rFonts w:asciiTheme="minorHAnsi" w:hAnsiTheme="minorHAnsi" w:cstheme="minorHAnsi"/>
                <w:b/>
                <w:bCs/>
                <w:iCs/>
                <w:vanish/>
                <w:lang w:eastAsia="en-GB"/>
              </w:rPr>
              <w:t>Peak of popularity</w:t>
            </w:r>
            <w:r w:rsidRPr="008C6D7E">
              <w:rPr>
                <w:rFonts w:asciiTheme="minorHAnsi" w:hAnsiTheme="minorHAnsi" w:cstheme="minorHAnsi"/>
                <w:b/>
                <w:lang w:eastAsia="en-GB"/>
              </w:rPr>
              <w:t xml:space="preserve"> v</w:t>
            </w:r>
            <w:r w:rsidRPr="008C6D7E">
              <w:rPr>
                <w:rFonts w:asciiTheme="minorHAnsi" w:hAnsiTheme="minorHAnsi" w:cstheme="minorHAnsi"/>
                <w:b/>
                <w:bCs/>
                <w:iCs/>
                <w:lang w:eastAsia="en-GB"/>
              </w:rPr>
              <w:t>rchol popularity</w:t>
            </w:r>
            <w:r w:rsidRPr="008C6D7E">
              <w:rPr>
                <w:rFonts w:asciiTheme="minorHAnsi" w:hAnsiTheme="minorHAnsi" w:cstheme="minorHAnsi"/>
                <w:b/>
                <w:lang w:eastAsia="en-GB"/>
              </w:rPr>
              <w:t xml:space="preserve"> </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1920s - 1970s</w:t>
            </w:r>
            <w:r w:rsidR="006D46B0" w:rsidRPr="008C6D7E">
              <w:rPr>
                <w:rFonts w:asciiTheme="minorHAnsi" w:hAnsiTheme="minorHAnsi" w:cstheme="minorHAnsi"/>
                <w:lang w:eastAsia="en-GB"/>
              </w:rPr>
              <w:t xml:space="preserve"> 1920–</w:t>
            </w:r>
            <w:r w:rsidRPr="008C6D7E">
              <w:rPr>
                <w:rFonts w:asciiTheme="minorHAnsi" w:hAnsiTheme="minorHAnsi" w:cstheme="minorHAnsi"/>
                <w:lang w:eastAsia="en-GB"/>
              </w:rPr>
              <w:t xml:space="preserve">1970 </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1980s - 1990s</w:t>
            </w:r>
            <w:r w:rsidR="006D46B0" w:rsidRPr="008C6D7E">
              <w:rPr>
                <w:rFonts w:asciiTheme="minorHAnsi" w:hAnsiTheme="minorHAnsi" w:cstheme="minorHAnsi"/>
                <w:lang w:eastAsia="en-GB"/>
              </w:rPr>
              <w:t xml:space="preserve"> 1980–</w:t>
            </w:r>
            <w:r w:rsidRPr="008C6D7E">
              <w:rPr>
                <w:rFonts w:asciiTheme="minorHAnsi" w:hAnsiTheme="minorHAnsi" w:cstheme="minorHAnsi"/>
                <w:lang w:eastAsia="en-GB"/>
              </w:rPr>
              <w:t xml:space="preserve">1990 </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Mid 1990s - today</w:t>
            </w:r>
            <w:r w:rsidRPr="008C6D7E">
              <w:rPr>
                <w:rFonts w:asciiTheme="minorHAnsi" w:hAnsiTheme="minorHAnsi" w:cstheme="minorHAnsi"/>
                <w:lang w:eastAsia="en-GB"/>
              </w:rPr>
              <w:t xml:space="preserve"> po roce 1990 </w:t>
            </w:r>
          </w:p>
        </w:tc>
      </w:tr>
      <w:tr w:rsidR="003E0D09" w:rsidRPr="003E0D09" w:rsidTr="00715337">
        <w:trPr>
          <w:trHeight w:hRule="exact" w:val="510"/>
          <w:jc w:val="center"/>
          <w:hidden/>
        </w:trPr>
        <w:tc>
          <w:tcPr>
            <w:tcW w:w="175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b/>
                <w:lang w:eastAsia="en-GB"/>
              </w:rPr>
            </w:pPr>
            <w:r w:rsidRPr="008C6D7E">
              <w:rPr>
                <w:rFonts w:asciiTheme="minorHAnsi" w:hAnsiTheme="minorHAnsi" w:cstheme="minorHAnsi"/>
                <w:b/>
                <w:bCs/>
                <w:iCs/>
                <w:vanish/>
                <w:lang w:eastAsia="en-GB"/>
              </w:rPr>
              <w:t>Overall approach</w:t>
            </w:r>
            <w:r w:rsidRPr="008C6D7E">
              <w:rPr>
                <w:rFonts w:asciiTheme="minorHAnsi" w:hAnsiTheme="minorHAnsi" w:cstheme="minorHAnsi"/>
                <w:b/>
                <w:lang w:eastAsia="en-GB"/>
              </w:rPr>
              <w:t xml:space="preserve"> c</w:t>
            </w:r>
            <w:r w:rsidRPr="008C6D7E">
              <w:rPr>
                <w:rFonts w:asciiTheme="minorHAnsi" w:hAnsiTheme="minorHAnsi" w:cstheme="minorHAnsi"/>
                <w:b/>
                <w:bCs/>
                <w:iCs/>
                <w:lang w:eastAsia="en-GB"/>
              </w:rPr>
              <w:t>elkový přístup</w:t>
            </w:r>
            <w:r w:rsidRPr="008C6D7E">
              <w:rPr>
                <w:rFonts w:asciiTheme="minorHAnsi" w:hAnsiTheme="minorHAnsi" w:cstheme="minorHAnsi"/>
                <w:b/>
                <w:lang w:eastAsia="en-GB"/>
              </w:rPr>
              <w:t xml:space="preserve"> </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“Bureaucratism”</w:t>
            </w:r>
            <w:r w:rsidRPr="008C6D7E">
              <w:rPr>
                <w:rFonts w:asciiTheme="minorHAnsi" w:hAnsiTheme="minorHAnsi" w:cstheme="minorHAnsi"/>
                <w:lang w:eastAsia="en-GB"/>
              </w:rPr>
              <w:t xml:space="preserve"> byrokratický </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“Managerialism”</w:t>
            </w:r>
            <w:r w:rsidRPr="008C6D7E">
              <w:rPr>
                <w:rFonts w:asciiTheme="minorHAnsi" w:hAnsiTheme="minorHAnsi" w:cstheme="minorHAnsi"/>
                <w:lang w:eastAsia="en-GB"/>
              </w:rPr>
              <w:t xml:space="preserve"> manažerský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lang w:eastAsia="en-GB"/>
              </w:rPr>
              <w:t>s</w:t>
            </w:r>
            <w:r w:rsidRPr="008C6D7E">
              <w:rPr>
                <w:rFonts w:asciiTheme="minorHAnsi" w:hAnsiTheme="minorHAnsi" w:cstheme="minorHAnsi"/>
                <w:vanish/>
                <w:lang w:eastAsia="en-GB"/>
              </w:rPr>
              <w:t>Governances</w:t>
            </w:r>
            <w:r w:rsidRPr="008C6D7E">
              <w:rPr>
                <w:rFonts w:asciiTheme="minorHAnsi" w:hAnsiTheme="minorHAnsi" w:cstheme="minorHAnsi"/>
                <w:lang w:eastAsia="en-GB"/>
              </w:rPr>
              <w:t xml:space="preserve">právcovský </w:t>
            </w:r>
          </w:p>
        </w:tc>
      </w:tr>
      <w:tr w:rsidR="003E0D09" w:rsidRPr="003E0D09" w:rsidTr="00715337">
        <w:trPr>
          <w:trHeight w:hRule="exact" w:val="510"/>
          <w:jc w:val="center"/>
        </w:trPr>
        <w:tc>
          <w:tcPr>
            <w:tcW w:w="175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b/>
                <w:lang w:eastAsia="en-GB"/>
              </w:rPr>
            </w:pPr>
            <w:r w:rsidRPr="008C6D7E">
              <w:rPr>
                <w:rFonts w:asciiTheme="minorHAnsi" w:hAnsiTheme="minorHAnsi" w:cstheme="minorHAnsi"/>
                <w:b/>
                <w:bCs/>
                <w:iCs/>
                <w:lang w:eastAsia="en-GB"/>
              </w:rPr>
              <w:t xml:space="preserve">pojetí </w:t>
            </w:r>
            <w:r w:rsidRPr="008C6D7E">
              <w:rPr>
                <w:rFonts w:asciiTheme="minorHAnsi" w:hAnsiTheme="minorHAnsi" w:cstheme="minorHAnsi"/>
                <w:b/>
                <w:bCs/>
                <w:iCs/>
                <w:vanish/>
                <w:lang w:eastAsia="en-GB"/>
              </w:rPr>
              <w:t>State narrative</w:t>
            </w:r>
            <w:r w:rsidRPr="008C6D7E">
              <w:rPr>
                <w:rFonts w:asciiTheme="minorHAnsi" w:hAnsiTheme="minorHAnsi" w:cstheme="minorHAnsi"/>
                <w:b/>
                <w:lang w:eastAsia="en-GB"/>
              </w:rPr>
              <w:t xml:space="preserve"> s</w:t>
            </w:r>
            <w:r w:rsidRPr="008C6D7E">
              <w:rPr>
                <w:rFonts w:asciiTheme="minorHAnsi" w:hAnsiTheme="minorHAnsi" w:cstheme="minorHAnsi"/>
                <w:b/>
                <w:bCs/>
                <w:iCs/>
                <w:lang w:eastAsia="en-GB"/>
              </w:rPr>
              <w:t xml:space="preserve">tátu </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Regulatory state</w:t>
            </w:r>
            <w:r w:rsidRPr="008C6D7E">
              <w:rPr>
                <w:rFonts w:asciiTheme="minorHAnsi" w:hAnsiTheme="minorHAnsi" w:cstheme="minorHAnsi"/>
                <w:lang w:eastAsia="en-GB"/>
              </w:rPr>
              <w:t xml:space="preserve"> regulační stát </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Lean (neo-liberal) state</w:t>
            </w:r>
            <w:r w:rsidRPr="008C6D7E">
              <w:rPr>
                <w:rFonts w:asciiTheme="minorHAnsi" w:hAnsiTheme="minorHAnsi" w:cstheme="minorHAnsi"/>
                <w:lang w:eastAsia="en-GB"/>
              </w:rPr>
              <w:t xml:space="preserve"> štíhlý stát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lang w:eastAsia="en-GB"/>
              </w:rPr>
              <w:t>vstřícný stát</w:t>
            </w:r>
          </w:p>
        </w:tc>
      </w:tr>
      <w:tr w:rsidR="003E0D09" w:rsidRPr="003E0D09" w:rsidTr="00715337">
        <w:trPr>
          <w:trHeight w:hRule="exact" w:val="510"/>
          <w:jc w:val="center"/>
          <w:hidden/>
        </w:trPr>
        <w:tc>
          <w:tcPr>
            <w:tcW w:w="175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b/>
                <w:lang w:eastAsia="en-GB"/>
              </w:rPr>
            </w:pPr>
            <w:r w:rsidRPr="008C6D7E">
              <w:rPr>
                <w:rFonts w:asciiTheme="minorHAnsi" w:hAnsiTheme="minorHAnsi" w:cstheme="minorHAnsi"/>
                <w:b/>
                <w:bCs/>
                <w:iCs/>
                <w:vanish/>
                <w:lang w:eastAsia="en-GB"/>
              </w:rPr>
              <w:t>Key challenge(s)</w:t>
            </w:r>
            <w:r w:rsidRPr="008C6D7E">
              <w:rPr>
                <w:rFonts w:asciiTheme="minorHAnsi" w:hAnsiTheme="minorHAnsi" w:cstheme="minorHAnsi"/>
                <w:b/>
                <w:lang w:eastAsia="en-GB"/>
              </w:rPr>
              <w:t xml:space="preserve"> h</w:t>
            </w:r>
            <w:r w:rsidRPr="008C6D7E">
              <w:rPr>
                <w:rFonts w:asciiTheme="minorHAnsi" w:hAnsiTheme="minorHAnsi" w:cstheme="minorHAnsi"/>
                <w:b/>
                <w:bCs/>
                <w:iCs/>
                <w:lang w:eastAsia="en-GB"/>
              </w:rPr>
              <w:t>lavní výzvy</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Maintain public order, legality and accountability</w:t>
            </w:r>
            <w:r w:rsidRPr="008C6D7E">
              <w:rPr>
                <w:rFonts w:asciiTheme="minorHAnsi" w:hAnsiTheme="minorHAnsi" w:cstheme="minorHAnsi"/>
                <w:lang w:eastAsia="en-GB"/>
              </w:rPr>
              <w:t xml:space="preserve"> udržování veřejného pořádku a zákonnosti </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Overcome inefficiencies with economic incentives</w:t>
            </w:r>
            <w:r w:rsidRPr="008C6D7E">
              <w:rPr>
                <w:rFonts w:asciiTheme="minorHAnsi" w:hAnsiTheme="minorHAnsi" w:cstheme="minorHAnsi"/>
                <w:lang w:eastAsia="en-GB"/>
              </w:rPr>
              <w:t xml:space="preserve"> překonávání neefektivností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Solve complex problems by reducing segregation of policies and actors</w:t>
            </w:r>
            <w:r w:rsidRPr="008C6D7E">
              <w:rPr>
                <w:rFonts w:asciiTheme="minorHAnsi" w:hAnsiTheme="minorHAnsi" w:cstheme="minorHAnsi"/>
                <w:lang w:eastAsia="en-GB"/>
              </w:rPr>
              <w:t xml:space="preserve"> integrované řešení problémů </w:t>
            </w:r>
          </w:p>
        </w:tc>
      </w:tr>
      <w:tr w:rsidR="003E0D09" w:rsidRPr="003E0D09" w:rsidTr="00715337">
        <w:trPr>
          <w:trHeight w:hRule="exact" w:val="510"/>
          <w:jc w:val="center"/>
          <w:hidden/>
        </w:trPr>
        <w:tc>
          <w:tcPr>
            <w:tcW w:w="175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b/>
                <w:lang w:eastAsia="en-GB"/>
              </w:rPr>
            </w:pPr>
            <w:r w:rsidRPr="008C6D7E">
              <w:rPr>
                <w:rFonts w:asciiTheme="minorHAnsi" w:hAnsiTheme="minorHAnsi" w:cstheme="minorHAnsi"/>
                <w:b/>
                <w:bCs/>
                <w:iCs/>
                <w:vanish/>
                <w:lang w:eastAsia="en-GB"/>
              </w:rPr>
              <w:t>Governance leitmotiv</w:t>
            </w:r>
            <w:r w:rsidRPr="008C6D7E">
              <w:rPr>
                <w:rFonts w:asciiTheme="minorHAnsi" w:hAnsiTheme="minorHAnsi" w:cstheme="minorHAnsi"/>
                <w:b/>
                <w:bCs/>
                <w:iCs/>
                <w:lang w:eastAsia="en-GB"/>
              </w:rPr>
              <w:t xml:space="preserve"> leitmotiv</w:t>
            </w:r>
            <w:r w:rsidRPr="008C6D7E">
              <w:rPr>
                <w:rFonts w:asciiTheme="minorHAnsi" w:hAnsiTheme="minorHAnsi" w:cstheme="minorHAnsi"/>
                <w:b/>
                <w:lang w:eastAsia="en-GB"/>
              </w:rPr>
              <w:t xml:space="preserve"> </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“Law and order”</w:t>
            </w:r>
            <w:r w:rsidRPr="008C6D7E">
              <w:rPr>
                <w:rFonts w:asciiTheme="minorHAnsi" w:hAnsiTheme="minorHAnsi" w:cstheme="minorHAnsi"/>
                <w:lang w:eastAsia="en-GB"/>
              </w:rPr>
              <w:t xml:space="preserve"> zákon a pořádek </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“Getting prices right”</w:t>
            </w:r>
            <w:r w:rsidRPr="008C6D7E">
              <w:rPr>
                <w:rFonts w:asciiTheme="minorHAnsi" w:hAnsiTheme="minorHAnsi" w:cstheme="minorHAnsi"/>
                <w:lang w:eastAsia="en-GB"/>
              </w:rPr>
              <w:t xml:space="preserve"> správné ceny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“Getting institutions right” and “find common solutions”</w:t>
            </w:r>
            <w:r w:rsidRPr="008C6D7E">
              <w:rPr>
                <w:rFonts w:asciiTheme="minorHAnsi" w:hAnsiTheme="minorHAnsi" w:cstheme="minorHAnsi"/>
                <w:lang w:eastAsia="en-GB"/>
              </w:rPr>
              <w:t xml:space="preserve">společná řešení </w:t>
            </w:r>
          </w:p>
        </w:tc>
      </w:tr>
      <w:tr w:rsidR="003E0D09" w:rsidRPr="003E0D09" w:rsidTr="00715337">
        <w:trPr>
          <w:trHeight w:hRule="exact" w:val="510"/>
          <w:jc w:val="center"/>
          <w:hidden/>
        </w:trPr>
        <w:tc>
          <w:tcPr>
            <w:tcW w:w="175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b/>
                <w:lang w:eastAsia="en-GB"/>
              </w:rPr>
            </w:pPr>
            <w:r w:rsidRPr="008C6D7E">
              <w:rPr>
                <w:rFonts w:asciiTheme="minorHAnsi" w:hAnsiTheme="minorHAnsi" w:cstheme="minorHAnsi"/>
                <w:b/>
                <w:bCs/>
                <w:iCs/>
                <w:vanish/>
                <w:lang w:eastAsia="en-GB"/>
              </w:rPr>
              <w:t>Guiding principle</w:t>
            </w:r>
            <w:r w:rsidRPr="008C6D7E">
              <w:rPr>
                <w:rFonts w:asciiTheme="minorHAnsi" w:hAnsiTheme="minorHAnsi" w:cstheme="minorHAnsi"/>
                <w:b/>
                <w:lang w:eastAsia="en-GB"/>
              </w:rPr>
              <w:t xml:space="preserve"> z</w:t>
            </w:r>
            <w:r w:rsidRPr="008C6D7E">
              <w:rPr>
                <w:rFonts w:asciiTheme="minorHAnsi" w:hAnsiTheme="minorHAnsi" w:cstheme="minorHAnsi"/>
                <w:b/>
                <w:bCs/>
                <w:iCs/>
                <w:lang w:eastAsia="en-GB"/>
              </w:rPr>
              <w:t>ákladní princip</w:t>
            </w:r>
            <w:r w:rsidRPr="008C6D7E">
              <w:rPr>
                <w:rFonts w:asciiTheme="minorHAnsi" w:hAnsiTheme="minorHAnsi" w:cstheme="minorHAnsi"/>
                <w:b/>
                <w:lang w:eastAsia="en-GB"/>
              </w:rPr>
              <w:t xml:space="preserve"> </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Accountability</w:t>
            </w:r>
            <w:r w:rsidRPr="008C6D7E">
              <w:rPr>
                <w:rFonts w:asciiTheme="minorHAnsi" w:hAnsiTheme="minorHAnsi" w:cstheme="minorHAnsi"/>
                <w:lang w:eastAsia="en-GB"/>
              </w:rPr>
              <w:t xml:space="preserve"> odpovědnost </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Efficiency</w:t>
            </w:r>
            <w:r w:rsidRPr="008C6D7E">
              <w:rPr>
                <w:rFonts w:asciiTheme="minorHAnsi" w:hAnsiTheme="minorHAnsi" w:cstheme="minorHAnsi"/>
                <w:lang w:eastAsia="en-GB"/>
              </w:rPr>
              <w:t xml:space="preserve"> efektivnost</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(Sectoral) Effectiveness</w:t>
            </w:r>
            <w:r w:rsidRPr="008C6D7E">
              <w:rPr>
                <w:rFonts w:asciiTheme="minorHAnsi" w:hAnsiTheme="minorHAnsi" w:cstheme="minorHAnsi"/>
                <w:lang w:eastAsia="en-GB"/>
              </w:rPr>
              <w:t>účelnost</w:t>
            </w:r>
          </w:p>
        </w:tc>
      </w:tr>
      <w:tr w:rsidR="003E0D09" w:rsidRPr="003E0D09" w:rsidTr="00715337">
        <w:trPr>
          <w:trHeight w:hRule="exact" w:val="510"/>
          <w:jc w:val="center"/>
          <w:hidden/>
        </w:trPr>
        <w:tc>
          <w:tcPr>
            <w:tcW w:w="175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b/>
                <w:lang w:eastAsia="en-GB"/>
              </w:rPr>
            </w:pPr>
            <w:r w:rsidRPr="008C6D7E">
              <w:rPr>
                <w:rFonts w:asciiTheme="minorHAnsi" w:hAnsiTheme="minorHAnsi" w:cstheme="minorHAnsi"/>
                <w:b/>
                <w:bCs/>
                <w:iCs/>
                <w:vanish/>
                <w:lang w:eastAsia="en-GB"/>
              </w:rPr>
              <w:t>Governance mode</w:t>
            </w:r>
            <w:r w:rsidRPr="008C6D7E">
              <w:rPr>
                <w:rFonts w:asciiTheme="minorHAnsi" w:hAnsiTheme="minorHAnsi" w:cstheme="minorHAnsi"/>
                <w:b/>
                <w:lang w:eastAsia="en-GB"/>
              </w:rPr>
              <w:t xml:space="preserve"> způsob vládnutí </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Hierarchy</w:t>
            </w:r>
            <w:r w:rsidRPr="008C6D7E">
              <w:rPr>
                <w:rFonts w:asciiTheme="minorHAnsi" w:hAnsiTheme="minorHAnsi" w:cstheme="minorHAnsi"/>
                <w:lang w:eastAsia="en-GB"/>
              </w:rPr>
              <w:t xml:space="preserve"> hierarchie </w:t>
            </w:r>
          </w:p>
        </w:tc>
        <w:tc>
          <w:tcPr>
            <w:tcW w:w="243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Market</w:t>
            </w:r>
            <w:r w:rsidRPr="008C6D7E">
              <w:rPr>
                <w:rFonts w:asciiTheme="minorHAnsi" w:hAnsiTheme="minorHAnsi" w:cstheme="minorHAnsi"/>
                <w:lang w:eastAsia="en-GB"/>
              </w:rPr>
              <w:t xml:space="preserve"> trh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Network</w:t>
            </w:r>
            <w:r w:rsidRPr="008C6D7E">
              <w:rPr>
                <w:rFonts w:asciiTheme="minorHAnsi" w:hAnsiTheme="minorHAnsi" w:cstheme="minorHAnsi"/>
                <w:lang w:eastAsia="en-GB"/>
              </w:rPr>
              <w:t xml:space="preserve"> síť </w:t>
            </w:r>
          </w:p>
        </w:tc>
      </w:tr>
      <w:tr w:rsidR="003E0D09" w:rsidRPr="003E0D09" w:rsidTr="00715337">
        <w:trPr>
          <w:trHeight w:hRule="exact" w:val="510"/>
          <w:jc w:val="center"/>
          <w:hidden/>
        </w:trPr>
        <w:tc>
          <w:tcPr>
            <w:tcW w:w="1758" w:type="dxa"/>
          </w:tcPr>
          <w:p w:rsidR="003E0D09" w:rsidRPr="008C6D7E" w:rsidRDefault="003E0D09" w:rsidP="00715337">
            <w:pPr>
              <w:keepNext/>
              <w:widowControl w:val="0"/>
              <w:suppressLineNumbers/>
              <w:spacing w:line="240" w:lineRule="auto"/>
              <w:jc w:val="center"/>
              <w:rPr>
                <w:rFonts w:asciiTheme="minorHAnsi" w:hAnsiTheme="minorHAnsi" w:cstheme="minorHAnsi"/>
                <w:b/>
                <w:lang w:eastAsia="en-GB"/>
              </w:rPr>
            </w:pPr>
            <w:r w:rsidRPr="008C6D7E">
              <w:rPr>
                <w:rFonts w:asciiTheme="minorHAnsi" w:hAnsiTheme="minorHAnsi" w:cstheme="minorHAnsi"/>
                <w:b/>
                <w:bCs/>
                <w:iCs/>
                <w:vanish/>
                <w:lang w:eastAsia="en-GB"/>
              </w:rPr>
              <w:t>Governance mechanism</w:t>
            </w:r>
            <w:r w:rsidRPr="008C6D7E">
              <w:rPr>
                <w:rFonts w:asciiTheme="minorHAnsi" w:hAnsiTheme="minorHAnsi" w:cstheme="minorHAnsi"/>
                <w:b/>
                <w:lang w:eastAsia="en-GB"/>
              </w:rPr>
              <w:t xml:space="preserve"> </w:t>
            </w:r>
            <w:r w:rsidRPr="008C6D7E">
              <w:rPr>
                <w:rFonts w:asciiTheme="minorHAnsi" w:hAnsiTheme="minorHAnsi" w:cstheme="minorHAnsi"/>
                <w:b/>
                <w:bCs/>
                <w:iCs/>
                <w:lang w:eastAsia="en-GB"/>
              </w:rPr>
              <w:t>mechanismus</w:t>
            </w:r>
            <w:r w:rsidRPr="008C6D7E">
              <w:rPr>
                <w:rFonts w:asciiTheme="minorHAnsi" w:hAnsiTheme="minorHAnsi" w:cstheme="minorHAnsi"/>
                <w:b/>
                <w:lang w:eastAsia="en-GB"/>
              </w:rPr>
              <w:t xml:space="preserve">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Command &amp; control (authority)</w:t>
            </w:r>
            <w:r w:rsidRPr="008C6D7E">
              <w:rPr>
                <w:rFonts w:asciiTheme="minorHAnsi" w:hAnsiTheme="minorHAnsi" w:cstheme="minorHAnsi"/>
                <w:lang w:eastAsia="en-GB"/>
              </w:rPr>
              <w:t xml:space="preserve"> příkazy a kontrola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Competition</w:t>
            </w:r>
            <w:r w:rsidRPr="008C6D7E">
              <w:rPr>
                <w:rFonts w:asciiTheme="minorHAnsi" w:hAnsiTheme="minorHAnsi" w:cstheme="minorHAnsi"/>
                <w:lang w:eastAsia="en-GB"/>
              </w:rPr>
              <w:t xml:space="preserve"> soutěž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Co-operation</w:t>
            </w:r>
            <w:r w:rsidRPr="008C6D7E">
              <w:rPr>
                <w:rFonts w:asciiTheme="minorHAnsi" w:hAnsiTheme="minorHAnsi" w:cstheme="minorHAnsi"/>
                <w:lang w:eastAsia="en-GB"/>
              </w:rPr>
              <w:t xml:space="preserve"> spolupráce </w:t>
            </w:r>
          </w:p>
        </w:tc>
      </w:tr>
      <w:tr w:rsidR="003E0D09" w:rsidRPr="003E0D09" w:rsidTr="00715337">
        <w:trPr>
          <w:trHeight w:hRule="exact" w:val="510"/>
          <w:jc w:val="center"/>
          <w:hidden/>
        </w:trPr>
        <w:tc>
          <w:tcPr>
            <w:tcW w:w="1758" w:type="dxa"/>
          </w:tcPr>
          <w:p w:rsidR="003E0D09" w:rsidRPr="008C6D7E" w:rsidRDefault="003E0D09" w:rsidP="00715337">
            <w:pPr>
              <w:keepNext/>
              <w:widowControl w:val="0"/>
              <w:suppressLineNumbers/>
              <w:spacing w:line="240" w:lineRule="auto"/>
              <w:jc w:val="center"/>
              <w:rPr>
                <w:rFonts w:asciiTheme="minorHAnsi" w:hAnsiTheme="minorHAnsi" w:cstheme="minorHAnsi"/>
                <w:b/>
                <w:lang w:eastAsia="en-GB"/>
              </w:rPr>
            </w:pPr>
            <w:r w:rsidRPr="008C6D7E">
              <w:rPr>
                <w:rFonts w:asciiTheme="minorHAnsi" w:hAnsiTheme="minorHAnsi" w:cstheme="minorHAnsi"/>
                <w:b/>
                <w:bCs/>
                <w:iCs/>
                <w:vanish/>
                <w:lang w:eastAsia="en-GB"/>
              </w:rPr>
              <w:t>Preferred policy instrument</w:t>
            </w:r>
            <w:r w:rsidRPr="008C6D7E">
              <w:rPr>
                <w:rFonts w:asciiTheme="minorHAnsi" w:hAnsiTheme="minorHAnsi" w:cstheme="minorHAnsi"/>
                <w:b/>
                <w:lang w:eastAsia="en-GB"/>
              </w:rPr>
              <w:t xml:space="preserve"> p</w:t>
            </w:r>
            <w:r w:rsidRPr="008C6D7E">
              <w:rPr>
                <w:rFonts w:asciiTheme="minorHAnsi" w:hAnsiTheme="minorHAnsi" w:cstheme="minorHAnsi"/>
                <w:b/>
                <w:bCs/>
                <w:iCs/>
                <w:lang w:eastAsia="en-GB"/>
              </w:rPr>
              <w:t>referované nástroje</w:t>
            </w:r>
            <w:r w:rsidRPr="008C6D7E">
              <w:rPr>
                <w:rFonts w:asciiTheme="minorHAnsi" w:hAnsiTheme="minorHAnsi" w:cstheme="minorHAnsi"/>
                <w:b/>
                <w:lang w:eastAsia="en-GB"/>
              </w:rPr>
              <w:t xml:space="preserve">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Mandatory legal instruments (ie 'hard law', directives, regulations, etc.)</w:t>
            </w:r>
            <w:r w:rsidRPr="008C6D7E">
              <w:rPr>
                <w:rFonts w:asciiTheme="minorHAnsi" w:hAnsiTheme="minorHAnsi" w:cstheme="minorHAnsi"/>
                <w:lang w:eastAsia="en-GB"/>
              </w:rPr>
              <w:t xml:space="preserve"> právní nástroje (zákony, směrnice, předpisy)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Financial instruments (ie taxes, tax breaks, subsidies, etc.) and contracts</w:t>
            </w:r>
            <w:r w:rsidRPr="008C6D7E">
              <w:rPr>
                <w:rFonts w:asciiTheme="minorHAnsi" w:hAnsiTheme="minorHAnsi" w:cstheme="minorHAnsi"/>
                <w:lang w:eastAsia="en-GB"/>
              </w:rPr>
              <w:t xml:space="preserve"> finanční nástroje (daně, dotace) a smlouvy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Partnering instruments (ie partnerships, agreements, etc.)</w:t>
            </w:r>
            <w:r w:rsidRPr="008C6D7E">
              <w:rPr>
                <w:rFonts w:asciiTheme="minorHAnsi" w:hAnsiTheme="minorHAnsi" w:cstheme="minorHAnsi"/>
                <w:lang w:eastAsia="en-GB"/>
              </w:rPr>
              <w:t xml:space="preserve"> partnerské nástroje (partnerství, dohody) </w:t>
            </w:r>
          </w:p>
        </w:tc>
      </w:tr>
      <w:tr w:rsidR="003E0D09" w:rsidRPr="003E0D09" w:rsidTr="00715337">
        <w:trPr>
          <w:trHeight w:hRule="exact" w:val="510"/>
          <w:jc w:val="center"/>
        </w:trPr>
        <w:tc>
          <w:tcPr>
            <w:tcW w:w="1758" w:type="dxa"/>
            <w:vAlign w:val="center"/>
          </w:tcPr>
          <w:p w:rsidR="003E0D09" w:rsidRPr="008C6D7E" w:rsidRDefault="003E0D09" w:rsidP="00715337">
            <w:pPr>
              <w:keepNext/>
              <w:widowControl w:val="0"/>
              <w:suppressLineNumbers/>
              <w:spacing w:line="240" w:lineRule="auto"/>
              <w:jc w:val="center"/>
              <w:rPr>
                <w:rFonts w:asciiTheme="minorHAnsi" w:hAnsiTheme="minorHAnsi" w:cstheme="minorHAnsi"/>
                <w:b/>
                <w:lang w:eastAsia="en-GB"/>
              </w:rPr>
            </w:pPr>
            <w:r w:rsidRPr="008C6D7E">
              <w:rPr>
                <w:rFonts w:asciiTheme="minorHAnsi" w:hAnsiTheme="minorHAnsi" w:cstheme="minorHAnsi"/>
                <w:b/>
                <w:bCs/>
                <w:iCs/>
                <w:lang w:eastAsia="en-GB"/>
              </w:rPr>
              <w:t>prostředky</w:t>
            </w:r>
            <w:r w:rsidRPr="008C6D7E">
              <w:rPr>
                <w:rFonts w:asciiTheme="minorHAnsi" w:hAnsiTheme="minorHAnsi" w:cstheme="minorHAnsi"/>
                <w:b/>
                <w:lang w:eastAsia="en-GB"/>
              </w:rPr>
              <w:t xml:space="preserve"> </w:t>
            </w:r>
            <w:r w:rsidRPr="008C6D7E">
              <w:rPr>
                <w:rFonts w:asciiTheme="minorHAnsi" w:hAnsiTheme="minorHAnsi" w:cstheme="minorHAnsi"/>
                <w:b/>
                <w:bCs/>
                <w:iCs/>
                <w:vanish/>
                <w:lang w:eastAsia="en-GB"/>
              </w:rPr>
              <w:t>Enforcement through</w:t>
            </w:r>
            <w:r w:rsidRPr="008C6D7E">
              <w:rPr>
                <w:rFonts w:asciiTheme="minorHAnsi" w:hAnsiTheme="minorHAnsi" w:cstheme="minorHAnsi"/>
                <w:b/>
                <w:lang w:eastAsia="en-GB"/>
              </w:rPr>
              <w:t xml:space="preserve"> motivace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Control and sanctions</w:t>
            </w:r>
            <w:r w:rsidRPr="008C6D7E">
              <w:rPr>
                <w:rFonts w:asciiTheme="minorHAnsi" w:hAnsiTheme="minorHAnsi" w:cstheme="minorHAnsi"/>
                <w:lang w:eastAsia="en-GB"/>
              </w:rPr>
              <w:t xml:space="preserve"> kontroly a sankce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Monitoring, naming &amp; shaming, self interest</w:t>
            </w:r>
            <w:r w:rsidRPr="008C6D7E">
              <w:rPr>
                <w:rFonts w:asciiTheme="minorHAnsi" w:hAnsiTheme="minorHAnsi" w:cstheme="minorHAnsi"/>
                <w:lang w:eastAsia="en-GB"/>
              </w:rPr>
              <w:t xml:space="preserve"> monitorování, informace, vlastní zájem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Ownership, involvement and joint decisions</w:t>
            </w:r>
            <w:r w:rsidRPr="008C6D7E">
              <w:rPr>
                <w:rFonts w:asciiTheme="minorHAnsi" w:hAnsiTheme="minorHAnsi" w:cstheme="minorHAnsi"/>
                <w:lang w:eastAsia="en-GB"/>
              </w:rPr>
              <w:t xml:space="preserve"> vlastnictví, zapojení, společné rozhodování </w:t>
            </w:r>
          </w:p>
        </w:tc>
      </w:tr>
      <w:tr w:rsidR="003E0D09" w:rsidRPr="003E0D09" w:rsidTr="00715337">
        <w:trPr>
          <w:trHeight w:hRule="exact" w:val="510"/>
          <w:jc w:val="center"/>
          <w:hidden/>
        </w:trPr>
        <w:tc>
          <w:tcPr>
            <w:tcW w:w="1758" w:type="dxa"/>
          </w:tcPr>
          <w:p w:rsidR="003E0D09" w:rsidRPr="008C6D7E" w:rsidRDefault="003E0D09" w:rsidP="00715337">
            <w:pPr>
              <w:keepNext/>
              <w:widowControl w:val="0"/>
              <w:suppressLineNumbers/>
              <w:spacing w:line="240" w:lineRule="auto"/>
              <w:jc w:val="center"/>
              <w:rPr>
                <w:rFonts w:asciiTheme="minorHAnsi" w:hAnsiTheme="minorHAnsi" w:cstheme="minorHAnsi"/>
                <w:b/>
                <w:lang w:eastAsia="en-GB"/>
              </w:rPr>
            </w:pPr>
            <w:r w:rsidRPr="008C6D7E">
              <w:rPr>
                <w:rFonts w:asciiTheme="minorHAnsi" w:hAnsiTheme="minorHAnsi" w:cstheme="minorHAnsi"/>
                <w:b/>
                <w:bCs/>
                <w:iCs/>
                <w:vanish/>
                <w:lang w:eastAsia="en-GB"/>
              </w:rPr>
              <w:t>Organisational scope</w:t>
            </w:r>
            <w:r w:rsidRPr="008C6D7E">
              <w:rPr>
                <w:rFonts w:asciiTheme="minorHAnsi" w:hAnsiTheme="minorHAnsi" w:cstheme="minorHAnsi"/>
                <w:b/>
                <w:lang w:eastAsia="en-GB"/>
              </w:rPr>
              <w:t xml:space="preserve"> o</w:t>
            </w:r>
            <w:r w:rsidRPr="008C6D7E">
              <w:rPr>
                <w:rFonts w:asciiTheme="minorHAnsi" w:hAnsiTheme="minorHAnsi" w:cstheme="minorHAnsi"/>
                <w:b/>
                <w:bCs/>
                <w:iCs/>
                <w:lang w:eastAsia="en-GB"/>
              </w:rPr>
              <w:t>rganizační zabezpečení</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Intra-departmental focus (“Departmentalisation”)</w:t>
            </w:r>
            <w:r w:rsidRPr="008C6D7E">
              <w:rPr>
                <w:rFonts w:asciiTheme="minorHAnsi" w:hAnsiTheme="minorHAnsi" w:cstheme="minorHAnsi"/>
                <w:lang w:eastAsia="en-GB"/>
              </w:rPr>
              <w:t xml:space="preserve"> rezortní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Focus on service delivery Agencies (“Agencification”)</w:t>
            </w:r>
            <w:r w:rsidRPr="008C6D7E">
              <w:rPr>
                <w:rFonts w:asciiTheme="minorHAnsi" w:hAnsiTheme="minorHAnsi" w:cstheme="minorHAnsi"/>
                <w:lang w:eastAsia="en-GB"/>
              </w:rPr>
              <w:t xml:space="preserve">agenturní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Inter-organisational focus within sectors/policy coalitions</w:t>
            </w:r>
            <w:r w:rsidRPr="008C6D7E">
              <w:rPr>
                <w:rFonts w:asciiTheme="minorHAnsi" w:hAnsiTheme="minorHAnsi" w:cstheme="minorHAnsi"/>
                <w:lang w:eastAsia="en-GB"/>
              </w:rPr>
              <w:t xml:space="preserve"> mezirezortní/politické koalice </w:t>
            </w:r>
          </w:p>
        </w:tc>
      </w:tr>
      <w:tr w:rsidR="003E0D09" w:rsidRPr="003E0D09" w:rsidTr="00715337">
        <w:trPr>
          <w:trHeight w:hRule="exact" w:val="510"/>
          <w:jc w:val="center"/>
        </w:trPr>
        <w:tc>
          <w:tcPr>
            <w:tcW w:w="1758" w:type="dxa"/>
          </w:tcPr>
          <w:p w:rsidR="003E0D09" w:rsidRPr="008C6D7E" w:rsidRDefault="003E0D09" w:rsidP="00715337">
            <w:pPr>
              <w:keepNext/>
              <w:widowControl w:val="0"/>
              <w:suppressLineNumbers/>
              <w:spacing w:line="240" w:lineRule="auto"/>
              <w:jc w:val="center"/>
              <w:rPr>
                <w:rFonts w:asciiTheme="minorHAnsi" w:hAnsiTheme="minorHAnsi" w:cstheme="minorHAnsi"/>
                <w:b/>
                <w:lang w:eastAsia="en-GB"/>
              </w:rPr>
            </w:pPr>
            <w:r w:rsidRPr="008C6D7E">
              <w:rPr>
                <w:rFonts w:asciiTheme="minorHAnsi" w:hAnsiTheme="minorHAnsi" w:cstheme="minorHAnsi"/>
                <w:b/>
                <w:bCs/>
                <w:iCs/>
                <w:lang w:eastAsia="en-GB"/>
              </w:rPr>
              <w:t>strategie</w:t>
            </w:r>
            <w:r w:rsidRPr="008C6D7E">
              <w:rPr>
                <w:rFonts w:asciiTheme="minorHAnsi" w:hAnsiTheme="minorHAnsi" w:cstheme="minorHAnsi"/>
                <w:b/>
                <w:lang w:eastAsia="en-GB"/>
              </w:rPr>
              <w:t xml:space="preserve">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Policy planning</w:t>
            </w:r>
            <w:r w:rsidRPr="008C6D7E">
              <w:rPr>
                <w:rFonts w:asciiTheme="minorHAnsi" w:hAnsiTheme="minorHAnsi" w:cstheme="minorHAnsi"/>
                <w:lang w:eastAsia="en-GB"/>
              </w:rPr>
              <w:t xml:space="preserve"> plánování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Ad-hoc problem solving, combined with elements of strategic management</w:t>
            </w:r>
            <w:r w:rsidRPr="008C6D7E">
              <w:rPr>
                <w:rFonts w:asciiTheme="minorHAnsi" w:hAnsiTheme="minorHAnsi" w:cstheme="minorHAnsi"/>
                <w:lang w:eastAsia="en-GB"/>
              </w:rPr>
              <w:t xml:space="preserve"> problémové řešení ad-hoc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Strategic Management, emphasising (policy) learning and adaptation</w:t>
            </w:r>
            <w:r w:rsidRPr="008C6D7E">
              <w:rPr>
                <w:rFonts w:asciiTheme="minorHAnsi" w:hAnsiTheme="minorHAnsi" w:cstheme="minorHAnsi"/>
                <w:lang w:eastAsia="en-GB"/>
              </w:rPr>
              <w:t xml:space="preserve"> strategické řízení (důraz na učení a adaptaci) </w:t>
            </w:r>
          </w:p>
        </w:tc>
      </w:tr>
      <w:tr w:rsidR="003E0D09" w:rsidRPr="003E0D09" w:rsidTr="00715337">
        <w:trPr>
          <w:trHeight w:hRule="exact" w:val="510"/>
          <w:jc w:val="center"/>
          <w:hidden/>
        </w:trPr>
        <w:tc>
          <w:tcPr>
            <w:tcW w:w="1758" w:type="dxa"/>
          </w:tcPr>
          <w:p w:rsidR="003E0D09" w:rsidRPr="008C6D7E" w:rsidRDefault="003E0D09" w:rsidP="00715337">
            <w:pPr>
              <w:keepNext/>
              <w:widowControl w:val="0"/>
              <w:suppressLineNumbers/>
              <w:spacing w:line="240" w:lineRule="auto"/>
              <w:jc w:val="center"/>
              <w:rPr>
                <w:rFonts w:asciiTheme="minorHAnsi" w:hAnsiTheme="minorHAnsi" w:cstheme="minorHAnsi"/>
                <w:b/>
                <w:lang w:eastAsia="en-GB"/>
              </w:rPr>
            </w:pPr>
            <w:r w:rsidRPr="008C6D7E">
              <w:rPr>
                <w:rFonts w:asciiTheme="minorHAnsi" w:hAnsiTheme="minorHAnsi" w:cstheme="minorHAnsi"/>
                <w:b/>
                <w:bCs/>
                <w:iCs/>
                <w:vanish/>
                <w:lang w:eastAsia="en-GB"/>
              </w:rPr>
              <w:t>Skills required</w:t>
            </w:r>
            <w:r w:rsidRPr="008C6D7E">
              <w:rPr>
                <w:rFonts w:asciiTheme="minorHAnsi" w:hAnsiTheme="minorHAnsi" w:cstheme="minorHAnsi"/>
                <w:b/>
                <w:lang w:eastAsia="en-GB"/>
              </w:rPr>
              <w:t xml:space="preserve"> p</w:t>
            </w:r>
            <w:r w:rsidRPr="008C6D7E">
              <w:rPr>
                <w:rFonts w:asciiTheme="minorHAnsi" w:hAnsiTheme="minorHAnsi" w:cstheme="minorHAnsi"/>
                <w:b/>
                <w:bCs/>
                <w:iCs/>
                <w:lang w:eastAsia="en-GB"/>
              </w:rPr>
              <w:t>ožadované dovednosti</w:t>
            </w:r>
            <w:r w:rsidRPr="008C6D7E">
              <w:rPr>
                <w:rFonts w:asciiTheme="minorHAnsi" w:hAnsiTheme="minorHAnsi" w:cstheme="minorHAnsi"/>
                <w:b/>
                <w:lang w:eastAsia="en-GB"/>
              </w:rPr>
              <w:t xml:space="preserve">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vanish/>
                <w:lang w:eastAsia="en-GB"/>
              </w:rPr>
              <w:t>Compliance and control skills</w:t>
            </w:r>
            <w:r w:rsidRPr="008C6D7E">
              <w:rPr>
                <w:rFonts w:asciiTheme="minorHAnsi" w:hAnsiTheme="minorHAnsi" w:cstheme="minorHAnsi"/>
                <w:lang w:eastAsia="en-GB"/>
              </w:rPr>
              <w:t xml:space="preserve"> přesnost a sebekontrola </w:t>
            </w:r>
          </w:p>
        </w:tc>
        <w:tc>
          <w:tcPr>
            <w:tcW w:w="2438" w:type="dxa"/>
          </w:tcPr>
          <w:p w:rsidR="003E0D09" w:rsidRPr="008C6D7E" w:rsidRDefault="003E0D09" w:rsidP="00715337">
            <w:pPr>
              <w:keepNext/>
              <w:widowControl w:val="0"/>
              <w:suppressLineNumbers/>
              <w:spacing w:line="240" w:lineRule="auto"/>
              <w:ind w:left="-57" w:right="-57"/>
              <w:jc w:val="center"/>
              <w:rPr>
                <w:rFonts w:asciiTheme="minorHAnsi" w:hAnsiTheme="minorHAnsi" w:cstheme="minorHAnsi"/>
                <w:lang w:eastAsia="en-GB"/>
              </w:rPr>
            </w:pPr>
            <w:r w:rsidRPr="008C6D7E">
              <w:rPr>
                <w:rFonts w:asciiTheme="minorHAnsi" w:hAnsiTheme="minorHAnsi" w:cstheme="minorHAnsi"/>
                <w:vanish/>
                <w:lang w:eastAsia="en-GB"/>
              </w:rPr>
              <w:t>Management skills such as organising, financing, controlling, marketing etc.</w:t>
            </w:r>
            <w:r w:rsidRPr="008C6D7E">
              <w:rPr>
                <w:rFonts w:asciiTheme="minorHAnsi" w:hAnsiTheme="minorHAnsi" w:cstheme="minorHAnsi"/>
                <w:lang w:eastAsia="en-GB"/>
              </w:rPr>
              <w:t xml:space="preserve"> manažerské (organizační finanční, marketingové) </w:t>
            </w:r>
          </w:p>
        </w:tc>
        <w:tc>
          <w:tcPr>
            <w:tcW w:w="2438" w:type="dxa"/>
          </w:tcPr>
          <w:p w:rsidR="003E0D09" w:rsidRPr="008C6D7E" w:rsidRDefault="003E0D09" w:rsidP="00715337">
            <w:pPr>
              <w:keepNext/>
              <w:widowControl w:val="0"/>
              <w:suppressLineNumbers/>
              <w:spacing w:line="240" w:lineRule="auto"/>
              <w:jc w:val="center"/>
              <w:rPr>
                <w:rFonts w:asciiTheme="minorHAnsi" w:hAnsiTheme="minorHAnsi" w:cstheme="minorHAnsi"/>
                <w:lang w:eastAsia="en-GB"/>
              </w:rPr>
            </w:pPr>
            <w:r w:rsidRPr="008C6D7E">
              <w:rPr>
                <w:rFonts w:asciiTheme="minorHAnsi" w:hAnsiTheme="minorHAnsi" w:cstheme="minorHAnsi"/>
                <w:lang w:eastAsia="en-GB"/>
              </w:rPr>
              <w:t>a</w:t>
            </w:r>
            <w:r w:rsidRPr="008C6D7E">
              <w:rPr>
                <w:rFonts w:asciiTheme="minorHAnsi" w:hAnsiTheme="minorHAnsi" w:cstheme="minorHAnsi"/>
                <w:vanish/>
                <w:lang w:eastAsia="en-GB"/>
              </w:rPr>
              <w:t>“Enablement skills” such as activating, orchestrating and modulating actors and processesa</w:t>
            </w:r>
            <w:r w:rsidRPr="008C6D7E">
              <w:rPr>
                <w:rFonts w:asciiTheme="minorHAnsi" w:hAnsiTheme="minorHAnsi" w:cstheme="minorHAnsi"/>
                <w:lang w:eastAsia="en-GB"/>
              </w:rPr>
              <w:t xml:space="preserve">ktivační (synchronizace aktérů) </w:t>
            </w:r>
          </w:p>
        </w:tc>
      </w:tr>
    </w:tbl>
    <w:p w:rsidR="003E0D09" w:rsidRPr="003E0D09" w:rsidRDefault="003E0D09" w:rsidP="00E53286">
      <w:pPr>
        <w:keepNext/>
        <w:widowControl w:val="0"/>
        <w:suppressLineNumbers/>
        <w:jc w:val="center"/>
        <w:rPr>
          <w:rFonts w:asciiTheme="minorHAnsi" w:hAnsiTheme="minorHAnsi" w:cstheme="minorHAnsi"/>
          <w:i/>
          <w:lang w:eastAsia="en-GB"/>
        </w:rPr>
      </w:pPr>
      <w:r w:rsidRPr="003E0D09">
        <w:rPr>
          <w:rFonts w:asciiTheme="minorHAnsi" w:hAnsiTheme="minorHAnsi" w:cstheme="minorHAnsi"/>
          <w:i/>
          <w:lang w:eastAsia="en-GB"/>
        </w:rPr>
        <w:t>Pramen: Berger, Steurer 2009</w:t>
      </w:r>
      <w:r w:rsidRPr="003E0D09">
        <w:rPr>
          <w:rFonts w:asciiTheme="minorHAnsi" w:eastAsia="Calibri" w:hAnsiTheme="minorHAnsi" w:cstheme="minorHAnsi"/>
          <w:i/>
          <w:lang w:eastAsia="en-US"/>
        </w:rPr>
        <w:t>;</w:t>
      </w:r>
      <w:r w:rsidRPr="003E0D09">
        <w:rPr>
          <w:rFonts w:asciiTheme="minorHAnsi" w:hAnsiTheme="minorHAnsi" w:cstheme="minorHAnsi"/>
          <w:i/>
          <w:lang w:eastAsia="en-GB"/>
        </w:rPr>
        <w:t xml:space="preserve"> vlastní úprava.</w:t>
      </w:r>
    </w:p>
    <w:p w:rsidR="003E0D09" w:rsidRPr="003E0D09" w:rsidRDefault="003E0D09" w:rsidP="00423120">
      <w:pPr>
        <w:keepNext/>
        <w:widowControl w:val="0"/>
        <w:suppressLineNumbers/>
        <w:ind w:firstLine="720"/>
        <w:jc w:val="both"/>
        <w:rPr>
          <w:color w:val="FF0000"/>
          <w:sz w:val="24"/>
          <w:szCs w:val="24"/>
          <w:lang w:eastAsia="en-GB"/>
        </w:rPr>
      </w:pPr>
      <w:r w:rsidRPr="003E0D09">
        <w:rPr>
          <w:sz w:val="24"/>
          <w:szCs w:val="24"/>
          <w:lang w:eastAsia="en-GB"/>
        </w:rPr>
        <w:lastRenderedPageBreak/>
        <w:t>V rámci celé České republiky je přirozeně nejdůležitěj</w:t>
      </w:r>
      <w:r w:rsidR="008C6D7E">
        <w:rPr>
          <w:sz w:val="24"/>
          <w:szCs w:val="24"/>
          <w:lang w:eastAsia="en-GB"/>
        </w:rPr>
        <w:t xml:space="preserve">ším sídlem státní moci a tedy </w:t>
      </w:r>
      <w:r w:rsidR="008C6D7E" w:rsidRPr="008C6D7E">
        <w:t>i</w:t>
      </w:r>
      <w:r w:rsidR="008C6D7E">
        <w:t> </w:t>
      </w:r>
      <w:r w:rsidRPr="008C6D7E">
        <w:t>nezpochybnitelným</w:t>
      </w:r>
      <w:r w:rsidRPr="003E0D09">
        <w:rPr>
          <w:sz w:val="24"/>
          <w:szCs w:val="24"/>
          <w:lang w:eastAsia="en-GB"/>
        </w:rPr>
        <w:t xml:space="preserve"> centrem procesů makroregionální integrace na bázi řídících</w:t>
      </w:r>
      <w:r w:rsidR="00BA6F21">
        <w:rPr>
          <w:sz w:val="24"/>
          <w:szCs w:val="24"/>
          <w:lang w:eastAsia="en-GB"/>
        </w:rPr>
        <w:t>,</w:t>
      </w:r>
      <w:r w:rsidRPr="003E0D09">
        <w:rPr>
          <w:sz w:val="24"/>
          <w:szCs w:val="24"/>
          <w:lang w:eastAsia="en-GB"/>
        </w:rPr>
        <w:t xml:space="preserve"> resp. manažerských interakcí hist</w:t>
      </w:r>
      <w:r w:rsidR="00E53286">
        <w:rPr>
          <w:sz w:val="24"/>
          <w:szCs w:val="24"/>
          <w:lang w:eastAsia="en-GB"/>
        </w:rPr>
        <w:t>orické hlavní město Praha, které</w:t>
      </w:r>
      <w:r w:rsidRPr="003E0D09">
        <w:rPr>
          <w:sz w:val="24"/>
          <w:szCs w:val="24"/>
          <w:lang w:eastAsia="en-GB"/>
        </w:rPr>
        <w:t xml:space="preserve"> zároveň představuje</w:t>
      </w:r>
      <w:r w:rsidRPr="003E0D09">
        <w:rPr>
          <w:sz w:val="24"/>
          <w:szCs w:val="24"/>
        </w:rPr>
        <w:t xml:space="preserve"> nejvýznamnější český pól rozvoje nadnárodního</w:t>
      </w:r>
      <w:r w:rsidR="00BA6F21">
        <w:rPr>
          <w:sz w:val="24"/>
          <w:szCs w:val="24"/>
        </w:rPr>
        <w:t>,</w:t>
      </w:r>
      <w:r w:rsidRPr="003E0D09">
        <w:rPr>
          <w:sz w:val="24"/>
          <w:szCs w:val="24"/>
        </w:rPr>
        <w:t xml:space="preserve"> resp. mezinárodního významu (viz též část 3.3.). V Praze je umístěna dominantní</w:t>
      </w:r>
      <w:r w:rsidRPr="003E0D09">
        <w:rPr>
          <w:sz w:val="24"/>
          <w:szCs w:val="24"/>
          <w:lang w:eastAsia="en-US"/>
        </w:rPr>
        <w:t xml:space="preserve"> část státních (</w:t>
      </w:r>
      <w:hyperlink r:id="rId71" w:tooltip="Prezident České republiky" w:history="1">
        <w:r w:rsidRPr="003E0D09">
          <w:rPr>
            <w:sz w:val="24"/>
            <w:szCs w:val="24"/>
            <w:lang w:eastAsia="en-US"/>
          </w:rPr>
          <w:t>prezident republiky</w:t>
        </w:r>
      </w:hyperlink>
      <w:r w:rsidRPr="003E0D09">
        <w:rPr>
          <w:sz w:val="24"/>
          <w:szCs w:val="24"/>
          <w:lang w:eastAsia="en-US"/>
        </w:rPr>
        <w:t xml:space="preserve">, </w:t>
      </w:r>
      <w:hyperlink r:id="rId72" w:tooltip="Vláda České republiky" w:history="1">
        <w:r w:rsidRPr="003E0D09">
          <w:rPr>
            <w:sz w:val="24"/>
            <w:szCs w:val="24"/>
            <w:lang w:eastAsia="en-US"/>
          </w:rPr>
          <w:t>vláda</w:t>
        </w:r>
      </w:hyperlink>
      <w:r w:rsidRPr="003E0D09">
        <w:rPr>
          <w:sz w:val="24"/>
          <w:szCs w:val="24"/>
          <w:lang w:eastAsia="en-US"/>
        </w:rPr>
        <w:t xml:space="preserve">, poslanecká sněmovna, senát, ústřední státní orgány </w:t>
      </w:r>
      <w:r w:rsidRPr="003E0D09">
        <w:rPr>
          <w:sz w:val="24"/>
          <w:szCs w:val="24"/>
          <w:lang w:eastAsia="en-GB"/>
        </w:rPr>
        <w:t>a</w:t>
      </w:r>
      <w:r w:rsidRPr="003E0D09">
        <w:rPr>
          <w:sz w:val="24"/>
          <w:szCs w:val="24"/>
          <w:lang w:eastAsia="en-US"/>
        </w:rPr>
        <w:t>td.) a dalších institucí podílejících se na veřejné správě a ostatních společensky nepostradatelných veřejných činností (ústředí většiny politických stran, centrály téměř všech církví a zájmových</w:t>
      </w:r>
      <w:r w:rsidR="00BA6F21">
        <w:rPr>
          <w:sz w:val="24"/>
          <w:szCs w:val="24"/>
          <w:lang w:eastAsia="en-US"/>
        </w:rPr>
        <w:t>,</w:t>
      </w:r>
      <w:r w:rsidRPr="003E0D09">
        <w:rPr>
          <w:sz w:val="24"/>
          <w:szCs w:val="24"/>
          <w:lang w:eastAsia="en-US"/>
        </w:rPr>
        <w:t xml:space="preserve"> r</w:t>
      </w:r>
      <w:r w:rsidR="008C6D7E">
        <w:rPr>
          <w:sz w:val="24"/>
          <w:szCs w:val="24"/>
          <w:lang w:eastAsia="en-US"/>
        </w:rPr>
        <w:t>esp. profesionálních sdružení s </w:t>
      </w:r>
      <w:r w:rsidRPr="003E0D09">
        <w:rPr>
          <w:sz w:val="24"/>
          <w:szCs w:val="24"/>
          <w:lang w:eastAsia="en-US"/>
        </w:rPr>
        <w:t xml:space="preserve">celorepublikovou působností atd.). </w:t>
      </w:r>
      <w:r w:rsidRPr="00CB4F24">
        <w:rPr>
          <w:sz w:val="24"/>
          <w:szCs w:val="24"/>
          <w:lang w:eastAsia="en-US"/>
        </w:rPr>
        <w:t>Prvořadou integrační roli Prahy výrazně podtrhuje její rozhodující postavení z hlediska konfigurace mezinárodně významné dopravní sítě České republiky (spoluvytvářející charakteristické monocentric</w:t>
      </w:r>
      <w:r w:rsidR="008C6D7E">
        <w:rPr>
          <w:sz w:val="24"/>
          <w:szCs w:val="24"/>
          <w:lang w:eastAsia="en-US"/>
        </w:rPr>
        <w:t>ké uspořádání Čech na rozdíl od </w:t>
      </w:r>
      <w:r w:rsidRPr="00CB4F24">
        <w:rPr>
          <w:sz w:val="24"/>
          <w:szCs w:val="24"/>
          <w:lang w:eastAsia="en-US"/>
        </w:rPr>
        <w:t>Moravy)</w:t>
      </w:r>
      <w:r w:rsidR="002138AC" w:rsidRPr="00CB4F24">
        <w:rPr>
          <w:sz w:val="24"/>
          <w:szCs w:val="24"/>
          <w:lang w:eastAsia="en-US"/>
        </w:rPr>
        <w:t>.</w:t>
      </w:r>
      <w:r w:rsidR="00CB4F24" w:rsidRPr="00CB4F24">
        <w:rPr>
          <w:sz w:val="24"/>
          <w:szCs w:val="24"/>
          <w:lang w:eastAsia="en-US"/>
        </w:rPr>
        <w:t xml:space="preserve"> Významnou roli hraje </w:t>
      </w:r>
      <w:r w:rsidRPr="00CB4F24">
        <w:rPr>
          <w:sz w:val="24"/>
          <w:szCs w:val="24"/>
          <w:lang w:eastAsia="en-US"/>
        </w:rPr>
        <w:t>její postavení hlavního vysokoškolského centra (v čele</w:t>
      </w:r>
      <w:r w:rsidR="00E53286" w:rsidRPr="00CB4F24">
        <w:rPr>
          <w:sz w:val="24"/>
          <w:szCs w:val="24"/>
          <w:lang w:eastAsia="en-US"/>
        </w:rPr>
        <w:t xml:space="preserve"> s</w:t>
      </w:r>
      <w:r w:rsidR="008C6D7E">
        <w:rPr>
          <w:sz w:val="24"/>
          <w:szCs w:val="24"/>
          <w:lang w:eastAsia="en-US"/>
        </w:rPr>
        <w:t> </w:t>
      </w:r>
      <w:r w:rsidRPr="00CB4F24">
        <w:rPr>
          <w:sz w:val="24"/>
          <w:szCs w:val="24"/>
          <w:lang w:eastAsia="en-US"/>
        </w:rPr>
        <w:t>Karlovo</w:t>
      </w:r>
      <w:r w:rsidR="00E53286" w:rsidRPr="00CB4F24">
        <w:rPr>
          <w:sz w:val="24"/>
          <w:szCs w:val="24"/>
          <w:lang w:eastAsia="en-US"/>
        </w:rPr>
        <w:t>u</w:t>
      </w:r>
      <w:r w:rsidR="00CB4F24" w:rsidRPr="00CB4F24">
        <w:rPr>
          <w:sz w:val="24"/>
          <w:szCs w:val="24"/>
          <w:lang w:eastAsia="en-US"/>
        </w:rPr>
        <w:t xml:space="preserve"> univerzitou</w:t>
      </w:r>
      <w:r w:rsidRPr="00CB4F24">
        <w:rPr>
          <w:sz w:val="24"/>
          <w:szCs w:val="24"/>
          <w:lang w:eastAsia="en-US"/>
        </w:rPr>
        <w:t>) a nejvýznamnějšího sídla velkých firem – v současnosti je zde lokalizováno téměř 300 firem s 500</w:t>
      </w:r>
      <w:r w:rsidR="00CB4F24" w:rsidRPr="00CB4F24">
        <w:rPr>
          <w:sz w:val="24"/>
          <w:szCs w:val="24"/>
          <w:lang w:eastAsia="en-US"/>
        </w:rPr>
        <w:t xml:space="preserve"> a více zaměstnanci, z toho </w:t>
      </w:r>
      <w:r w:rsidRPr="00CB4F24">
        <w:rPr>
          <w:sz w:val="24"/>
          <w:szCs w:val="24"/>
          <w:lang w:eastAsia="en-US"/>
        </w:rPr>
        <w:t>28 firem s 5000 a více zaměstnanci (jde o přibližně 31 % ze všech velkých fire</w:t>
      </w:r>
      <w:r w:rsidR="00CB4F24" w:rsidRPr="00CB4F24">
        <w:rPr>
          <w:sz w:val="24"/>
          <w:szCs w:val="24"/>
          <w:lang w:eastAsia="en-US"/>
        </w:rPr>
        <w:t xml:space="preserve">m nacházejících se na území </w:t>
      </w:r>
      <w:r w:rsidRPr="00CB4F24">
        <w:rPr>
          <w:sz w:val="24"/>
          <w:szCs w:val="24"/>
          <w:lang w:eastAsia="en-US"/>
        </w:rPr>
        <w:t>Č</w:t>
      </w:r>
      <w:r w:rsidR="00CB4F24" w:rsidRPr="00CB4F24">
        <w:rPr>
          <w:sz w:val="24"/>
          <w:szCs w:val="24"/>
          <w:lang w:eastAsia="en-US"/>
        </w:rPr>
        <w:t>eské republiky).</w:t>
      </w:r>
      <w:r w:rsidRPr="00CB4F24">
        <w:rPr>
          <w:sz w:val="24"/>
          <w:szCs w:val="24"/>
          <w:lang w:eastAsia="en-US"/>
        </w:rPr>
        <w:t xml:space="preserve"> S výše popsanou kvantitativní</w:t>
      </w:r>
      <w:r w:rsidRPr="003E0D09">
        <w:rPr>
          <w:sz w:val="24"/>
          <w:szCs w:val="24"/>
          <w:lang w:eastAsia="en-US"/>
        </w:rPr>
        <w:t xml:space="preserve"> formou koncentrace je úzce provázána její kvalitativní forma, kterou lze ztotožnit především s koncentrací nejprogresivnějších odvětví (zejména výzkum a vývoj, finanční služby a další specializované podnikatelské služby)</w:t>
      </w:r>
      <w:r w:rsidR="00BA6F21">
        <w:rPr>
          <w:sz w:val="24"/>
          <w:szCs w:val="24"/>
          <w:lang w:eastAsia="en-US"/>
        </w:rPr>
        <w:t>,</w:t>
      </w:r>
      <w:r w:rsidRPr="003E0D09">
        <w:rPr>
          <w:sz w:val="24"/>
          <w:szCs w:val="24"/>
          <w:lang w:eastAsia="en-US"/>
        </w:rPr>
        <w:t xml:space="preserve"> resp. okruhů činností (příkladem jsou vysoce specializované činnosti strategického významu prováděné v ústředích nadnárodních firem), které se významně podílejí na tvorbě </w:t>
      </w:r>
      <w:r w:rsidRPr="003E0D09">
        <w:rPr>
          <w:sz w:val="24"/>
          <w:szCs w:val="24"/>
          <w:lang w:eastAsia="en-GB"/>
        </w:rPr>
        <w:t>aglomeračních efektů.</w:t>
      </w:r>
      <w:r w:rsidRPr="003E0D09">
        <w:rPr>
          <w:sz w:val="24"/>
          <w:szCs w:val="24"/>
          <w:lang w:eastAsia="en-US"/>
        </w:rPr>
        <w:t xml:space="preserve"> Předchozí poznámky lze</w:t>
      </w:r>
      <w:r w:rsidR="00E53286">
        <w:rPr>
          <w:sz w:val="24"/>
          <w:szCs w:val="24"/>
          <w:lang w:eastAsia="en-US"/>
        </w:rPr>
        <w:t>,</w:t>
      </w:r>
      <w:r w:rsidRPr="003E0D09">
        <w:rPr>
          <w:sz w:val="24"/>
          <w:szCs w:val="24"/>
          <w:lang w:eastAsia="en-US"/>
        </w:rPr>
        <w:t xml:space="preserve"> i když samozřejmě v menší míře</w:t>
      </w:r>
      <w:r w:rsidR="00E53286">
        <w:rPr>
          <w:sz w:val="24"/>
          <w:szCs w:val="24"/>
          <w:lang w:eastAsia="en-US"/>
        </w:rPr>
        <w:t>,</w:t>
      </w:r>
      <w:r w:rsidR="008C6D7E">
        <w:rPr>
          <w:sz w:val="24"/>
          <w:szCs w:val="24"/>
          <w:lang w:eastAsia="en-US"/>
        </w:rPr>
        <w:t xml:space="preserve"> vztáhnout i </w:t>
      </w:r>
      <w:r w:rsidRPr="003E0D09">
        <w:rPr>
          <w:sz w:val="24"/>
          <w:szCs w:val="24"/>
          <w:lang w:eastAsia="en-US"/>
        </w:rPr>
        <w:t>na Brno, které je v souladu se svým postavením druhého největšího města České republiky</w:t>
      </w:r>
      <w:r w:rsidR="00BA6F21">
        <w:rPr>
          <w:sz w:val="24"/>
          <w:szCs w:val="24"/>
          <w:lang w:eastAsia="en-US"/>
        </w:rPr>
        <w:t>,</w:t>
      </w:r>
      <w:r w:rsidRPr="003E0D09">
        <w:rPr>
          <w:sz w:val="24"/>
          <w:szCs w:val="24"/>
          <w:lang w:eastAsia="en-US"/>
        </w:rPr>
        <w:t xml:space="preserve"> resp. vedlejšího pólu rozvoje nadnárodního významu významným centrem státních institucí, zejména soudnictví (ústavní soud, nejvyšší soud, ombudsman) </w:t>
      </w:r>
      <w:r w:rsidRPr="003E0D09">
        <w:rPr>
          <w:sz w:val="24"/>
          <w:szCs w:val="24"/>
          <w:vertAlign w:val="superscript"/>
          <w:lang w:eastAsia="en-US"/>
        </w:rPr>
        <w:footnoteReference w:id="30"/>
      </w:r>
      <w:r w:rsidR="008C6D7E">
        <w:rPr>
          <w:sz w:val="24"/>
          <w:szCs w:val="24"/>
          <w:lang w:eastAsia="en-US"/>
        </w:rPr>
        <w:t>. S tím koresponduje i </w:t>
      </w:r>
      <w:r w:rsidRPr="003E0D09">
        <w:rPr>
          <w:sz w:val="24"/>
          <w:szCs w:val="24"/>
          <w:lang w:eastAsia="en-US"/>
        </w:rPr>
        <w:t>postavení Brna jako druhé nejvýznamnější koncentrace velkých firem (v tomto směru je ovšem jeho pozice srovnatelná s Ostravou – v obou městech je lokalizováno o něco více než 50 firem s více než 500 zaměstnanci)</w:t>
      </w:r>
      <w:r w:rsidRPr="003E0D09">
        <w:rPr>
          <w:sz w:val="24"/>
          <w:szCs w:val="24"/>
          <w:lang w:eastAsia="en-GB"/>
        </w:rPr>
        <w:t xml:space="preserve"> </w:t>
      </w:r>
      <w:r w:rsidRPr="003E0D09">
        <w:rPr>
          <w:sz w:val="24"/>
          <w:szCs w:val="24"/>
          <w:lang w:eastAsia="en-US"/>
        </w:rPr>
        <w:t>a po Praze nejdůležit</w:t>
      </w:r>
      <w:r w:rsidR="008C6D7E">
        <w:rPr>
          <w:sz w:val="24"/>
          <w:szCs w:val="24"/>
          <w:lang w:eastAsia="en-US"/>
        </w:rPr>
        <w:t>ějšího vysokoškolského centra a </w:t>
      </w:r>
      <w:r w:rsidRPr="003E0D09">
        <w:rPr>
          <w:sz w:val="24"/>
          <w:szCs w:val="24"/>
          <w:lang w:eastAsia="en-US"/>
        </w:rPr>
        <w:t xml:space="preserve">rovněž nejvýznamnějšího veletržního centra České republiky. </w:t>
      </w:r>
    </w:p>
    <w:p w:rsidR="003E0D09" w:rsidRPr="003E0D09" w:rsidRDefault="003E0D09" w:rsidP="00423120">
      <w:pPr>
        <w:keepNext/>
        <w:widowControl w:val="0"/>
        <w:ind w:firstLine="720"/>
        <w:jc w:val="both"/>
        <w:rPr>
          <w:sz w:val="24"/>
          <w:szCs w:val="24"/>
        </w:rPr>
      </w:pPr>
      <w:r w:rsidRPr="003E0D09">
        <w:rPr>
          <w:sz w:val="24"/>
          <w:szCs w:val="24"/>
        </w:rPr>
        <w:t>V rámci kontinuálně probíhající reformy veřejné správy po roce 198</w:t>
      </w:r>
      <w:r w:rsidR="008C6D7E">
        <w:rPr>
          <w:sz w:val="24"/>
          <w:szCs w:val="24"/>
        </w:rPr>
        <w:t>9 lze za </w:t>
      </w:r>
      <w:r w:rsidR="00E53286">
        <w:rPr>
          <w:sz w:val="24"/>
          <w:szCs w:val="24"/>
        </w:rPr>
        <w:t>nejdůležitější součásti</w:t>
      </w:r>
      <w:r w:rsidRPr="003E0D09">
        <w:rPr>
          <w:sz w:val="24"/>
          <w:szCs w:val="24"/>
        </w:rPr>
        <w:t xml:space="preserve"> z hlediska regionálního přerozdělení moci považovat reformu územní samosprávy, respektive územně samosprávných celků (ÚSC). Z pohledu stručného historického vývoje tohoto procesu byla tato reforma započata již záhy po sametové revoluci, a sice dnes již zrušeným zákonem 367/1990 Sb. o obcích a na něho navazujícím zákonem 172/1991 Sb. o přechodu některých věcí z majetku České republiky do majetku obcí. Z pohledu krajského uspořádání byly změny započaty až v roce 1997 přijetím ústavního zákona č. 347/1997 Sb. o vytvoření tzv. vyšších územních samosprávných celků. Tento ústavní zákon byl základním východiskem pro následující reformní aktivity v územní samosprávě a zároveň definoval věcnou podstatu současných čtrnácti krajů České republiky jakožto územně samosprávných celků. V roce 2000 pak byl přijat celý soubor zákonů, který vyústil ve změny nejen formální, ale také věcně procesní</w:t>
      </w:r>
      <w:r w:rsidR="00715337">
        <w:rPr>
          <w:sz w:val="24"/>
          <w:szCs w:val="24"/>
        </w:rPr>
        <w:t>, a to</w:t>
      </w:r>
      <w:r w:rsidRPr="003E0D09">
        <w:rPr>
          <w:sz w:val="24"/>
          <w:szCs w:val="24"/>
        </w:rPr>
        <w:t xml:space="preserve"> jak z pohledu samosprávy, tak z pohledu občanů. Základními zákony, které vymezovaly nové věcné uspořádání samosprávy, </w:t>
      </w:r>
      <w:r w:rsidRPr="003E0D09">
        <w:rPr>
          <w:sz w:val="24"/>
          <w:szCs w:val="24"/>
        </w:rPr>
        <w:lastRenderedPageBreak/>
        <w:t>byly zákony 128/2000 Sb. o obcích, dále 129/2000 Sb. o krajích a zákon 13</w:t>
      </w:r>
      <w:r w:rsidR="008C6D7E">
        <w:rPr>
          <w:sz w:val="24"/>
          <w:szCs w:val="24"/>
        </w:rPr>
        <w:t>1/2000 Sb. o </w:t>
      </w:r>
      <w:r w:rsidRPr="003E0D09">
        <w:rPr>
          <w:sz w:val="24"/>
          <w:szCs w:val="24"/>
        </w:rPr>
        <w:t>hlavním městě Praze. Na tyto zákony samozřejmě musely navázat další právní předpisy, které např. zajišťovaly převod dalšího majetku od státu směrem</w:t>
      </w:r>
      <w:r w:rsidR="00D5372B">
        <w:rPr>
          <w:sz w:val="24"/>
          <w:szCs w:val="24"/>
        </w:rPr>
        <w:t xml:space="preserve"> ke krajům (zákon 157/2000 Sb.)</w:t>
      </w:r>
      <w:r w:rsidRPr="003E0D09">
        <w:rPr>
          <w:sz w:val="24"/>
          <w:szCs w:val="24"/>
        </w:rPr>
        <w:t xml:space="preserve"> a dále zákony, které zajišťují finanční zdroje</w:t>
      </w:r>
      <w:r w:rsidR="00D5372B">
        <w:rPr>
          <w:sz w:val="24"/>
          <w:szCs w:val="24"/>
        </w:rPr>
        <w:t>,</w:t>
      </w:r>
      <w:r w:rsidRPr="003E0D09">
        <w:rPr>
          <w:sz w:val="24"/>
          <w:szCs w:val="24"/>
        </w:rPr>
        <w:t xml:space="preserve"> a tedy i finanční soběstačnost jednotlivých subjektů samosprávy. Z těchto zákonů jsou nejdůl</w:t>
      </w:r>
      <w:r w:rsidR="008C6D7E">
        <w:rPr>
          <w:sz w:val="24"/>
          <w:szCs w:val="24"/>
        </w:rPr>
        <w:t>ežitějšími zákon 243/2000 Sb. o </w:t>
      </w:r>
      <w:r w:rsidRPr="003E0D09">
        <w:rPr>
          <w:sz w:val="24"/>
          <w:szCs w:val="24"/>
        </w:rPr>
        <w:t>rozpočtovém určení daní a dále zákon 250/2000 Sb. o rozpočtových pravidlech. Právě celým tímto souborem zákonů byl determinován transfer reálných kompetencí na jednotlivé kraje a obce, který korespondoval se zánikem okresních úřadů k 31. 12. 2002. Ke zrušení okresních úřadů se samozřejmě vztahuje i problematika výkonu vybraných agend státní správy, která z důvodu poskytování služeb podle principu subsidiarity byla přesunuta na vybrané obce, které byly schopné tuto agendu namísto okresních úřadů na potřebné odborně úrovni vykonávat. Z tohoto důvodu byl v roce 2002 přijat zákon 314/2002 Sb. o obcích s pověřeným obecním úřadem a stanovení obcí s rozšířenou působností, přičemž bylo vybráno celkem 388 obcí II. typu s pověřeným obecním úřadem (POÚ) a 205 obcí s rozšířenou působností III. typu (ORP). K tomuto je nutné dále podotknout, že stanovení počtu ORP bylo předmětem mnoha diskusí i lobování ze strany některých obecních samospráv, přičemž při všech variantách se návrh na jejich počet pohyboval přibližně mezi 170 a 210 obcemi. Reforma územní samosprávy samozřejmě není pouhým jednorázovým aktem, ale spíše kontinuálním reformním procesem, který v určitých obdobích přirozeně zaznamenává výraznější změny než v jiných. Za základní rys prosazující se z hlediska územně správního uspořádání České republiky po roce 1989 pak lze označit především uplatňování principu decentralizace a principu subsidiarity.</w:t>
      </w:r>
    </w:p>
    <w:p w:rsidR="003E0D09" w:rsidRPr="003E0D09" w:rsidRDefault="003E0D09" w:rsidP="00423120">
      <w:pPr>
        <w:keepNext/>
        <w:widowControl w:val="0"/>
        <w:ind w:firstLine="720"/>
        <w:jc w:val="both"/>
        <w:rPr>
          <w:sz w:val="24"/>
          <w:szCs w:val="24"/>
        </w:rPr>
      </w:pPr>
      <w:r w:rsidRPr="003E0D09">
        <w:rPr>
          <w:sz w:val="24"/>
          <w:szCs w:val="24"/>
        </w:rPr>
        <w:t>V současnosti jsou tak stanoveny dvě úrovně územní samosprávy, a to úroveň krajská a municipální. Důležitým aspektem při výkonu pravomocí v působnosti jednotlivých subjektů samosprávy je již zmíněná agenda státní správy. Zde  je nutné rozlišovat dva typy působnosti</w:t>
      </w:r>
      <w:r w:rsidR="00426C00">
        <w:rPr>
          <w:sz w:val="24"/>
          <w:szCs w:val="24"/>
        </w:rPr>
        <w:t>,</w:t>
      </w:r>
      <w:r w:rsidRPr="003E0D09">
        <w:rPr>
          <w:sz w:val="24"/>
          <w:szCs w:val="24"/>
        </w:rPr>
        <w:t xml:space="preserve"> a to působnost samostatnou, která vychází z podstaty samosprávy (např. přijetí rozpočtu, rozpočtového výhledu, územního plánu atd.) a působnost přenesenou, která představuje výkon státní správy ve vybraných agendách (např. matrika, stavební činnost, registr vozidel, udělování řidičských průkazů, problematika životního prostředí apod.). Podle J. Kuby (Kuba, 2008) model přenesené působnosti znamená decentralizaci pouze z věcného hlediska, zatímco z hlediska organizačního a personálního jde spíše o dekoncentraci. Dalším důležitým aspektem decentralizace je samozřejmě postavení ÚSC z hlediska jejich finanční soběstačnosti a autonomie. K tomuto je třeba pozn</w:t>
      </w:r>
      <w:r w:rsidR="008C6D7E">
        <w:rPr>
          <w:sz w:val="24"/>
          <w:szCs w:val="24"/>
        </w:rPr>
        <w:t>amenat, že navzdory postupně se </w:t>
      </w:r>
      <w:r w:rsidRPr="003E0D09">
        <w:rPr>
          <w:sz w:val="24"/>
          <w:szCs w:val="24"/>
        </w:rPr>
        <w:t>zvyšujícím podílům ÚSC na hrubém celostátním výnosu sdílených daní (v současnos</w:t>
      </w:r>
      <w:r w:rsidR="00426C00">
        <w:rPr>
          <w:sz w:val="24"/>
          <w:szCs w:val="24"/>
        </w:rPr>
        <w:t>ti obce 23,58 % a kraje 8,92 %)</w:t>
      </w:r>
      <w:r w:rsidRPr="003E0D09">
        <w:rPr>
          <w:sz w:val="24"/>
          <w:szCs w:val="24"/>
        </w:rPr>
        <w:t xml:space="preserve"> jejich reálný podíl na příjmech i výdajích z veřejných rozpočtů ve skutečnosti klesá. To je způsobeno především nižším p</w:t>
      </w:r>
      <w:r w:rsidR="008C6D7E">
        <w:rPr>
          <w:sz w:val="24"/>
          <w:szCs w:val="24"/>
        </w:rPr>
        <w:t>oměrným výnosem daní z příjmů a </w:t>
      </w:r>
      <w:r w:rsidRPr="003E0D09">
        <w:rPr>
          <w:sz w:val="24"/>
          <w:szCs w:val="24"/>
        </w:rPr>
        <w:t>vyšším poměrným výnosem daně z přidané hodnoty, u které je stanovený podíl nižší (obec 21,93 %, kraje 8,28 %). Právě tato výjimka u daně z přidané hodnoty pak způsobuje celkový pokles podílu ÚSC na veřejných rozpočtech, který je přehledně znázorněn v následující tabulce.</w:t>
      </w:r>
    </w:p>
    <w:p w:rsidR="00715337" w:rsidRDefault="00715337" w:rsidP="006B61FE">
      <w:pPr>
        <w:pStyle w:val="0T-Titulek"/>
      </w:pPr>
    </w:p>
    <w:p w:rsidR="00715337" w:rsidRDefault="00715337" w:rsidP="006B61FE">
      <w:pPr>
        <w:pStyle w:val="0T-Titulek"/>
      </w:pPr>
    </w:p>
    <w:p w:rsidR="003E0D09" w:rsidRPr="003E0D09" w:rsidRDefault="003E0D09" w:rsidP="006B61FE">
      <w:pPr>
        <w:pStyle w:val="0T-Titulek"/>
      </w:pPr>
      <w:bookmarkStart w:id="127" w:name="_Toc382326458"/>
      <w:r w:rsidRPr="003E0D09">
        <w:lastRenderedPageBreak/>
        <w:t>Tabulka 31: Podíl státního rozpočtu a rozpočtů ÚSC na celkových veřejných rozpočtech</w:t>
      </w:r>
      <w:bookmarkEnd w:id="127"/>
    </w:p>
    <w:tbl>
      <w:tblPr>
        <w:tblW w:w="9035" w:type="dxa"/>
        <w:tblInd w:w="55" w:type="dxa"/>
        <w:tblCellMar>
          <w:left w:w="70" w:type="dxa"/>
          <w:right w:w="70" w:type="dxa"/>
        </w:tblCellMar>
        <w:tblLook w:val="04A0" w:firstRow="1" w:lastRow="0" w:firstColumn="1" w:lastColumn="0" w:noHBand="0" w:noVBand="1"/>
      </w:tblPr>
      <w:tblGrid>
        <w:gridCol w:w="6236"/>
        <w:gridCol w:w="933"/>
        <w:gridCol w:w="933"/>
        <w:gridCol w:w="933"/>
      </w:tblGrid>
      <w:tr w:rsidR="003E0D09" w:rsidRPr="003E0D09" w:rsidTr="00F44BE8">
        <w:trPr>
          <w:trHeight w:hRule="exact" w:val="340"/>
        </w:trPr>
        <w:tc>
          <w:tcPr>
            <w:tcW w:w="6236" w:type="dxa"/>
            <w:tcBorders>
              <w:top w:val="single" w:sz="4" w:space="0" w:color="auto"/>
              <w:left w:val="single" w:sz="4" w:space="0" w:color="auto"/>
              <w:bottom w:val="single" w:sz="4" w:space="0" w:color="auto"/>
              <w:right w:val="single" w:sz="4" w:space="0" w:color="auto"/>
            </w:tcBorders>
            <w:noWrap/>
            <w:vAlign w:val="bottom"/>
            <w:hideMark/>
          </w:tcPr>
          <w:p w:rsidR="003E0D09" w:rsidRPr="003E0D09" w:rsidRDefault="003E0D09" w:rsidP="00423120">
            <w:pPr>
              <w:keepNext/>
              <w:rPr>
                <w:rFonts w:ascii="Calibri" w:hAnsi="Calibri" w:cs="Calibri"/>
                <w:b/>
              </w:rPr>
            </w:pPr>
            <w:r w:rsidRPr="003E0D09">
              <w:rPr>
                <w:rFonts w:ascii="Calibri" w:hAnsi="Calibri" w:cs="Calibri"/>
                <w:b/>
              </w:rPr>
              <w:t>Položka / rok</w:t>
            </w:r>
          </w:p>
        </w:tc>
        <w:tc>
          <w:tcPr>
            <w:tcW w:w="933" w:type="dxa"/>
            <w:tcBorders>
              <w:top w:val="single" w:sz="4" w:space="0" w:color="auto"/>
              <w:left w:val="nil"/>
              <w:bottom w:val="single" w:sz="4" w:space="0" w:color="auto"/>
              <w:right w:val="single" w:sz="4" w:space="0" w:color="auto"/>
            </w:tcBorders>
            <w:noWrap/>
            <w:vAlign w:val="bottom"/>
            <w:hideMark/>
          </w:tcPr>
          <w:p w:rsidR="003E0D09" w:rsidRPr="003E0D09" w:rsidRDefault="003E0D09" w:rsidP="00423120">
            <w:pPr>
              <w:keepNext/>
              <w:jc w:val="center"/>
              <w:rPr>
                <w:rFonts w:ascii="Calibri" w:hAnsi="Calibri" w:cs="Calibri"/>
                <w:b/>
              </w:rPr>
            </w:pPr>
            <w:r w:rsidRPr="003E0D09">
              <w:rPr>
                <w:rFonts w:ascii="Calibri" w:hAnsi="Calibri" w:cs="Calibri"/>
                <w:b/>
              </w:rPr>
              <w:t>2003</w:t>
            </w:r>
          </w:p>
        </w:tc>
        <w:tc>
          <w:tcPr>
            <w:tcW w:w="933" w:type="dxa"/>
            <w:tcBorders>
              <w:top w:val="single" w:sz="4" w:space="0" w:color="auto"/>
              <w:left w:val="nil"/>
              <w:bottom w:val="single" w:sz="4" w:space="0" w:color="auto"/>
              <w:right w:val="single" w:sz="4" w:space="0" w:color="auto"/>
            </w:tcBorders>
            <w:noWrap/>
            <w:vAlign w:val="bottom"/>
            <w:hideMark/>
          </w:tcPr>
          <w:p w:rsidR="003E0D09" w:rsidRPr="003E0D09" w:rsidRDefault="003E0D09" w:rsidP="00423120">
            <w:pPr>
              <w:keepNext/>
              <w:jc w:val="center"/>
              <w:rPr>
                <w:rFonts w:ascii="Calibri" w:hAnsi="Calibri" w:cs="Calibri"/>
                <w:b/>
              </w:rPr>
            </w:pPr>
            <w:r w:rsidRPr="003E0D09">
              <w:rPr>
                <w:rFonts w:ascii="Calibri" w:hAnsi="Calibri" w:cs="Calibri"/>
                <w:b/>
              </w:rPr>
              <w:t>2011</w:t>
            </w:r>
          </w:p>
        </w:tc>
        <w:tc>
          <w:tcPr>
            <w:tcW w:w="933" w:type="dxa"/>
            <w:tcBorders>
              <w:top w:val="single" w:sz="4" w:space="0" w:color="auto"/>
              <w:left w:val="nil"/>
              <w:bottom w:val="single" w:sz="4" w:space="0" w:color="auto"/>
              <w:right w:val="single" w:sz="4" w:space="0" w:color="auto"/>
            </w:tcBorders>
            <w:noWrap/>
            <w:vAlign w:val="bottom"/>
            <w:hideMark/>
          </w:tcPr>
          <w:p w:rsidR="003E0D09" w:rsidRPr="003E0D09" w:rsidRDefault="003E0D09" w:rsidP="00423120">
            <w:pPr>
              <w:keepNext/>
              <w:jc w:val="center"/>
              <w:rPr>
                <w:rFonts w:ascii="Calibri" w:hAnsi="Calibri" w:cs="Calibri"/>
                <w:b/>
              </w:rPr>
            </w:pPr>
            <w:r w:rsidRPr="003E0D09">
              <w:rPr>
                <w:rFonts w:ascii="Calibri" w:hAnsi="Calibri" w:cs="Calibri"/>
                <w:b/>
              </w:rPr>
              <w:t>2012</w:t>
            </w:r>
          </w:p>
        </w:tc>
      </w:tr>
      <w:tr w:rsidR="003E0D09" w:rsidRPr="003E0D09" w:rsidTr="00F44BE8">
        <w:trPr>
          <w:trHeight w:hRule="exact" w:val="340"/>
        </w:trPr>
        <w:tc>
          <w:tcPr>
            <w:tcW w:w="6236" w:type="dxa"/>
            <w:tcBorders>
              <w:top w:val="nil"/>
              <w:left w:val="single" w:sz="4" w:space="0" w:color="auto"/>
              <w:bottom w:val="single" w:sz="4" w:space="0" w:color="auto"/>
              <w:right w:val="single" w:sz="4" w:space="0" w:color="auto"/>
            </w:tcBorders>
            <w:noWrap/>
            <w:vAlign w:val="bottom"/>
            <w:hideMark/>
          </w:tcPr>
          <w:p w:rsidR="003E0D09" w:rsidRPr="00426C00" w:rsidRDefault="003E0D09" w:rsidP="00423120">
            <w:pPr>
              <w:keepNext/>
              <w:rPr>
                <w:rFonts w:ascii="Calibri" w:hAnsi="Calibri" w:cs="Calibri"/>
              </w:rPr>
            </w:pPr>
            <w:r w:rsidRPr="00426C00">
              <w:rPr>
                <w:rFonts w:ascii="Calibri" w:hAnsi="Calibri" w:cs="Calibri"/>
              </w:rPr>
              <w:t>Podíl výdajů státního rozpočtu na veřejných výdajích</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rPr>
            </w:pPr>
            <w:r w:rsidRPr="00426C00">
              <w:rPr>
                <w:rFonts w:ascii="Calibri" w:hAnsi="Calibri" w:cs="Calibri"/>
              </w:rPr>
              <w:t>70,24</w:t>
            </w:r>
            <w:r w:rsidR="00275DD2">
              <w:rPr>
                <w:rFonts w:ascii="Calibri" w:hAnsi="Calibri" w:cs="Calibri"/>
              </w:rPr>
              <w:t xml:space="preserve"> </w:t>
            </w:r>
            <w:r w:rsidRPr="00426C00">
              <w:rPr>
                <w:rFonts w:ascii="Calibri" w:hAnsi="Calibri" w:cs="Calibri"/>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rPr>
            </w:pPr>
            <w:r w:rsidRPr="00426C00">
              <w:rPr>
                <w:rFonts w:ascii="Calibri" w:hAnsi="Calibri" w:cs="Calibri"/>
              </w:rPr>
              <w:t>72,97</w:t>
            </w:r>
            <w:r w:rsidR="00275DD2">
              <w:rPr>
                <w:rFonts w:ascii="Calibri" w:hAnsi="Calibri" w:cs="Calibri"/>
              </w:rPr>
              <w:t xml:space="preserve"> </w:t>
            </w:r>
            <w:r w:rsidRPr="00426C00">
              <w:rPr>
                <w:rFonts w:ascii="Calibri" w:hAnsi="Calibri" w:cs="Calibri"/>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rPr>
            </w:pPr>
            <w:r w:rsidRPr="00426C00">
              <w:rPr>
                <w:rFonts w:ascii="Calibri" w:hAnsi="Calibri" w:cs="Calibri"/>
              </w:rPr>
              <w:t>74,44</w:t>
            </w:r>
            <w:r w:rsidR="00275DD2">
              <w:rPr>
                <w:rFonts w:ascii="Calibri" w:hAnsi="Calibri" w:cs="Calibri"/>
              </w:rPr>
              <w:t xml:space="preserve"> </w:t>
            </w:r>
            <w:r w:rsidRPr="00426C00">
              <w:rPr>
                <w:rFonts w:ascii="Calibri" w:hAnsi="Calibri" w:cs="Calibri"/>
              </w:rPr>
              <w:t>%</w:t>
            </w:r>
          </w:p>
        </w:tc>
      </w:tr>
      <w:tr w:rsidR="003E0D09" w:rsidRPr="003E0D09" w:rsidTr="00F44BE8">
        <w:trPr>
          <w:trHeight w:hRule="exact" w:val="340"/>
        </w:trPr>
        <w:tc>
          <w:tcPr>
            <w:tcW w:w="6236" w:type="dxa"/>
            <w:tcBorders>
              <w:top w:val="nil"/>
              <w:left w:val="single" w:sz="4" w:space="0" w:color="auto"/>
              <w:bottom w:val="single" w:sz="4" w:space="0" w:color="auto"/>
              <w:right w:val="single" w:sz="4" w:space="0" w:color="auto"/>
            </w:tcBorders>
            <w:noWrap/>
            <w:vAlign w:val="bottom"/>
            <w:hideMark/>
          </w:tcPr>
          <w:p w:rsidR="003E0D09" w:rsidRPr="00426C00" w:rsidRDefault="003E0D09" w:rsidP="00423120">
            <w:pPr>
              <w:keepNext/>
              <w:rPr>
                <w:rFonts w:ascii="Calibri" w:hAnsi="Calibri" w:cs="Calibri"/>
              </w:rPr>
            </w:pPr>
            <w:r w:rsidRPr="00426C00">
              <w:rPr>
                <w:rFonts w:ascii="Calibri" w:hAnsi="Calibri" w:cs="Calibri"/>
              </w:rPr>
              <w:t>Podíl výdajů ÚSC na veřejných výdajích</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rPr>
            </w:pPr>
            <w:r w:rsidRPr="00426C00">
              <w:rPr>
                <w:rFonts w:ascii="Calibri" w:hAnsi="Calibri" w:cs="Calibri"/>
              </w:rPr>
              <w:t>29,76</w:t>
            </w:r>
            <w:r w:rsidR="00275DD2">
              <w:rPr>
                <w:rFonts w:ascii="Calibri" w:hAnsi="Calibri" w:cs="Calibri"/>
              </w:rPr>
              <w:t xml:space="preserve"> </w:t>
            </w:r>
            <w:r w:rsidRPr="00426C00">
              <w:rPr>
                <w:rFonts w:ascii="Calibri" w:hAnsi="Calibri" w:cs="Calibri"/>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rPr>
            </w:pPr>
            <w:r w:rsidRPr="00426C00">
              <w:rPr>
                <w:rFonts w:ascii="Calibri" w:hAnsi="Calibri" w:cs="Calibri"/>
              </w:rPr>
              <w:t>27,03</w:t>
            </w:r>
            <w:r w:rsidR="00275DD2">
              <w:rPr>
                <w:rFonts w:ascii="Calibri" w:hAnsi="Calibri" w:cs="Calibri"/>
              </w:rPr>
              <w:t xml:space="preserve"> </w:t>
            </w:r>
            <w:r w:rsidRPr="00426C00">
              <w:rPr>
                <w:rFonts w:ascii="Calibri" w:hAnsi="Calibri" w:cs="Calibri"/>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rPr>
            </w:pPr>
            <w:r w:rsidRPr="00426C00">
              <w:rPr>
                <w:rFonts w:ascii="Calibri" w:hAnsi="Calibri" w:cs="Calibri"/>
              </w:rPr>
              <w:t>25,56</w:t>
            </w:r>
            <w:r w:rsidR="00275DD2">
              <w:rPr>
                <w:rFonts w:ascii="Calibri" w:hAnsi="Calibri" w:cs="Calibri"/>
              </w:rPr>
              <w:t xml:space="preserve"> </w:t>
            </w:r>
            <w:r w:rsidRPr="00426C00">
              <w:rPr>
                <w:rFonts w:ascii="Calibri" w:hAnsi="Calibri" w:cs="Calibri"/>
              </w:rPr>
              <w:t>%</w:t>
            </w:r>
          </w:p>
        </w:tc>
      </w:tr>
      <w:tr w:rsidR="003E0D09" w:rsidRPr="003E0D09" w:rsidTr="00F44BE8">
        <w:trPr>
          <w:trHeight w:hRule="exact" w:val="340"/>
        </w:trPr>
        <w:tc>
          <w:tcPr>
            <w:tcW w:w="6236" w:type="dxa"/>
            <w:tcBorders>
              <w:top w:val="nil"/>
              <w:left w:val="single" w:sz="4" w:space="0" w:color="auto"/>
              <w:bottom w:val="single" w:sz="4" w:space="0" w:color="auto"/>
              <w:right w:val="single" w:sz="4" w:space="0" w:color="auto"/>
            </w:tcBorders>
            <w:noWrap/>
            <w:vAlign w:val="bottom"/>
            <w:hideMark/>
          </w:tcPr>
          <w:p w:rsidR="003E0D09" w:rsidRPr="00426C00" w:rsidRDefault="003E0D09" w:rsidP="00423120">
            <w:pPr>
              <w:keepNext/>
              <w:rPr>
                <w:rFonts w:ascii="Calibri" w:hAnsi="Calibri" w:cs="Calibri"/>
                <w:iCs/>
              </w:rPr>
            </w:pPr>
            <w:r w:rsidRPr="00426C00">
              <w:rPr>
                <w:rFonts w:ascii="Calibri" w:hAnsi="Calibri" w:cs="Calibri"/>
                <w:iCs/>
              </w:rPr>
              <w:t>Podíl výdajů krajů včetně regionálních rad regionů soudržnosti</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iCs/>
              </w:rPr>
            </w:pPr>
            <w:r w:rsidRPr="00426C00">
              <w:rPr>
                <w:rFonts w:ascii="Calibri" w:hAnsi="Calibri" w:cs="Calibri"/>
                <w:iCs/>
              </w:rPr>
              <w:t>8,22</w:t>
            </w:r>
            <w:r w:rsidR="00275DD2">
              <w:rPr>
                <w:rFonts w:ascii="Calibri" w:hAnsi="Calibri" w:cs="Calibri"/>
                <w:iCs/>
              </w:rPr>
              <w:t xml:space="preserve"> </w:t>
            </w:r>
            <w:r w:rsidRPr="00426C00">
              <w:rPr>
                <w:rFonts w:ascii="Calibri" w:hAnsi="Calibri" w:cs="Calibri"/>
                <w:iCs/>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iCs/>
              </w:rPr>
            </w:pPr>
            <w:r w:rsidRPr="00426C00">
              <w:rPr>
                <w:rFonts w:ascii="Calibri" w:hAnsi="Calibri" w:cs="Calibri"/>
                <w:iCs/>
              </w:rPr>
              <w:t>9,66</w:t>
            </w:r>
            <w:r w:rsidR="00275DD2">
              <w:rPr>
                <w:rFonts w:ascii="Calibri" w:hAnsi="Calibri" w:cs="Calibri"/>
                <w:iCs/>
              </w:rPr>
              <w:t xml:space="preserve"> </w:t>
            </w:r>
            <w:r w:rsidRPr="00426C00">
              <w:rPr>
                <w:rFonts w:ascii="Calibri" w:hAnsi="Calibri" w:cs="Calibri"/>
                <w:iCs/>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iCs/>
              </w:rPr>
            </w:pPr>
            <w:r w:rsidRPr="00426C00">
              <w:rPr>
                <w:rFonts w:ascii="Calibri" w:hAnsi="Calibri" w:cs="Calibri"/>
                <w:iCs/>
              </w:rPr>
              <w:t>10,03</w:t>
            </w:r>
            <w:r w:rsidR="00275DD2">
              <w:rPr>
                <w:rFonts w:ascii="Calibri" w:hAnsi="Calibri" w:cs="Calibri"/>
                <w:iCs/>
              </w:rPr>
              <w:t xml:space="preserve"> </w:t>
            </w:r>
            <w:r w:rsidRPr="00426C00">
              <w:rPr>
                <w:rFonts w:ascii="Calibri" w:hAnsi="Calibri" w:cs="Calibri"/>
                <w:iCs/>
              </w:rPr>
              <w:t>%</w:t>
            </w:r>
          </w:p>
        </w:tc>
      </w:tr>
      <w:tr w:rsidR="003E0D09" w:rsidRPr="003E0D09" w:rsidTr="00F44BE8">
        <w:trPr>
          <w:trHeight w:hRule="exact" w:val="340"/>
        </w:trPr>
        <w:tc>
          <w:tcPr>
            <w:tcW w:w="6236" w:type="dxa"/>
            <w:tcBorders>
              <w:top w:val="nil"/>
              <w:left w:val="single" w:sz="4" w:space="0" w:color="auto"/>
              <w:bottom w:val="single" w:sz="4" w:space="0" w:color="auto"/>
              <w:right w:val="single" w:sz="4" w:space="0" w:color="auto"/>
            </w:tcBorders>
            <w:noWrap/>
            <w:vAlign w:val="bottom"/>
            <w:hideMark/>
          </w:tcPr>
          <w:p w:rsidR="003E0D09" w:rsidRPr="00426C00" w:rsidRDefault="003E0D09" w:rsidP="00423120">
            <w:pPr>
              <w:keepNext/>
              <w:rPr>
                <w:rFonts w:ascii="Calibri" w:hAnsi="Calibri" w:cs="Calibri"/>
                <w:iCs/>
              </w:rPr>
            </w:pPr>
            <w:r w:rsidRPr="00426C00">
              <w:rPr>
                <w:rFonts w:ascii="Calibri" w:hAnsi="Calibri" w:cs="Calibri"/>
                <w:iCs/>
              </w:rPr>
              <w:t>Podíl výdajů obcí včetně DSO</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iCs/>
              </w:rPr>
            </w:pPr>
            <w:r w:rsidRPr="00426C00">
              <w:rPr>
                <w:rFonts w:ascii="Calibri" w:hAnsi="Calibri" w:cs="Calibri"/>
                <w:iCs/>
              </w:rPr>
              <w:t>21,54</w:t>
            </w:r>
            <w:r w:rsidR="00275DD2">
              <w:rPr>
                <w:rFonts w:ascii="Calibri" w:hAnsi="Calibri" w:cs="Calibri"/>
                <w:iCs/>
              </w:rPr>
              <w:t xml:space="preserve"> </w:t>
            </w:r>
            <w:r w:rsidRPr="00426C00">
              <w:rPr>
                <w:rFonts w:ascii="Calibri" w:hAnsi="Calibri" w:cs="Calibri"/>
                <w:iCs/>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iCs/>
              </w:rPr>
            </w:pPr>
            <w:r w:rsidRPr="00426C00">
              <w:rPr>
                <w:rFonts w:ascii="Calibri" w:hAnsi="Calibri" w:cs="Calibri"/>
                <w:iCs/>
              </w:rPr>
              <w:t>17,37</w:t>
            </w:r>
            <w:r w:rsidR="00275DD2">
              <w:rPr>
                <w:rFonts w:ascii="Calibri" w:hAnsi="Calibri" w:cs="Calibri"/>
                <w:iCs/>
              </w:rPr>
              <w:t xml:space="preserve"> </w:t>
            </w:r>
            <w:r w:rsidRPr="00426C00">
              <w:rPr>
                <w:rFonts w:ascii="Calibri" w:hAnsi="Calibri" w:cs="Calibri"/>
                <w:iCs/>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iCs/>
              </w:rPr>
            </w:pPr>
            <w:r w:rsidRPr="00426C00">
              <w:rPr>
                <w:rFonts w:ascii="Calibri" w:hAnsi="Calibri" w:cs="Calibri"/>
                <w:iCs/>
              </w:rPr>
              <w:t>15,53</w:t>
            </w:r>
            <w:r w:rsidR="00275DD2">
              <w:rPr>
                <w:rFonts w:ascii="Calibri" w:hAnsi="Calibri" w:cs="Calibri"/>
                <w:iCs/>
              </w:rPr>
              <w:t xml:space="preserve"> </w:t>
            </w:r>
            <w:r w:rsidRPr="00426C00">
              <w:rPr>
                <w:rFonts w:ascii="Calibri" w:hAnsi="Calibri" w:cs="Calibri"/>
                <w:iCs/>
              </w:rPr>
              <w:t>%</w:t>
            </w:r>
          </w:p>
        </w:tc>
      </w:tr>
      <w:tr w:rsidR="003E0D09" w:rsidRPr="003E0D09" w:rsidTr="00F44BE8">
        <w:trPr>
          <w:trHeight w:hRule="exact" w:val="340"/>
        </w:trPr>
        <w:tc>
          <w:tcPr>
            <w:tcW w:w="6236" w:type="dxa"/>
            <w:tcBorders>
              <w:top w:val="nil"/>
              <w:left w:val="single" w:sz="4" w:space="0" w:color="auto"/>
              <w:bottom w:val="single" w:sz="4" w:space="0" w:color="auto"/>
              <w:right w:val="single" w:sz="4" w:space="0" w:color="auto"/>
            </w:tcBorders>
            <w:noWrap/>
            <w:vAlign w:val="bottom"/>
            <w:hideMark/>
          </w:tcPr>
          <w:p w:rsidR="003E0D09" w:rsidRPr="00426C00" w:rsidRDefault="003E0D09" w:rsidP="00423120">
            <w:pPr>
              <w:keepNext/>
              <w:rPr>
                <w:rFonts w:ascii="Calibri" w:hAnsi="Calibri" w:cs="Calibri"/>
              </w:rPr>
            </w:pPr>
            <w:r w:rsidRPr="00426C00">
              <w:rPr>
                <w:rFonts w:ascii="Calibri" w:hAnsi="Calibri" w:cs="Calibri"/>
              </w:rPr>
              <w:t>Podíl příjmů státního rozpočtu na veřejných příjmech</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rPr>
            </w:pPr>
            <w:r w:rsidRPr="00426C00">
              <w:rPr>
                <w:rFonts w:ascii="Calibri" w:hAnsi="Calibri" w:cs="Calibri"/>
              </w:rPr>
              <w:t>67,23</w:t>
            </w:r>
            <w:r w:rsidR="00275DD2">
              <w:rPr>
                <w:rFonts w:ascii="Calibri" w:hAnsi="Calibri" w:cs="Calibri"/>
              </w:rPr>
              <w:t xml:space="preserve"> </w:t>
            </w:r>
            <w:r w:rsidRPr="00426C00">
              <w:rPr>
                <w:rFonts w:ascii="Calibri" w:hAnsi="Calibri" w:cs="Calibri"/>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rPr>
            </w:pPr>
            <w:r w:rsidRPr="00426C00">
              <w:rPr>
                <w:rFonts w:ascii="Calibri" w:hAnsi="Calibri" w:cs="Calibri"/>
              </w:rPr>
              <w:t>70,39</w:t>
            </w:r>
            <w:r w:rsidR="00275DD2">
              <w:rPr>
                <w:rFonts w:ascii="Calibri" w:hAnsi="Calibri" w:cs="Calibri"/>
              </w:rPr>
              <w:t xml:space="preserve"> </w:t>
            </w:r>
            <w:r w:rsidRPr="00426C00">
              <w:rPr>
                <w:rFonts w:ascii="Calibri" w:hAnsi="Calibri" w:cs="Calibri"/>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rPr>
            </w:pPr>
            <w:r w:rsidRPr="00426C00">
              <w:rPr>
                <w:rFonts w:ascii="Calibri" w:hAnsi="Calibri" w:cs="Calibri"/>
              </w:rPr>
              <w:t>72,55</w:t>
            </w:r>
            <w:r w:rsidR="00275DD2">
              <w:rPr>
                <w:rFonts w:ascii="Calibri" w:hAnsi="Calibri" w:cs="Calibri"/>
              </w:rPr>
              <w:t xml:space="preserve"> </w:t>
            </w:r>
            <w:r w:rsidRPr="00426C00">
              <w:rPr>
                <w:rFonts w:ascii="Calibri" w:hAnsi="Calibri" w:cs="Calibri"/>
              </w:rPr>
              <w:t>%</w:t>
            </w:r>
          </w:p>
        </w:tc>
      </w:tr>
      <w:tr w:rsidR="003E0D09" w:rsidRPr="003E0D09" w:rsidTr="00F44BE8">
        <w:trPr>
          <w:trHeight w:hRule="exact" w:val="340"/>
        </w:trPr>
        <w:tc>
          <w:tcPr>
            <w:tcW w:w="6236" w:type="dxa"/>
            <w:tcBorders>
              <w:top w:val="nil"/>
              <w:left w:val="single" w:sz="4" w:space="0" w:color="auto"/>
              <w:bottom w:val="single" w:sz="4" w:space="0" w:color="auto"/>
              <w:right w:val="single" w:sz="4" w:space="0" w:color="auto"/>
            </w:tcBorders>
            <w:noWrap/>
            <w:vAlign w:val="bottom"/>
            <w:hideMark/>
          </w:tcPr>
          <w:p w:rsidR="003E0D09" w:rsidRPr="00426C00" w:rsidRDefault="003E0D09" w:rsidP="00423120">
            <w:pPr>
              <w:keepNext/>
              <w:rPr>
                <w:rFonts w:ascii="Calibri" w:hAnsi="Calibri" w:cs="Calibri"/>
              </w:rPr>
            </w:pPr>
            <w:r w:rsidRPr="00426C00">
              <w:rPr>
                <w:rFonts w:ascii="Calibri" w:hAnsi="Calibri" w:cs="Calibri"/>
              </w:rPr>
              <w:t>Podíl příjmů ÚSC na veřejných příjmech</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rPr>
            </w:pPr>
            <w:r w:rsidRPr="00426C00">
              <w:rPr>
                <w:rFonts w:ascii="Calibri" w:hAnsi="Calibri" w:cs="Calibri"/>
              </w:rPr>
              <w:t>32,77</w:t>
            </w:r>
            <w:r w:rsidR="00275DD2">
              <w:rPr>
                <w:rFonts w:ascii="Calibri" w:hAnsi="Calibri" w:cs="Calibri"/>
              </w:rPr>
              <w:t xml:space="preserve"> </w:t>
            </w:r>
            <w:r w:rsidRPr="00426C00">
              <w:rPr>
                <w:rFonts w:ascii="Calibri" w:hAnsi="Calibri" w:cs="Calibri"/>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rPr>
            </w:pPr>
            <w:r w:rsidRPr="00426C00">
              <w:rPr>
                <w:rFonts w:ascii="Calibri" w:hAnsi="Calibri" w:cs="Calibri"/>
              </w:rPr>
              <w:t>29,61</w:t>
            </w:r>
            <w:r w:rsidR="00275DD2">
              <w:rPr>
                <w:rFonts w:ascii="Calibri" w:hAnsi="Calibri" w:cs="Calibri"/>
              </w:rPr>
              <w:t xml:space="preserve"> </w:t>
            </w:r>
            <w:r w:rsidRPr="00426C00">
              <w:rPr>
                <w:rFonts w:ascii="Calibri" w:hAnsi="Calibri" w:cs="Calibri"/>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rPr>
            </w:pPr>
            <w:r w:rsidRPr="00426C00">
              <w:rPr>
                <w:rFonts w:ascii="Calibri" w:hAnsi="Calibri" w:cs="Calibri"/>
              </w:rPr>
              <w:t>27,45</w:t>
            </w:r>
            <w:r w:rsidR="00275DD2">
              <w:rPr>
                <w:rFonts w:ascii="Calibri" w:hAnsi="Calibri" w:cs="Calibri"/>
              </w:rPr>
              <w:t xml:space="preserve"> </w:t>
            </w:r>
            <w:r w:rsidRPr="00426C00">
              <w:rPr>
                <w:rFonts w:ascii="Calibri" w:hAnsi="Calibri" w:cs="Calibri"/>
              </w:rPr>
              <w:t>%</w:t>
            </w:r>
          </w:p>
        </w:tc>
      </w:tr>
      <w:tr w:rsidR="003E0D09" w:rsidRPr="003E0D09" w:rsidTr="00F44BE8">
        <w:trPr>
          <w:trHeight w:hRule="exact" w:val="340"/>
        </w:trPr>
        <w:tc>
          <w:tcPr>
            <w:tcW w:w="6236" w:type="dxa"/>
            <w:tcBorders>
              <w:top w:val="nil"/>
              <w:left w:val="single" w:sz="4" w:space="0" w:color="auto"/>
              <w:bottom w:val="single" w:sz="4" w:space="0" w:color="auto"/>
              <w:right w:val="single" w:sz="4" w:space="0" w:color="auto"/>
            </w:tcBorders>
            <w:noWrap/>
            <w:vAlign w:val="bottom"/>
            <w:hideMark/>
          </w:tcPr>
          <w:p w:rsidR="003E0D09" w:rsidRPr="00426C00" w:rsidRDefault="003E0D09" w:rsidP="00423120">
            <w:pPr>
              <w:keepNext/>
              <w:rPr>
                <w:rFonts w:ascii="Calibri" w:hAnsi="Calibri" w:cs="Calibri"/>
                <w:iCs/>
              </w:rPr>
            </w:pPr>
            <w:r w:rsidRPr="00426C00">
              <w:rPr>
                <w:rFonts w:ascii="Calibri" w:hAnsi="Calibri" w:cs="Calibri"/>
                <w:iCs/>
              </w:rPr>
              <w:t>Podíl příjmů krajů včetně regionálních rad regionů soudržnosti</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iCs/>
              </w:rPr>
            </w:pPr>
            <w:r w:rsidRPr="00426C00">
              <w:rPr>
                <w:rFonts w:ascii="Calibri" w:hAnsi="Calibri" w:cs="Calibri"/>
                <w:iCs/>
              </w:rPr>
              <w:t>9,24</w:t>
            </w:r>
            <w:r w:rsidR="00275DD2">
              <w:rPr>
                <w:rFonts w:ascii="Calibri" w:hAnsi="Calibri" w:cs="Calibri"/>
                <w:iCs/>
              </w:rPr>
              <w:t xml:space="preserve"> </w:t>
            </w:r>
            <w:r w:rsidRPr="00426C00">
              <w:rPr>
                <w:rFonts w:ascii="Calibri" w:hAnsi="Calibri" w:cs="Calibri"/>
                <w:iCs/>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iCs/>
              </w:rPr>
            </w:pPr>
            <w:r w:rsidRPr="00426C00">
              <w:rPr>
                <w:rFonts w:ascii="Calibri" w:hAnsi="Calibri" w:cs="Calibri"/>
                <w:iCs/>
              </w:rPr>
              <w:t>10,53</w:t>
            </w:r>
            <w:r w:rsidR="00275DD2">
              <w:rPr>
                <w:rFonts w:ascii="Calibri" w:hAnsi="Calibri" w:cs="Calibri"/>
                <w:iCs/>
              </w:rPr>
              <w:t xml:space="preserve"> </w:t>
            </w:r>
            <w:r w:rsidRPr="00426C00">
              <w:rPr>
                <w:rFonts w:ascii="Calibri" w:hAnsi="Calibri" w:cs="Calibri"/>
                <w:iCs/>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iCs/>
              </w:rPr>
            </w:pPr>
            <w:r w:rsidRPr="00426C00">
              <w:rPr>
                <w:rFonts w:ascii="Calibri" w:hAnsi="Calibri" w:cs="Calibri"/>
                <w:iCs/>
              </w:rPr>
              <w:t>10,41</w:t>
            </w:r>
            <w:r w:rsidR="00275DD2">
              <w:rPr>
                <w:rFonts w:ascii="Calibri" w:hAnsi="Calibri" w:cs="Calibri"/>
                <w:iCs/>
              </w:rPr>
              <w:t xml:space="preserve"> </w:t>
            </w:r>
            <w:r w:rsidRPr="00426C00">
              <w:rPr>
                <w:rFonts w:ascii="Calibri" w:hAnsi="Calibri" w:cs="Calibri"/>
                <w:iCs/>
              </w:rPr>
              <w:t>%</w:t>
            </w:r>
          </w:p>
        </w:tc>
      </w:tr>
      <w:tr w:rsidR="003E0D09" w:rsidRPr="003E0D09" w:rsidTr="00F44BE8">
        <w:trPr>
          <w:trHeight w:hRule="exact" w:val="340"/>
        </w:trPr>
        <w:tc>
          <w:tcPr>
            <w:tcW w:w="6236" w:type="dxa"/>
            <w:tcBorders>
              <w:top w:val="nil"/>
              <w:left w:val="single" w:sz="4" w:space="0" w:color="auto"/>
              <w:bottom w:val="single" w:sz="4" w:space="0" w:color="auto"/>
              <w:right w:val="single" w:sz="4" w:space="0" w:color="auto"/>
            </w:tcBorders>
            <w:noWrap/>
            <w:vAlign w:val="bottom"/>
            <w:hideMark/>
          </w:tcPr>
          <w:p w:rsidR="003E0D09" w:rsidRPr="00426C00" w:rsidRDefault="003E0D09" w:rsidP="00423120">
            <w:pPr>
              <w:keepNext/>
              <w:rPr>
                <w:rFonts w:ascii="Calibri" w:hAnsi="Calibri" w:cs="Calibri"/>
                <w:iCs/>
              </w:rPr>
            </w:pPr>
            <w:r w:rsidRPr="00426C00">
              <w:rPr>
                <w:rFonts w:ascii="Calibri" w:hAnsi="Calibri" w:cs="Calibri"/>
                <w:iCs/>
              </w:rPr>
              <w:t>Podíl příjmů obcí včetně DSO</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iCs/>
              </w:rPr>
            </w:pPr>
            <w:r w:rsidRPr="00426C00">
              <w:rPr>
                <w:rFonts w:ascii="Calibri" w:hAnsi="Calibri" w:cs="Calibri"/>
                <w:iCs/>
              </w:rPr>
              <w:t>23,53</w:t>
            </w:r>
            <w:r w:rsidR="00275DD2">
              <w:rPr>
                <w:rFonts w:ascii="Calibri" w:hAnsi="Calibri" w:cs="Calibri"/>
                <w:iCs/>
              </w:rPr>
              <w:t xml:space="preserve"> </w:t>
            </w:r>
            <w:r w:rsidRPr="00426C00">
              <w:rPr>
                <w:rFonts w:ascii="Calibri" w:hAnsi="Calibri" w:cs="Calibri"/>
                <w:iCs/>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iCs/>
              </w:rPr>
            </w:pPr>
            <w:r w:rsidRPr="00426C00">
              <w:rPr>
                <w:rFonts w:ascii="Calibri" w:hAnsi="Calibri" w:cs="Calibri"/>
                <w:iCs/>
              </w:rPr>
              <w:t>19,08</w:t>
            </w:r>
            <w:r w:rsidR="00275DD2">
              <w:rPr>
                <w:rFonts w:ascii="Calibri" w:hAnsi="Calibri" w:cs="Calibri"/>
                <w:iCs/>
              </w:rPr>
              <w:t xml:space="preserve"> </w:t>
            </w:r>
            <w:r w:rsidRPr="00426C00">
              <w:rPr>
                <w:rFonts w:ascii="Calibri" w:hAnsi="Calibri" w:cs="Calibri"/>
                <w:iCs/>
              </w:rPr>
              <w:t>%</w:t>
            </w:r>
          </w:p>
        </w:tc>
        <w:tc>
          <w:tcPr>
            <w:tcW w:w="933" w:type="dxa"/>
            <w:tcBorders>
              <w:top w:val="nil"/>
              <w:left w:val="nil"/>
              <w:bottom w:val="single" w:sz="4" w:space="0" w:color="auto"/>
              <w:right w:val="single" w:sz="4" w:space="0" w:color="auto"/>
            </w:tcBorders>
            <w:noWrap/>
            <w:vAlign w:val="bottom"/>
            <w:hideMark/>
          </w:tcPr>
          <w:p w:rsidR="003E0D09" w:rsidRPr="00426C00" w:rsidRDefault="003E0D09" w:rsidP="00423120">
            <w:pPr>
              <w:keepNext/>
              <w:jc w:val="right"/>
              <w:rPr>
                <w:rFonts w:ascii="Calibri" w:hAnsi="Calibri" w:cs="Calibri"/>
                <w:iCs/>
              </w:rPr>
            </w:pPr>
            <w:r w:rsidRPr="00426C00">
              <w:rPr>
                <w:rFonts w:ascii="Calibri" w:hAnsi="Calibri" w:cs="Calibri"/>
                <w:iCs/>
              </w:rPr>
              <w:t>17,04</w:t>
            </w:r>
            <w:r w:rsidR="00275DD2">
              <w:rPr>
                <w:rFonts w:ascii="Calibri" w:hAnsi="Calibri" w:cs="Calibri"/>
                <w:iCs/>
              </w:rPr>
              <w:t xml:space="preserve"> </w:t>
            </w:r>
            <w:r w:rsidRPr="00426C00">
              <w:rPr>
                <w:rFonts w:ascii="Calibri" w:hAnsi="Calibri" w:cs="Calibri"/>
                <w:iCs/>
              </w:rPr>
              <w:t>%</w:t>
            </w:r>
          </w:p>
        </w:tc>
      </w:tr>
    </w:tbl>
    <w:p w:rsidR="003E0D09" w:rsidRPr="003E0D09" w:rsidRDefault="003E0D09" w:rsidP="00426C00">
      <w:pPr>
        <w:keepNext/>
        <w:widowControl w:val="0"/>
        <w:suppressLineNumbers/>
        <w:jc w:val="center"/>
        <w:rPr>
          <w:rFonts w:ascii="Calibri" w:hAnsi="Calibri" w:cs="Calibri"/>
          <w:i/>
          <w:lang w:eastAsia="en-US"/>
        </w:rPr>
      </w:pPr>
      <w:r w:rsidRPr="003E0D09">
        <w:rPr>
          <w:rFonts w:ascii="Calibri" w:hAnsi="Calibri" w:cs="Calibri"/>
          <w:i/>
          <w:lang w:eastAsia="en-US"/>
        </w:rPr>
        <w:t>Pramen: Ministerstvo financí ČR (ARISweb, ÚFIS</w:t>
      </w:r>
      <w:r w:rsidRPr="003E0D09">
        <w:rPr>
          <w:rFonts w:asciiTheme="minorHAnsi" w:eastAsia="Calibri" w:hAnsiTheme="minorHAnsi" w:cstheme="minorHAnsi"/>
          <w:i/>
          <w:lang w:eastAsia="en-US"/>
        </w:rPr>
        <w:t xml:space="preserve"> ; </w:t>
      </w:r>
      <w:r w:rsidRPr="003E0D09">
        <w:rPr>
          <w:rFonts w:ascii="Calibri" w:hAnsi="Calibri" w:cs="Calibri"/>
          <w:i/>
          <w:lang w:eastAsia="en-US"/>
        </w:rPr>
        <w:t>vlastní úprava (31. 10. 2013).</w:t>
      </w:r>
    </w:p>
    <w:p w:rsidR="003E0D09" w:rsidRPr="003E0D09" w:rsidRDefault="003E0D09" w:rsidP="00423120">
      <w:pPr>
        <w:keepNext/>
        <w:ind w:firstLine="720"/>
        <w:jc w:val="both"/>
        <w:rPr>
          <w:sz w:val="24"/>
          <w:szCs w:val="24"/>
        </w:rPr>
      </w:pPr>
      <w:r w:rsidRPr="003E0D09">
        <w:rPr>
          <w:sz w:val="24"/>
          <w:szCs w:val="24"/>
        </w:rPr>
        <w:t xml:space="preserve">Z výše uvedené </w:t>
      </w:r>
      <w:r w:rsidRPr="003E0D09">
        <w:rPr>
          <w:rFonts w:cs="Tahoma"/>
          <w:bCs/>
          <w:sz w:val="24"/>
          <w:szCs w:val="24"/>
        </w:rPr>
        <w:t>tabulky</w:t>
      </w:r>
      <w:r w:rsidRPr="003E0D09">
        <w:rPr>
          <w:sz w:val="24"/>
          <w:szCs w:val="24"/>
        </w:rPr>
        <w:t xml:space="preserve"> je patrné, že zatímco podíl výdajů krajů celkově zřetelně vzrostl (v případě příjmů však i u krajů došlo v roce 201</w:t>
      </w:r>
      <w:r w:rsidR="008C6D7E">
        <w:rPr>
          <w:sz w:val="24"/>
          <w:szCs w:val="24"/>
        </w:rPr>
        <w:t>2 k poklesu), tak podíl obcí na </w:t>
      </w:r>
      <w:r w:rsidRPr="003E0D09">
        <w:rPr>
          <w:sz w:val="24"/>
          <w:szCs w:val="24"/>
        </w:rPr>
        <w:t>celkových příjmech i výdajích klesá, a to v prvním případě o zhruba 6 % a ve druhém případě o 5 %. U krajů je navíc nutné zmínit, že celkový nárůst je způsoben především započtením příjmů a výdajů Regionálních rad regionů soudrž</w:t>
      </w:r>
      <w:r w:rsidR="008C6D7E">
        <w:rPr>
          <w:sz w:val="24"/>
          <w:szCs w:val="24"/>
        </w:rPr>
        <w:t>nosti od roku 2006, čerpaných z </w:t>
      </w:r>
      <w:r w:rsidRPr="003E0D09">
        <w:rPr>
          <w:sz w:val="24"/>
          <w:szCs w:val="24"/>
        </w:rPr>
        <w:t xml:space="preserve">fondů Evropské unie formou regionálních operačních programů. Možnost ovlivnit určité daňové příjmy pak v podstatě existuje jen v případě obcí, kterým </w:t>
      </w:r>
      <w:r w:rsidRPr="003E0D09">
        <w:rPr>
          <w:sz w:val="24"/>
          <w:szCs w:val="24"/>
          <w:lang w:eastAsia="en-US"/>
        </w:rPr>
        <w:t xml:space="preserve">jsou svěřeny následující daně: místní poplatky, daň z nemovitostí, daň z příjmů právnických osob (u nichž je poplatníkem sama obec) a dále svěřené částí daně z příjmů fyzických osob OSVČ a daně z příjmů fyzických osob ze závislé činnosti. Na základě uvedených skutečností lze konstatovat, že </w:t>
      </w:r>
      <w:r w:rsidRPr="003E0D09">
        <w:rPr>
          <w:sz w:val="24"/>
          <w:szCs w:val="24"/>
        </w:rPr>
        <w:t xml:space="preserve">z hlediska finanční soběstačnosti nebyl zatím </w:t>
      </w:r>
      <w:r w:rsidR="00426C00">
        <w:rPr>
          <w:sz w:val="24"/>
          <w:szCs w:val="24"/>
        </w:rPr>
        <w:t>při reformě Ú</w:t>
      </w:r>
      <w:r w:rsidR="00507F4B">
        <w:rPr>
          <w:sz w:val="24"/>
          <w:szCs w:val="24"/>
        </w:rPr>
        <w:t xml:space="preserve">SC </w:t>
      </w:r>
      <w:r w:rsidRPr="003E0D09">
        <w:rPr>
          <w:sz w:val="24"/>
          <w:szCs w:val="24"/>
        </w:rPr>
        <w:t>princip decentralizace zcela naplněn.</w:t>
      </w:r>
    </w:p>
    <w:p w:rsidR="003E0D09" w:rsidRPr="003E0D09" w:rsidRDefault="003E0D09" w:rsidP="00423120">
      <w:pPr>
        <w:keepNext/>
        <w:widowControl w:val="0"/>
        <w:ind w:firstLine="720"/>
        <w:jc w:val="both"/>
        <w:rPr>
          <w:sz w:val="24"/>
          <w:szCs w:val="24"/>
        </w:rPr>
      </w:pPr>
      <w:r w:rsidRPr="003E0D09">
        <w:rPr>
          <w:sz w:val="24"/>
          <w:szCs w:val="24"/>
        </w:rPr>
        <w:t>V daném kontextu je vhodné zmínit dva principy</w:t>
      </w:r>
      <w:r w:rsidR="008C6D7E">
        <w:rPr>
          <w:sz w:val="24"/>
          <w:szCs w:val="24"/>
        </w:rPr>
        <w:t xml:space="preserve"> užívané spíše v souvislosti se </w:t>
      </w:r>
      <w:r w:rsidRPr="003E0D09">
        <w:rPr>
          <w:sz w:val="24"/>
          <w:szCs w:val="24"/>
        </w:rPr>
        <w:t>sociální politikou, nicméně relevantní i pro politiku regionální či pro řízení ve veřejné správě, a to princip zásluhovosti a princip solidarity. Princip zásluhovosti znamená reflektování skutečnosti, do jaké míry se daný subjekt nebo region v minulosti podílel na dosaženém výkonu. Ve veřejné správě je pak tento princip reflektován v kariérním systému zaměstnávání úředníků, který má dlouhodobou tradici především v evropských správních systémech. Naproti tomu uplatňování principu solidarity je determinováno snahou o dosažení sociální spravedlnosti napříč společností. Tento princip lze nahlížet z několika pozic (např. z pohledu různých sociálních skupin jako solidaritu mezigenerační, solidaritu zaměstnaných s nezaměstnanými či solidaritu zdravých s nemocnými nebo solidaritu bohatých s chudšími vrstvami obyvatel). Z pohledu regionálního je pak nejvýznamnější úhel pohledu determinován prostorovou a institucionální úrovní. Z tohoto hlediska lze rozlišovat solidaritu mezinárodní (např. různé podpůrné programy WHO, UNICEF či regionální politika EU), národní (která se projevuje podporou vybraných problémových regionů) či úroveň mikroregionální (u které lze solidaritu vysledovat např. při spolupráci mikroregionálních center se svým venkovským zázemím). Úkolem veřejného sektoru je hledání optimální kombinace prosazování principu zásluhovosti a principu</w:t>
      </w:r>
      <w:r w:rsidR="00426C00">
        <w:rPr>
          <w:sz w:val="24"/>
          <w:szCs w:val="24"/>
        </w:rPr>
        <w:t xml:space="preserve"> solidarity, neboť při rezignaci,</w:t>
      </w:r>
      <w:r w:rsidRPr="003E0D09">
        <w:rPr>
          <w:sz w:val="24"/>
          <w:szCs w:val="24"/>
        </w:rPr>
        <w:t xml:space="preserve"> na tento nikdy nekončící úkol</w:t>
      </w:r>
      <w:r w:rsidR="00426C00">
        <w:rPr>
          <w:sz w:val="24"/>
          <w:szCs w:val="24"/>
        </w:rPr>
        <w:t>,</w:t>
      </w:r>
      <w:r w:rsidRPr="003E0D09">
        <w:rPr>
          <w:sz w:val="24"/>
          <w:szCs w:val="24"/>
        </w:rPr>
        <w:t xml:space="preserve"> může docházet k významným negativním důsledkům (např. ke koncentraci sociálně vyloučených obyvatel).</w:t>
      </w:r>
    </w:p>
    <w:p w:rsidR="003E0D09" w:rsidRPr="00A70B0A" w:rsidRDefault="003E0D09" w:rsidP="00A70B0A">
      <w:pPr>
        <w:pStyle w:val="02-Nadpis2"/>
      </w:pPr>
      <w:bookmarkStart w:id="128" w:name="_Toc382327212"/>
      <w:r w:rsidRPr="00A70B0A">
        <w:lastRenderedPageBreak/>
        <w:t>4.4. Vědecko-technický pokrok</w:t>
      </w:r>
      <w:bookmarkEnd w:id="128"/>
      <w:r w:rsidRPr="00A70B0A">
        <w:t xml:space="preserve"> </w:t>
      </w:r>
    </w:p>
    <w:p w:rsidR="003E0D09" w:rsidRPr="003E0D09" w:rsidRDefault="003E0D09" w:rsidP="00423120">
      <w:pPr>
        <w:ind w:firstLine="720"/>
        <w:jc w:val="both"/>
        <w:rPr>
          <w:rFonts w:eastAsia="Calibri"/>
          <w:sz w:val="24"/>
          <w:szCs w:val="24"/>
          <w:lang w:eastAsia="en-US"/>
        </w:rPr>
      </w:pPr>
      <w:r w:rsidRPr="003E0D09">
        <w:rPr>
          <w:rFonts w:eastAsia="Calibri"/>
          <w:sz w:val="24"/>
          <w:szCs w:val="24"/>
          <w:lang w:eastAsia="en-US"/>
        </w:rPr>
        <w:t xml:space="preserve">Vědeckotechnický pokrok a inovace jsou </w:t>
      </w:r>
      <w:r w:rsidR="00507F4B">
        <w:rPr>
          <w:rFonts w:eastAsia="Calibri"/>
          <w:sz w:val="24"/>
          <w:szCs w:val="24"/>
          <w:lang w:eastAsia="en-US"/>
        </w:rPr>
        <w:t xml:space="preserve">v současnosti </w:t>
      </w:r>
      <w:r w:rsidRPr="003E0D09">
        <w:rPr>
          <w:rFonts w:eastAsia="Calibri"/>
          <w:sz w:val="24"/>
          <w:szCs w:val="24"/>
          <w:lang w:eastAsia="en-US"/>
        </w:rPr>
        <w:t>považovány za klíčový faktor rozvoje. Za prvního ekonoma, který poukázal na vztah mezi technologickým pokrokem a ekonomickým rozvojem, je považován J. Schumpeter</w:t>
      </w:r>
      <w:r w:rsidR="0054352D">
        <w:rPr>
          <w:rFonts w:eastAsia="Calibri"/>
          <w:sz w:val="24"/>
          <w:szCs w:val="24"/>
          <w:lang w:eastAsia="en-US"/>
        </w:rPr>
        <w:t xml:space="preserve">, který </w:t>
      </w:r>
      <w:r w:rsidR="00507F4B">
        <w:rPr>
          <w:rFonts w:eastAsia="Calibri"/>
          <w:sz w:val="24"/>
          <w:szCs w:val="24"/>
          <w:lang w:eastAsia="en-US"/>
        </w:rPr>
        <w:t>tu</w:t>
      </w:r>
      <w:r w:rsidRPr="003E0D09">
        <w:rPr>
          <w:rFonts w:eastAsia="Calibri"/>
          <w:sz w:val="24"/>
          <w:szCs w:val="24"/>
          <w:lang w:eastAsia="en-US"/>
        </w:rPr>
        <w:t xml:space="preserve">to myšlenku publikoval v roce 1912 v knize Teorie ekonomického rozvoje (nehovořil </w:t>
      </w:r>
      <w:r w:rsidR="00507F4B" w:rsidRPr="003E0D09">
        <w:rPr>
          <w:rFonts w:eastAsia="Calibri"/>
          <w:sz w:val="24"/>
          <w:szCs w:val="24"/>
          <w:lang w:eastAsia="en-US"/>
        </w:rPr>
        <w:t xml:space="preserve">však </w:t>
      </w:r>
      <w:r w:rsidR="008C6D7E">
        <w:rPr>
          <w:rFonts w:eastAsia="Calibri"/>
          <w:sz w:val="24"/>
          <w:szCs w:val="24"/>
          <w:lang w:eastAsia="en-US"/>
        </w:rPr>
        <w:t>přímo o inovacích, ale o </w:t>
      </w:r>
      <w:r w:rsidRPr="003E0D09">
        <w:rPr>
          <w:rFonts w:eastAsia="Calibri"/>
          <w:sz w:val="24"/>
          <w:szCs w:val="24"/>
          <w:lang w:eastAsia="en-US"/>
        </w:rPr>
        <w:t xml:space="preserve">nových kombinacích výrobních faktorů). Schumpeter na základě inovací vysvětloval nejen základní ekonomické kategorie (zisk, konkurenci, úrok, monopoly), ale </w:t>
      </w:r>
      <w:r w:rsidR="00507F4B">
        <w:rPr>
          <w:rFonts w:eastAsia="Calibri"/>
          <w:sz w:val="24"/>
          <w:szCs w:val="24"/>
          <w:lang w:eastAsia="en-US"/>
        </w:rPr>
        <w:t>i</w:t>
      </w:r>
      <w:r w:rsidRPr="003E0D09">
        <w:rPr>
          <w:rFonts w:eastAsia="Calibri"/>
          <w:sz w:val="24"/>
          <w:szCs w:val="24"/>
          <w:lang w:eastAsia="en-US"/>
        </w:rPr>
        <w:t xml:space="preserve"> hospodářské cykly (Sirůček, 2004). Za hlavního nositele inovací považuje podn</w:t>
      </w:r>
      <w:r w:rsidR="008C6D7E">
        <w:rPr>
          <w:rFonts w:eastAsia="Calibri"/>
          <w:sz w:val="24"/>
          <w:szCs w:val="24"/>
          <w:lang w:eastAsia="en-US"/>
        </w:rPr>
        <w:t>ikatele, který objeví mezeru na </w:t>
      </w:r>
      <w:r w:rsidRPr="003E0D09">
        <w:rPr>
          <w:rFonts w:eastAsia="Calibri"/>
          <w:sz w:val="24"/>
          <w:szCs w:val="24"/>
          <w:lang w:eastAsia="en-US"/>
        </w:rPr>
        <w:t>trhu, zaplní ji a vytvoří tak zisk. Podle Schumpetera významná inovace narušuje rovnováhu na trhu a obnovuje ji na kvalitativně vyšší úrovni (Holman, 2000).  Uvedení nového výrobku na trh je tak inovací v technickém i hospodářském smyslu a má zpočátku destruktivní charakter (kreativní destrukce), neboť narušuje předchozí rovnováhu a stabilitu trhu a vede k přemísťování zdrojů</w:t>
      </w:r>
      <w:r w:rsidR="00507F4B">
        <w:rPr>
          <w:rFonts w:eastAsia="Calibri"/>
          <w:sz w:val="24"/>
          <w:szCs w:val="24"/>
          <w:lang w:eastAsia="en-US"/>
        </w:rPr>
        <w:t xml:space="preserve"> (n</w:t>
      </w:r>
      <w:r w:rsidRPr="003E0D09">
        <w:rPr>
          <w:rFonts w:eastAsia="Calibri"/>
          <w:sz w:val="24"/>
          <w:szCs w:val="24"/>
          <w:lang w:eastAsia="en-US"/>
        </w:rPr>
        <w:t>a trhu starého produktu dochází k odlivu kapitálu, který se přesouvá směrem k trhu nového výrobku</w:t>
      </w:r>
      <w:r w:rsidR="00507F4B">
        <w:rPr>
          <w:rFonts w:eastAsia="Calibri"/>
          <w:sz w:val="24"/>
          <w:szCs w:val="24"/>
          <w:lang w:eastAsia="en-US"/>
        </w:rPr>
        <w:t>)</w:t>
      </w:r>
      <w:r w:rsidRPr="003E0D09">
        <w:rPr>
          <w:rFonts w:eastAsia="Calibri"/>
          <w:sz w:val="24"/>
          <w:szCs w:val="24"/>
          <w:lang w:eastAsia="en-US"/>
        </w:rPr>
        <w:t xml:space="preserve">. Základ cyklického vývoje </w:t>
      </w:r>
      <w:r w:rsidR="00507F4B">
        <w:rPr>
          <w:rFonts w:eastAsia="Calibri"/>
          <w:sz w:val="24"/>
          <w:szCs w:val="24"/>
          <w:lang w:eastAsia="en-US"/>
        </w:rPr>
        <w:t xml:space="preserve">pak </w:t>
      </w:r>
      <w:r w:rsidRPr="003E0D09">
        <w:rPr>
          <w:rFonts w:eastAsia="Calibri"/>
          <w:sz w:val="24"/>
          <w:szCs w:val="24"/>
          <w:lang w:eastAsia="en-US"/>
        </w:rPr>
        <w:t>podle Schumpetera spočívá v nerovnoměrném rozložení inovací, které mají tendenci se shlukovat (významné inovace na</w:t>
      </w:r>
      <w:r w:rsidR="00507F4B">
        <w:rPr>
          <w:rFonts w:eastAsia="Calibri"/>
          <w:sz w:val="24"/>
          <w:szCs w:val="24"/>
          <w:lang w:eastAsia="en-US"/>
        </w:rPr>
        <w:t>balují</w:t>
      </w:r>
      <w:r w:rsidRPr="003E0D09">
        <w:rPr>
          <w:rFonts w:eastAsia="Calibri"/>
          <w:sz w:val="24"/>
          <w:szCs w:val="24"/>
          <w:lang w:eastAsia="en-US"/>
        </w:rPr>
        <w:t xml:space="preserve"> další inovace a vyvolávají investiční optimismus) a jsou jednou z hlavních příčin cyklického kolísání. Empirickým pozorováním bylo zjištěno, že hospodářské cykly mají v souladu s charakterem inovací různé délky – známé jsou krátkodobé Kitchinovy, střednědobé Juglarovy a dlouhodobé Kondratěvovy cykly (Sirůček, 2004). V Schumpeterově teorii mají nové technologie a inovace endoge</w:t>
      </w:r>
      <w:r w:rsidR="0054352D">
        <w:rPr>
          <w:rFonts w:eastAsia="Calibri"/>
          <w:sz w:val="24"/>
          <w:szCs w:val="24"/>
          <w:lang w:eastAsia="en-US"/>
        </w:rPr>
        <w:t>nní charakter a jsou neslučitelné</w:t>
      </w:r>
      <w:r w:rsidRPr="003E0D09">
        <w:rPr>
          <w:rFonts w:eastAsia="Calibri"/>
          <w:sz w:val="24"/>
          <w:szCs w:val="24"/>
          <w:lang w:eastAsia="en-US"/>
        </w:rPr>
        <w:t xml:space="preserve"> s předpoklady dokonalé konkurence, která nepředpokládá existenci tržní mezery a mimořádného zisku. Důležitou funkci zde plní monopol, např. na základě vlastnictví patentu, který přináší mimořádný zisk a motivuje podnikatele k uvádění inovací</w:t>
      </w:r>
      <w:r w:rsidR="0054352D">
        <w:rPr>
          <w:rFonts w:eastAsia="Calibri"/>
          <w:sz w:val="24"/>
          <w:szCs w:val="24"/>
          <w:lang w:eastAsia="en-US"/>
        </w:rPr>
        <w:t xml:space="preserve"> na trh (Holman, 2000). Zajímavé</w:t>
      </w:r>
      <w:r w:rsidRPr="003E0D09">
        <w:rPr>
          <w:rFonts w:eastAsia="Calibri"/>
          <w:sz w:val="24"/>
          <w:szCs w:val="24"/>
          <w:lang w:eastAsia="en-US"/>
        </w:rPr>
        <w:t xml:space="preserve"> je srovnání </w:t>
      </w:r>
      <w:r w:rsidR="0054352D">
        <w:rPr>
          <w:rFonts w:eastAsia="Calibri"/>
          <w:sz w:val="24"/>
          <w:szCs w:val="24"/>
          <w:lang w:eastAsia="en-US"/>
        </w:rPr>
        <w:t>Schumpeterovy</w:t>
      </w:r>
      <w:r w:rsidR="001142F1" w:rsidRPr="003E0D09">
        <w:rPr>
          <w:rFonts w:eastAsia="Calibri"/>
          <w:sz w:val="24"/>
          <w:szCs w:val="24"/>
          <w:lang w:eastAsia="en-US"/>
        </w:rPr>
        <w:t xml:space="preserve"> definice </w:t>
      </w:r>
      <w:r w:rsidRPr="003E0D09">
        <w:rPr>
          <w:rFonts w:eastAsia="Calibri"/>
          <w:sz w:val="24"/>
          <w:szCs w:val="24"/>
          <w:lang w:eastAsia="en-US"/>
        </w:rPr>
        <w:t>s definicí inovací obsaženou v Oslo manuálu, který je v současné době metodickým základem pro stat</w:t>
      </w:r>
      <w:r w:rsidR="008C6D7E">
        <w:rPr>
          <w:rFonts w:eastAsia="Calibri"/>
          <w:sz w:val="24"/>
          <w:szCs w:val="24"/>
          <w:lang w:eastAsia="en-US"/>
        </w:rPr>
        <w:t>istický sběr dat o </w:t>
      </w:r>
      <w:r w:rsidRPr="003E0D09">
        <w:rPr>
          <w:rFonts w:eastAsia="Calibri"/>
          <w:sz w:val="24"/>
          <w:szCs w:val="24"/>
          <w:lang w:eastAsia="en-US"/>
        </w:rPr>
        <w:t>inovacích ve firmách.</w:t>
      </w:r>
    </w:p>
    <w:p w:rsidR="003E0D09" w:rsidRPr="003E0D09" w:rsidRDefault="003E0D09" w:rsidP="00715337">
      <w:pPr>
        <w:pStyle w:val="0T-Titulek"/>
        <w:spacing w:line="240" w:lineRule="auto"/>
        <w:rPr>
          <w:rFonts w:eastAsia="Calibri"/>
        </w:rPr>
      </w:pPr>
      <w:bookmarkStart w:id="129" w:name="_Toc382326459"/>
      <w:r w:rsidRPr="003E0D09">
        <w:rPr>
          <w:rFonts w:eastAsia="Calibri"/>
        </w:rPr>
        <w:t>Tabulka 32: Typologie inovací</w:t>
      </w:r>
      <w:bookmarkEnd w:id="129"/>
    </w:p>
    <w:tbl>
      <w:tblPr>
        <w:tblStyle w:val="Mkatabulky10"/>
        <w:tblW w:w="0" w:type="auto"/>
        <w:tblLook w:val="04A0" w:firstRow="1" w:lastRow="0" w:firstColumn="1" w:lastColumn="0" w:noHBand="0" w:noVBand="1"/>
      </w:tblPr>
      <w:tblGrid>
        <w:gridCol w:w="4361"/>
        <w:gridCol w:w="4851"/>
      </w:tblGrid>
      <w:tr w:rsidR="003E0D09" w:rsidRPr="003E0D09" w:rsidTr="00715337">
        <w:trPr>
          <w:trHeight w:hRule="exact" w:val="454"/>
        </w:trPr>
        <w:tc>
          <w:tcPr>
            <w:tcW w:w="4361" w:type="dxa"/>
            <w:tcBorders>
              <w:top w:val="single" w:sz="4" w:space="0" w:color="auto"/>
              <w:left w:val="single" w:sz="4" w:space="0" w:color="auto"/>
              <w:bottom w:val="single" w:sz="4" w:space="0" w:color="auto"/>
              <w:right w:val="single" w:sz="4" w:space="0" w:color="auto"/>
            </w:tcBorders>
            <w:hideMark/>
          </w:tcPr>
          <w:p w:rsidR="003E0D09" w:rsidRPr="003E0D09" w:rsidRDefault="003E0D09" w:rsidP="00715337">
            <w:pPr>
              <w:spacing w:line="240" w:lineRule="auto"/>
              <w:jc w:val="both"/>
              <w:rPr>
                <w:b/>
                <w:caps/>
              </w:rPr>
            </w:pPr>
            <w:r w:rsidRPr="003E0D09">
              <w:rPr>
                <w:b/>
                <w:caps/>
              </w:rPr>
              <w:t>Schumpeter</w:t>
            </w:r>
          </w:p>
        </w:tc>
        <w:tc>
          <w:tcPr>
            <w:tcW w:w="4851" w:type="dxa"/>
            <w:tcBorders>
              <w:top w:val="single" w:sz="4" w:space="0" w:color="auto"/>
              <w:left w:val="single" w:sz="4" w:space="0" w:color="auto"/>
              <w:bottom w:val="single" w:sz="4" w:space="0" w:color="auto"/>
              <w:right w:val="single" w:sz="4" w:space="0" w:color="auto"/>
            </w:tcBorders>
            <w:hideMark/>
          </w:tcPr>
          <w:p w:rsidR="003E0D09" w:rsidRPr="003E0D09" w:rsidRDefault="003E0D09" w:rsidP="00715337">
            <w:pPr>
              <w:spacing w:line="240" w:lineRule="auto"/>
              <w:jc w:val="both"/>
              <w:rPr>
                <w:b/>
                <w:caps/>
              </w:rPr>
            </w:pPr>
            <w:r w:rsidRPr="003E0D09">
              <w:rPr>
                <w:b/>
                <w:caps/>
              </w:rPr>
              <w:t>Oslo manuál</w:t>
            </w:r>
          </w:p>
        </w:tc>
      </w:tr>
      <w:tr w:rsidR="003E0D09" w:rsidRPr="003E0D09" w:rsidTr="00715337">
        <w:trPr>
          <w:trHeight w:hRule="exact" w:val="340"/>
        </w:trPr>
        <w:tc>
          <w:tcPr>
            <w:tcW w:w="4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E0D09" w:rsidRPr="003E0D09" w:rsidRDefault="003E0D09" w:rsidP="00715337">
            <w:pPr>
              <w:spacing w:line="240" w:lineRule="auto"/>
              <w:jc w:val="both"/>
            </w:pPr>
            <w:r w:rsidRPr="003E0D09">
              <w:t>Statek</w:t>
            </w:r>
          </w:p>
        </w:tc>
        <w:tc>
          <w:tcPr>
            <w:tcW w:w="4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E0D09" w:rsidRPr="003E0D09" w:rsidRDefault="003E0D09" w:rsidP="00715337">
            <w:pPr>
              <w:spacing w:line="240" w:lineRule="auto"/>
              <w:jc w:val="both"/>
            </w:pPr>
            <w:r w:rsidRPr="003E0D09">
              <w:t>Inovace produktu</w:t>
            </w:r>
          </w:p>
        </w:tc>
      </w:tr>
      <w:tr w:rsidR="003E0D09" w:rsidRPr="003E0D09" w:rsidTr="00715337">
        <w:trPr>
          <w:trHeight w:hRule="exact" w:val="454"/>
        </w:trPr>
        <w:tc>
          <w:tcPr>
            <w:tcW w:w="4361" w:type="dxa"/>
            <w:tcBorders>
              <w:top w:val="single" w:sz="4" w:space="0" w:color="auto"/>
              <w:left w:val="single" w:sz="4" w:space="0" w:color="auto"/>
              <w:bottom w:val="single" w:sz="4" w:space="0" w:color="auto"/>
              <w:right w:val="single" w:sz="4" w:space="0" w:color="auto"/>
            </w:tcBorders>
            <w:hideMark/>
          </w:tcPr>
          <w:p w:rsidR="003E0D09" w:rsidRPr="003E0D09" w:rsidRDefault="003E0D09" w:rsidP="00715337">
            <w:pPr>
              <w:spacing w:line="240" w:lineRule="auto"/>
              <w:jc w:val="both"/>
            </w:pPr>
            <w:r w:rsidRPr="003E0D09">
              <w:t>nový statek nebo statek nové kvality</w:t>
            </w:r>
          </w:p>
        </w:tc>
        <w:tc>
          <w:tcPr>
            <w:tcW w:w="4851" w:type="dxa"/>
            <w:tcBorders>
              <w:top w:val="single" w:sz="4" w:space="0" w:color="auto"/>
              <w:left w:val="single" w:sz="4" w:space="0" w:color="auto"/>
              <w:bottom w:val="single" w:sz="4" w:space="0" w:color="auto"/>
              <w:right w:val="single" w:sz="4" w:space="0" w:color="auto"/>
            </w:tcBorders>
            <w:hideMark/>
          </w:tcPr>
          <w:p w:rsidR="003E0D09" w:rsidRPr="003E0D09" w:rsidRDefault="003E0D09" w:rsidP="00715337">
            <w:pPr>
              <w:spacing w:line="240" w:lineRule="auto"/>
              <w:jc w:val="both"/>
            </w:pPr>
            <w:r w:rsidRPr="003E0D09">
              <w:t>nový nebo významně zlepšený výrobek nebo služba</w:t>
            </w:r>
          </w:p>
        </w:tc>
      </w:tr>
      <w:tr w:rsidR="003E0D09" w:rsidRPr="003E0D09" w:rsidTr="00715337">
        <w:trPr>
          <w:trHeight w:hRule="exact" w:val="340"/>
        </w:trPr>
        <w:tc>
          <w:tcPr>
            <w:tcW w:w="4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E0D09" w:rsidRPr="003E0D09" w:rsidRDefault="003E0D09" w:rsidP="00715337">
            <w:pPr>
              <w:spacing w:line="240" w:lineRule="auto"/>
              <w:jc w:val="both"/>
            </w:pPr>
            <w:r w:rsidRPr="003E0D09">
              <w:t>Výrobní metoda</w:t>
            </w:r>
          </w:p>
        </w:tc>
        <w:tc>
          <w:tcPr>
            <w:tcW w:w="4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E0D09" w:rsidRPr="003E0D09" w:rsidRDefault="003E0D09" w:rsidP="00715337">
            <w:pPr>
              <w:spacing w:line="240" w:lineRule="auto"/>
              <w:jc w:val="both"/>
            </w:pPr>
            <w:r w:rsidRPr="003E0D09">
              <w:t>Procesní inovace</w:t>
            </w:r>
          </w:p>
        </w:tc>
      </w:tr>
      <w:tr w:rsidR="003E0D09" w:rsidRPr="003E0D09" w:rsidTr="00715337">
        <w:trPr>
          <w:trHeight w:hRule="exact" w:val="454"/>
        </w:trPr>
        <w:tc>
          <w:tcPr>
            <w:tcW w:w="4361" w:type="dxa"/>
            <w:tcBorders>
              <w:top w:val="single" w:sz="4" w:space="0" w:color="auto"/>
              <w:left w:val="single" w:sz="4" w:space="0" w:color="auto"/>
              <w:bottom w:val="single" w:sz="4" w:space="0" w:color="auto"/>
              <w:right w:val="single" w:sz="4" w:space="0" w:color="auto"/>
            </w:tcBorders>
            <w:hideMark/>
          </w:tcPr>
          <w:p w:rsidR="003E0D09" w:rsidRPr="003E0D09" w:rsidRDefault="003E0D09" w:rsidP="00715337">
            <w:pPr>
              <w:spacing w:line="240" w:lineRule="auto"/>
              <w:jc w:val="both"/>
            </w:pPr>
            <w:r w:rsidRPr="003E0D09">
              <w:t>nová, dosud neznámá metoda</w:t>
            </w:r>
          </w:p>
        </w:tc>
        <w:tc>
          <w:tcPr>
            <w:tcW w:w="4851" w:type="dxa"/>
            <w:vMerge w:val="restart"/>
            <w:tcBorders>
              <w:top w:val="single" w:sz="4" w:space="0" w:color="auto"/>
              <w:left w:val="single" w:sz="4" w:space="0" w:color="auto"/>
              <w:bottom w:val="single" w:sz="4" w:space="0" w:color="auto"/>
              <w:right w:val="single" w:sz="4" w:space="0" w:color="auto"/>
            </w:tcBorders>
            <w:hideMark/>
          </w:tcPr>
          <w:p w:rsidR="003E0D09" w:rsidRPr="003E0D09" w:rsidRDefault="003E0D09" w:rsidP="00715337">
            <w:pPr>
              <w:spacing w:line="240" w:lineRule="auto"/>
              <w:jc w:val="both"/>
            </w:pPr>
            <w:r w:rsidRPr="003E0D09">
              <w:t>nová nebo významně zlepšená technologie výroby nebo dodavatelské metody</w:t>
            </w:r>
          </w:p>
        </w:tc>
      </w:tr>
      <w:tr w:rsidR="003E0D09" w:rsidRPr="003E0D09" w:rsidTr="00715337">
        <w:trPr>
          <w:trHeight w:hRule="exact" w:val="340"/>
        </w:trPr>
        <w:tc>
          <w:tcPr>
            <w:tcW w:w="4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E0D09" w:rsidRPr="003E0D09" w:rsidRDefault="003E0D09" w:rsidP="00715337">
            <w:pPr>
              <w:spacing w:line="240" w:lineRule="auto"/>
              <w:jc w:val="both"/>
            </w:pPr>
            <w:r w:rsidRPr="003E0D09">
              <w:t>Zdroj surovin nebo polotovarů</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0D09" w:rsidRPr="003E0D09" w:rsidRDefault="003E0D09" w:rsidP="00715337">
            <w:pPr>
              <w:spacing w:line="240" w:lineRule="auto"/>
            </w:pPr>
          </w:p>
        </w:tc>
      </w:tr>
      <w:tr w:rsidR="003E0D09" w:rsidRPr="003E0D09" w:rsidTr="00715337">
        <w:trPr>
          <w:trHeight w:hRule="exact" w:val="510"/>
        </w:trPr>
        <w:tc>
          <w:tcPr>
            <w:tcW w:w="4361" w:type="dxa"/>
            <w:tcBorders>
              <w:top w:val="single" w:sz="4" w:space="0" w:color="auto"/>
              <w:left w:val="single" w:sz="4" w:space="0" w:color="auto"/>
              <w:bottom w:val="single" w:sz="4" w:space="0" w:color="auto"/>
              <w:right w:val="single" w:sz="4" w:space="0" w:color="auto"/>
            </w:tcBorders>
            <w:hideMark/>
          </w:tcPr>
          <w:p w:rsidR="003E0D09" w:rsidRPr="003E0D09" w:rsidRDefault="003E0D09" w:rsidP="00715337">
            <w:pPr>
              <w:spacing w:line="240" w:lineRule="auto"/>
              <w:jc w:val="both"/>
            </w:pPr>
            <w:r w:rsidRPr="003E0D09">
              <w:t>získání nového zdroje bez ohledu na to, zda již existoval nebo ne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0D09" w:rsidRPr="003E0D09" w:rsidRDefault="003E0D09" w:rsidP="00715337">
            <w:pPr>
              <w:spacing w:line="240" w:lineRule="auto"/>
            </w:pPr>
          </w:p>
        </w:tc>
      </w:tr>
      <w:tr w:rsidR="003E0D09" w:rsidRPr="003E0D09" w:rsidTr="00715337">
        <w:trPr>
          <w:trHeight w:hRule="exact" w:val="340"/>
        </w:trPr>
        <w:tc>
          <w:tcPr>
            <w:tcW w:w="4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E0D09" w:rsidRPr="003E0D09" w:rsidRDefault="003E0D09" w:rsidP="00715337">
            <w:pPr>
              <w:spacing w:line="240" w:lineRule="auto"/>
              <w:jc w:val="both"/>
            </w:pPr>
            <w:r w:rsidRPr="003E0D09">
              <w:t>Trh</w:t>
            </w:r>
          </w:p>
        </w:tc>
        <w:tc>
          <w:tcPr>
            <w:tcW w:w="4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E0D09" w:rsidRPr="003E0D09" w:rsidRDefault="003E0D09" w:rsidP="00715337">
            <w:pPr>
              <w:spacing w:line="240" w:lineRule="auto"/>
              <w:jc w:val="both"/>
            </w:pPr>
            <w:r w:rsidRPr="003E0D09">
              <w:t>Marketingová inovace</w:t>
            </w:r>
          </w:p>
        </w:tc>
      </w:tr>
      <w:tr w:rsidR="003E0D09" w:rsidRPr="003E0D09" w:rsidTr="00715337">
        <w:trPr>
          <w:trHeight w:hRule="exact" w:val="510"/>
        </w:trPr>
        <w:tc>
          <w:tcPr>
            <w:tcW w:w="4361" w:type="dxa"/>
            <w:tcBorders>
              <w:top w:val="single" w:sz="4" w:space="0" w:color="auto"/>
              <w:left w:val="single" w:sz="4" w:space="0" w:color="auto"/>
              <w:bottom w:val="single" w:sz="4" w:space="0" w:color="auto"/>
              <w:right w:val="single" w:sz="4" w:space="0" w:color="auto"/>
            </w:tcBorders>
            <w:hideMark/>
          </w:tcPr>
          <w:p w:rsidR="003E0D09" w:rsidRPr="003E0D09" w:rsidRDefault="003E0D09" w:rsidP="00715337">
            <w:pPr>
              <w:spacing w:line="240" w:lineRule="auto"/>
              <w:jc w:val="both"/>
            </w:pPr>
            <w:r w:rsidRPr="003E0D09">
              <w:t>otevření nového trhu bez ohledu na to, zda již existoval nebo ne</w:t>
            </w:r>
          </w:p>
        </w:tc>
        <w:tc>
          <w:tcPr>
            <w:tcW w:w="4851" w:type="dxa"/>
            <w:tcBorders>
              <w:top w:val="single" w:sz="4" w:space="0" w:color="auto"/>
              <w:left w:val="single" w:sz="4" w:space="0" w:color="auto"/>
              <w:bottom w:val="single" w:sz="4" w:space="0" w:color="auto"/>
              <w:right w:val="single" w:sz="4" w:space="0" w:color="auto"/>
            </w:tcBorders>
            <w:hideMark/>
          </w:tcPr>
          <w:p w:rsidR="003E0D09" w:rsidRPr="003E0D09" w:rsidRDefault="003E0D09" w:rsidP="00715337">
            <w:pPr>
              <w:spacing w:line="240" w:lineRule="auto"/>
              <w:jc w:val="both"/>
            </w:pPr>
            <w:r w:rsidRPr="003E0D09">
              <w:t>nové marketingové metody zaměřené na otevření nových trhů</w:t>
            </w:r>
          </w:p>
        </w:tc>
      </w:tr>
      <w:tr w:rsidR="003E0D09" w:rsidRPr="003E0D09" w:rsidTr="00715337">
        <w:trPr>
          <w:trHeight w:hRule="exact" w:val="340"/>
        </w:trPr>
        <w:tc>
          <w:tcPr>
            <w:tcW w:w="4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E0D09" w:rsidRPr="003E0D09" w:rsidRDefault="003E0D09" w:rsidP="00715337">
            <w:pPr>
              <w:spacing w:line="240" w:lineRule="auto"/>
              <w:jc w:val="both"/>
            </w:pPr>
            <w:r w:rsidRPr="003E0D09">
              <w:t>Organizace</w:t>
            </w:r>
          </w:p>
        </w:tc>
        <w:tc>
          <w:tcPr>
            <w:tcW w:w="4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E0D09" w:rsidRPr="003E0D09" w:rsidRDefault="003E0D09" w:rsidP="00715337">
            <w:pPr>
              <w:spacing w:line="240" w:lineRule="auto"/>
              <w:jc w:val="both"/>
            </w:pPr>
            <w:r w:rsidRPr="003E0D09">
              <w:t>Organizační inovace</w:t>
            </w:r>
          </w:p>
        </w:tc>
      </w:tr>
      <w:tr w:rsidR="003E0D09" w:rsidRPr="003E0D09" w:rsidTr="00715337">
        <w:trPr>
          <w:trHeight w:hRule="exact" w:val="510"/>
        </w:trPr>
        <w:tc>
          <w:tcPr>
            <w:tcW w:w="4361" w:type="dxa"/>
            <w:tcBorders>
              <w:top w:val="single" w:sz="4" w:space="0" w:color="auto"/>
              <w:left w:val="single" w:sz="4" w:space="0" w:color="auto"/>
              <w:bottom w:val="single" w:sz="4" w:space="0" w:color="auto"/>
              <w:right w:val="single" w:sz="4" w:space="0" w:color="auto"/>
            </w:tcBorders>
            <w:hideMark/>
          </w:tcPr>
          <w:p w:rsidR="003E0D09" w:rsidRPr="003E0D09" w:rsidRDefault="0054352D" w:rsidP="00715337">
            <w:pPr>
              <w:spacing w:line="240" w:lineRule="auto"/>
              <w:jc w:val="both"/>
            </w:pPr>
            <w:r>
              <w:t>v</w:t>
            </w:r>
            <w:r w:rsidR="003E0D09" w:rsidRPr="003E0D09">
              <w:t>ytvoření nové organizace (např. vznik nebo rozpad monopolu)</w:t>
            </w:r>
          </w:p>
        </w:tc>
        <w:tc>
          <w:tcPr>
            <w:tcW w:w="4851" w:type="dxa"/>
            <w:tcBorders>
              <w:top w:val="single" w:sz="4" w:space="0" w:color="auto"/>
              <w:left w:val="single" w:sz="4" w:space="0" w:color="auto"/>
              <w:bottom w:val="single" w:sz="4" w:space="0" w:color="auto"/>
              <w:right w:val="single" w:sz="4" w:space="0" w:color="auto"/>
            </w:tcBorders>
            <w:hideMark/>
          </w:tcPr>
          <w:p w:rsidR="003E0D09" w:rsidRPr="003E0D09" w:rsidRDefault="003E0D09" w:rsidP="00715337">
            <w:pPr>
              <w:spacing w:line="240" w:lineRule="auto"/>
              <w:jc w:val="both"/>
            </w:pPr>
            <w:r w:rsidRPr="003E0D09">
              <w:t>zavedení nové organizační metody v podnikových obchodních praktikách, organizaci práce nebo externích vztazích.</w:t>
            </w:r>
          </w:p>
        </w:tc>
      </w:tr>
    </w:tbl>
    <w:p w:rsidR="003E0D09" w:rsidRPr="003E0D09" w:rsidRDefault="003E0D09" w:rsidP="0054352D">
      <w:pPr>
        <w:jc w:val="center"/>
        <w:rPr>
          <w:rFonts w:asciiTheme="minorHAnsi" w:eastAsia="Calibri" w:hAnsiTheme="minorHAnsi" w:cstheme="minorHAnsi"/>
          <w:i/>
          <w:lang w:eastAsia="en-US"/>
        </w:rPr>
      </w:pPr>
      <w:r w:rsidRPr="003E0D09">
        <w:rPr>
          <w:rFonts w:asciiTheme="minorHAnsi" w:eastAsia="Calibri" w:hAnsiTheme="minorHAnsi" w:cstheme="minorHAnsi"/>
          <w:i/>
          <w:lang w:eastAsia="en-US"/>
        </w:rPr>
        <w:t>Pramen: vlastní zpracování na základě Schumpetera 1987 a OECD 2005.</w:t>
      </w:r>
    </w:p>
    <w:p w:rsidR="003E0D09" w:rsidRPr="003E0D09" w:rsidRDefault="003E0D09" w:rsidP="00715337">
      <w:pPr>
        <w:spacing w:after="120"/>
        <w:ind w:firstLine="720"/>
        <w:jc w:val="both"/>
        <w:rPr>
          <w:rFonts w:eastAsia="Calibri"/>
          <w:sz w:val="24"/>
          <w:szCs w:val="24"/>
          <w:lang w:eastAsia="en-US"/>
        </w:rPr>
      </w:pPr>
      <w:r w:rsidRPr="003E0D09">
        <w:rPr>
          <w:rFonts w:eastAsia="Calibri"/>
          <w:sz w:val="24"/>
          <w:szCs w:val="24"/>
          <w:lang w:eastAsia="en-US"/>
        </w:rPr>
        <w:lastRenderedPageBreak/>
        <w:t>Na Schumpetera navázali další autoři, jejichž přístupy lze podle Laranja a kol. (2008) rozdělili do pěti skupin (toto členění je respektováno i v této kapitole):</w:t>
      </w:r>
    </w:p>
    <w:p w:rsidR="003E0D09" w:rsidRPr="003E0D09" w:rsidRDefault="003E0D09" w:rsidP="00423120">
      <w:pPr>
        <w:numPr>
          <w:ilvl w:val="0"/>
          <w:numId w:val="30"/>
        </w:numPr>
        <w:ind w:left="426"/>
        <w:contextualSpacing/>
        <w:jc w:val="both"/>
        <w:rPr>
          <w:rFonts w:eastAsia="Calibri"/>
          <w:sz w:val="24"/>
          <w:szCs w:val="24"/>
          <w:lang w:eastAsia="en-US"/>
        </w:rPr>
      </w:pPr>
      <w:r w:rsidRPr="003E0D09">
        <w:rPr>
          <w:rFonts w:eastAsia="Calibri"/>
          <w:sz w:val="24"/>
          <w:szCs w:val="24"/>
          <w:lang w:eastAsia="en-US"/>
        </w:rPr>
        <w:t>neoklasické přístupy,</w:t>
      </w:r>
    </w:p>
    <w:p w:rsidR="003E0D09" w:rsidRPr="003E0D09" w:rsidRDefault="003E0D09" w:rsidP="00423120">
      <w:pPr>
        <w:numPr>
          <w:ilvl w:val="0"/>
          <w:numId w:val="30"/>
        </w:numPr>
        <w:ind w:left="426"/>
        <w:contextualSpacing/>
        <w:jc w:val="both"/>
        <w:rPr>
          <w:rFonts w:eastAsia="Calibri"/>
          <w:sz w:val="24"/>
          <w:szCs w:val="24"/>
          <w:lang w:eastAsia="en-US"/>
        </w:rPr>
      </w:pPr>
      <w:r w:rsidRPr="003E0D09">
        <w:rPr>
          <w:rFonts w:eastAsia="Calibri"/>
          <w:sz w:val="24"/>
          <w:szCs w:val="24"/>
          <w:lang w:eastAsia="en-US"/>
        </w:rPr>
        <w:t>schumpeteriánská endogenní teorie růstu,</w:t>
      </w:r>
    </w:p>
    <w:p w:rsidR="003E0D09" w:rsidRPr="003E0D09" w:rsidRDefault="003E0D09" w:rsidP="00423120">
      <w:pPr>
        <w:numPr>
          <w:ilvl w:val="0"/>
          <w:numId w:val="30"/>
        </w:numPr>
        <w:ind w:left="426"/>
        <w:contextualSpacing/>
        <w:jc w:val="both"/>
        <w:rPr>
          <w:rFonts w:eastAsia="Calibri"/>
          <w:sz w:val="24"/>
          <w:szCs w:val="24"/>
          <w:lang w:eastAsia="en-US"/>
        </w:rPr>
      </w:pPr>
      <w:r w:rsidRPr="003E0D09">
        <w:rPr>
          <w:rFonts w:eastAsia="Calibri"/>
          <w:sz w:val="24"/>
          <w:szCs w:val="24"/>
          <w:lang w:eastAsia="en-US"/>
        </w:rPr>
        <w:t>neomarshallovské přístupy,</w:t>
      </w:r>
    </w:p>
    <w:p w:rsidR="003E0D09" w:rsidRPr="003E0D09" w:rsidRDefault="003E0D09" w:rsidP="00423120">
      <w:pPr>
        <w:numPr>
          <w:ilvl w:val="0"/>
          <w:numId w:val="30"/>
        </w:numPr>
        <w:ind w:left="426"/>
        <w:contextualSpacing/>
        <w:jc w:val="both"/>
        <w:rPr>
          <w:rFonts w:eastAsia="Calibri"/>
          <w:sz w:val="24"/>
          <w:szCs w:val="24"/>
          <w:lang w:eastAsia="en-US"/>
        </w:rPr>
      </w:pPr>
      <w:r w:rsidRPr="003E0D09">
        <w:rPr>
          <w:rFonts w:eastAsia="Calibri"/>
          <w:sz w:val="24"/>
          <w:szCs w:val="24"/>
          <w:lang w:eastAsia="en-US"/>
        </w:rPr>
        <w:t>systémové institucionální přístupy,</w:t>
      </w:r>
    </w:p>
    <w:p w:rsidR="003E0D09" w:rsidRPr="003E0D09" w:rsidRDefault="003E0D09" w:rsidP="00423120">
      <w:pPr>
        <w:numPr>
          <w:ilvl w:val="0"/>
          <w:numId w:val="30"/>
        </w:numPr>
        <w:ind w:left="425" w:hanging="357"/>
        <w:contextualSpacing/>
        <w:jc w:val="both"/>
        <w:rPr>
          <w:rFonts w:eastAsia="Calibri"/>
          <w:sz w:val="24"/>
          <w:szCs w:val="24"/>
          <w:lang w:eastAsia="en-US"/>
        </w:rPr>
      </w:pPr>
      <w:r w:rsidRPr="003E0D09">
        <w:rPr>
          <w:rFonts w:eastAsia="Calibri"/>
          <w:sz w:val="24"/>
          <w:szCs w:val="24"/>
          <w:lang w:eastAsia="en-US"/>
        </w:rPr>
        <w:t xml:space="preserve">evolučně-strukturalistické přístupy. </w:t>
      </w:r>
    </w:p>
    <w:p w:rsidR="003E0D09" w:rsidRPr="003E0D09" w:rsidRDefault="003E0D09" w:rsidP="00423120">
      <w:pPr>
        <w:ind w:left="68"/>
        <w:contextualSpacing/>
        <w:jc w:val="both"/>
        <w:rPr>
          <w:rFonts w:eastAsia="Calibri"/>
          <w:sz w:val="24"/>
          <w:szCs w:val="24"/>
          <w:lang w:eastAsia="en-US"/>
        </w:rPr>
      </w:pPr>
    </w:p>
    <w:p w:rsidR="003E0D09" w:rsidRPr="003E0D09" w:rsidRDefault="003E0D09" w:rsidP="00423120">
      <w:pPr>
        <w:jc w:val="both"/>
        <w:rPr>
          <w:rFonts w:eastAsia="Calibri"/>
          <w:b/>
          <w:i/>
          <w:sz w:val="24"/>
          <w:szCs w:val="24"/>
          <w:lang w:eastAsia="en-US"/>
        </w:rPr>
      </w:pPr>
      <w:r w:rsidRPr="003E0D09">
        <w:rPr>
          <w:rFonts w:eastAsia="Calibri"/>
          <w:b/>
          <w:i/>
          <w:sz w:val="24"/>
          <w:szCs w:val="24"/>
          <w:lang w:eastAsia="en-US"/>
        </w:rPr>
        <w:t>Neoklasické přístupy</w:t>
      </w:r>
    </w:p>
    <w:p w:rsidR="003E0D09" w:rsidRPr="003E0D09" w:rsidRDefault="003E0D09" w:rsidP="00423120">
      <w:pPr>
        <w:ind w:firstLine="720"/>
        <w:jc w:val="both"/>
        <w:rPr>
          <w:rFonts w:eastAsia="Calibri"/>
          <w:sz w:val="24"/>
          <w:szCs w:val="24"/>
          <w:lang w:eastAsia="en-US"/>
        </w:rPr>
      </w:pPr>
      <w:r w:rsidRPr="003E0D09">
        <w:rPr>
          <w:rFonts w:eastAsia="Calibri"/>
          <w:sz w:val="24"/>
          <w:szCs w:val="24"/>
          <w:lang w:eastAsia="en-US"/>
        </w:rPr>
        <w:t>Neoklasické přístupy vycházejí z produkční funkce, v jejímž rámci jsou odlišnosti v ekonomickém růstu det</w:t>
      </w:r>
      <w:r w:rsidR="00C23604">
        <w:rPr>
          <w:rFonts w:eastAsia="Calibri"/>
          <w:sz w:val="24"/>
          <w:szCs w:val="24"/>
          <w:lang w:eastAsia="en-US"/>
        </w:rPr>
        <w:t>e</w:t>
      </w:r>
      <w:r w:rsidRPr="003E0D09">
        <w:rPr>
          <w:rFonts w:eastAsia="Calibri"/>
          <w:sz w:val="24"/>
          <w:szCs w:val="24"/>
          <w:lang w:eastAsia="en-US"/>
        </w:rPr>
        <w:t>rminovány odlišnými tempy růstu práce, kapitálu a technologií (např. Solow). Úroveň technologií je však zpočátku považována za exogenní reziduální faktor. Studie navazující na Solowa přiznávají, že technologie nemohou b</w:t>
      </w:r>
      <w:r w:rsidR="008C6D7E">
        <w:rPr>
          <w:rFonts w:eastAsia="Calibri"/>
          <w:sz w:val="24"/>
          <w:szCs w:val="24"/>
          <w:lang w:eastAsia="en-US"/>
        </w:rPr>
        <w:t>ýt považovány za </w:t>
      </w:r>
      <w:r w:rsidRPr="003E0D09">
        <w:rPr>
          <w:rFonts w:eastAsia="Calibri"/>
          <w:sz w:val="24"/>
          <w:szCs w:val="24"/>
          <w:lang w:eastAsia="en-US"/>
        </w:rPr>
        <w:t xml:space="preserve">reziduální faktor. Nicméně, technologii chápou jako informaci, která se volně šíří celou ekonomikou a firmy mají stejné schopnosti začlenit technologii do výroby </w:t>
      </w:r>
      <w:r w:rsidR="00423BD6">
        <w:rPr>
          <w:rFonts w:eastAsia="Calibri"/>
          <w:sz w:val="24"/>
          <w:szCs w:val="24"/>
          <w:lang w:eastAsia="en-US"/>
        </w:rPr>
        <w:t xml:space="preserve">při </w:t>
      </w:r>
      <w:r w:rsidRPr="003E0D09">
        <w:rPr>
          <w:rFonts w:eastAsia="Calibri"/>
          <w:sz w:val="24"/>
          <w:szCs w:val="24"/>
          <w:lang w:eastAsia="en-US"/>
        </w:rPr>
        <w:t>nízkých náklad</w:t>
      </w:r>
      <w:r w:rsidR="00423BD6">
        <w:rPr>
          <w:rFonts w:eastAsia="Calibri"/>
          <w:sz w:val="24"/>
          <w:szCs w:val="24"/>
          <w:lang w:eastAsia="en-US"/>
        </w:rPr>
        <w:t>ech</w:t>
      </w:r>
      <w:r w:rsidRPr="003E0D09">
        <w:rPr>
          <w:rFonts w:eastAsia="Calibri"/>
          <w:sz w:val="24"/>
          <w:szCs w:val="24"/>
          <w:lang w:eastAsia="en-US"/>
        </w:rPr>
        <w:t>. Technologie je pak v jeji</w:t>
      </w:r>
      <w:r w:rsidR="00C23604">
        <w:rPr>
          <w:rFonts w:eastAsia="Calibri"/>
          <w:sz w:val="24"/>
          <w:szCs w:val="24"/>
          <w:lang w:eastAsia="en-US"/>
        </w:rPr>
        <w:t xml:space="preserve">ch pojetí vnímána jako </w:t>
      </w:r>
      <w:r w:rsidRPr="003E0D09">
        <w:rPr>
          <w:rFonts w:eastAsia="Calibri"/>
          <w:sz w:val="24"/>
          <w:szCs w:val="24"/>
          <w:lang w:eastAsia="en-US"/>
        </w:rPr>
        <w:t>nedělitelný veřejný statek, který přináší pozitivní efekty z přelévání (viz např. Arrow). Protože je technologie veřejným statkem, přináší firmám nejisté výnosy z inovací, a proto firmy nejsou dostatečně motivovány do technologií investovat. Od tohoto poznatku o tržním selhání se pak odvíjí doporučení neoklasiků pro vědecko-technickou politiku. Neoklasické přístupy přitom nevěnují po</w:t>
      </w:r>
      <w:r w:rsidR="0054352D">
        <w:rPr>
          <w:rFonts w:eastAsia="Calibri"/>
          <w:sz w:val="24"/>
          <w:szCs w:val="24"/>
          <w:lang w:eastAsia="en-US"/>
        </w:rPr>
        <w:t xml:space="preserve">zornost prostorovým nerovnostem </w:t>
      </w:r>
      <w:r w:rsidRPr="003E0D09">
        <w:rPr>
          <w:rFonts w:eastAsia="Calibri"/>
          <w:sz w:val="24"/>
          <w:szCs w:val="24"/>
          <w:lang w:eastAsia="en-US"/>
        </w:rPr>
        <w:t xml:space="preserve">a neberou v potaz odlišné podmínky jednotlivých regionů (Laranja a kol, 2008). </w:t>
      </w:r>
    </w:p>
    <w:p w:rsidR="00715337" w:rsidRDefault="003E0D09" w:rsidP="00715337">
      <w:pPr>
        <w:jc w:val="both"/>
        <w:rPr>
          <w:rFonts w:eastAsia="Calibri"/>
          <w:b/>
          <w:i/>
          <w:sz w:val="24"/>
          <w:szCs w:val="24"/>
          <w:lang w:eastAsia="en-US"/>
        </w:rPr>
      </w:pPr>
      <w:r w:rsidRPr="003E0D09">
        <w:rPr>
          <w:rFonts w:eastAsia="Calibri"/>
          <w:b/>
          <w:i/>
          <w:sz w:val="24"/>
          <w:szCs w:val="24"/>
          <w:lang w:eastAsia="en-US"/>
        </w:rPr>
        <w:t>Schumpeteriánské endogenní teorie růstu</w:t>
      </w:r>
    </w:p>
    <w:p w:rsidR="003E0D09" w:rsidRPr="00715337" w:rsidRDefault="003E0D09" w:rsidP="00715337">
      <w:pPr>
        <w:ind w:firstLine="720"/>
        <w:jc w:val="both"/>
        <w:rPr>
          <w:rFonts w:eastAsia="Calibri"/>
          <w:b/>
          <w:i/>
          <w:sz w:val="24"/>
          <w:szCs w:val="24"/>
          <w:lang w:eastAsia="en-US"/>
        </w:rPr>
      </w:pPr>
      <w:r w:rsidRPr="003E0D09">
        <w:rPr>
          <w:rFonts w:eastAsia="Calibri"/>
          <w:sz w:val="24"/>
          <w:szCs w:val="24"/>
          <w:lang w:eastAsia="en-US"/>
        </w:rPr>
        <w:t>Schumpeteriánské endogenní teorie růstu opouštějí neoklasické předpoklady dokonalé konkurence a konstantních či klesajících výnosů z rozsahu a inovace vnímají jako výsledek učení praxí a investic do výzkumu a vývoje. Výsledky VaV nejsou volně dostupnou komoditou</w:t>
      </w:r>
      <w:r w:rsidR="00BA6F21">
        <w:rPr>
          <w:rFonts w:eastAsia="Calibri"/>
          <w:sz w:val="24"/>
          <w:szCs w:val="24"/>
          <w:lang w:eastAsia="en-US"/>
        </w:rPr>
        <w:t>,</w:t>
      </w:r>
      <w:r w:rsidRPr="003E0D09">
        <w:rPr>
          <w:rFonts w:eastAsia="Calibri"/>
          <w:sz w:val="24"/>
          <w:szCs w:val="24"/>
          <w:lang w:eastAsia="en-US"/>
        </w:rPr>
        <w:t xml:space="preserve"> resp. veřejným statkem (znalosti tedy nejsou zadarmo). Investice do VaV jako endogenní</w:t>
      </w:r>
      <w:r w:rsidR="0054352D">
        <w:rPr>
          <w:rFonts w:eastAsia="Calibri"/>
          <w:sz w:val="24"/>
          <w:szCs w:val="24"/>
          <w:lang w:eastAsia="en-US"/>
        </w:rPr>
        <w:t xml:space="preserve"> faktor přináší zvýšené výnosy </w:t>
      </w:r>
      <w:r w:rsidRPr="003E0D09">
        <w:rPr>
          <w:rFonts w:eastAsia="Calibri"/>
          <w:sz w:val="24"/>
          <w:szCs w:val="24"/>
          <w:lang w:eastAsia="en-US"/>
        </w:rPr>
        <w:t>a firmy jsou proto motivovány inovovat</w:t>
      </w:r>
      <w:r w:rsidR="0054352D">
        <w:rPr>
          <w:rFonts w:eastAsia="Calibri"/>
          <w:sz w:val="24"/>
          <w:szCs w:val="24"/>
          <w:lang w:eastAsia="en-US"/>
        </w:rPr>
        <w:t>.</w:t>
      </w:r>
      <w:r w:rsidRPr="003E0D09">
        <w:rPr>
          <w:rFonts w:eastAsia="Calibri"/>
          <w:sz w:val="24"/>
          <w:szCs w:val="24"/>
          <w:lang w:eastAsia="en-US"/>
        </w:rPr>
        <w:t xml:space="preserve"> Efekty přelévání znalostí pak mají zřetelnou tendenci ke koncentraci, a proto firmy lokalizované v aglomeracích více inovují. Odpovídající vládní intervence jsou zaměřené na podporu soukromých investic do VaV a rozvoj vědeckých a technických znalostí a kvalifikované pracovní síly. Tyto teorie dále předpokládají, že regionální disparity se v čase zvětšují kvůli efektu rostoucích výnosů, neboť při stejné úrovni investic do VaV regiony s větší koncentrací výzkumných schopností budou generovat větší ekonomické výnosy. Endogenní růstové teorie předpokládají lineární vztah mezi koncentrací znalostí v dané lokalitě a transformací těchto znalostí na ekonomické a sociální hodnoty. Na druhé straně věnují malou pozornost procesům tvorby a šíření znalostí a technologickým, institucionálním a sociálním faktorům a v podstatě tak pojímají firmy jako černou skříňku/black-box model (Laranja a kol., 2008). </w:t>
      </w:r>
    </w:p>
    <w:p w:rsidR="003E0D09" w:rsidRPr="003E0D09" w:rsidRDefault="003E0D09" w:rsidP="00423120">
      <w:pPr>
        <w:keepNext/>
        <w:jc w:val="both"/>
        <w:rPr>
          <w:rFonts w:eastAsia="Calibri"/>
          <w:b/>
          <w:i/>
          <w:sz w:val="24"/>
          <w:szCs w:val="24"/>
          <w:lang w:eastAsia="en-US"/>
        </w:rPr>
      </w:pPr>
      <w:r w:rsidRPr="003E0D09">
        <w:rPr>
          <w:rFonts w:eastAsia="Calibri"/>
          <w:b/>
          <w:i/>
          <w:sz w:val="24"/>
          <w:szCs w:val="24"/>
          <w:lang w:eastAsia="en-US"/>
        </w:rPr>
        <w:lastRenderedPageBreak/>
        <w:t>Neomarshallovské přístupy</w:t>
      </w:r>
    </w:p>
    <w:p w:rsidR="003E0D09" w:rsidRPr="003E0D09" w:rsidRDefault="003E0D09" w:rsidP="00423120">
      <w:pPr>
        <w:keepNext/>
        <w:ind w:firstLine="720"/>
        <w:jc w:val="both"/>
        <w:rPr>
          <w:rFonts w:eastAsia="Calibri"/>
          <w:sz w:val="24"/>
          <w:szCs w:val="24"/>
          <w:lang w:eastAsia="en-US"/>
        </w:rPr>
      </w:pPr>
      <w:r w:rsidRPr="003E0D09">
        <w:rPr>
          <w:rFonts w:eastAsia="Calibri"/>
          <w:sz w:val="24"/>
          <w:szCs w:val="24"/>
          <w:lang w:eastAsia="en-US"/>
        </w:rPr>
        <w:t>Neomarshallovské přístupy se objevily v 80. letech 20. století a je pro ně charakteristické větší empirické zaměření. Čerpají inspiraci z úspěšných regionů a na nich demonstrují faktory ekonomické výkonnosti. Pozornost je zaměřena především na sociální, kulturní a institucionální podmínky růstu. Území je chápáno jako nositel změny, nikoliv jako příjemce ekonomických procesů (Laranja a kol., 2008). Tento přístup je inspirován dřívějšími pracemi A. Marshalla, který regionální koncentraci průmyslu zdůvodňoval aglomeračními úsporami, za které považoval sdílení pracovního trhu, šíření nových technologií z blízkých firem a společné využívání specializované infrastruktury a dodavatelů (Blažek,</w:t>
      </w:r>
      <w:r w:rsidR="0054352D">
        <w:rPr>
          <w:rFonts w:eastAsia="Calibri"/>
          <w:sz w:val="24"/>
          <w:szCs w:val="24"/>
          <w:lang w:eastAsia="en-US"/>
        </w:rPr>
        <w:t xml:space="preserve"> Uhlíř, 2011). Mezi komentované</w:t>
      </w:r>
      <w:r w:rsidRPr="003E0D09">
        <w:rPr>
          <w:rFonts w:eastAsia="Calibri"/>
          <w:sz w:val="24"/>
          <w:szCs w:val="24"/>
          <w:lang w:eastAsia="en-US"/>
        </w:rPr>
        <w:t xml:space="preserve"> přístupy patří koncept průmyslových okrsků (z nichž nejznámější jsou italské průmyslové okrsky, které popsali Bagnasco, Becattini a Brusco) nebo koncept inovačního prostředí (innovative milieu) </w:t>
      </w:r>
      <w:r w:rsidRPr="003E0D09">
        <w:rPr>
          <w:rFonts w:eastAsia="Calibri"/>
          <w:sz w:val="24"/>
          <w:szCs w:val="24"/>
          <w:vertAlign w:val="superscript"/>
          <w:lang w:eastAsia="en-US"/>
        </w:rPr>
        <w:footnoteReference w:id="31"/>
      </w:r>
      <w:r w:rsidRPr="003E0D09">
        <w:rPr>
          <w:rFonts w:eastAsia="Calibri"/>
          <w:sz w:val="24"/>
          <w:szCs w:val="24"/>
          <w:lang w:eastAsia="en-US"/>
        </w:rPr>
        <w:t>. Koncept inovačního prostředí říká, že firma není izolovaným nositelem inovací, ale je součástí nějakého inovačního prostředí s určitým inovačním potenciálem – schopnost firem inovovat tedy z</w:t>
      </w:r>
      <w:r w:rsidR="008C6D7E">
        <w:rPr>
          <w:rFonts w:eastAsia="Calibri"/>
          <w:sz w:val="24"/>
          <w:szCs w:val="24"/>
          <w:lang w:eastAsia="en-US"/>
        </w:rPr>
        <w:t>ávisí na jejich lokalizaci a na </w:t>
      </w:r>
      <w:r w:rsidRPr="003E0D09">
        <w:rPr>
          <w:rFonts w:eastAsia="Calibri"/>
          <w:sz w:val="24"/>
          <w:szCs w:val="24"/>
          <w:lang w:eastAsia="en-US"/>
        </w:rPr>
        <w:t>atmosféře pro spolupráci (Moulaert, Sekia, 2003). Do</w:t>
      </w:r>
      <w:r w:rsidR="008C6D7E">
        <w:rPr>
          <w:rFonts w:eastAsia="Calibri"/>
          <w:sz w:val="24"/>
          <w:szCs w:val="24"/>
          <w:lang w:eastAsia="en-US"/>
        </w:rPr>
        <w:t xml:space="preserve"> této skupiny teorií je řazen i </w:t>
      </w:r>
      <w:r w:rsidRPr="003E0D09">
        <w:rPr>
          <w:rFonts w:eastAsia="Calibri"/>
          <w:sz w:val="24"/>
          <w:szCs w:val="24"/>
          <w:lang w:eastAsia="en-US"/>
        </w:rPr>
        <w:t>Porterův koncept klastrů. V neomarshallovských přístupech je všeobecně kladen důraz na ekonomické a sociální externality a dále se předpokládá, že geografická blízkost je důležitá nejen pro snižování dopravních nákladů, ale také umožňuje výměnu informací, snižuje nejistotu, zvyšuje frekvenci osobních kontaktů, šíří společné hodnoty a podporuje proces učení. Tyto efekty jsou pak považovány za automatické</w:t>
      </w:r>
      <w:r w:rsidR="00CF34E8">
        <w:rPr>
          <w:rFonts w:eastAsia="Calibri"/>
          <w:sz w:val="24"/>
          <w:szCs w:val="24"/>
          <w:lang w:eastAsia="en-US"/>
        </w:rPr>
        <w:t>,</w:t>
      </w:r>
      <w:r w:rsidRPr="003E0D09">
        <w:rPr>
          <w:rFonts w:eastAsia="Calibri"/>
          <w:sz w:val="24"/>
          <w:szCs w:val="24"/>
          <w:lang w:eastAsia="en-US"/>
        </w:rPr>
        <w:t xml:space="preserve"> a z toho vyplývá, že firma ukotvená v určitém klastru/síti bude inovovat více než firmy</w:t>
      </w:r>
      <w:r w:rsidR="00CF34E8">
        <w:rPr>
          <w:rFonts w:eastAsia="Calibri"/>
          <w:sz w:val="24"/>
          <w:szCs w:val="24"/>
          <w:lang w:eastAsia="en-US"/>
        </w:rPr>
        <w:t xml:space="preserve"> </w:t>
      </w:r>
      <w:r w:rsidRPr="003E0D09">
        <w:rPr>
          <w:rFonts w:eastAsia="Calibri"/>
          <w:sz w:val="24"/>
          <w:szCs w:val="24"/>
          <w:lang w:eastAsia="en-US"/>
        </w:rPr>
        <w:t>nacházející se mimo ně. Empirické neomarshallovské přístupy jsou však méně užitečné pro formulaci všeobecných doporučení, neboť úspěch analyzovaných regionů je dán jejich specifickými a jedinečnými podmínkami. Navrhují tak podobné nástroje podpory jako dříve uvedené přístupy, nezdůvodňují je však tržním selháním nebo informační asymetrií, ale potřebou podporovat učení a tvorbu pracovních externalit indukovaných vzděláváním. Spornou otázkou je, zda klastry jsou spíše výsledkem politických intervencí nebo spontánních rozvojových p</w:t>
      </w:r>
      <w:r w:rsidR="00CF34E8">
        <w:rPr>
          <w:rFonts w:eastAsia="Calibri"/>
          <w:sz w:val="24"/>
          <w:szCs w:val="24"/>
          <w:lang w:eastAsia="en-US"/>
        </w:rPr>
        <w:t>rocesů – v souladu s politickým</w:t>
      </w:r>
      <w:r w:rsidRPr="003E0D09">
        <w:rPr>
          <w:rFonts w:eastAsia="Calibri"/>
          <w:sz w:val="24"/>
          <w:szCs w:val="24"/>
          <w:lang w:eastAsia="en-US"/>
        </w:rPr>
        <w:t>i preferencemi jsou např. doporučovány investice v méně vyspělých regionech jako nástroj pro udržení talentů, vytváření lokálních spin-off firem, zvýšení atraktivnosti podnikatelského prostředí a rovněž prevence proti přílišnému růstu klíčových regionů – v tomto kontextu je často zdůrazňováno, že výzkumná centra a univerzity v periferních regionech mohou produkovat vysoce kvalifikovanou pracovní sílu a znalosti, které budou dále využívány a šířeny místními firmami.</w:t>
      </w:r>
    </w:p>
    <w:p w:rsidR="003E0D09" w:rsidRPr="003E0D09" w:rsidRDefault="003E0D09" w:rsidP="00423120">
      <w:pPr>
        <w:keepNext/>
        <w:jc w:val="both"/>
        <w:rPr>
          <w:rFonts w:eastAsia="Calibri"/>
          <w:b/>
          <w:i/>
          <w:sz w:val="24"/>
          <w:szCs w:val="24"/>
          <w:lang w:eastAsia="en-US"/>
        </w:rPr>
      </w:pPr>
      <w:r w:rsidRPr="003E0D09">
        <w:rPr>
          <w:rFonts w:eastAsia="Calibri"/>
          <w:b/>
          <w:i/>
          <w:sz w:val="24"/>
          <w:szCs w:val="24"/>
          <w:lang w:eastAsia="en-US"/>
        </w:rPr>
        <w:t>Systémové institucionální přístupy (inovační systémy)</w:t>
      </w:r>
    </w:p>
    <w:p w:rsidR="003E0D09" w:rsidRPr="003E0D09" w:rsidRDefault="003E0D09" w:rsidP="00715337">
      <w:pPr>
        <w:keepNext/>
        <w:spacing w:after="120"/>
        <w:ind w:firstLine="720"/>
        <w:jc w:val="both"/>
        <w:rPr>
          <w:rFonts w:eastAsia="Calibri"/>
          <w:sz w:val="24"/>
          <w:szCs w:val="24"/>
          <w:lang w:eastAsia="en-US"/>
        </w:rPr>
      </w:pPr>
      <w:r w:rsidRPr="003E0D09">
        <w:rPr>
          <w:rFonts w:eastAsia="Calibri"/>
          <w:sz w:val="24"/>
          <w:szCs w:val="24"/>
          <w:lang w:eastAsia="en-US"/>
        </w:rPr>
        <w:t xml:space="preserve">Pro tyto přístupy je charakteristický důraz na instituce a sítě interakcí jako na stěžejní prvky formující procesy učení a inovací, tj. </w:t>
      </w:r>
      <w:r w:rsidRPr="003E0D09">
        <w:rPr>
          <w:rFonts w:eastAsia="Calibri"/>
          <w:b/>
          <w:sz w:val="24"/>
          <w:szCs w:val="24"/>
          <w:lang w:eastAsia="en-US"/>
        </w:rPr>
        <w:t>inovační systémy</w:t>
      </w:r>
      <w:r w:rsidRPr="003E0D09">
        <w:rPr>
          <w:rFonts w:eastAsia="Calibri"/>
          <w:sz w:val="24"/>
          <w:szCs w:val="24"/>
          <w:lang w:eastAsia="en-US"/>
        </w:rPr>
        <w:t xml:space="preserve"> (za autora pojmu je považován P. Cooke). Rozdíly v agregované inovační výkonnosti jsou spojovány s rozdíly v institucionálním nastavení (maximální inovační výkonnost vyžaduje vytvoření </w:t>
      </w:r>
      <w:r w:rsidRPr="003E0D09">
        <w:rPr>
          <w:rFonts w:eastAsia="Calibri"/>
          <w:sz w:val="24"/>
          <w:szCs w:val="24"/>
          <w:lang w:eastAsia="en-US"/>
        </w:rPr>
        <w:lastRenderedPageBreak/>
        <w:t>odpovídajícího institucionálního rámce). Dle těchto přístupů nerivalitní povaha techn</w:t>
      </w:r>
      <w:r w:rsidR="008C6D7E">
        <w:rPr>
          <w:rFonts w:eastAsia="Calibri"/>
          <w:sz w:val="24"/>
          <w:szCs w:val="24"/>
          <w:lang w:eastAsia="en-US"/>
        </w:rPr>
        <w:t>ologií a </w:t>
      </w:r>
      <w:r w:rsidRPr="003E0D09">
        <w:rPr>
          <w:rFonts w:eastAsia="Calibri"/>
          <w:sz w:val="24"/>
          <w:szCs w:val="24"/>
          <w:lang w:eastAsia="en-US"/>
        </w:rPr>
        <w:t>znalostí umožňuje vytvářet externality. Inovační sy</w:t>
      </w:r>
      <w:r w:rsidR="008C6D7E">
        <w:rPr>
          <w:rFonts w:eastAsia="Calibri"/>
          <w:sz w:val="24"/>
          <w:szCs w:val="24"/>
          <w:lang w:eastAsia="en-US"/>
        </w:rPr>
        <w:t>stémy byly nejdříve zkoumány na </w:t>
      </w:r>
      <w:r w:rsidRPr="003E0D09">
        <w:rPr>
          <w:rFonts w:eastAsia="Calibri"/>
          <w:sz w:val="24"/>
          <w:szCs w:val="24"/>
          <w:lang w:eastAsia="en-US"/>
        </w:rPr>
        <w:t xml:space="preserve">národní úrovni, později byla přidána i regionální úroveň (Laranja a kol., 2008). Koncepty inovačních systémů slouží jako analytický rámec pro analýzu inovační výkonnosti, který je využitelný také pro tvorbu inovační politiky. Mezi hlavní představitele konceptu inovačních systémů můžeme zařadit např. Lundvalla, Cooka, Nelsona a Tödtlinga. Obecně můžeme inovační systém definovat jako skupinu aktérů </w:t>
      </w:r>
      <w:r w:rsidR="00F24D96">
        <w:rPr>
          <w:rFonts w:eastAsia="Calibri"/>
          <w:sz w:val="24"/>
          <w:szCs w:val="24"/>
          <w:lang w:eastAsia="en-US"/>
        </w:rPr>
        <w:t xml:space="preserve">působících </w:t>
      </w:r>
      <w:r w:rsidRPr="003E0D09">
        <w:rPr>
          <w:rFonts w:eastAsia="Calibri"/>
          <w:sz w:val="24"/>
          <w:szCs w:val="24"/>
          <w:lang w:eastAsia="en-US"/>
        </w:rPr>
        <w:t xml:space="preserve">ve veřejném </w:t>
      </w:r>
      <w:r w:rsidR="00F24D96">
        <w:rPr>
          <w:rFonts w:eastAsia="Calibri"/>
          <w:sz w:val="24"/>
          <w:szCs w:val="24"/>
          <w:lang w:eastAsia="en-US"/>
        </w:rPr>
        <w:t xml:space="preserve">i v </w:t>
      </w:r>
      <w:r w:rsidRPr="003E0D09">
        <w:rPr>
          <w:rFonts w:eastAsia="Calibri"/>
          <w:sz w:val="24"/>
          <w:szCs w:val="24"/>
          <w:lang w:eastAsia="en-US"/>
        </w:rPr>
        <w:t>soukromém sektoru, jejichž aktivity a vzájemné interakce ovlivňují rozvoj a šíření inovací na daném území (státu nebo regionu). Základní myšlenkou systémové</w:t>
      </w:r>
      <w:r w:rsidR="008C6D7E">
        <w:rPr>
          <w:rFonts w:eastAsia="Calibri"/>
          <w:sz w:val="24"/>
          <w:szCs w:val="24"/>
          <w:lang w:eastAsia="en-US"/>
        </w:rPr>
        <w:t>ho přístupu je, že k inovacím a </w:t>
      </w:r>
      <w:r w:rsidRPr="003E0D09">
        <w:rPr>
          <w:rFonts w:eastAsia="Calibri"/>
          <w:sz w:val="24"/>
          <w:szCs w:val="24"/>
          <w:lang w:eastAsia="en-US"/>
        </w:rPr>
        <w:t>technologickým změnám nedochází ve firmách izolovaně, ale v interakci s dalšími subjekty a prostředím. Odborná literatura rozlišuje různé typy systémů inovací, například (Skokan, 2005):</w:t>
      </w:r>
    </w:p>
    <w:p w:rsidR="003E0D09" w:rsidRPr="003E0D09" w:rsidRDefault="003E0D09" w:rsidP="00423120">
      <w:pPr>
        <w:keepNext/>
        <w:numPr>
          <w:ilvl w:val="0"/>
          <w:numId w:val="30"/>
        </w:numPr>
        <w:ind w:left="426"/>
        <w:contextualSpacing/>
        <w:jc w:val="both"/>
        <w:rPr>
          <w:rFonts w:eastAsia="Calibri"/>
          <w:sz w:val="24"/>
          <w:szCs w:val="24"/>
          <w:lang w:eastAsia="en-US"/>
        </w:rPr>
      </w:pPr>
      <w:r w:rsidRPr="003E0D09">
        <w:rPr>
          <w:rFonts w:eastAsia="Calibri"/>
          <w:sz w:val="24"/>
          <w:szCs w:val="24"/>
          <w:lang w:eastAsia="en-US"/>
        </w:rPr>
        <w:t>národní systémy inovací</w:t>
      </w:r>
      <w:r w:rsidR="00BF0156">
        <w:rPr>
          <w:rFonts w:eastAsia="Calibri"/>
          <w:sz w:val="24"/>
          <w:szCs w:val="24"/>
          <w:lang w:eastAsia="en-US"/>
        </w:rPr>
        <w:t>,</w:t>
      </w:r>
      <w:r w:rsidRPr="003E0D09">
        <w:rPr>
          <w:rFonts w:eastAsia="Calibri"/>
          <w:sz w:val="24"/>
          <w:szCs w:val="24"/>
          <w:lang w:eastAsia="en-US"/>
        </w:rPr>
        <w:t xml:space="preserve"> </w:t>
      </w:r>
    </w:p>
    <w:p w:rsidR="003E0D09" w:rsidRPr="003E0D09" w:rsidRDefault="00BF0156" w:rsidP="00423120">
      <w:pPr>
        <w:keepNext/>
        <w:numPr>
          <w:ilvl w:val="0"/>
          <w:numId w:val="30"/>
        </w:numPr>
        <w:ind w:left="426"/>
        <w:contextualSpacing/>
        <w:jc w:val="both"/>
        <w:rPr>
          <w:rFonts w:eastAsia="Calibri"/>
          <w:sz w:val="24"/>
          <w:szCs w:val="24"/>
          <w:lang w:eastAsia="en-US"/>
        </w:rPr>
      </w:pPr>
      <w:r>
        <w:rPr>
          <w:rFonts w:eastAsia="Calibri"/>
          <w:sz w:val="24"/>
          <w:szCs w:val="24"/>
          <w:lang w:eastAsia="en-US"/>
        </w:rPr>
        <w:t xml:space="preserve">regionální systémy inovací </w:t>
      </w:r>
      <w:r w:rsidR="003E0D09" w:rsidRPr="003E0D09">
        <w:rPr>
          <w:rFonts w:eastAsia="Calibri"/>
          <w:sz w:val="24"/>
          <w:szCs w:val="24"/>
          <w:lang w:eastAsia="en-US"/>
        </w:rPr>
        <w:t>(RIS)</w:t>
      </w:r>
      <w:r>
        <w:rPr>
          <w:rFonts w:eastAsia="Calibri"/>
          <w:sz w:val="24"/>
          <w:szCs w:val="24"/>
          <w:lang w:eastAsia="en-US"/>
        </w:rPr>
        <w:t>,</w:t>
      </w:r>
    </w:p>
    <w:p w:rsidR="003E0D09" w:rsidRPr="003E0D09" w:rsidRDefault="003E0D09" w:rsidP="00423120">
      <w:pPr>
        <w:keepNext/>
        <w:numPr>
          <w:ilvl w:val="0"/>
          <w:numId w:val="30"/>
        </w:numPr>
        <w:ind w:left="426"/>
        <w:contextualSpacing/>
        <w:jc w:val="both"/>
        <w:rPr>
          <w:rFonts w:eastAsia="Calibri"/>
          <w:sz w:val="24"/>
          <w:szCs w:val="24"/>
          <w:lang w:eastAsia="en-US"/>
        </w:rPr>
      </w:pPr>
      <w:r w:rsidRPr="003E0D09">
        <w:rPr>
          <w:rFonts w:eastAsia="Calibri"/>
          <w:sz w:val="24"/>
          <w:szCs w:val="24"/>
          <w:lang w:eastAsia="en-US"/>
        </w:rPr>
        <w:t>metropolitní systémy inovací</w:t>
      </w:r>
      <w:r w:rsidR="00BF0156">
        <w:rPr>
          <w:rFonts w:eastAsia="Calibri"/>
          <w:sz w:val="24"/>
          <w:szCs w:val="24"/>
          <w:lang w:eastAsia="en-US"/>
        </w:rPr>
        <w:t>,</w:t>
      </w:r>
    </w:p>
    <w:p w:rsidR="003E0D09" w:rsidRPr="003E0D09" w:rsidRDefault="003E0D09" w:rsidP="00423120">
      <w:pPr>
        <w:keepNext/>
        <w:numPr>
          <w:ilvl w:val="0"/>
          <w:numId w:val="30"/>
        </w:numPr>
        <w:ind w:left="426"/>
        <w:contextualSpacing/>
        <w:jc w:val="both"/>
        <w:rPr>
          <w:rFonts w:eastAsia="Calibri"/>
          <w:sz w:val="24"/>
          <w:szCs w:val="24"/>
          <w:lang w:eastAsia="en-US"/>
        </w:rPr>
      </w:pPr>
      <w:r w:rsidRPr="003E0D09">
        <w:rPr>
          <w:rFonts w:eastAsia="Calibri"/>
          <w:sz w:val="24"/>
          <w:szCs w:val="24"/>
          <w:lang w:eastAsia="en-US"/>
        </w:rPr>
        <w:t>prostorové systémy inovací</w:t>
      </w:r>
      <w:r w:rsidR="00BF0156">
        <w:rPr>
          <w:rFonts w:eastAsia="Calibri"/>
          <w:sz w:val="24"/>
          <w:szCs w:val="24"/>
          <w:lang w:eastAsia="en-US"/>
        </w:rPr>
        <w:t>,</w:t>
      </w:r>
      <w:r w:rsidRPr="003E0D09">
        <w:rPr>
          <w:rFonts w:eastAsia="Calibri"/>
          <w:sz w:val="24"/>
          <w:szCs w:val="24"/>
          <w:lang w:eastAsia="en-US"/>
        </w:rPr>
        <w:t xml:space="preserve"> </w:t>
      </w:r>
    </w:p>
    <w:p w:rsidR="003E0D09" w:rsidRDefault="003E0D09" w:rsidP="00423120">
      <w:pPr>
        <w:keepNext/>
        <w:numPr>
          <w:ilvl w:val="0"/>
          <w:numId w:val="30"/>
        </w:numPr>
        <w:ind w:left="425" w:hanging="357"/>
        <w:contextualSpacing/>
        <w:jc w:val="both"/>
        <w:rPr>
          <w:rFonts w:eastAsia="Calibri"/>
          <w:sz w:val="24"/>
          <w:szCs w:val="24"/>
          <w:lang w:eastAsia="en-US"/>
        </w:rPr>
      </w:pPr>
      <w:r w:rsidRPr="003E0D09">
        <w:rPr>
          <w:rFonts w:eastAsia="Calibri"/>
          <w:sz w:val="24"/>
          <w:szCs w:val="24"/>
          <w:lang w:eastAsia="en-US"/>
        </w:rPr>
        <w:t>sektorové systémy inovací (vztažené k jednomu či několika odvětvím).</w:t>
      </w:r>
    </w:p>
    <w:p w:rsidR="00BF0156" w:rsidRPr="003E0D09" w:rsidRDefault="00BF0156" w:rsidP="00BF0156">
      <w:pPr>
        <w:keepNext/>
        <w:ind w:left="425"/>
        <w:contextualSpacing/>
        <w:jc w:val="both"/>
        <w:rPr>
          <w:rFonts w:eastAsia="Calibri"/>
          <w:sz w:val="24"/>
          <w:szCs w:val="24"/>
          <w:lang w:eastAsia="en-US"/>
        </w:rPr>
      </w:pPr>
    </w:p>
    <w:p w:rsidR="003E0D09" w:rsidRPr="003E0D09" w:rsidRDefault="003E0D09" w:rsidP="000E4C07">
      <w:pPr>
        <w:keepNext/>
        <w:spacing w:after="120"/>
        <w:ind w:firstLine="720"/>
        <w:jc w:val="both"/>
        <w:rPr>
          <w:rFonts w:eastAsia="Calibri"/>
          <w:sz w:val="24"/>
          <w:szCs w:val="24"/>
          <w:lang w:eastAsia="en-US"/>
        </w:rPr>
      </w:pPr>
      <w:r w:rsidRPr="003E0D09">
        <w:rPr>
          <w:rFonts w:eastAsia="Calibri"/>
          <w:sz w:val="24"/>
          <w:szCs w:val="24"/>
          <w:lang w:eastAsia="en-US"/>
        </w:rPr>
        <w:t>Zejména v rámci RIS platí, že prostorová blízkost usnadňuje tvorbu, získávání, shromažďování a využívání znalostí, a to díky existenci for</w:t>
      </w:r>
      <w:r w:rsidR="008C6D7E">
        <w:rPr>
          <w:rFonts w:eastAsia="Calibri"/>
          <w:sz w:val="24"/>
          <w:szCs w:val="24"/>
          <w:lang w:eastAsia="en-US"/>
        </w:rPr>
        <w:t>málních i neformálních vztahů a </w:t>
      </w:r>
      <w:r w:rsidRPr="003E0D09">
        <w:rPr>
          <w:rFonts w:eastAsia="Calibri"/>
          <w:sz w:val="24"/>
          <w:szCs w:val="24"/>
          <w:lang w:eastAsia="en-US"/>
        </w:rPr>
        <w:t>sítí mezi jednotlivými aktéry inovačních procesů. V RIS se vyskytují</w:t>
      </w:r>
      <w:r w:rsidR="00BF0156">
        <w:rPr>
          <w:rFonts w:eastAsia="Calibri"/>
          <w:sz w:val="24"/>
          <w:szCs w:val="24"/>
          <w:lang w:eastAsia="en-US"/>
        </w:rPr>
        <w:t xml:space="preserve"> dvě hlavní skupiny subjektů (</w:t>
      </w:r>
      <w:r w:rsidRPr="003E0D09">
        <w:rPr>
          <w:rFonts w:eastAsia="Calibri"/>
          <w:sz w:val="24"/>
          <w:szCs w:val="24"/>
          <w:lang w:eastAsia="en-US"/>
        </w:rPr>
        <w:t>Skokan, 2005; Blažek, Uhlíř, 2011):</w:t>
      </w:r>
    </w:p>
    <w:p w:rsidR="003E0D09" w:rsidRPr="003E0D09" w:rsidRDefault="003E0D09" w:rsidP="00423120">
      <w:pPr>
        <w:keepNext/>
        <w:numPr>
          <w:ilvl w:val="0"/>
          <w:numId w:val="30"/>
        </w:numPr>
        <w:ind w:left="426"/>
        <w:contextualSpacing/>
        <w:jc w:val="both"/>
        <w:rPr>
          <w:rFonts w:eastAsia="Calibri"/>
          <w:sz w:val="24"/>
          <w:szCs w:val="24"/>
          <w:lang w:eastAsia="en-US"/>
        </w:rPr>
      </w:pPr>
      <w:r w:rsidRPr="003E0D09">
        <w:rPr>
          <w:rFonts w:eastAsia="Calibri"/>
          <w:sz w:val="24"/>
          <w:szCs w:val="24"/>
          <w:lang w:eastAsia="en-US"/>
        </w:rPr>
        <w:t xml:space="preserve">subsystém vytvářející znalosti, tj. univerzity, výzkumné organizace </w:t>
      </w:r>
      <w:r w:rsidR="00934C18">
        <w:rPr>
          <w:rFonts w:eastAsia="Calibri"/>
          <w:sz w:val="24"/>
          <w:szCs w:val="24"/>
          <w:lang w:eastAsia="en-US"/>
        </w:rPr>
        <w:t>a další specializované instituce</w:t>
      </w:r>
      <w:r w:rsidRPr="003E0D09">
        <w:rPr>
          <w:rFonts w:eastAsia="Calibri"/>
          <w:sz w:val="24"/>
          <w:szCs w:val="24"/>
          <w:lang w:eastAsia="en-US"/>
        </w:rPr>
        <w:t>,</w:t>
      </w:r>
    </w:p>
    <w:p w:rsidR="003E0D09" w:rsidRDefault="003E0D09" w:rsidP="00423120">
      <w:pPr>
        <w:keepNext/>
        <w:numPr>
          <w:ilvl w:val="0"/>
          <w:numId w:val="30"/>
        </w:numPr>
        <w:ind w:left="425" w:hanging="357"/>
        <w:contextualSpacing/>
        <w:jc w:val="both"/>
        <w:rPr>
          <w:rFonts w:eastAsia="Calibri"/>
          <w:sz w:val="24"/>
          <w:szCs w:val="24"/>
          <w:lang w:eastAsia="en-US"/>
        </w:rPr>
      </w:pPr>
      <w:r w:rsidRPr="003E0D09">
        <w:rPr>
          <w:rFonts w:eastAsia="Calibri"/>
          <w:sz w:val="24"/>
          <w:szCs w:val="24"/>
          <w:lang w:eastAsia="en-US"/>
        </w:rPr>
        <w:t>subsystém využívající znalosti, tj. především podniky.</w:t>
      </w:r>
    </w:p>
    <w:p w:rsidR="00BF0156" w:rsidRPr="003E0D09" w:rsidRDefault="00BF0156" w:rsidP="00BF0156">
      <w:pPr>
        <w:keepNext/>
        <w:ind w:left="425"/>
        <w:contextualSpacing/>
        <w:jc w:val="both"/>
        <w:rPr>
          <w:rFonts w:eastAsia="Calibri"/>
          <w:sz w:val="24"/>
          <w:szCs w:val="24"/>
          <w:lang w:eastAsia="en-US"/>
        </w:rPr>
      </w:pPr>
    </w:p>
    <w:p w:rsidR="003E0D09" w:rsidRPr="003E0D09" w:rsidRDefault="003E0D09" w:rsidP="00BF0156">
      <w:pPr>
        <w:keepNext/>
        <w:ind w:firstLine="720"/>
        <w:jc w:val="both"/>
        <w:rPr>
          <w:rFonts w:eastAsia="Calibri"/>
          <w:sz w:val="24"/>
          <w:szCs w:val="24"/>
          <w:lang w:eastAsia="en-US"/>
        </w:rPr>
      </w:pPr>
      <w:r w:rsidRPr="003E0D09">
        <w:rPr>
          <w:rFonts w:eastAsia="Calibri"/>
          <w:sz w:val="24"/>
          <w:szCs w:val="24"/>
          <w:lang w:eastAsia="en-US"/>
        </w:rPr>
        <w:t xml:space="preserve">Odlišení obou </w:t>
      </w:r>
      <w:r w:rsidR="00F24D96">
        <w:rPr>
          <w:rFonts w:eastAsia="Calibri"/>
          <w:sz w:val="24"/>
          <w:szCs w:val="24"/>
          <w:lang w:eastAsia="en-US"/>
        </w:rPr>
        <w:t>sub</w:t>
      </w:r>
      <w:r w:rsidRPr="003E0D09">
        <w:rPr>
          <w:rFonts w:eastAsia="Calibri"/>
          <w:sz w:val="24"/>
          <w:szCs w:val="24"/>
          <w:lang w:eastAsia="en-US"/>
        </w:rPr>
        <w:t>systémů je pouze rámcové</w:t>
      </w:r>
      <w:r w:rsidR="00F24D96">
        <w:rPr>
          <w:rFonts w:eastAsia="Calibri"/>
          <w:sz w:val="24"/>
          <w:szCs w:val="24"/>
          <w:lang w:eastAsia="en-US"/>
        </w:rPr>
        <w:t xml:space="preserve"> povahy</w:t>
      </w:r>
      <w:r w:rsidRPr="003E0D09">
        <w:rPr>
          <w:rFonts w:eastAsia="Calibri"/>
          <w:sz w:val="24"/>
          <w:szCs w:val="24"/>
          <w:lang w:eastAsia="en-US"/>
        </w:rPr>
        <w:t>, neboť i firmy mohou produkovat nové znalosti a univerzity</w:t>
      </w:r>
      <w:r w:rsidR="00F24D96">
        <w:rPr>
          <w:rFonts w:eastAsia="Calibri"/>
          <w:sz w:val="24"/>
          <w:szCs w:val="24"/>
          <w:lang w:eastAsia="en-US"/>
        </w:rPr>
        <w:t xml:space="preserve"> pak </w:t>
      </w:r>
      <w:r w:rsidRPr="003E0D09">
        <w:rPr>
          <w:rFonts w:eastAsia="Calibri"/>
          <w:sz w:val="24"/>
          <w:szCs w:val="24"/>
          <w:lang w:eastAsia="en-US"/>
        </w:rPr>
        <w:t xml:space="preserve">mohou vytvořené znalosti využívat. V dobře fungujícím RIS navíc působí subjekty přispívající k budování vztahů mezi výše uvedenými subsystémy (organizace podporující transfer technologií či kapitálu). Veřejné intervence zde jsou zdůvodňovány systémovým selháním, kdy spojení a vazby v systému jsou chudé nebo nedostatečně generují znalosti – tato selhání mohou nabývat mnoha forem, např. selhání v učení nebo lock-in </w:t>
      </w:r>
      <w:r w:rsidRPr="003E0D09">
        <w:rPr>
          <w:rFonts w:eastAsia="Calibri"/>
          <w:sz w:val="24"/>
          <w:szCs w:val="24"/>
          <w:vertAlign w:val="superscript"/>
          <w:lang w:eastAsia="en-US"/>
        </w:rPr>
        <w:footnoteReference w:id="32"/>
      </w:r>
      <w:r w:rsidRPr="003E0D09">
        <w:rPr>
          <w:rFonts w:eastAsia="Calibri"/>
          <w:sz w:val="24"/>
          <w:szCs w:val="24"/>
          <w:lang w:eastAsia="en-US"/>
        </w:rPr>
        <w:t>. Úkolem tvůrců politiky je zlepšit systémovou výkonnost pomocí překonání institucionální nečinnosti a podpory institucionální konfigurace.</w:t>
      </w:r>
      <w:r w:rsidR="00BF0156">
        <w:rPr>
          <w:rFonts w:eastAsia="Calibri"/>
          <w:sz w:val="24"/>
          <w:szCs w:val="24"/>
          <w:lang w:eastAsia="en-US"/>
        </w:rPr>
        <w:t xml:space="preserve"> Veřejné intervence mohou také </w:t>
      </w:r>
      <w:r w:rsidRPr="003E0D09">
        <w:rPr>
          <w:rFonts w:eastAsia="Calibri"/>
          <w:sz w:val="24"/>
          <w:szCs w:val="24"/>
          <w:lang w:eastAsia="en-US"/>
        </w:rPr>
        <w:t>podporovat kolektivní učení a koordinovat vztahy v rámci systému. Tyto přístupy ovšem nabízí pouze omezený počet doporučení pro tvorbu specifických nástrojů. Jako praktický příklad může sloužit podpora tvorby RIS v Evropské uni</w:t>
      </w:r>
      <w:r w:rsidR="00BF0156">
        <w:rPr>
          <w:rFonts w:eastAsia="Calibri"/>
          <w:sz w:val="24"/>
          <w:szCs w:val="24"/>
          <w:lang w:eastAsia="en-US"/>
        </w:rPr>
        <w:t>i</w:t>
      </w:r>
      <w:r w:rsidRPr="003E0D09">
        <w:rPr>
          <w:rFonts w:eastAsia="Calibri"/>
          <w:sz w:val="24"/>
          <w:szCs w:val="24"/>
          <w:lang w:eastAsia="en-US"/>
        </w:rPr>
        <w:t xml:space="preserve"> (Laranja a kol., 2008).</w:t>
      </w:r>
    </w:p>
    <w:p w:rsidR="003E0D09" w:rsidRPr="003E0D09" w:rsidRDefault="003E0D09" w:rsidP="000E4C07">
      <w:pPr>
        <w:keepNext/>
        <w:spacing w:after="120"/>
        <w:ind w:firstLine="720"/>
        <w:jc w:val="both"/>
        <w:rPr>
          <w:rFonts w:eastAsia="Calibri"/>
          <w:sz w:val="24"/>
          <w:szCs w:val="24"/>
          <w:lang w:eastAsia="en-US"/>
        </w:rPr>
      </w:pPr>
      <w:r w:rsidRPr="003E0D09">
        <w:rPr>
          <w:rFonts w:eastAsia="Calibri"/>
          <w:sz w:val="24"/>
          <w:szCs w:val="24"/>
          <w:lang w:eastAsia="en-US"/>
        </w:rPr>
        <w:t xml:space="preserve">Ve výzkumu RIS se využívá také </w:t>
      </w:r>
      <w:r w:rsidRPr="003E0D09">
        <w:rPr>
          <w:rFonts w:eastAsia="Calibri"/>
          <w:b/>
          <w:sz w:val="24"/>
          <w:szCs w:val="24"/>
          <w:lang w:eastAsia="en-US"/>
        </w:rPr>
        <w:t>koncept znalostních základen</w:t>
      </w:r>
      <w:r w:rsidRPr="003E0D09">
        <w:rPr>
          <w:rFonts w:eastAsia="Calibri"/>
          <w:sz w:val="24"/>
          <w:szCs w:val="24"/>
          <w:lang w:eastAsia="en-US"/>
        </w:rPr>
        <w:t xml:space="preserve">, za jehož autory jsou považováni Asheim a Gertler. Tento koncept vychází z předpokladu, že inovační proces může mít velmi odlišnou podobu. Dle převládající znalostní základny lze vytvořit rámcovou </w:t>
      </w:r>
      <w:r w:rsidRPr="003E0D09">
        <w:rPr>
          <w:rFonts w:eastAsia="Calibri"/>
          <w:sz w:val="24"/>
          <w:szCs w:val="24"/>
          <w:lang w:eastAsia="en-US"/>
        </w:rPr>
        <w:lastRenderedPageBreak/>
        <w:t>typologii hospodářských o</w:t>
      </w:r>
      <w:r w:rsidR="00BF0156">
        <w:rPr>
          <w:rFonts w:eastAsia="Calibri"/>
          <w:sz w:val="24"/>
          <w:szCs w:val="24"/>
          <w:lang w:eastAsia="en-US"/>
        </w:rPr>
        <w:t>dvětví, klastrů i RIS. Rozlišuje</w:t>
      </w:r>
      <w:r w:rsidRPr="003E0D09">
        <w:rPr>
          <w:rFonts w:eastAsia="Calibri"/>
          <w:sz w:val="24"/>
          <w:szCs w:val="24"/>
          <w:lang w:eastAsia="en-US"/>
        </w:rPr>
        <w:t xml:space="preserve"> se a</w:t>
      </w:r>
      <w:r w:rsidR="008C6D7E">
        <w:rPr>
          <w:rFonts w:eastAsia="Calibri"/>
          <w:sz w:val="24"/>
          <w:szCs w:val="24"/>
          <w:lang w:eastAsia="en-US"/>
        </w:rPr>
        <w:t>nalytická, syntetická a </w:t>
      </w:r>
      <w:r w:rsidRPr="003E0D09">
        <w:rPr>
          <w:rFonts w:eastAsia="Calibri"/>
          <w:sz w:val="24"/>
          <w:szCs w:val="24"/>
          <w:lang w:eastAsia="en-US"/>
        </w:rPr>
        <w:t xml:space="preserve">symbolická základna, jejichž rozdíly spočívají zejména v typu výzkumu (základní vs. </w:t>
      </w:r>
      <w:r w:rsidR="00BF0156">
        <w:rPr>
          <w:rFonts w:eastAsia="Calibri"/>
          <w:sz w:val="24"/>
          <w:szCs w:val="24"/>
          <w:lang w:eastAsia="en-US"/>
        </w:rPr>
        <w:t xml:space="preserve">aplikovaný </w:t>
      </w:r>
      <w:r w:rsidRPr="003E0D09">
        <w:rPr>
          <w:rFonts w:eastAsia="Calibri"/>
          <w:sz w:val="24"/>
          <w:szCs w:val="24"/>
          <w:lang w:eastAsia="en-US"/>
        </w:rPr>
        <w:t>výzkum), typu inovačního procesu (lineární, STI x interaktivní, DUI) povaze inovací (radikální vs. inkrementální) a převládajícího typu zna</w:t>
      </w:r>
      <w:r w:rsidR="00BF0156">
        <w:rPr>
          <w:rFonts w:eastAsia="Calibri"/>
          <w:sz w:val="24"/>
          <w:szCs w:val="24"/>
          <w:lang w:eastAsia="en-US"/>
        </w:rPr>
        <w:t>lostí (kodifikované vs. n</w:t>
      </w:r>
      <w:r w:rsidRPr="003E0D09">
        <w:rPr>
          <w:rFonts w:eastAsia="Calibri"/>
          <w:sz w:val="24"/>
          <w:szCs w:val="24"/>
          <w:lang w:eastAsia="en-US"/>
        </w:rPr>
        <w:t xml:space="preserve">ekodifikované </w:t>
      </w:r>
      <w:proofErr w:type="gramStart"/>
      <w:r w:rsidRPr="003E0D09">
        <w:rPr>
          <w:rFonts w:eastAsia="Calibri"/>
          <w:sz w:val="24"/>
          <w:szCs w:val="24"/>
          <w:lang w:eastAsia="en-US"/>
        </w:rPr>
        <w:t xml:space="preserve">znalosti) </w:t>
      </w:r>
      <w:r w:rsidRPr="003E0D09">
        <w:rPr>
          <w:rFonts w:eastAsia="Calibri"/>
          <w:sz w:val="24"/>
          <w:szCs w:val="24"/>
          <w:vertAlign w:val="superscript"/>
          <w:lang w:eastAsia="en-US"/>
        </w:rPr>
        <w:footnoteReference w:id="33"/>
      </w:r>
      <w:r w:rsidRPr="003E0D09">
        <w:rPr>
          <w:rFonts w:eastAsia="Calibri"/>
          <w:sz w:val="24"/>
          <w:szCs w:val="24"/>
          <w:vertAlign w:val="superscript"/>
          <w:lang w:eastAsia="en-US"/>
        </w:rPr>
        <w:t xml:space="preserve">, </w:t>
      </w:r>
      <w:r w:rsidRPr="003E0D09">
        <w:rPr>
          <w:rFonts w:eastAsia="Calibri"/>
          <w:sz w:val="24"/>
          <w:szCs w:val="24"/>
          <w:vertAlign w:val="superscript"/>
          <w:lang w:eastAsia="en-US"/>
        </w:rPr>
        <w:footnoteReference w:id="34"/>
      </w:r>
      <w:r w:rsidR="00BF0156">
        <w:rPr>
          <w:rFonts w:eastAsia="Calibri"/>
          <w:sz w:val="24"/>
          <w:szCs w:val="24"/>
          <w:lang w:eastAsia="en-US"/>
        </w:rPr>
        <w:t xml:space="preserve">. </w:t>
      </w:r>
      <w:r w:rsidR="003B7FD0">
        <w:rPr>
          <w:rFonts w:eastAsia="Calibri"/>
          <w:sz w:val="24"/>
          <w:szCs w:val="24"/>
          <w:lang w:eastAsia="en-US"/>
        </w:rPr>
        <w:t>J</w:t>
      </w:r>
      <w:r w:rsidRPr="003E0D09">
        <w:rPr>
          <w:rFonts w:eastAsia="Calibri"/>
          <w:sz w:val="24"/>
          <w:szCs w:val="24"/>
          <w:lang w:eastAsia="en-US"/>
        </w:rPr>
        <w:t>ednotlivé</w:t>
      </w:r>
      <w:proofErr w:type="gramEnd"/>
      <w:r w:rsidRPr="003E0D09">
        <w:rPr>
          <w:rFonts w:eastAsia="Calibri"/>
          <w:sz w:val="24"/>
          <w:szCs w:val="24"/>
          <w:lang w:eastAsia="en-US"/>
        </w:rPr>
        <w:t xml:space="preserve"> znalostní základny lze charakterizovat následovně (Adámek a kol., 2007, Blažek, Uhlíř, 2011):</w:t>
      </w:r>
    </w:p>
    <w:p w:rsidR="003E0D09" w:rsidRPr="003E0D09" w:rsidRDefault="003E0D09" w:rsidP="00423120">
      <w:pPr>
        <w:keepNext/>
        <w:numPr>
          <w:ilvl w:val="0"/>
          <w:numId w:val="31"/>
        </w:numPr>
        <w:ind w:left="357" w:hanging="357"/>
        <w:contextualSpacing/>
        <w:jc w:val="both"/>
        <w:rPr>
          <w:rFonts w:eastAsia="Calibri"/>
          <w:sz w:val="24"/>
          <w:szCs w:val="24"/>
          <w:lang w:eastAsia="en-US"/>
        </w:rPr>
      </w:pPr>
      <w:r w:rsidRPr="003E0D09">
        <w:rPr>
          <w:rFonts w:eastAsia="Calibri"/>
          <w:sz w:val="24"/>
          <w:szCs w:val="24"/>
          <w:lang w:eastAsia="en-US"/>
        </w:rPr>
        <w:t>V analytické znalostní základně převažují nové vědecké poznatky, jejichž zdrojem je systematický výzkum založený na formálních modelech a kodifikovaných znalostech. Pro tuto základnu je typický vyšší počet vědeckých objevů a radikálních inovací. Hlavním c</w:t>
      </w:r>
      <w:r w:rsidR="00BF0156">
        <w:rPr>
          <w:rFonts w:eastAsia="Calibri"/>
          <w:sz w:val="24"/>
          <w:szCs w:val="24"/>
          <w:lang w:eastAsia="en-US"/>
        </w:rPr>
        <w:t>ílem poznání je „vědět proč“. T</w:t>
      </w:r>
      <w:r w:rsidRPr="003E0D09">
        <w:rPr>
          <w:rFonts w:eastAsia="Calibri"/>
          <w:sz w:val="24"/>
          <w:szCs w:val="24"/>
          <w:lang w:eastAsia="en-US"/>
        </w:rPr>
        <w:t>uto základnu využívají především přírodovědné obory</w:t>
      </w:r>
      <w:r w:rsidR="00871E25">
        <w:rPr>
          <w:rFonts w:eastAsia="Calibri"/>
          <w:sz w:val="24"/>
          <w:szCs w:val="24"/>
          <w:lang w:eastAsia="en-US"/>
        </w:rPr>
        <w:t>.</w:t>
      </w:r>
      <w:r w:rsidRPr="003E0D09">
        <w:rPr>
          <w:rFonts w:eastAsia="Calibri"/>
          <w:sz w:val="24"/>
          <w:szCs w:val="24"/>
          <w:lang w:eastAsia="en-US"/>
        </w:rPr>
        <w:t xml:space="preserve"> </w:t>
      </w:r>
    </w:p>
    <w:p w:rsidR="003E0D09" w:rsidRDefault="003E0D09" w:rsidP="00423120">
      <w:pPr>
        <w:keepNext/>
        <w:numPr>
          <w:ilvl w:val="0"/>
          <w:numId w:val="31"/>
        </w:numPr>
        <w:ind w:left="357" w:hanging="357"/>
        <w:contextualSpacing/>
        <w:jc w:val="both"/>
        <w:rPr>
          <w:rFonts w:eastAsia="Calibri"/>
          <w:sz w:val="24"/>
          <w:szCs w:val="24"/>
          <w:lang w:eastAsia="en-US"/>
        </w:rPr>
      </w:pPr>
      <w:r w:rsidRPr="003E0D09">
        <w:rPr>
          <w:rFonts w:eastAsia="Calibri"/>
          <w:sz w:val="24"/>
          <w:szCs w:val="24"/>
          <w:lang w:eastAsia="en-US"/>
        </w:rPr>
        <w:t>V syntetické znalostní základně vznikají inovace zejména cestou nových kombinací již existujících znalostí a učením se praxí a spoluprací (využívání nekodifikovaných znalostí). Převažuje aplikovaný výzkum založený na spolupráci firem a univerzit. Inovační proces lze označit jako interaktivní (nelineární). Hlavním cílem poznání je „vědět jak“</w:t>
      </w:r>
      <w:r w:rsidR="00BF0156">
        <w:rPr>
          <w:rFonts w:eastAsia="Calibri"/>
          <w:sz w:val="24"/>
          <w:szCs w:val="24"/>
          <w:lang w:eastAsia="en-US"/>
        </w:rPr>
        <w:t>. T</w:t>
      </w:r>
      <w:r w:rsidRPr="003E0D09">
        <w:rPr>
          <w:rFonts w:eastAsia="Calibri"/>
          <w:sz w:val="24"/>
          <w:szCs w:val="24"/>
          <w:lang w:eastAsia="en-US"/>
        </w:rPr>
        <w:t>ato základna je využívána zejména technickými obory.</w:t>
      </w:r>
    </w:p>
    <w:p w:rsidR="00BF0156" w:rsidRPr="003E0D09" w:rsidRDefault="00BF0156" w:rsidP="00BF0156">
      <w:pPr>
        <w:keepNext/>
        <w:ind w:left="357"/>
        <w:contextualSpacing/>
        <w:jc w:val="both"/>
        <w:rPr>
          <w:rFonts w:eastAsia="Calibri"/>
          <w:sz w:val="24"/>
          <w:szCs w:val="24"/>
          <w:lang w:eastAsia="en-US"/>
        </w:rPr>
      </w:pPr>
    </w:p>
    <w:p w:rsidR="003E0D09" w:rsidRPr="003E0D09" w:rsidRDefault="003E0D09" w:rsidP="00423120">
      <w:pPr>
        <w:keepNext/>
        <w:ind w:firstLine="720"/>
        <w:jc w:val="both"/>
        <w:rPr>
          <w:rFonts w:eastAsia="Calibri"/>
          <w:sz w:val="24"/>
          <w:szCs w:val="24"/>
          <w:lang w:eastAsia="en-US"/>
        </w:rPr>
      </w:pPr>
      <w:r w:rsidRPr="003E0D09">
        <w:rPr>
          <w:rFonts w:eastAsia="Calibri"/>
          <w:sz w:val="24"/>
          <w:szCs w:val="24"/>
          <w:lang w:eastAsia="en-US"/>
        </w:rPr>
        <w:t>V případě symbolických znalostních základen jsou hlavním zdrojem nových znalostí</w:t>
      </w:r>
      <w:r w:rsidR="00ED644B">
        <w:rPr>
          <w:rFonts w:eastAsia="Calibri"/>
          <w:sz w:val="24"/>
          <w:szCs w:val="24"/>
          <w:lang w:eastAsia="en-US"/>
        </w:rPr>
        <w:t>,</w:t>
      </w:r>
      <w:r w:rsidRPr="003E0D09">
        <w:rPr>
          <w:rFonts w:eastAsia="Calibri"/>
          <w:sz w:val="24"/>
          <w:szCs w:val="24"/>
          <w:lang w:eastAsia="en-US"/>
        </w:rPr>
        <w:t xml:space="preserve"> spojených s vytvářením nových symbolů, image a designu</w:t>
      </w:r>
      <w:r w:rsidR="00ED644B">
        <w:rPr>
          <w:rFonts w:eastAsia="Calibri"/>
          <w:sz w:val="24"/>
          <w:szCs w:val="24"/>
          <w:lang w:eastAsia="en-US"/>
        </w:rPr>
        <w:t>,</w:t>
      </w:r>
      <w:r w:rsidR="008C6D7E">
        <w:rPr>
          <w:rFonts w:eastAsia="Calibri"/>
          <w:sz w:val="24"/>
          <w:szCs w:val="24"/>
          <w:lang w:eastAsia="en-US"/>
        </w:rPr>
        <w:t xml:space="preserve"> neformální osobní kontakty a </w:t>
      </w:r>
      <w:r w:rsidRPr="003E0D09">
        <w:rPr>
          <w:rFonts w:eastAsia="Calibri"/>
          <w:sz w:val="24"/>
          <w:szCs w:val="24"/>
          <w:lang w:eastAsia="en-US"/>
        </w:rPr>
        <w:t>vztahy v rámci určité profese. Převládají nekodifikované znalosti kombinované s řemeslnou zručností a schopností nalézat inspiraci. Hlavním cílem poznání je zapůsobit na zákazníky. Symbolická základna je využívána zvláště uměleckými odvětvími (móda, reklama, média).</w:t>
      </w:r>
    </w:p>
    <w:p w:rsidR="003E0D09" w:rsidRPr="003E0D09" w:rsidRDefault="003E0D09" w:rsidP="000E4C07">
      <w:pPr>
        <w:keepNext/>
        <w:spacing w:after="120"/>
        <w:ind w:firstLine="720"/>
        <w:jc w:val="both"/>
        <w:rPr>
          <w:rFonts w:eastAsia="Calibri"/>
          <w:sz w:val="24"/>
          <w:szCs w:val="24"/>
          <w:lang w:eastAsia="en-US"/>
        </w:rPr>
      </w:pPr>
      <w:r w:rsidRPr="003E0D09">
        <w:rPr>
          <w:rFonts w:eastAsia="Calibri"/>
          <w:sz w:val="24"/>
          <w:szCs w:val="24"/>
          <w:lang w:eastAsia="en-US"/>
        </w:rPr>
        <w:t xml:space="preserve">Protože každý region má své specifické rysy, mají odlišnou podobu i RIS. </w:t>
      </w:r>
      <w:r w:rsidRPr="003E0D09">
        <w:rPr>
          <w:rFonts w:eastAsia="Calibri"/>
          <w:b/>
          <w:sz w:val="24"/>
          <w:szCs w:val="24"/>
          <w:lang w:eastAsia="en-US"/>
        </w:rPr>
        <w:t>Typologie RIS</w:t>
      </w:r>
      <w:r w:rsidRPr="003E0D09">
        <w:rPr>
          <w:rFonts w:eastAsia="Calibri"/>
          <w:sz w:val="24"/>
          <w:szCs w:val="24"/>
          <w:lang w:eastAsia="en-US"/>
        </w:rPr>
        <w:t xml:space="preserve"> může být vytvořena v závislosti na převažující znalostní základně, velikosti klíčových aktérů nebo způsobu řízení. Následující členění ideálních RIS vychází z prací Cooka, Asheima a Gertlera zdůrazňujících  institucionální struktury v regionu (RIS zakořeněné, zasíťované, řízené) a firemní struktury v regionu (RIS lokalistické, interaktivní a globalizované). Ideální typy RIS lze popsat n</w:t>
      </w:r>
      <w:r w:rsidR="00ED644B">
        <w:rPr>
          <w:rFonts w:eastAsia="Calibri"/>
          <w:sz w:val="24"/>
          <w:szCs w:val="24"/>
          <w:lang w:eastAsia="en-US"/>
        </w:rPr>
        <w:t>ásledovně (Adámek a kol., 2007):</w:t>
      </w:r>
    </w:p>
    <w:p w:rsidR="003E0D09" w:rsidRPr="003E0D09" w:rsidRDefault="003E0D09" w:rsidP="00423120">
      <w:pPr>
        <w:keepNext/>
        <w:numPr>
          <w:ilvl w:val="0"/>
          <w:numId w:val="30"/>
        </w:numPr>
        <w:ind w:left="425" w:hanging="357"/>
        <w:contextualSpacing/>
        <w:jc w:val="both"/>
        <w:rPr>
          <w:rFonts w:eastAsia="Calibri"/>
          <w:sz w:val="24"/>
          <w:szCs w:val="24"/>
          <w:lang w:eastAsia="en-US"/>
        </w:rPr>
      </w:pPr>
      <w:r w:rsidRPr="003E0D09">
        <w:rPr>
          <w:rFonts w:eastAsia="Calibri"/>
          <w:sz w:val="24"/>
          <w:szCs w:val="24"/>
          <w:lang w:eastAsia="en-US"/>
        </w:rPr>
        <w:t xml:space="preserve">V zakořeněném (grassroote) RIS využívají firmy především syntetickou znalostní základnu, lokalizované učení a aplikovaný výzkum.  Typická je hluboká zakořeněnost aktérů v regionu a silné vazby mezi MSP, které jsou s globálním trhem propojeny prostřednictvím velkých firem. Cooke tento RIS nazval jako podnikatelský. </w:t>
      </w:r>
    </w:p>
    <w:p w:rsidR="003E0D09" w:rsidRPr="003E0D09" w:rsidRDefault="00ED644B" w:rsidP="00423120">
      <w:pPr>
        <w:keepNext/>
        <w:numPr>
          <w:ilvl w:val="0"/>
          <w:numId w:val="30"/>
        </w:numPr>
        <w:ind w:left="425" w:hanging="357"/>
        <w:contextualSpacing/>
        <w:jc w:val="both"/>
        <w:rPr>
          <w:rFonts w:eastAsia="Calibri"/>
          <w:sz w:val="24"/>
          <w:szCs w:val="24"/>
          <w:lang w:eastAsia="en-US"/>
        </w:rPr>
      </w:pPr>
      <w:r>
        <w:rPr>
          <w:rFonts w:eastAsia="Calibri"/>
          <w:sz w:val="24"/>
          <w:szCs w:val="24"/>
          <w:lang w:eastAsia="en-US"/>
        </w:rPr>
        <w:t>V</w:t>
      </w:r>
      <w:r w:rsidR="003E0D09" w:rsidRPr="003E0D09">
        <w:rPr>
          <w:rFonts w:eastAsia="Calibri"/>
          <w:sz w:val="24"/>
          <w:szCs w:val="24"/>
          <w:lang w:eastAsia="en-US"/>
        </w:rPr>
        <w:t> zasíťovaném (networked) RIS jsou firmy zakořeněny v regionu. Je zde však silnější orientace na strategické plánování, diverzifikovanější eko</w:t>
      </w:r>
      <w:r w:rsidR="008C6D7E">
        <w:rPr>
          <w:rFonts w:eastAsia="Calibri"/>
          <w:sz w:val="24"/>
          <w:szCs w:val="24"/>
          <w:lang w:eastAsia="en-US"/>
        </w:rPr>
        <w:t>nomická struktura, důraz na </w:t>
      </w:r>
      <w:r w:rsidR="003E0D09" w:rsidRPr="003E0D09">
        <w:rPr>
          <w:rFonts w:eastAsia="Calibri"/>
          <w:sz w:val="24"/>
          <w:szCs w:val="24"/>
          <w:lang w:eastAsia="en-US"/>
        </w:rPr>
        <w:t>aplikovaný i základní výzkum a syntetickou i analy</w:t>
      </w:r>
      <w:r w:rsidR="008C6D7E">
        <w:rPr>
          <w:rFonts w:eastAsia="Calibri"/>
          <w:sz w:val="24"/>
          <w:szCs w:val="24"/>
          <w:lang w:eastAsia="en-US"/>
        </w:rPr>
        <w:t>tickou znalostní základnu. Mezi </w:t>
      </w:r>
      <w:r w:rsidR="003E0D09" w:rsidRPr="003E0D09">
        <w:rPr>
          <w:rFonts w:eastAsia="Calibri"/>
          <w:sz w:val="24"/>
          <w:szCs w:val="24"/>
          <w:lang w:eastAsia="en-US"/>
        </w:rPr>
        <w:t xml:space="preserve">evropskými regiony převládá právě tento typ RIS. </w:t>
      </w:r>
    </w:p>
    <w:p w:rsidR="003E0D09" w:rsidRPr="003E0D09" w:rsidRDefault="003E0D09" w:rsidP="00423120">
      <w:pPr>
        <w:keepNext/>
        <w:numPr>
          <w:ilvl w:val="0"/>
          <w:numId w:val="30"/>
        </w:numPr>
        <w:ind w:left="425" w:hanging="357"/>
        <w:contextualSpacing/>
        <w:jc w:val="both"/>
        <w:rPr>
          <w:rFonts w:eastAsia="Calibri"/>
          <w:sz w:val="24"/>
          <w:szCs w:val="24"/>
          <w:lang w:eastAsia="en-US"/>
        </w:rPr>
      </w:pPr>
      <w:r w:rsidRPr="003E0D09">
        <w:rPr>
          <w:rFonts w:eastAsia="Calibri"/>
          <w:sz w:val="24"/>
          <w:szCs w:val="24"/>
          <w:lang w:eastAsia="en-US"/>
        </w:rPr>
        <w:lastRenderedPageBreak/>
        <w:t>Řízený (dirigiste) RIS vychází z lineárního modelu i</w:t>
      </w:r>
      <w:r w:rsidR="007F79BC">
        <w:rPr>
          <w:rFonts w:eastAsia="Calibri"/>
          <w:sz w:val="24"/>
          <w:szCs w:val="24"/>
          <w:lang w:eastAsia="en-US"/>
        </w:rPr>
        <w:t>novací a je silně integrován do </w:t>
      </w:r>
      <w:r w:rsidRPr="003E0D09">
        <w:rPr>
          <w:rFonts w:eastAsia="Calibri"/>
          <w:sz w:val="24"/>
          <w:szCs w:val="24"/>
          <w:lang w:eastAsia="en-US"/>
        </w:rPr>
        <w:t xml:space="preserve">národního a mezinárodního inovačního systému. Významnou roli mají exogenní aktéři a vztahy mezi firmami a znalostní sférou jsou dobře strukturované. Tento systém je také označován jako institucionální RIS. </w:t>
      </w:r>
    </w:p>
    <w:p w:rsidR="003E0D09" w:rsidRPr="003E0D09" w:rsidRDefault="003E0D09" w:rsidP="00423120">
      <w:pPr>
        <w:keepNext/>
        <w:numPr>
          <w:ilvl w:val="0"/>
          <w:numId w:val="30"/>
        </w:numPr>
        <w:ind w:left="426"/>
        <w:contextualSpacing/>
        <w:jc w:val="both"/>
        <w:rPr>
          <w:rFonts w:eastAsia="Calibri"/>
          <w:sz w:val="24"/>
          <w:szCs w:val="24"/>
          <w:lang w:eastAsia="en-US"/>
        </w:rPr>
      </w:pPr>
      <w:r w:rsidRPr="003E0D09">
        <w:rPr>
          <w:rFonts w:eastAsia="Calibri"/>
          <w:sz w:val="24"/>
          <w:szCs w:val="24"/>
          <w:lang w:eastAsia="en-US"/>
        </w:rPr>
        <w:t xml:space="preserve">V lokalistickém RIS jsou přítomny zejména místní MSP (minimum velkých firem). V rámci daného regionu, kde se nachází i menší soukromé i veřejné výzkumné zdroje, jsou firmy propojené silnými vazbami – příkladem jsou výrobní okrsky v Itálii.  </w:t>
      </w:r>
    </w:p>
    <w:p w:rsidR="003E0D09" w:rsidRPr="003E0D09" w:rsidRDefault="003E0D09" w:rsidP="00423120">
      <w:pPr>
        <w:keepNext/>
        <w:numPr>
          <w:ilvl w:val="0"/>
          <w:numId w:val="30"/>
        </w:numPr>
        <w:ind w:left="426"/>
        <w:contextualSpacing/>
        <w:jc w:val="both"/>
        <w:rPr>
          <w:rFonts w:eastAsia="Calibri"/>
          <w:sz w:val="24"/>
          <w:szCs w:val="24"/>
          <w:lang w:eastAsia="en-US"/>
        </w:rPr>
      </w:pPr>
      <w:r w:rsidRPr="003E0D09">
        <w:rPr>
          <w:rFonts w:eastAsia="Calibri"/>
          <w:sz w:val="24"/>
          <w:szCs w:val="24"/>
          <w:lang w:eastAsia="en-US"/>
        </w:rPr>
        <w:t xml:space="preserve">V interaktivním RIS je zastoupení velkých i malých firem vyvážené. Spolupráce probíhá na místní i globální úrovni včetně propojování veřejného a soukromého výzkumu. Vertikální i horizontální vazby jsou silné. </w:t>
      </w:r>
    </w:p>
    <w:p w:rsidR="003E0D09" w:rsidRPr="000E4C07" w:rsidRDefault="003E0D09" w:rsidP="000E4C07">
      <w:pPr>
        <w:keepNext/>
        <w:numPr>
          <w:ilvl w:val="0"/>
          <w:numId w:val="30"/>
        </w:numPr>
        <w:ind w:left="425" w:hanging="357"/>
        <w:contextualSpacing/>
        <w:jc w:val="both"/>
        <w:rPr>
          <w:rFonts w:eastAsia="Calibri"/>
          <w:sz w:val="24"/>
          <w:szCs w:val="24"/>
          <w:lang w:eastAsia="en-US"/>
        </w:rPr>
      </w:pPr>
      <w:r w:rsidRPr="003E0D09">
        <w:rPr>
          <w:rFonts w:eastAsia="Calibri"/>
          <w:sz w:val="24"/>
          <w:szCs w:val="24"/>
          <w:lang w:eastAsia="en-US"/>
        </w:rPr>
        <w:t>V globalizovaném RIS převládají nadnárodní korporace, na které jsou napojeny MSP. Výzkum probíhá zejména ve velkých firmách.</w:t>
      </w:r>
    </w:p>
    <w:p w:rsidR="003E0D09" w:rsidRPr="003E0D09" w:rsidRDefault="003E0D09" w:rsidP="000E4C07">
      <w:pPr>
        <w:pStyle w:val="0T-Titulek"/>
        <w:spacing w:line="240" w:lineRule="auto"/>
        <w:rPr>
          <w:rFonts w:eastAsia="Calibri"/>
        </w:rPr>
      </w:pPr>
      <w:bookmarkStart w:id="130" w:name="_Toc382326460"/>
      <w:r w:rsidRPr="003E0D09">
        <w:rPr>
          <w:rFonts w:eastAsia="Calibri"/>
        </w:rPr>
        <w:t>Tabulka 33: Typologie ideálních RIS</w:t>
      </w:r>
      <w:bookmarkEnd w:id="130"/>
    </w:p>
    <w:tbl>
      <w:tblPr>
        <w:tblStyle w:val="Mkatabulky10"/>
        <w:tblW w:w="0" w:type="auto"/>
        <w:tblLook w:val="04A0" w:firstRow="1" w:lastRow="0" w:firstColumn="1" w:lastColumn="0" w:noHBand="0" w:noVBand="1"/>
      </w:tblPr>
      <w:tblGrid>
        <w:gridCol w:w="2303"/>
        <w:gridCol w:w="2303"/>
        <w:gridCol w:w="2303"/>
        <w:gridCol w:w="2303"/>
      </w:tblGrid>
      <w:tr w:rsidR="003E0D09" w:rsidRPr="003E0D09" w:rsidTr="000E4C07">
        <w:trPr>
          <w:trHeight w:hRule="exact" w:val="567"/>
        </w:trPr>
        <w:tc>
          <w:tcPr>
            <w:tcW w:w="2303" w:type="dxa"/>
            <w:tcBorders>
              <w:top w:val="single" w:sz="4" w:space="0" w:color="auto"/>
              <w:left w:val="single" w:sz="4" w:space="0" w:color="auto"/>
              <w:bottom w:val="single" w:sz="12" w:space="0" w:color="auto"/>
              <w:right w:val="single" w:sz="4" w:space="0" w:color="auto"/>
            </w:tcBorders>
          </w:tcPr>
          <w:p w:rsidR="003E0D09" w:rsidRPr="003E0D09" w:rsidRDefault="003E0D09" w:rsidP="000E4C07">
            <w:pPr>
              <w:keepNext/>
              <w:spacing w:line="240" w:lineRule="auto"/>
              <w:jc w:val="both"/>
              <w:rPr>
                <w:b/>
              </w:rPr>
            </w:pPr>
          </w:p>
        </w:tc>
        <w:tc>
          <w:tcPr>
            <w:tcW w:w="2303" w:type="dxa"/>
            <w:tcBorders>
              <w:top w:val="single" w:sz="4" w:space="0" w:color="auto"/>
              <w:left w:val="single" w:sz="4" w:space="0" w:color="auto"/>
              <w:bottom w:val="single" w:sz="12" w:space="0" w:color="auto"/>
              <w:right w:val="single" w:sz="4" w:space="0" w:color="auto"/>
            </w:tcBorders>
            <w:hideMark/>
          </w:tcPr>
          <w:p w:rsidR="003E0D09" w:rsidRPr="003E0D09" w:rsidRDefault="003E0D09" w:rsidP="000E4C07">
            <w:pPr>
              <w:keepNext/>
              <w:spacing w:line="240" w:lineRule="auto"/>
              <w:jc w:val="center"/>
              <w:rPr>
                <w:b/>
              </w:rPr>
            </w:pPr>
            <w:r w:rsidRPr="003E0D09">
              <w:rPr>
                <w:b/>
              </w:rPr>
              <w:t>Zakořeněný</w:t>
            </w:r>
          </w:p>
        </w:tc>
        <w:tc>
          <w:tcPr>
            <w:tcW w:w="2303" w:type="dxa"/>
            <w:tcBorders>
              <w:top w:val="single" w:sz="4" w:space="0" w:color="auto"/>
              <w:left w:val="single" w:sz="4" w:space="0" w:color="auto"/>
              <w:bottom w:val="single" w:sz="12" w:space="0" w:color="auto"/>
              <w:right w:val="single" w:sz="4" w:space="0" w:color="auto"/>
            </w:tcBorders>
            <w:hideMark/>
          </w:tcPr>
          <w:p w:rsidR="003E0D09" w:rsidRPr="003E0D09" w:rsidRDefault="003E0D09" w:rsidP="000E4C07">
            <w:pPr>
              <w:keepNext/>
              <w:spacing w:line="240" w:lineRule="auto"/>
              <w:jc w:val="center"/>
              <w:rPr>
                <w:b/>
              </w:rPr>
            </w:pPr>
            <w:r w:rsidRPr="003E0D09">
              <w:rPr>
                <w:b/>
              </w:rPr>
              <w:t>Zasíťovaný</w:t>
            </w:r>
          </w:p>
        </w:tc>
        <w:tc>
          <w:tcPr>
            <w:tcW w:w="2303" w:type="dxa"/>
            <w:tcBorders>
              <w:top w:val="single" w:sz="4" w:space="0" w:color="auto"/>
              <w:left w:val="single" w:sz="4" w:space="0" w:color="auto"/>
              <w:bottom w:val="single" w:sz="12" w:space="0" w:color="auto"/>
              <w:right w:val="single" w:sz="4" w:space="0" w:color="auto"/>
            </w:tcBorders>
            <w:hideMark/>
          </w:tcPr>
          <w:p w:rsidR="003E0D09" w:rsidRPr="003E0D09" w:rsidRDefault="003E0D09" w:rsidP="000E4C07">
            <w:pPr>
              <w:keepNext/>
              <w:spacing w:line="240" w:lineRule="auto"/>
              <w:jc w:val="center"/>
              <w:rPr>
                <w:b/>
              </w:rPr>
            </w:pPr>
            <w:r w:rsidRPr="003E0D09">
              <w:rPr>
                <w:b/>
              </w:rPr>
              <w:t>Řízený</w:t>
            </w:r>
          </w:p>
        </w:tc>
      </w:tr>
      <w:tr w:rsidR="003E0D09" w:rsidRPr="003E0D09" w:rsidTr="000E4C07">
        <w:trPr>
          <w:trHeight w:hRule="exact" w:val="567"/>
        </w:trPr>
        <w:tc>
          <w:tcPr>
            <w:tcW w:w="2303" w:type="dxa"/>
            <w:vMerge w:val="restart"/>
            <w:tcBorders>
              <w:top w:val="single" w:sz="12" w:space="0" w:color="auto"/>
              <w:left w:val="single" w:sz="4" w:space="0" w:color="auto"/>
              <w:bottom w:val="single" w:sz="12" w:space="0" w:color="auto"/>
              <w:right w:val="single" w:sz="4" w:space="0" w:color="auto"/>
            </w:tcBorders>
            <w:hideMark/>
          </w:tcPr>
          <w:p w:rsidR="003E0D09" w:rsidRPr="003E0D09" w:rsidRDefault="003E0D09" w:rsidP="000E4C07">
            <w:pPr>
              <w:keepNext/>
              <w:spacing w:line="240" w:lineRule="auto"/>
              <w:jc w:val="both"/>
              <w:rPr>
                <w:b/>
              </w:rPr>
            </w:pPr>
            <w:r w:rsidRPr="003E0D09">
              <w:rPr>
                <w:b/>
              </w:rPr>
              <w:t>Lokalistický</w:t>
            </w:r>
          </w:p>
        </w:tc>
        <w:tc>
          <w:tcPr>
            <w:tcW w:w="2303" w:type="dxa"/>
            <w:tcBorders>
              <w:top w:val="single" w:sz="12"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jc w:val="center"/>
            </w:pPr>
            <w:r w:rsidRPr="003E0D09">
              <w:t>Toscana-Marche-Emilia Romagna, Itálie</w:t>
            </w:r>
          </w:p>
        </w:tc>
        <w:tc>
          <w:tcPr>
            <w:tcW w:w="2303" w:type="dxa"/>
            <w:tcBorders>
              <w:top w:val="single" w:sz="12"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jc w:val="center"/>
            </w:pPr>
            <w:r w:rsidRPr="003E0D09">
              <w:t>Dánsko</w:t>
            </w:r>
          </w:p>
        </w:tc>
        <w:tc>
          <w:tcPr>
            <w:tcW w:w="2303" w:type="dxa"/>
            <w:tcBorders>
              <w:top w:val="single" w:sz="12" w:space="0" w:color="auto"/>
              <w:left w:val="single" w:sz="4" w:space="0" w:color="auto"/>
              <w:bottom w:val="single" w:sz="4" w:space="0" w:color="auto"/>
              <w:right w:val="single" w:sz="4" w:space="0" w:color="auto"/>
            </w:tcBorders>
            <w:vAlign w:val="center"/>
          </w:tcPr>
          <w:p w:rsidR="003E0D09" w:rsidRPr="003E0D09" w:rsidRDefault="003E0D09" w:rsidP="000E4C07">
            <w:pPr>
              <w:keepNext/>
              <w:spacing w:line="240" w:lineRule="auto"/>
              <w:jc w:val="center"/>
            </w:pPr>
          </w:p>
        </w:tc>
      </w:tr>
      <w:tr w:rsidR="003E0D09" w:rsidRPr="003E0D09" w:rsidTr="000E4C07">
        <w:trPr>
          <w:trHeight w:hRule="exact" w:val="567"/>
        </w:trPr>
        <w:tc>
          <w:tcPr>
            <w:tcW w:w="0" w:type="auto"/>
            <w:vMerge/>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2303" w:type="dxa"/>
            <w:tcBorders>
              <w:top w:val="single" w:sz="4"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jc w:val="center"/>
            </w:pPr>
            <w:r w:rsidRPr="003E0D09">
              <w:t>País Vasco (Baskicko), Španělsko</w:t>
            </w:r>
          </w:p>
        </w:tc>
        <w:tc>
          <w:tcPr>
            <w:tcW w:w="2303" w:type="dxa"/>
            <w:tcBorders>
              <w:top w:val="single" w:sz="4"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jc w:val="center"/>
            </w:pPr>
            <w:r w:rsidRPr="003E0D09">
              <w:t>Tampere, Finsko</w:t>
            </w:r>
          </w:p>
        </w:tc>
        <w:tc>
          <w:tcPr>
            <w:tcW w:w="2303" w:type="dxa"/>
            <w:tcBorders>
              <w:top w:val="single" w:sz="4" w:space="0" w:color="auto"/>
              <w:left w:val="single" w:sz="4" w:space="0" w:color="auto"/>
              <w:bottom w:val="single" w:sz="4" w:space="0" w:color="auto"/>
              <w:right w:val="single" w:sz="4" w:space="0" w:color="auto"/>
            </w:tcBorders>
            <w:vAlign w:val="center"/>
          </w:tcPr>
          <w:p w:rsidR="003E0D09" w:rsidRPr="003E0D09" w:rsidRDefault="003E0D09" w:rsidP="000E4C07">
            <w:pPr>
              <w:keepNext/>
              <w:spacing w:line="240" w:lineRule="auto"/>
              <w:jc w:val="center"/>
            </w:pPr>
          </w:p>
        </w:tc>
      </w:tr>
      <w:tr w:rsidR="003E0D09" w:rsidRPr="003E0D09" w:rsidTr="000E4C07">
        <w:trPr>
          <w:trHeight w:hRule="exact" w:val="567"/>
        </w:trPr>
        <w:tc>
          <w:tcPr>
            <w:tcW w:w="0" w:type="auto"/>
            <w:vMerge/>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2303" w:type="dxa"/>
            <w:tcBorders>
              <w:top w:val="single" w:sz="4" w:space="0" w:color="auto"/>
              <w:left w:val="single" w:sz="4" w:space="0" w:color="auto"/>
              <w:bottom w:val="single" w:sz="12" w:space="0" w:color="auto"/>
              <w:right w:val="single" w:sz="4" w:space="0" w:color="auto"/>
            </w:tcBorders>
            <w:vAlign w:val="center"/>
          </w:tcPr>
          <w:p w:rsidR="003E0D09" w:rsidRPr="003E0D09" w:rsidRDefault="003E0D09" w:rsidP="000E4C07">
            <w:pPr>
              <w:keepNext/>
              <w:spacing w:line="240" w:lineRule="auto"/>
              <w:jc w:val="center"/>
            </w:pPr>
          </w:p>
        </w:tc>
        <w:tc>
          <w:tcPr>
            <w:tcW w:w="2303" w:type="dxa"/>
            <w:tcBorders>
              <w:top w:val="single" w:sz="4"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jc w:val="center"/>
            </w:pPr>
            <w:r w:rsidRPr="003E0D09">
              <w:t>Slovinsko</w:t>
            </w:r>
          </w:p>
        </w:tc>
        <w:tc>
          <w:tcPr>
            <w:tcW w:w="2303" w:type="dxa"/>
            <w:tcBorders>
              <w:top w:val="single" w:sz="4" w:space="0" w:color="auto"/>
              <w:left w:val="single" w:sz="4" w:space="0" w:color="auto"/>
              <w:bottom w:val="single" w:sz="12" w:space="0" w:color="auto"/>
              <w:right w:val="single" w:sz="4" w:space="0" w:color="auto"/>
            </w:tcBorders>
            <w:vAlign w:val="center"/>
          </w:tcPr>
          <w:p w:rsidR="003E0D09" w:rsidRPr="003E0D09" w:rsidRDefault="003E0D09" w:rsidP="000E4C07">
            <w:pPr>
              <w:keepNext/>
              <w:spacing w:line="240" w:lineRule="auto"/>
              <w:jc w:val="center"/>
            </w:pPr>
          </w:p>
        </w:tc>
      </w:tr>
      <w:tr w:rsidR="003E0D09" w:rsidRPr="003E0D09" w:rsidTr="000E4C07">
        <w:trPr>
          <w:trHeight w:hRule="exact" w:val="567"/>
        </w:trPr>
        <w:tc>
          <w:tcPr>
            <w:tcW w:w="2303" w:type="dxa"/>
            <w:vMerge w:val="restart"/>
            <w:tcBorders>
              <w:top w:val="single" w:sz="12" w:space="0" w:color="auto"/>
              <w:left w:val="single" w:sz="4" w:space="0" w:color="auto"/>
              <w:bottom w:val="single" w:sz="12" w:space="0" w:color="auto"/>
              <w:right w:val="single" w:sz="4" w:space="0" w:color="auto"/>
            </w:tcBorders>
            <w:hideMark/>
          </w:tcPr>
          <w:p w:rsidR="003E0D09" w:rsidRPr="003E0D09" w:rsidRDefault="003E0D09" w:rsidP="000E4C07">
            <w:pPr>
              <w:keepNext/>
              <w:spacing w:line="240" w:lineRule="auto"/>
              <w:jc w:val="both"/>
              <w:rPr>
                <w:b/>
              </w:rPr>
            </w:pPr>
            <w:r w:rsidRPr="003E0D09">
              <w:rPr>
                <w:b/>
              </w:rPr>
              <w:t>Interaktivní</w:t>
            </w:r>
          </w:p>
        </w:tc>
        <w:tc>
          <w:tcPr>
            <w:tcW w:w="2303" w:type="dxa"/>
            <w:tcBorders>
              <w:top w:val="single" w:sz="12"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ind w:left="-57" w:right="-57"/>
              <w:jc w:val="center"/>
            </w:pPr>
            <w:r w:rsidRPr="003E0D09">
              <w:t>Catalunya (Katalánsko), Španělsko</w:t>
            </w:r>
          </w:p>
        </w:tc>
        <w:tc>
          <w:tcPr>
            <w:tcW w:w="2303" w:type="dxa"/>
            <w:tcBorders>
              <w:top w:val="single" w:sz="12"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jc w:val="center"/>
            </w:pPr>
            <w:r w:rsidRPr="003E0D09">
              <w:t>Baden-W</w:t>
            </w:r>
            <w:r w:rsidRPr="003E0D09">
              <w:rPr>
                <w:rFonts w:cs="Calibri"/>
              </w:rPr>
              <w:t>ü</w:t>
            </w:r>
            <w:r w:rsidRPr="003E0D09">
              <w:t>rttemberg, Německo</w:t>
            </w:r>
          </w:p>
        </w:tc>
        <w:tc>
          <w:tcPr>
            <w:tcW w:w="2303" w:type="dxa"/>
            <w:tcBorders>
              <w:top w:val="single" w:sz="12"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jc w:val="center"/>
            </w:pPr>
            <w:r w:rsidRPr="003E0D09">
              <w:t>Grenoble, Francie</w:t>
            </w:r>
          </w:p>
        </w:tc>
      </w:tr>
      <w:tr w:rsidR="003E0D09" w:rsidRPr="003E0D09" w:rsidTr="000E4C07">
        <w:trPr>
          <w:trHeight w:hRule="exact" w:val="567"/>
        </w:trPr>
        <w:tc>
          <w:tcPr>
            <w:tcW w:w="0" w:type="auto"/>
            <w:vMerge/>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2303" w:type="dxa"/>
            <w:tcBorders>
              <w:top w:val="single" w:sz="4" w:space="0" w:color="auto"/>
              <w:left w:val="single" w:sz="4" w:space="0" w:color="auto"/>
              <w:bottom w:val="single" w:sz="4" w:space="0" w:color="auto"/>
              <w:right w:val="single" w:sz="4" w:space="0" w:color="auto"/>
            </w:tcBorders>
            <w:vAlign w:val="center"/>
          </w:tcPr>
          <w:p w:rsidR="003E0D09" w:rsidRPr="003E0D09" w:rsidRDefault="003E0D09" w:rsidP="000E4C07">
            <w:pPr>
              <w:keepNext/>
              <w:spacing w:line="240" w:lineRule="auto"/>
              <w:jc w:val="center"/>
            </w:pPr>
          </w:p>
        </w:tc>
        <w:tc>
          <w:tcPr>
            <w:tcW w:w="2303" w:type="dxa"/>
            <w:tcBorders>
              <w:top w:val="single" w:sz="4"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jc w:val="center"/>
            </w:pPr>
            <w:r w:rsidRPr="003E0D09">
              <w:t>Uppsala, Švédsko</w:t>
            </w:r>
          </w:p>
        </w:tc>
        <w:tc>
          <w:tcPr>
            <w:tcW w:w="2303" w:type="dxa"/>
            <w:tcBorders>
              <w:top w:val="single" w:sz="4"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jc w:val="center"/>
            </w:pPr>
            <w:r w:rsidRPr="003E0D09">
              <w:t>Rhone-Alpes, Francie</w:t>
            </w:r>
          </w:p>
        </w:tc>
      </w:tr>
      <w:tr w:rsidR="003E0D09" w:rsidRPr="003E0D09" w:rsidTr="000E4C07">
        <w:trPr>
          <w:trHeight w:hRule="exact" w:val="567"/>
        </w:trPr>
        <w:tc>
          <w:tcPr>
            <w:tcW w:w="0" w:type="auto"/>
            <w:vMerge/>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2303" w:type="dxa"/>
            <w:tcBorders>
              <w:top w:val="single" w:sz="4" w:space="0" w:color="auto"/>
              <w:left w:val="single" w:sz="4" w:space="0" w:color="auto"/>
              <w:bottom w:val="single" w:sz="4" w:space="0" w:color="auto"/>
              <w:right w:val="single" w:sz="4" w:space="0" w:color="auto"/>
            </w:tcBorders>
            <w:vAlign w:val="center"/>
          </w:tcPr>
          <w:p w:rsidR="003E0D09" w:rsidRPr="003E0D09" w:rsidRDefault="003E0D09" w:rsidP="000E4C07">
            <w:pPr>
              <w:keepNext/>
              <w:spacing w:line="240" w:lineRule="auto"/>
              <w:jc w:val="center"/>
            </w:pPr>
          </w:p>
        </w:tc>
        <w:tc>
          <w:tcPr>
            <w:tcW w:w="2303" w:type="dxa"/>
            <w:tcBorders>
              <w:top w:val="single" w:sz="4"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jc w:val="center"/>
            </w:pPr>
            <w:r w:rsidRPr="003E0D09">
              <w:t>Ober</w:t>
            </w:r>
            <w:r w:rsidRPr="003E0D09">
              <w:rPr>
                <w:rFonts w:cs="Calibri"/>
              </w:rPr>
              <w:t>ö</w:t>
            </w:r>
            <w:r w:rsidRPr="003E0D09">
              <w:t>sterreich, Rakousko</w:t>
            </w:r>
          </w:p>
        </w:tc>
        <w:tc>
          <w:tcPr>
            <w:tcW w:w="2303" w:type="dxa"/>
            <w:tcBorders>
              <w:top w:val="single" w:sz="4" w:space="0" w:color="auto"/>
              <w:left w:val="single" w:sz="4" w:space="0" w:color="auto"/>
              <w:bottom w:val="single" w:sz="4" w:space="0" w:color="auto"/>
              <w:right w:val="single" w:sz="4" w:space="0" w:color="auto"/>
            </w:tcBorders>
            <w:vAlign w:val="center"/>
          </w:tcPr>
          <w:p w:rsidR="003E0D09" w:rsidRPr="003E0D09" w:rsidRDefault="003E0D09" w:rsidP="000E4C07">
            <w:pPr>
              <w:keepNext/>
              <w:spacing w:line="240" w:lineRule="auto"/>
              <w:jc w:val="center"/>
            </w:pPr>
          </w:p>
        </w:tc>
      </w:tr>
      <w:tr w:rsidR="003E0D09" w:rsidRPr="003E0D09" w:rsidTr="000E4C07">
        <w:trPr>
          <w:trHeight w:hRule="exact" w:val="567"/>
        </w:trPr>
        <w:tc>
          <w:tcPr>
            <w:tcW w:w="0" w:type="auto"/>
            <w:vMerge/>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2303" w:type="dxa"/>
            <w:tcBorders>
              <w:top w:val="single" w:sz="4" w:space="0" w:color="auto"/>
              <w:left w:val="single" w:sz="4" w:space="0" w:color="auto"/>
              <w:bottom w:val="single" w:sz="4" w:space="0" w:color="auto"/>
              <w:right w:val="single" w:sz="4" w:space="0" w:color="auto"/>
            </w:tcBorders>
            <w:vAlign w:val="center"/>
          </w:tcPr>
          <w:p w:rsidR="003E0D09" w:rsidRPr="003E0D09" w:rsidRDefault="003E0D09" w:rsidP="000E4C07">
            <w:pPr>
              <w:keepNext/>
              <w:spacing w:line="240" w:lineRule="auto"/>
              <w:jc w:val="center"/>
            </w:pPr>
          </w:p>
        </w:tc>
        <w:tc>
          <w:tcPr>
            <w:tcW w:w="2303" w:type="dxa"/>
            <w:tcBorders>
              <w:top w:val="single" w:sz="4"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jc w:val="center"/>
            </w:pPr>
            <w:r w:rsidRPr="003E0D09">
              <w:t>Eindhoven, Nizozemí</w:t>
            </w:r>
          </w:p>
        </w:tc>
        <w:tc>
          <w:tcPr>
            <w:tcW w:w="2303" w:type="dxa"/>
            <w:tcBorders>
              <w:top w:val="single" w:sz="4" w:space="0" w:color="auto"/>
              <w:left w:val="single" w:sz="4" w:space="0" w:color="auto"/>
              <w:bottom w:val="single" w:sz="4" w:space="0" w:color="auto"/>
              <w:right w:val="single" w:sz="4" w:space="0" w:color="auto"/>
            </w:tcBorders>
            <w:vAlign w:val="center"/>
          </w:tcPr>
          <w:p w:rsidR="003E0D09" w:rsidRPr="003E0D09" w:rsidRDefault="003E0D09" w:rsidP="000E4C07">
            <w:pPr>
              <w:keepNext/>
              <w:spacing w:line="240" w:lineRule="auto"/>
              <w:jc w:val="center"/>
            </w:pPr>
          </w:p>
        </w:tc>
      </w:tr>
      <w:tr w:rsidR="003E0D09" w:rsidRPr="003E0D09" w:rsidTr="000E4C07">
        <w:trPr>
          <w:trHeight w:hRule="exact" w:val="567"/>
        </w:trPr>
        <w:tc>
          <w:tcPr>
            <w:tcW w:w="0" w:type="auto"/>
            <w:vMerge/>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2303" w:type="dxa"/>
            <w:tcBorders>
              <w:top w:val="single" w:sz="4" w:space="0" w:color="auto"/>
              <w:left w:val="single" w:sz="4" w:space="0" w:color="auto"/>
              <w:bottom w:val="single" w:sz="12" w:space="0" w:color="auto"/>
              <w:right w:val="single" w:sz="4" w:space="0" w:color="auto"/>
            </w:tcBorders>
            <w:vAlign w:val="center"/>
          </w:tcPr>
          <w:p w:rsidR="003E0D09" w:rsidRPr="003E0D09" w:rsidRDefault="003E0D09" w:rsidP="000E4C07">
            <w:pPr>
              <w:keepNext/>
              <w:spacing w:line="240" w:lineRule="auto"/>
              <w:jc w:val="center"/>
            </w:pPr>
          </w:p>
        </w:tc>
        <w:tc>
          <w:tcPr>
            <w:tcW w:w="2303" w:type="dxa"/>
            <w:tcBorders>
              <w:top w:val="single" w:sz="4"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jc w:val="center"/>
            </w:pPr>
            <w:r w:rsidRPr="003E0D09">
              <w:t>Scotland, UK</w:t>
            </w:r>
          </w:p>
        </w:tc>
        <w:tc>
          <w:tcPr>
            <w:tcW w:w="2303" w:type="dxa"/>
            <w:tcBorders>
              <w:top w:val="single" w:sz="4" w:space="0" w:color="auto"/>
              <w:left w:val="single" w:sz="4" w:space="0" w:color="auto"/>
              <w:bottom w:val="single" w:sz="12" w:space="0" w:color="auto"/>
              <w:right w:val="single" w:sz="4" w:space="0" w:color="auto"/>
            </w:tcBorders>
            <w:vAlign w:val="center"/>
          </w:tcPr>
          <w:p w:rsidR="003E0D09" w:rsidRPr="003E0D09" w:rsidRDefault="003E0D09" w:rsidP="000E4C07">
            <w:pPr>
              <w:keepNext/>
              <w:spacing w:line="240" w:lineRule="auto"/>
              <w:jc w:val="center"/>
            </w:pPr>
          </w:p>
        </w:tc>
      </w:tr>
      <w:tr w:rsidR="003E0D09" w:rsidRPr="003E0D09" w:rsidTr="000E4C07">
        <w:trPr>
          <w:trHeight w:hRule="exact" w:val="567"/>
        </w:trPr>
        <w:tc>
          <w:tcPr>
            <w:tcW w:w="2303" w:type="dxa"/>
            <w:vMerge w:val="restart"/>
            <w:tcBorders>
              <w:top w:val="single" w:sz="12"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both"/>
              <w:rPr>
                <w:b/>
              </w:rPr>
            </w:pPr>
            <w:r w:rsidRPr="003E0D09">
              <w:rPr>
                <w:b/>
              </w:rPr>
              <w:t>Globalizovaný</w:t>
            </w:r>
          </w:p>
        </w:tc>
        <w:tc>
          <w:tcPr>
            <w:tcW w:w="2303" w:type="dxa"/>
            <w:tcBorders>
              <w:top w:val="single" w:sz="12"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jc w:val="center"/>
            </w:pPr>
            <w:r w:rsidRPr="003E0D09">
              <w:t>Brabant, Nizozemí</w:t>
            </w:r>
          </w:p>
        </w:tc>
        <w:tc>
          <w:tcPr>
            <w:tcW w:w="2303" w:type="dxa"/>
            <w:tcBorders>
              <w:top w:val="single" w:sz="12"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jc w:val="center"/>
            </w:pPr>
            <w:r w:rsidRPr="003E0D09">
              <w:t>Nordrhein-Westfalen, Německo</w:t>
            </w:r>
          </w:p>
        </w:tc>
        <w:tc>
          <w:tcPr>
            <w:tcW w:w="2303" w:type="dxa"/>
            <w:tcBorders>
              <w:top w:val="single" w:sz="12"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jc w:val="center"/>
            </w:pPr>
            <w:r w:rsidRPr="003E0D09">
              <w:t>Wales, UK</w:t>
            </w:r>
          </w:p>
        </w:tc>
      </w:tr>
      <w:tr w:rsidR="003E0D09" w:rsidRPr="003E0D09" w:rsidTr="000E4C07">
        <w:trPr>
          <w:trHeight w:hRule="exact" w:val="567"/>
        </w:trPr>
        <w:tc>
          <w:tcPr>
            <w:tcW w:w="0" w:type="auto"/>
            <w:vMerge/>
            <w:tcBorders>
              <w:top w:val="single" w:sz="12"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rPr>
                <w:b/>
              </w:rPr>
            </w:pPr>
          </w:p>
        </w:tc>
        <w:tc>
          <w:tcPr>
            <w:tcW w:w="2303" w:type="dxa"/>
            <w:tcBorders>
              <w:top w:val="single" w:sz="4" w:space="0" w:color="auto"/>
              <w:left w:val="single" w:sz="4" w:space="0" w:color="auto"/>
              <w:bottom w:val="single" w:sz="4" w:space="0" w:color="auto"/>
              <w:right w:val="single" w:sz="4" w:space="0" w:color="auto"/>
            </w:tcBorders>
            <w:vAlign w:val="center"/>
          </w:tcPr>
          <w:p w:rsidR="003E0D09" w:rsidRPr="003E0D09" w:rsidRDefault="003E0D09" w:rsidP="000E4C07">
            <w:pPr>
              <w:keepNext/>
              <w:spacing w:line="240" w:lineRule="auto"/>
              <w:jc w:val="center"/>
            </w:pPr>
          </w:p>
        </w:tc>
        <w:tc>
          <w:tcPr>
            <w:tcW w:w="2303" w:type="dxa"/>
            <w:tcBorders>
              <w:top w:val="single" w:sz="4"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jc w:val="center"/>
            </w:pPr>
            <w:r w:rsidRPr="003E0D09">
              <w:t>Midi-Pyrénée, Francie</w:t>
            </w:r>
          </w:p>
        </w:tc>
        <w:tc>
          <w:tcPr>
            <w:tcW w:w="2303" w:type="dxa"/>
            <w:tcBorders>
              <w:top w:val="single" w:sz="4" w:space="0" w:color="auto"/>
              <w:left w:val="single" w:sz="4" w:space="0" w:color="auto"/>
              <w:bottom w:val="single" w:sz="4" w:space="0" w:color="auto"/>
              <w:right w:val="single" w:sz="4" w:space="0" w:color="auto"/>
            </w:tcBorders>
            <w:vAlign w:val="center"/>
          </w:tcPr>
          <w:p w:rsidR="003E0D09" w:rsidRPr="003E0D09" w:rsidRDefault="003E0D09" w:rsidP="000E4C07">
            <w:pPr>
              <w:keepNext/>
              <w:spacing w:line="240" w:lineRule="auto"/>
              <w:jc w:val="center"/>
            </w:pPr>
          </w:p>
        </w:tc>
      </w:tr>
      <w:tr w:rsidR="003E0D09" w:rsidRPr="003E0D09" w:rsidTr="000E4C07">
        <w:trPr>
          <w:trHeight w:hRule="exact" w:val="567"/>
        </w:trPr>
        <w:tc>
          <w:tcPr>
            <w:tcW w:w="0" w:type="auto"/>
            <w:vMerge/>
            <w:tcBorders>
              <w:top w:val="single" w:sz="12"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rPr>
                <w:b/>
              </w:rPr>
            </w:pPr>
          </w:p>
        </w:tc>
        <w:tc>
          <w:tcPr>
            <w:tcW w:w="2303" w:type="dxa"/>
            <w:tcBorders>
              <w:top w:val="single" w:sz="4" w:space="0" w:color="auto"/>
              <w:left w:val="single" w:sz="4" w:space="0" w:color="auto"/>
              <w:bottom w:val="single" w:sz="4" w:space="0" w:color="auto"/>
              <w:right w:val="single" w:sz="4" w:space="0" w:color="auto"/>
            </w:tcBorders>
            <w:vAlign w:val="center"/>
          </w:tcPr>
          <w:p w:rsidR="003E0D09" w:rsidRPr="003E0D09" w:rsidRDefault="003E0D09" w:rsidP="000E4C07">
            <w:pPr>
              <w:keepNext/>
              <w:spacing w:line="240" w:lineRule="auto"/>
              <w:jc w:val="center"/>
            </w:pPr>
          </w:p>
        </w:tc>
        <w:tc>
          <w:tcPr>
            <w:tcW w:w="2303" w:type="dxa"/>
            <w:tcBorders>
              <w:top w:val="single" w:sz="4"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jc w:val="center"/>
            </w:pPr>
            <w:r w:rsidRPr="003E0D09">
              <w:t>Irsko</w:t>
            </w:r>
          </w:p>
        </w:tc>
        <w:tc>
          <w:tcPr>
            <w:tcW w:w="2303" w:type="dxa"/>
            <w:tcBorders>
              <w:top w:val="single" w:sz="4" w:space="0" w:color="auto"/>
              <w:left w:val="single" w:sz="4" w:space="0" w:color="auto"/>
              <w:bottom w:val="single" w:sz="4" w:space="0" w:color="auto"/>
              <w:right w:val="single" w:sz="4" w:space="0" w:color="auto"/>
            </w:tcBorders>
            <w:vAlign w:val="center"/>
          </w:tcPr>
          <w:p w:rsidR="003E0D09" w:rsidRPr="003E0D09" w:rsidRDefault="003E0D09" w:rsidP="000E4C07">
            <w:pPr>
              <w:keepNext/>
              <w:spacing w:line="240" w:lineRule="auto"/>
              <w:jc w:val="center"/>
            </w:pPr>
          </w:p>
        </w:tc>
      </w:tr>
    </w:tbl>
    <w:p w:rsidR="003E0D09" w:rsidRPr="003E0D09" w:rsidRDefault="003E0D09" w:rsidP="006A21F6">
      <w:pPr>
        <w:keepNext/>
        <w:jc w:val="center"/>
        <w:rPr>
          <w:rFonts w:asciiTheme="minorHAnsi" w:eastAsia="Calibri" w:hAnsiTheme="minorHAnsi" w:cstheme="minorHAnsi"/>
          <w:i/>
          <w:lang w:eastAsia="en-US"/>
        </w:rPr>
      </w:pPr>
      <w:r w:rsidRPr="003E0D09">
        <w:rPr>
          <w:rFonts w:asciiTheme="minorHAnsi" w:hAnsiTheme="minorHAnsi" w:cstheme="minorHAnsi"/>
          <w:i/>
          <w:lang w:eastAsia="en-US"/>
        </w:rPr>
        <w:t xml:space="preserve">Pramen: </w:t>
      </w:r>
      <w:r w:rsidRPr="003E0D09">
        <w:rPr>
          <w:rFonts w:asciiTheme="minorHAnsi" w:eastAsia="Calibri" w:hAnsiTheme="minorHAnsi" w:cstheme="minorHAnsi"/>
          <w:i/>
          <w:lang w:eastAsia="en-US"/>
        </w:rPr>
        <w:t>Adámek a kol. 2007.</w:t>
      </w:r>
    </w:p>
    <w:p w:rsidR="003E0D09" w:rsidRPr="003E0D09" w:rsidRDefault="00F24D96" w:rsidP="00423120">
      <w:pPr>
        <w:keepNext/>
        <w:ind w:firstLine="720"/>
        <w:jc w:val="both"/>
        <w:rPr>
          <w:rFonts w:eastAsia="Calibri"/>
          <w:sz w:val="24"/>
          <w:szCs w:val="24"/>
          <w:lang w:eastAsia="en-US"/>
        </w:rPr>
      </w:pPr>
      <w:r>
        <w:rPr>
          <w:rFonts w:eastAsia="Calibri"/>
          <w:lang w:eastAsia="en-US"/>
        </w:rPr>
        <w:t>Existujícími b</w:t>
      </w:r>
      <w:r w:rsidR="003E0D09" w:rsidRPr="003E0D09">
        <w:rPr>
          <w:rFonts w:eastAsia="Calibri"/>
          <w:lang w:eastAsia="en-US"/>
        </w:rPr>
        <w:t xml:space="preserve">ariérami regionů </w:t>
      </w:r>
      <w:r>
        <w:rPr>
          <w:rFonts w:eastAsia="Calibri"/>
          <w:lang w:eastAsia="en-US"/>
        </w:rPr>
        <w:t>ve vztahu k</w:t>
      </w:r>
      <w:r w:rsidR="003E0D09" w:rsidRPr="003E0D09">
        <w:rPr>
          <w:rFonts w:eastAsia="Calibri"/>
          <w:lang w:eastAsia="en-US"/>
        </w:rPr>
        <w:t xml:space="preserve"> </w:t>
      </w:r>
      <w:r w:rsidR="003E0D09" w:rsidRPr="003E0D09">
        <w:rPr>
          <w:rFonts w:eastAsia="Calibri"/>
          <w:sz w:val="24"/>
          <w:szCs w:val="24"/>
          <w:lang w:eastAsia="en-US"/>
        </w:rPr>
        <w:t>rozvoj</w:t>
      </w:r>
      <w:r w:rsidR="006A21F6">
        <w:rPr>
          <w:rFonts w:eastAsia="Calibri"/>
          <w:sz w:val="24"/>
          <w:szCs w:val="24"/>
          <w:lang w:eastAsia="en-US"/>
        </w:rPr>
        <w:t>i</w:t>
      </w:r>
      <w:r w:rsidR="003E0D09" w:rsidRPr="003E0D09">
        <w:rPr>
          <w:rFonts w:eastAsia="Calibri"/>
          <w:sz w:val="24"/>
          <w:szCs w:val="24"/>
          <w:lang w:eastAsia="en-US"/>
        </w:rPr>
        <w:t xml:space="preserve"> inovací se zabývali </w:t>
      </w:r>
      <w:r>
        <w:rPr>
          <w:rFonts w:eastAsia="Calibri"/>
          <w:sz w:val="24"/>
          <w:szCs w:val="24"/>
          <w:lang w:eastAsia="en-US"/>
        </w:rPr>
        <w:t>zejména</w:t>
      </w:r>
      <w:r w:rsidR="007F79BC">
        <w:rPr>
          <w:rFonts w:eastAsia="Calibri"/>
          <w:sz w:val="24"/>
          <w:szCs w:val="24"/>
          <w:lang w:eastAsia="en-US"/>
        </w:rPr>
        <w:t xml:space="preserve"> Tödtling a </w:t>
      </w:r>
      <w:r w:rsidR="003E0D09" w:rsidRPr="003E0D09">
        <w:rPr>
          <w:rFonts w:eastAsia="Calibri"/>
          <w:sz w:val="24"/>
          <w:szCs w:val="24"/>
          <w:lang w:eastAsia="en-US"/>
        </w:rPr>
        <w:t xml:space="preserve">Trippl (2005), kteří definovali tři </w:t>
      </w:r>
      <w:r>
        <w:rPr>
          <w:rFonts w:eastAsia="Calibri"/>
          <w:sz w:val="24"/>
          <w:szCs w:val="24"/>
          <w:lang w:eastAsia="en-US"/>
        </w:rPr>
        <w:t xml:space="preserve">základní </w:t>
      </w:r>
      <w:r w:rsidR="003E0D09" w:rsidRPr="003E0D09">
        <w:rPr>
          <w:rFonts w:eastAsia="Calibri"/>
          <w:sz w:val="24"/>
          <w:szCs w:val="24"/>
          <w:lang w:eastAsia="en-US"/>
        </w:rPr>
        <w:t xml:space="preserve">problémové typy regionů a navrhli </w:t>
      </w:r>
      <w:r>
        <w:rPr>
          <w:rFonts w:eastAsia="Calibri"/>
          <w:sz w:val="24"/>
          <w:szCs w:val="24"/>
          <w:lang w:eastAsia="en-US"/>
        </w:rPr>
        <w:t xml:space="preserve">adekvátní </w:t>
      </w:r>
      <w:r w:rsidR="003E0D09" w:rsidRPr="003E0D09">
        <w:rPr>
          <w:rFonts w:eastAsia="Calibri"/>
          <w:sz w:val="24"/>
          <w:szCs w:val="24"/>
          <w:lang w:eastAsia="en-US"/>
        </w:rPr>
        <w:t xml:space="preserve">doporučení pro inovační politiku. Tyto tři typy regionů </w:t>
      </w:r>
      <w:r>
        <w:rPr>
          <w:rFonts w:eastAsia="Calibri"/>
          <w:sz w:val="24"/>
          <w:szCs w:val="24"/>
          <w:lang w:eastAsia="en-US"/>
        </w:rPr>
        <w:t xml:space="preserve">je možné </w:t>
      </w:r>
      <w:r w:rsidR="003E0D09" w:rsidRPr="003E0D09">
        <w:rPr>
          <w:rFonts w:eastAsia="Calibri"/>
          <w:sz w:val="24"/>
          <w:szCs w:val="24"/>
          <w:lang w:eastAsia="en-US"/>
        </w:rPr>
        <w:t>označit jako periferní (organizační hubenost), tradiční průmyslové (lock-in) a metropolitní (fragmentace)</w:t>
      </w:r>
      <w:r>
        <w:rPr>
          <w:rFonts w:eastAsia="Calibri"/>
          <w:sz w:val="24"/>
          <w:szCs w:val="24"/>
          <w:lang w:eastAsia="en-US"/>
        </w:rPr>
        <w:t xml:space="preserve"> regiony</w:t>
      </w:r>
      <w:r w:rsidR="003E0D09" w:rsidRPr="003E0D09">
        <w:rPr>
          <w:rFonts w:eastAsia="Calibri"/>
          <w:sz w:val="24"/>
          <w:szCs w:val="24"/>
          <w:lang w:eastAsia="en-US"/>
        </w:rPr>
        <w:t xml:space="preserve">. V periferních regionech </w:t>
      </w:r>
      <w:r w:rsidR="00AB7ABD">
        <w:rPr>
          <w:rFonts w:eastAsia="Calibri"/>
          <w:sz w:val="24"/>
          <w:szCs w:val="24"/>
          <w:lang w:eastAsia="en-US"/>
        </w:rPr>
        <w:t>představuje</w:t>
      </w:r>
      <w:r w:rsidR="003E0D09" w:rsidRPr="003E0D09">
        <w:rPr>
          <w:rFonts w:eastAsia="Calibri"/>
          <w:sz w:val="24"/>
          <w:szCs w:val="24"/>
          <w:lang w:eastAsia="en-US"/>
        </w:rPr>
        <w:t xml:space="preserve"> hlavní problém nízká úroveň VaV a tvorby inovací, dominance tradičních odvětvích, slabé klastrování </w:t>
      </w:r>
      <w:r>
        <w:rPr>
          <w:rFonts w:eastAsia="Calibri"/>
          <w:sz w:val="24"/>
          <w:szCs w:val="24"/>
          <w:lang w:eastAsia="en-US"/>
        </w:rPr>
        <w:t xml:space="preserve">firem </w:t>
      </w:r>
      <w:r w:rsidR="003E0D09" w:rsidRPr="003E0D09">
        <w:rPr>
          <w:rFonts w:eastAsia="Calibri"/>
          <w:sz w:val="24"/>
          <w:szCs w:val="24"/>
          <w:lang w:eastAsia="en-US"/>
        </w:rPr>
        <w:t xml:space="preserve">a </w:t>
      </w:r>
      <w:r>
        <w:rPr>
          <w:rFonts w:eastAsia="Calibri"/>
          <w:sz w:val="24"/>
          <w:szCs w:val="24"/>
          <w:lang w:eastAsia="en-US"/>
        </w:rPr>
        <w:t xml:space="preserve">rovněž </w:t>
      </w:r>
      <w:r w:rsidR="003E0D09" w:rsidRPr="003E0D09">
        <w:rPr>
          <w:rFonts w:eastAsia="Calibri"/>
          <w:sz w:val="24"/>
          <w:szCs w:val="24"/>
          <w:lang w:eastAsia="en-US"/>
        </w:rPr>
        <w:t xml:space="preserve">nízká vybavenost institucemi podporujícími inovace. Proto by se </w:t>
      </w:r>
      <w:r>
        <w:rPr>
          <w:rFonts w:eastAsia="Calibri"/>
          <w:sz w:val="24"/>
          <w:szCs w:val="24"/>
          <w:lang w:eastAsia="en-US"/>
        </w:rPr>
        <w:t xml:space="preserve">tyto regiony </w:t>
      </w:r>
      <w:r w:rsidR="003E0D09" w:rsidRPr="003E0D09">
        <w:rPr>
          <w:rFonts w:eastAsia="Calibri"/>
          <w:sz w:val="24"/>
          <w:szCs w:val="24"/>
          <w:lang w:eastAsia="en-US"/>
        </w:rPr>
        <w:t xml:space="preserve">měly zaměřit na modernizaci </w:t>
      </w:r>
      <w:r w:rsidR="003E0D09" w:rsidRPr="003E0D09">
        <w:rPr>
          <w:rFonts w:eastAsia="Calibri"/>
          <w:sz w:val="24"/>
          <w:szCs w:val="24"/>
          <w:lang w:eastAsia="en-US"/>
        </w:rPr>
        <w:lastRenderedPageBreak/>
        <w:t>ekonomik</w:t>
      </w:r>
      <w:r>
        <w:rPr>
          <w:rFonts w:eastAsia="Calibri"/>
          <w:sz w:val="24"/>
          <w:szCs w:val="24"/>
          <w:lang w:eastAsia="en-US"/>
        </w:rPr>
        <w:t>, zejména</w:t>
      </w:r>
      <w:r w:rsidR="003E0D09" w:rsidRPr="003E0D09">
        <w:rPr>
          <w:rFonts w:eastAsia="Calibri"/>
          <w:sz w:val="24"/>
          <w:szCs w:val="24"/>
          <w:lang w:eastAsia="en-US"/>
        </w:rPr>
        <w:t xml:space="preserve"> pomocí přitahování významných externích firem a jejich zakořenění v regionu (tyto firmy by </w:t>
      </w:r>
      <w:r>
        <w:rPr>
          <w:rFonts w:eastAsia="Calibri"/>
          <w:sz w:val="24"/>
          <w:szCs w:val="24"/>
          <w:lang w:eastAsia="en-US"/>
        </w:rPr>
        <w:t xml:space="preserve">zároveň </w:t>
      </w:r>
      <w:r w:rsidR="003E0D09" w:rsidRPr="003E0D09">
        <w:rPr>
          <w:rFonts w:eastAsia="Calibri"/>
          <w:sz w:val="24"/>
          <w:szCs w:val="24"/>
          <w:lang w:eastAsia="en-US"/>
        </w:rPr>
        <w:t>měly být napojeny na fungující externí klastry). V tradičních průmyslových regionech je sice lokalizována řada firem, dominantních kla</w:t>
      </w:r>
      <w:r w:rsidR="00AB7ABD">
        <w:rPr>
          <w:rFonts w:eastAsia="Calibri"/>
          <w:sz w:val="24"/>
          <w:szCs w:val="24"/>
          <w:lang w:eastAsia="en-US"/>
        </w:rPr>
        <w:t>strů a relevantních organizací,</w:t>
      </w:r>
      <w:r>
        <w:rPr>
          <w:rFonts w:eastAsia="Calibri"/>
          <w:sz w:val="24"/>
          <w:szCs w:val="24"/>
          <w:lang w:eastAsia="en-US"/>
        </w:rPr>
        <w:t xml:space="preserve"> jsou však obvykle </w:t>
      </w:r>
      <w:r w:rsidR="005D6542">
        <w:rPr>
          <w:rFonts w:eastAsia="Calibri"/>
          <w:sz w:val="24"/>
          <w:szCs w:val="24"/>
          <w:lang w:eastAsia="en-US"/>
        </w:rPr>
        <w:t>uzamčeny</w:t>
      </w:r>
      <w:r w:rsidR="003E0D09" w:rsidRPr="003E0D09">
        <w:rPr>
          <w:rFonts w:eastAsia="Calibri"/>
          <w:sz w:val="24"/>
          <w:szCs w:val="24"/>
          <w:lang w:eastAsia="en-US"/>
        </w:rPr>
        <w:t xml:space="preserve"> v různých formách „lock-in“, jako je </w:t>
      </w:r>
      <w:r w:rsidR="005D6542">
        <w:rPr>
          <w:rFonts w:eastAsia="Calibri"/>
          <w:sz w:val="24"/>
          <w:szCs w:val="24"/>
          <w:lang w:eastAsia="en-US"/>
        </w:rPr>
        <w:t xml:space="preserve">např. </w:t>
      </w:r>
      <w:r w:rsidR="003E0D09" w:rsidRPr="003E0D09">
        <w:rPr>
          <w:rFonts w:eastAsia="Calibri"/>
          <w:sz w:val="24"/>
          <w:szCs w:val="24"/>
          <w:lang w:eastAsia="en-US"/>
        </w:rPr>
        <w:t xml:space="preserve">strnulá obchodní síť, kognitivní bariéry </w:t>
      </w:r>
      <w:r w:rsidR="005D6542">
        <w:rPr>
          <w:rFonts w:eastAsia="Calibri"/>
          <w:sz w:val="24"/>
          <w:szCs w:val="24"/>
          <w:lang w:eastAsia="en-US"/>
        </w:rPr>
        <w:t xml:space="preserve">dané </w:t>
      </w:r>
      <w:r w:rsidR="003E0D09" w:rsidRPr="003E0D09">
        <w:rPr>
          <w:rFonts w:eastAsia="Calibri"/>
          <w:sz w:val="24"/>
          <w:szCs w:val="24"/>
          <w:lang w:eastAsia="en-US"/>
        </w:rPr>
        <w:t>stejn</w:t>
      </w:r>
      <w:r w:rsidR="005D6542">
        <w:rPr>
          <w:rFonts w:eastAsia="Calibri"/>
          <w:sz w:val="24"/>
          <w:szCs w:val="24"/>
          <w:lang w:eastAsia="en-US"/>
        </w:rPr>
        <w:t>ým</w:t>
      </w:r>
      <w:r w:rsidR="003E0D09" w:rsidRPr="003E0D09">
        <w:rPr>
          <w:rFonts w:eastAsia="Calibri"/>
          <w:sz w:val="24"/>
          <w:szCs w:val="24"/>
          <w:lang w:eastAsia="en-US"/>
        </w:rPr>
        <w:t xml:space="preserve"> pohled</w:t>
      </w:r>
      <w:r w:rsidR="005D6542">
        <w:rPr>
          <w:rFonts w:eastAsia="Calibri"/>
          <w:sz w:val="24"/>
          <w:szCs w:val="24"/>
          <w:lang w:eastAsia="en-US"/>
        </w:rPr>
        <w:t>em</w:t>
      </w:r>
      <w:r w:rsidR="003E0D09" w:rsidRPr="003E0D09">
        <w:rPr>
          <w:rFonts w:eastAsia="Calibri"/>
          <w:sz w:val="24"/>
          <w:szCs w:val="24"/>
          <w:lang w:eastAsia="en-US"/>
        </w:rPr>
        <w:t xml:space="preserve"> na svět či </w:t>
      </w:r>
      <w:r w:rsidR="005D6542">
        <w:rPr>
          <w:rFonts w:eastAsia="Calibri"/>
          <w:sz w:val="24"/>
          <w:szCs w:val="24"/>
          <w:lang w:eastAsia="en-US"/>
        </w:rPr>
        <w:t xml:space="preserve">příliš </w:t>
      </w:r>
      <w:r w:rsidR="003E0D09" w:rsidRPr="003E0D09">
        <w:rPr>
          <w:rFonts w:eastAsia="Calibri"/>
          <w:sz w:val="24"/>
          <w:szCs w:val="24"/>
          <w:lang w:eastAsia="en-US"/>
        </w:rPr>
        <w:t>úzk</w:t>
      </w:r>
      <w:r w:rsidR="005D6542">
        <w:rPr>
          <w:rFonts w:eastAsia="Calibri"/>
          <w:sz w:val="24"/>
          <w:szCs w:val="24"/>
          <w:lang w:eastAsia="en-US"/>
        </w:rPr>
        <w:t>ou</w:t>
      </w:r>
      <w:r w:rsidR="003E0D09" w:rsidRPr="003E0D09">
        <w:rPr>
          <w:rFonts w:eastAsia="Calibri"/>
          <w:sz w:val="24"/>
          <w:szCs w:val="24"/>
          <w:lang w:eastAsia="en-US"/>
        </w:rPr>
        <w:t xml:space="preserve"> orientac</w:t>
      </w:r>
      <w:r w:rsidR="005D6542">
        <w:rPr>
          <w:rFonts w:eastAsia="Calibri"/>
          <w:sz w:val="24"/>
          <w:szCs w:val="24"/>
          <w:lang w:eastAsia="en-US"/>
        </w:rPr>
        <w:t>í</w:t>
      </w:r>
      <w:r w:rsidR="003E0D09" w:rsidRPr="003E0D09">
        <w:rPr>
          <w:rFonts w:eastAsia="Calibri"/>
          <w:sz w:val="24"/>
          <w:szCs w:val="24"/>
          <w:lang w:eastAsia="en-US"/>
        </w:rPr>
        <w:t xml:space="preserve"> poskytovatelů znalostí. Inovační politika by</w:t>
      </w:r>
      <w:r w:rsidR="005D6542">
        <w:rPr>
          <w:rFonts w:eastAsia="Calibri"/>
          <w:sz w:val="24"/>
          <w:szCs w:val="24"/>
          <w:lang w:eastAsia="en-US"/>
        </w:rPr>
        <w:t xml:space="preserve"> pak </w:t>
      </w:r>
      <w:r w:rsidR="003E0D09" w:rsidRPr="003E0D09">
        <w:rPr>
          <w:rFonts w:eastAsia="Calibri"/>
          <w:sz w:val="24"/>
          <w:szCs w:val="24"/>
          <w:lang w:eastAsia="en-US"/>
        </w:rPr>
        <w:t xml:space="preserve">měla být orientována </w:t>
      </w:r>
      <w:r w:rsidR="005D6542">
        <w:rPr>
          <w:rFonts w:eastAsia="Calibri"/>
          <w:sz w:val="24"/>
          <w:szCs w:val="24"/>
          <w:lang w:eastAsia="en-US"/>
        </w:rPr>
        <w:t xml:space="preserve">zvláště </w:t>
      </w:r>
      <w:r w:rsidR="003E0D09" w:rsidRPr="003E0D09">
        <w:rPr>
          <w:rFonts w:eastAsia="Calibri"/>
          <w:sz w:val="24"/>
          <w:szCs w:val="24"/>
          <w:lang w:eastAsia="en-US"/>
        </w:rPr>
        <w:t>na transformaci odvětvové struktury, podporu inovačních aktivit, modernizaci znalostní báze a dále na průmyslovou a technologickou diversifikaci a reorganizaci ex</w:t>
      </w:r>
      <w:r w:rsidR="007F79BC">
        <w:rPr>
          <w:rFonts w:eastAsia="Calibri"/>
          <w:sz w:val="24"/>
          <w:szCs w:val="24"/>
          <w:lang w:eastAsia="en-US"/>
        </w:rPr>
        <w:t>istujících sítí a institucí. Ve </w:t>
      </w:r>
      <w:r w:rsidR="003E0D09" w:rsidRPr="003E0D09">
        <w:rPr>
          <w:rFonts w:eastAsia="Calibri"/>
          <w:sz w:val="24"/>
          <w:szCs w:val="24"/>
          <w:lang w:eastAsia="en-US"/>
        </w:rPr>
        <w:t xml:space="preserve">fragmentovaných metropolitních regionech pak mohou </w:t>
      </w:r>
      <w:r w:rsidR="005D6542">
        <w:rPr>
          <w:rFonts w:eastAsia="Calibri"/>
          <w:sz w:val="24"/>
          <w:szCs w:val="24"/>
          <w:lang w:eastAsia="en-US"/>
        </w:rPr>
        <w:t xml:space="preserve">zejména </w:t>
      </w:r>
      <w:r w:rsidR="003E0D09" w:rsidRPr="003E0D09">
        <w:rPr>
          <w:rFonts w:eastAsia="Calibri"/>
          <w:sz w:val="24"/>
          <w:szCs w:val="24"/>
          <w:lang w:eastAsia="en-US"/>
        </w:rPr>
        <w:t xml:space="preserve">chybět specializované průmyslové struktury včetně </w:t>
      </w:r>
      <w:r w:rsidR="005D6542">
        <w:rPr>
          <w:rFonts w:eastAsia="Calibri"/>
          <w:sz w:val="24"/>
          <w:szCs w:val="24"/>
          <w:lang w:eastAsia="en-US"/>
        </w:rPr>
        <w:t xml:space="preserve">institucí </w:t>
      </w:r>
      <w:r w:rsidR="003E0D09" w:rsidRPr="003E0D09">
        <w:rPr>
          <w:rFonts w:eastAsia="Calibri"/>
          <w:sz w:val="24"/>
          <w:szCs w:val="24"/>
          <w:lang w:eastAsia="en-US"/>
        </w:rPr>
        <w:t>doplňující znalostní báze a</w:t>
      </w:r>
      <w:r w:rsidR="005D6542">
        <w:rPr>
          <w:rFonts w:eastAsia="Calibri"/>
          <w:sz w:val="24"/>
          <w:szCs w:val="24"/>
          <w:lang w:eastAsia="en-US"/>
        </w:rPr>
        <w:t xml:space="preserve"> rozvinuté</w:t>
      </w:r>
      <w:r w:rsidR="003E0D09" w:rsidRPr="003E0D09">
        <w:rPr>
          <w:rFonts w:eastAsia="Calibri"/>
          <w:sz w:val="24"/>
          <w:szCs w:val="24"/>
          <w:lang w:eastAsia="en-US"/>
        </w:rPr>
        <w:t xml:space="preserve"> inovační sítě.  </w:t>
      </w:r>
      <w:r w:rsidR="005D6542">
        <w:rPr>
          <w:rFonts w:eastAsia="Calibri"/>
          <w:sz w:val="24"/>
          <w:szCs w:val="24"/>
          <w:lang w:eastAsia="en-US"/>
        </w:rPr>
        <w:t>Odpovídající veřejné i</w:t>
      </w:r>
      <w:r w:rsidR="003E0D09" w:rsidRPr="003E0D09">
        <w:rPr>
          <w:rFonts w:eastAsia="Calibri"/>
          <w:sz w:val="24"/>
          <w:szCs w:val="24"/>
          <w:lang w:eastAsia="en-US"/>
        </w:rPr>
        <w:t>ntervence by se měly zaměřit na podporu mezinárodně zapojených klastrů, rozvoj vědecké základny, budování RIS a posílení komunikace a interaktivního učení.</w:t>
      </w:r>
    </w:p>
    <w:p w:rsidR="003E0D09" w:rsidRPr="006B61FE" w:rsidRDefault="003E0D09" w:rsidP="000E4C07">
      <w:pPr>
        <w:pStyle w:val="0T-Titulek"/>
        <w:spacing w:line="240" w:lineRule="auto"/>
        <w:rPr>
          <w:rFonts w:eastAsia="Calibri"/>
        </w:rPr>
      </w:pPr>
      <w:bookmarkStart w:id="131" w:name="_Toc382326461"/>
      <w:r w:rsidRPr="006B61FE">
        <w:rPr>
          <w:rFonts w:eastAsia="Calibri"/>
        </w:rPr>
        <w:t xml:space="preserve">Tabulka 34: Typologie neúplných </w:t>
      </w:r>
      <w:r w:rsidR="00466054" w:rsidRPr="006B61FE">
        <w:rPr>
          <w:rFonts w:eastAsia="Calibri"/>
        </w:rPr>
        <w:t>RIS</w:t>
      </w:r>
      <w:bookmarkEnd w:id="131"/>
    </w:p>
    <w:tbl>
      <w:tblPr>
        <w:tblStyle w:val="Mkatabulky10"/>
        <w:tblW w:w="0" w:type="auto"/>
        <w:tblLook w:val="04A0" w:firstRow="1" w:lastRow="0" w:firstColumn="1" w:lastColumn="0" w:noHBand="0" w:noVBand="1"/>
      </w:tblPr>
      <w:tblGrid>
        <w:gridCol w:w="2303"/>
        <w:gridCol w:w="2303"/>
        <w:gridCol w:w="2303"/>
        <w:gridCol w:w="2303"/>
      </w:tblGrid>
      <w:tr w:rsidR="003E0D09" w:rsidRPr="003E0D09" w:rsidTr="000E4C07">
        <w:trPr>
          <w:trHeight w:hRule="exact" w:val="567"/>
        </w:trPr>
        <w:tc>
          <w:tcPr>
            <w:tcW w:w="2303" w:type="dxa"/>
            <w:vMerge w:val="restart"/>
            <w:tcBorders>
              <w:top w:val="single" w:sz="4" w:space="0" w:color="auto"/>
              <w:left w:val="single" w:sz="4" w:space="0" w:color="auto"/>
              <w:bottom w:val="single" w:sz="12" w:space="0" w:color="auto"/>
              <w:right w:val="single" w:sz="4" w:space="0" w:color="auto"/>
            </w:tcBorders>
            <w:hideMark/>
          </w:tcPr>
          <w:p w:rsidR="003E0D09" w:rsidRPr="003E0D09" w:rsidRDefault="003E0D09" w:rsidP="000E4C07">
            <w:pPr>
              <w:keepNext/>
              <w:spacing w:line="240" w:lineRule="auto"/>
              <w:jc w:val="both"/>
              <w:rPr>
                <w:b/>
              </w:rPr>
            </w:pPr>
            <w:r w:rsidRPr="003E0D09">
              <w:rPr>
                <w:b/>
              </w:rPr>
              <w:t>Typ RIS</w:t>
            </w:r>
          </w:p>
        </w:tc>
        <w:tc>
          <w:tcPr>
            <w:tcW w:w="6909" w:type="dxa"/>
            <w:gridSpan w:val="3"/>
            <w:tcBorders>
              <w:top w:val="single" w:sz="4"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rPr>
                <w:b/>
              </w:rPr>
            </w:pPr>
            <w:r w:rsidRPr="003E0D09">
              <w:rPr>
                <w:b/>
              </w:rPr>
              <w:t>Znalostní základna</w:t>
            </w:r>
          </w:p>
        </w:tc>
      </w:tr>
      <w:tr w:rsidR="003E0D09" w:rsidRPr="003E0D09" w:rsidTr="000E4C07">
        <w:trPr>
          <w:trHeight w:hRule="exact" w:val="567"/>
        </w:trPr>
        <w:tc>
          <w:tcPr>
            <w:tcW w:w="0" w:type="auto"/>
            <w:vMerge/>
            <w:tcBorders>
              <w:top w:val="single" w:sz="4"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2303" w:type="dxa"/>
            <w:tcBorders>
              <w:top w:val="single" w:sz="4" w:space="0" w:color="auto"/>
              <w:left w:val="single" w:sz="4" w:space="0" w:color="auto"/>
              <w:bottom w:val="single" w:sz="12" w:space="0" w:color="auto"/>
              <w:right w:val="single" w:sz="4" w:space="0" w:color="auto"/>
            </w:tcBorders>
            <w:hideMark/>
          </w:tcPr>
          <w:p w:rsidR="003E0D09" w:rsidRPr="003E0D09" w:rsidRDefault="003E0D09" w:rsidP="000E4C07">
            <w:pPr>
              <w:keepNext/>
              <w:spacing w:line="240" w:lineRule="auto"/>
              <w:jc w:val="center"/>
              <w:rPr>
                <w:b/>
              </w:rPr>
            </w:pPr>
            <w:r w:rsidRPr="003E0D09">
              <w:rPr>
                <w:b/>
              </w:rPr>
              <w:t>Analytická</w:t>
            </w:r>
          </w:p>
        </w:tc>
        <w:tc>
          <w:tcPr>
            <w:tcW w:w="2303" w:type="dxa"/>
            <w:tcBorders>
              <w:top w:val="single" w:sz="4" w:space="0" w:color="auto"/>
              <w:left w:val="single" w:sz="4" w:space="0" w:color="auto"/>
              <w:bottom w:val="single" w:sz="12" w:space="0" w:color="auto"/>
              <w:right w:val="single" w:sz="4" w:space="0" w:color="auto"/>
            </w:tcBorders>
            <w:hideMark/>
          </w:tcPr>
          <w:p w:rsidR="003E0D09" w:rsidRPr="003E0D09" w:rsidRDefault="003E0D09" w:rsidP="000E4C07">
            <w:pPr>
              <w:keepNext/>
              <w:spacing w:line="240" w:lineRule="auto"/>
              <w:jc w:val="center"/>
              <w:rPr>
                <w:b/>
              </w:rPr>
            </w:pPr>
            <w:r w:rsidRPr="003E0D09">
              <w:rPr>
                <w:b/>
              </w:rPr>
              <w:t>Syntetická</w:t>
            </w:r>
          </w:p>
        </w:tc>
        <w:tc>
          <w:tcPr>
            <w:tcW w:w="2303" w:type="dxa"/>
            <w:tcBorders>
              <w:top w:val="single" w:sz="4" w:space="0" w:color="auto"/>
              <w:left w:val="single" w:sz="4" w:space="0" w:color="auto"/>
              <w:bottom w:val="single" w:sz="12" w:space="0" w:color="auto"/>
              <w:right w:val="single" w:sz="4" w:space="0" w:color="auto"/>
            </w:tcBorders>
            <w:hideMark/>
          </w:tcPr>
          <w:p w:rsidR="003E0D09" w:rsidRPr="003E0D09" w:rsidRDefault="003E0D09" w:rsidP="000E4C07">
            <w:pPr>
              <w:keepNext/>
              <w:spacing w:line="240" w:lineRule="auto"/>
              <w:jc w:val="center"/>
              <w:rPr>
                <w:b/>
              </w:rPr>
            </w:pPr>
            <w:r w:rsidRPr="003E0D09">
              <w:rPr>
                <w:b/>
              </w:rPr>
              <w:t>Symbolická</w:t>
            </w:r>
          </w:p>
        </w:tc>
      </w:tr>
      <w:tr w:rsidR="003E0D09" w:rsidRPr="003E0D09" w:rsidTr="000E4C07">
        <w:trPr>
          <w:trHeight w:hRule="exact" w:val="567"/>
        </w:trPr>
        <w:tc>
          <w:tcPr>
            <w:tcW w:w="2303" w:type="dxa"/>
            <w:vMerge w:val="restart"/>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r w:rsidRPr="003E0D09">
              <w:rPr>
                <w:b/>
              </w:rPr>
              <w:t>Fragmentované, metropolitní</w:t>
            </w:r>
          </w:p>
        </w:tc>
        <w:tc>
          <w:tcPr>
            <w:tcW w:w="4606" w:type="dxa"/>
            <w:gridSpan w:val="2"/>
            <w:tcBorders>
              <w:top w:val="single" w:sz="12"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pPr>
            <w:r w:rsidRPr="003E0D09">
              <w:t>Scania, Švédsko</w:t>
            </w:r>
          </w:p>
        </w:tc>
        <w:tc>
          <w:tcPr>
            <w:tcW w:w="2303" w:type="dxa"/>
            <w:tcBorders>
              <w:top w:val="single" w:sz="12"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pPr>
            <w:r w:rsidRPr="003E0D09">
              <w:rPr>
                <w:rFonts w:cs="Calibri"/>
              </w:rPr>
              <w:t>İ</w:t>
            </w:r>
            <w:r w:rsidRPr="003E0D09">
              <w:t>stanbul, Turecko</w:t>
            </w:r>
          </w:p>
        </w:tc>
      </w:tr>
      <w:tr w:rsidR="003E0D09" w:rsidRPr="003E0D09" w:rsidTr="000E4C07">
        <w:trPr>
          <w:trHeight w:hRule="exact" w:val="567"/>
        </w:trPr>
        <w:tc>
          <w:tcPr>
            <w:tcW w:w="0" w:type="auto"/>
            <w:vMerge/>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4606" w:type="dxa"/>
            <w:gridSpan w:val="2"/>
            <w:tcBorders>
              <w:top w:val="single" w:sz="4"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pPr>
            <w:r w:rsidRPr="003E0D09">
              <w:t>Praha, ČR</w:t>
            </w:r>
          </w:p>
        </w:tc>
        <w:tc>
          <w:tcPr>
            <w:tcW w:w="2303" w:type="dxa"/>
            <w:tcBorders>
              <w:top w:val="single" w:sz="4"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pPr>
            <w:r w:rsidRPr="003E0D09">
              <w:t>Helsinki, Finsko</w:t>
            </w:r>
          </w:p>
        </w:tc>
      </w:tr>
      <w:tr w:rsidR="003E0D09" w:rsidRPr="003E0D09" w:rsidTr="000E4C07">
        <w:trPr>
          <w:trHeight w:hRule="exact" w:val="567"/>
        </w:trPr>
        <w:tc>
          <w:tcPr>
            <w:tcW w:w="0" w:type="auto"/>
            <w:vMerge/>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4606" w:type="dxa"/>
            <w:gridSpan w:val="2"/>
            <w:tcBorders>
              <w:top w:val="single" w:sz="4"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pPr>
            <w:r w:rsidRPr="003E0D09">
              <w:t>Wien, Rakousko</w:t>
            </w:r>
          </w:p>
        </w:tc>
        <w:tc>
          <w:tcPr>
            <w:tcW w:w="2303" w:type="dxa"/>
            <w:tcBorders>
              <w:top w:val="single" w:sz="4"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pPr>
            <w:r w:rsidRPr="003E0D09">
              <w:t>Amsterdam, Nizozemí</w:t>
            </w:r>
          </w:p>
        </w:tc>
      </w:tr>
      <w:tr w:rsidR="003E0D09" w:rsidRPr="003E0D09" w:rsidTr="000E4C07">
        <w:trPr>
          <w:trHeight w:hRule="exact" w:val="567"/>
        </w:trPr>
        <w:tc>
          <w:tcPr>
            <w:tcW w:w="0" w:type="auto"/>
            <w:vMerge/>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4606" w:type="dxa"/>
            <w:gridSpan w:val="2"/>
            <w:tcBorders>
              <w:top w:val="single" w:sz="4"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pPr>
            <w:r w:rsidRPr="003E0D09">
              <w:t>Jihomoravský kraj</w:t>
            </w:r>
          </w:p>
        </w:tc>
        <w:tc>
          <w:tcPr>
            <w:tcW w:w="2303" w:type="dxa"/>
            <w:tcBorders>
              <w:top w:val="single" w:sz="4"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pPr>
            <w:r w:rsidRPr="003E0D09">
              <w:t>Oslo (kultura), Norsko</w:t>
            </w:r>
          </w:p>
        </w:tc>
      </w:tr>
      <w:tr w:rsidR="003E0D09" w:rsidRPr="003E0D09" w:rsidTr="000E4C07">
        <w:trPr>
          <w:trHeight w:hRule="exact" w:val="567"/>
        </w:trPr>
        <w:tc>
          <w:tcPr>
            <w:tcW w:w="0" w:type="auto"/>
            <w:vMerge/>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2303" w:type="dxa"/>
            <w:tcBorders>
              <w:top w:val="single" w:sz="4" w:space="0" w:color="auto"/>
              <w:left w:val="single" w:sz="4" w:space="0" w:color="auto"/>
              <w:bottom w:val="single" w:sz="12" w:space="0" w:color="auto"/>
              <w:right w:val="single" w:sz="4" w:space="0" w:color="auto"/>
            </w:tcBorders>
            <w:hideMark/>
          </w:tcPr>
          <w:p w:rsidR="003E0D09" w:rsidRPr="003E0D09" w:rsidRDefault="003E0D09" w:rsidP="000E4C07">
            <w:pPr>
              <w:keepNext/>
              <w:spacing w:line="240" w:lineRule="auto"/>
              <w:jc w:val="center"/>
            </w:pPr>
            <w:r w:rsidRPr="003E0D09">
              <w:t>Oslo (biotechnologie), Norsko</w:t>
            </w:r>
          </w:p>
        </w:tc>
        <w:tc>
          <w:tcPr>
            <w:tcW w:w="2303" w:type="dxa"/>
            <w:tcBorders>
              <w:top w:val="single" w:sz="4" w:space="0" w:color="auto"/>
              <w:left w:val="single" w:sz="4" w:space="0" w:color="auto"/>
              <w:bottom w:val="single" w:sz="12" w:space="0" w:color="auto"/>
              <w:right w:val="single" w:sz="4" w:space="0" w:color="auto"/>
            </w:tcBorders>
            <w:hideMark/>
          </w:tcPr>
          <w:p w:rsidR="003E0D09" w:rsidRPr="003E0D09" w:rsidRDefault="003E0D09" w:rsidP="000E4C07">
            <w:pPr>
              <w:keepNext/>
              <w:spacing w:line="240" w:lineRule="auto"/>
              <w:jc w:val="center"/>
            </w:pPr>
            <w:r w:rsidRPr="003E0D09">
              <w:t>London (ICT), UK</w:t>
            </w:r>
          </w:p>
        </w:tc>
        <w:tc>
          <w:tcPr>
            <w:tcW w:w="2303" w:type="dxa"/>
            <w:tcBorders>
              <w:top w:val="single" w:sz="4" w:space="0" w:color="auto"/>
              <w:left w:val="single" w:sz="4" w:space="0" w:color="auto"/>
              <w:bottom w:val="single" w:sz="12" w:space="0" w:color="auto"/>
              <w:right w:val="single" w:sz="4" w:space="0" w:color="auto"/>
            </w:tcBorders>
          </w:tcPr>
          <w:p w:rsidR="003E0D09" w:rsidRPr="003E0D09" w:rsidRDefault="003E0D09" w:rsidP="000E4C07">
            <w:pPr>
              <w:keepNext/>
              <w:spacing w:line="240" w:lineRule="auto"/>
              <w:jc w:val="center"/>
            </w:pPr>
          </w:p>
        </w:tc>
      </w:tr>
      <w:tr w:rsidR="003E0D09" w:rsidRPr="003E0D09" w:rsidTr="000E4C07">
        <w:trPr>
          <w:trHeight w:hRule="exact" w:val="567"/>
        </w:trPr>
        <w:tc>
          <w:tcPr>
            <w:tcW w:w="2303" w:type="dxa"/>
            <w:vMerge w:val="restart"/>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r w:rsidRPr="003E0D09">
              <w:rPr>
                <w:b/>
              </w:rPr>
              <w:t>Organizačně hubené, periferní</w:t>
            </w:r>
          </w:p>
        </w:tc>
        <w:tc>
          <w:tcPr>
            <w:tcW w:w="2303" w:type="dxa"/>
            <w:tcBorders>
              <w:top w:val="single" w:sz="12" w:space="0" w:color="auto"/>
              <w:left w:val="single" w:sz="4" w:space="0" w:color="auto"/>
              <w:bottom w:val="single" w:sz="4" w:space="0" w:color="auto"/>
              <w:right w:val="single" w:sz="4" w:space="0" w:color="auto"/>
            </w:tcBorders>
          </w:tcPr>
          <w:p w:rsidR="003E0D09" w:rsidRPr="003E0D09" w:rsidRDefault="003E0D09" w:rsidP="000E4C07">
            <w:pPr>
              <w:keepNext/>
              <w:spacing w:line="240" w:lineRule="auto"/>
              <w:jc w:val="center"/>
            </w:pPr>
          </w:p>
        </w:tc>
        <w:tc>
          <w:tcPr>
            <w:tcW w:w="2303" w:type="dxa"/>
            <w:tcBorders>
              <w:top w:val="single" w:sz="12"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pPr>
            <w:r w:rsidRPr="003E0D09">
              <w:t>Mezzogiorno (Itálie)</w:t>
            </w:r>
          </w:p>
        </w:tc>
        <w:tc>
          <w:tcPr>
            <w:tcW w:w="2303" w:type="dxa"/>
            <w:tcBorders>
              <w:top w:val="single" w:sz="12"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pPr>
            <w:r w:rsidRPr="003E0D09">
              <w:t>Hultsfred, Švédsko</w:t>
            </w:r>
          </w:p>
        </w:tc>
      </w:tr>
      <w:tr w:rsidR="003E0D09" w:rsidRPr="003E0D09" w:rsidTr="000E4C07">
        <w:trPr>
          <w:trHeight w:hRule="exact" w:val="567"/>
        </w:trPr>
        <w:tc>
          <w:tcPr>
            <w:tcW w:w="0" w:type="auto"/>
            <w:vMerge/>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2303" w:type="dxa"/>
            <w:tcBorders>
              <w:top w:val="single" w:sz="4" w:space="0" w:color="auto"/>
              <w:left w:val="single" w:sz="4" w:space="0" w:color="auto"/>
              <w:bottom w:val="single" w:sz="4" w:space="0" w:color="auto"/>
              <w:right w:val="single" w:sz="4" w:space="0" w:color="auto"/>
            </w:tcBorders>
          </w:tcPr>
          <w:p w:rsidR="003E0D09" w:rsidRPr="003E0D09" w:rsidRDefault="003E0D09" w:rsidP="000E4C07">
            <w:pPr>
              <w:keepNext/>
              <w:spacing w:line="240" w:lineRule="auto"/>
              <w:jc w:val="center"/>
            </w:pPr>
          </w:p>
        </w:tc>
        <w:tc>
          <w:tcPr>
            <w:tcW w:w="2303" w:type="dxa"/>
            <w:tcBorders>
              <w:top w:val="single" w:sz="4"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pPr>
            <w:r w:rsidRPr="003E0D09">
              <w:t>Centro (Portugalsko)</w:t>
            </w:r>
          </w:p>
        </w:tc>
        <w:tc>
          <w:tcPr>
            <w:tcW w:w="2303" w:type="dxa"/>
            <w:tcBorders>
              <w:top w:val="single" w:sz="4" w:space="0" w:color="auto"/>
              <w:left w:val="single" w:sz="4" w:space="0" w:color="auto"/>
              <w:bottom w:val="single" w:sz="4" w:space="0" w:color="auto"/>
              <w:right w:val="single" w:sz="4" w:space="0" w:color="auto"/>
            </w:tcBorders>
          </w:tcPr>
          <w:p w:rsidR="003E0D09" w:rsidRPr="003E0D09" w:rsidRDefault="003E0D09" w:rsidP="000E4C07">
            <w:pPr>
              <w:keepNext/>
              <w:spacing w:line="240" w:lineRule="auto"/>
              <w:jc w:val="center"/>
            </w:pPr>
          </w:p>
        </w:tc>
      </w:tr>
      <w:tr w:rsidR="003E0D09" w:rsidRPr="003E0D09" w:rsidTr="000E4C07">
        <w:trPr>
          <w:trHeight w:hRule="exact" w:val="567"/>
        </w:trPr>
        <w:tc>
          <w:tcPr>
            <w:tcW w:w="0" w:type="auto"/>
            <w:vMerge/>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2303" w:type="dxa"/>
            <w:tcBorders>
              <w:top w:val="single" w:sz="4" w:space="0" w:color="auto"/>
              <w:left w:val="single" w:sz="4" w:space="0" w:color="auto"/>
              <w:bottom w:val="single" w:sz="4" w:space="0" w:color="auto"/>
              <w:right w:val="single" w:sz="4" w:space="0" w:color="auto"/>
            </w:tcBorders>
          </w:tcPr>
          <w:p w:rsidR="003E0D09" w:rsidRPr="003E0D09" w:rsidRDefault="003E0D09" w:rsidP="000E4C07">
            <w:pPr>
              <w:keepNext/>
              <w:spacing w:line="240" w:lineRule="auto"/>
              <w:jc w:val="center"/>
            </w:pPr>
          </w:p>
        </w:tc>
        <w:tc>
          <w:tcPr>
            <w:tcW w:w="2303" w:type="dxa"/>
            <w:tcBorders>
              <w:top w:val="single" w:sz="4"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pPr>
            <w:r w:rsidRPr="003E0D09">
              <w:t>Karlovarský kraj, ČR</w:t>
            </w:r>
          </w:p>
        </w:tc>
        <w:tc>
          <w:tcPr>
            <w:tcW w:w="2303" w:type="dxa"/>
            <w:tcBorders>
              <w:top w:val="single" w:sz="4" w:space="0" w:color="auto"/>
              <w:left w:val="single" w:sz="4" w:space="0" w:color="auto"/>
              <w:bottom w:val="single" w:sz="4" w:space="0" w:color="auto"/>
              <w:right w:val="single" w:sz="4" w:space="0" w:color="auto"/>
            </w:tcBorders>
          </w:tcPr>
          <w:p w:rsidR="003E0D09" w:rsidRPr="003E0D09" w:rsidRDefault="003E0D09" w:rsidP="000E4C07">
            <w:pPr>
              <w:keepNext/>
              <w:spacing w:line="240" w:lineRule="auto"/>
              <w:jc w:val="center"/>
            </w:pPr>
          </w:p>
        </w:tc>
      </w:tr>
      <w:tr w:rsidR="003E0D09" w:rsidRPr="003E0D09" w:rsidTr="000E4C07">
        <w:trPr>
          <w:trHeight w:hRule="exact" w:val="567"/>
        </w:trPr>
        <w:tc>
          <w:tcPr>
            <w:tcW w:w="0" w:type="auto"/>
            <w:vMerge/>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2303" w:type="dxa"/>
            <w:tcBorders>
              <w:top w:val="single" w:sz="4" w:space="0" w:color="auto"/>
              <w:left w:val="single" w:sz="4" w:space="0" w:color="auto"/>
              <w:bottom w:val="single" w:sz="4" w:space="0" w:color="auto"/>
              <w:right w:val="single" w:sz="4" w:space="0" w:color="auto"/>
            </w:tcBorders>
          </w:tcPr>
          <w:p w:rsidR="003E0D09" w:rsidRPr="003E0D09" w:rsidRDefault="003E0D09" w:rsidP="000E4C07">
            <w:pPr>
              <w:keepNext/>
              <w:spacing w:line="240" w:lineRule="auto"/>
              <w:jc w:val="center"/>
            </w:pPr>
          </w:p>
        </w:tc>
        <w:tc>
          <w:tcPr>
            <w:tcW w:w="2303" w:type="dxa"/>
            <w:tcBorders>
              <w:top w:val="single" w:sz="4"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pPr>
            <w:r w:rsidRPr="003E0D09">
              <w:t>Salzburg, Rakousko</w:t>
            </w:r>
          </w:p>
        </w:tc>
        <w:tc>
          <w:tcPr>
            <w:tcW w:w="2303" w:type="dxa"/>
            <w:tcBorders>
              <w:top w:val="single" w:sz="4" w:space="0" w:color="auto"/>
              <w:left w:val="single" w:sz="4" w:space="0" w:color="auto"/>
              <w:bottom w:val="single" w:sz="4" w:space="0" w:color="auto"/>
              <w:right w:val="single" w:sz="4" w:space="0" w:color="auto"/>
            </w:tcBorders>
          </w:tcPr>
          <w:p w:rsidR="003E0D09" w:rsidRPr="003E0D09" w:rsidRDefault="003E0D09" w:rsidP="000E4C07">
            <w:pPr>
              <w:keepNext/>
              <w:spacing w:line="240" w:lineRule="auto"/>
              <w:jc w:val="center"/>
            </w:pPr>
          </w:p>
        </w:tc>
      </w:tr>
      <w:tr w:rsidR="003E0D09" w:rsidRPr="003E0D09" w:rsidTr="000E4C07">
        <w:trPr>
          <w:trHeight w:hRule="exact" w:val="567"/>
        </w:trPr>
        <w:tc>
          <w:tcPr>
            <w:tcW w:w="0" w:type="auto"/>
            <w:vMerge/>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2303" w:type="dxa"/>
            <w:tcBorders>
              <w:top w:val="single" w:sz="4" w:space="0" w:color="auto"/>
              <w:left w:val="single" w:sz="4" w:space="0" w:color="auto"/>
              <w:bottom w:val="single" w:sz="4" w:space="0" w:color="auto"/>
              <w:right w:val="single" w:sz="4" w:space="0" w:color="auto"/>
            </w:tcBorders>
          </w:tcPr>
          <w:p w:rsidR="003E0D09" w:rsidRPr="003E0D09" w:rsidRDefault="003E0D09" w:rsidP="000E4C07">
            <w:pPr>
              <w:keepNext/>
              <w:spacing w:line="240" w:lineRule="auto"/>
              <w:jc w:val="center"/>
            </w:pPr>
          </w:p>
        </w:tc>
        <w:tc>
          <w:tcPr>
            <w:tcW w:w="2303" w:type="dxa"/>
            <w:tcBorders>
              <w:top w:val="single" w:sz="4"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pPr>
            <w:r w:rsidRPr="003E0D09">
              <w:t>Sein</w:t>
            </w:r>
            <w:r w:rsidRPr="003E0D09">
              <w:rPr>
                <w:rFonts w:cs="Calibri"/>
              </w:rPr>
              <w:t>ä</w:t>
            </w:r>
            <w:r w:rsidRPr="003E0D09">
              <w:t>joki, Finsko</w:t>
            </w:r>
          </w:p>
        </w:tc>
        <w:tc>
          <w:tcPr>
            <w:tcW w:w="2303" w:type="dxa"/>
            <w:tcBorders>
              <w:top w:val="single" w:sz="4" w:space="0" w:color="auto"/>
              <w:left w:val="single" w:sz="4" w:space="0" w:color="auto"/>
              <w:bottom w:val="single" w:sz="4" w:space="0" w:color="auto"/>
              <w:right w:val="single" w:sz="4" w:space="0" w:color="auto"/>
            </w:tcBorders>
          </w:tcPr>
          <w:p w:rsidR="003E0D09" w:rsidRPr="003E0D09" w:rsidRDefault="003E0D09" w:rsidP="000E4C07">
            <w:pPr>
              <w:keepNext/>
              <w:spacing w:line="240" w:lineRule="auto"/>
              <w:jc w:val="center"/>
            </w:pPr>
          </w:p>
        </w:tc>
      </w:tr>
      <w:tr w:rsidR="003E0D09" w:rsidRPr="003E0D09" w:rsidTr="000E4C07">
        <w:trPr>
          <w:trHeight w:hRule="exact" w:val="567"/>
        </w:trPr>
        <w:tc>
          <w:tcPr>
            <w:tcW w:w="0" w:type="auto"/>
            <w:vMerge/>
            <w:tcBorders>
              <w:top w:val="single" w:sz="12" w:space="0" w:color="auto"/>
              <w:left w:val="single" w:sz="4" w:space="0" w:color="auto"/>
              <w:bottom w:val="single" w:sz="12" w:space="0" w:color="auto"/>
              <w:right w:val="single" w:sz="4" w:space="0" w:color="auto"/>
            </w:tcBorders>
            <w:vAlign w:val="center"/>
            <w:hideMark/>
          </w:tcPr>
          <w:p w:rsidR="003E0D09" w:rsidRPr="003E0D09" w:rsidRDefault="003E0D09" w:rsidP="000E4C07">
            <w:pPr>
              <w:keepNext/>
              <w:spacing w:line="240" w:lineRule="auto"/>
              <w:rPr>
                <w:b/>
              </w:rPr>
            </w:pPr>
          </w:p>
        </w:tc>
        <w:tc>
          <w:tcPr>
            <w:tcW w:w="2303" w:type="dxa"/>
            <w:tcBorders>
              <w:top w:val="single" w:sz="4" w:space="0" w:color="auto"/>
              <w:left w:val="single" w:sz="4" w:space="0" w:color="auto"/>
              <w:bottom w:val="single" w:sz="12" w:space="0" w:color="auto"/>
              <w:right w:val="single" w:sz="4" w:space="0" w:color="auto"/>
            </w:tcBorders>
          </w:tcPr>
          <w:p w:rsidR="003E0D09" w:rsidRPr="003E0D09" w:rsidRDefault="003E0D09" w:rsidP="000E4C07">
            <w:pPr>
              <w:keepNext/>
              <w:spacing w:line="240" w:lineRule="auto"/>
              <w:jc w:val="center"/>
            </w:pPr>
          </w:p>
        </w:tc>
        <w:tc>
          <w:tcPr>
            <w:tcW w:w="2303" w:type="dxa"/>
            <w:tcBorders>
              <w:top w:val="single" w:sz="4" w:space="0" w:color="auto"/>
              <w:left w:val="single" w:sz="4" w:space="0" w:color="auto"/>
              <w:bottom w:val="single" w:sz="12" w:space="0" w:color="auto"/>
              <w:right w:val="single" w:sz="4" w:space="0" w:color="auto"/>
            </w:tcBorders>
            <w:hideMark/>
          </w:tcPr>
          <w:p w:rsidR="003E0D09" w:rsidRPr="003E0D09" w:rsidRDefault="003E0D09" w:rsidP="000E4C07">
            <w:pPr>
              <w:keepNext/>
              <w:spacing w:line="240" w:lineRule="auto"/>
              <w:jc w:val="center"/>
            </w:pPr>
            <w:r w:rsidRPr="003E0D09">
              <w:t>Twente, Nizozemí</w:t>
            </w:r>
          </w:p>
        </w:tc>
        <w:tc>
          <w:tcPr>
            <w:tcW w:w="2303" w:type="dxa"/>
            <w:tcBorders>
              <w:top w:val="single" w:sz="4" w:space="0" w:color="auto"/>
              <w:left w:val="single" w:sz="4" w:space="0" w:color="auto"/>
              <w:bottom w:val="single" w:sz="12" w:space="0" w:color="auto"/>
              <w:right w:val="single" w:sz="4" w:space="0" w:color="auto"/>
            </w:tcBorders>
          </w:tcPr>
          <w:p w:rsidR="003E0D09" w:rsidRPr="003E0D09" w:rsidRDefault="003E0D09" w:rsidP="000E4C07">
            <w:pPr>
              <w:keepNext/>
              <w:spacing w:line="240" w:lineRule="auto"/>
              <w:jc w:val="center"/>
            </w:pPr>
          </w:p>
        </w:tc>
      </w:tr>
      <w:tr w:rsidR="003E0D09" w:rsidRPr="003E0D09" w:rsidTr="000E4C07">
        <w:trPr>
          <w:trHeight w:hRule="exact" w:val="567"/>
        </w:trPr>
        <w:tc>
          <w:tcPr>
            <w:tcW w:w="2303" w:type="dxa"/>
            <w:tcBorders>
              <w:top w:val="single" w:sz="12" w:space="0" w:color="auto"/>
              <w:left w:val="single" w:sz="4" w:space="0" w:color="auto"/>
              <w:bottom w:val="single" w:sz="4" w:space="0" w:color="auto"/>
              <w:right w:val="single" w:sz="4" w:space="0" w:color="auto"/>
            </w:tcBorders>
            <w:vAlign w:val="center"/>
            <w:hideMark/>
          </w:tcPr>
          <w:p w:rsidR="003E0D09" w:rsidRPr="003E0D09" w:rsidRDefault="003E0D09" w:rsidP="000E4C07">
            <w:pPr>
              <w:keepNext/>
              <w:spacing w:line="240" w:lineRule="auto"/>
              <w:rPr>
                <w:b/>
              </w:rPr>
            </w:pPr>
            <w:r w:rsidRPr="003E0D09">
              <w:rPr>
                <w:b/>
              </w:rPr>
              <w:t>Staré, průmyslové</w:t>
            </w:r>
          </w:p>
        </w:tc>
        <w:tc>
          <w:tcPr>
            <w:tcW w:w="2303" w:type="dxa"/>
            <w:tcBorders>
              <w:top w:val="single" w:sz="12"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ind w:left="-57" w:right="-57"/>
              <w:jc w:val="center"/>
            </w:pPr>
            <w:r w:rsidRPr="003E0D09">
              <w:t>Moravskoslezský kraj, ČR</w:t>
            </w:r>
          </w:p>
        </w:tc>
        <w:tc>
          <w:tcPr>
            <w:tcW w:w="2303" w:type="dxa"/>
            <w:tcBorders>
              <w:top w:val="single" w:sz="12" w:space="0" w:color="auto"/>
              <w:left w:val="single" w:sz="4" w:space="0" w:color="auto"/>
              <w:bottom w:val="single" w:sz="4" w:space="0" w:color="auto"/>
              <w:right w:val="single" w:sz="4" w:space="0" w:color="auto"/>
            </w:tcBorders>
            <w:hideMark/>
          </w:tcPr>
          <w:p w:rsidR="003E0D09" w:rsidRPr="003E0D09" w:rsidRDefault="003E0D09" w:rsidP="000E4C07">
            <w:pPr>
              <w:keepNext/>
              <w:spacing w:line="240" w:lineRule="auto"/>
              <w:jc w:val="center"/>
            </w:pPr>
            <w:r w:rsidRPr="003E0D09">
              <w:t>Gjovík, Norsko</w:t>
            </w:r>
          </w:p>
        </w:tc>
        <w:tc>
          <w:tcPr>
            <w:tcW w:w="2303" w:type="dxa"/>
            <w:tcBorders>
              <w:top w:val="single" w:sz="12" w:space="0" w:color="auto"/>
              <w:left w:val="single" w:sz="4" w:space="0" w:color="auto"/>
              <w:bottom w:val="single" w:sz="4" w:space="0" w:color="auto"/>
              <w:right w:val="single" w:sz="4" w:space="0" w:color="auto"/>
            </w:tcBorders>
          </w:tcPr>
          <w:p w:rsidR="003E0D09" w:rsidRPr="003E0D09" w:rsidRDefault="003E0D09" w:rsidP="000E4C07">
            <w:pPr>
              <w:keepNext/>
              <w:spacing w:line="240" w:lineRule="auto"/>
              <w:jc w:val="center"/>
            </w:pPr>
          </w:p>
        </w:tc>
      </w:tr>
    </w:tbl>
    <w:p w:rsidR="003E0D09" w:rsidRPr="003E0D09" w:rsidRDefault="003E0D09" w:rsidP="00AB7ABD">
      <w:pPr>
        <w:keepNext/>
        <w:jc w:val="center"/>
        <w:rPr>
          <w:rFonts w:asciiTheme="minorHAnsi" w:eastAsia="Calibri" w:hAnsiTheme="minorHAnsi" w:cstheme="minorHAnsi"/>
          <w:i/>
          <w:lang w:eastAsia="en-US"/>
        </w:rPr>
      </w:pPr>
      <w:r w:rsidRPr="003E0D09">
        <w:rPr>
          <w:rFonts w:asciiTheme="minorHAnsi" w:hAnsiTheme="minorHAnsi" w:cstheme="minorHAnsi"/>
          <w:i/>
          <w:lang w:eastAsia="en-US"/>
        </w:rPr>
        <w:t xml:space="preserve">Pramen: </w:t>
      </w:r>
      <w:r w:rsidRPr="003E0D09">
        <w:rPr>
          <w:rFonts w:asciiTheme="minorHAnsi" w:eastAsia="Calibri" w:hAnsiTheme="minorHAnsi" w:cstheme="minorHAnsi"/>
          <w:i/>
          <w:lang w:eastAsia="en-US"/>
        </w:rPr>
        <w:t>Adámek a kol. 2007.</w:t>
      </w:r>
    </w:p>
    <w:p w:rsidR="003E0D09" w:rsidRPr="003E0D09" w:rsidRDefault="003E0D09" w:rsidP="00423120">
      <w:pPr>
        <w:keepNext/>
        <w:jc w:val="both"/>
        <w:rPr>
          <w:rFonts w:eastAsia="Calibri"/>
          <w:b/>
          <w:i/>
          <w:sz w:val="24"/>
          <w:szCs w:val="24"/>
          <w:lang w:eastAsia="en-US"/>
        </w:rPr>
      </w:pPr>
      <w:r w:rsidRPr="003E0D09">
        <w:rPr>
          <w:rFonts w:eastAsia="Calibri"/>
          <w:b/>
          <w:i/>
          <w:sz w:val="24"/>
          <w:szCs w:val="24"/>
          <w:lang w:eastAsia="en-US"/>
        </w:rPr>
        <w:t>Evolučně- strukturalistické přístupy k regionálním STI politikám</w:t>
      </w:r>
    </w:p>
    <w:p w:rsidR="003E0D09" w:rsidRPr="003E0D09" w:rsidRDefault="003E0D09" w:rsidP="00423120">
      <w:pPr>
        <w:keepNext/>
        <w:ind w:firstLine="720"/>
        <w:jc w:val="both"/>
        <w:rPr>
          <w:rFonts w:eastAsia="Calibri"/>
          <w:sz w:val="24"/>
          <w:szCs w:val="24"/>
          <w:lang w:eastAsia="en-US"/>
        </w:rPr>
      </w:pPr>
      <w:r w:rsidRPr="003E0D09">
        <w:rPr>
          <w:rFonts w:eastAsia="Calibri"/>
          <w:sz w:val="24"/>
          <w:szCs w:val="24"/>
          <w:lang w:eastAsia="en-US"/>
        </w:rPr>
        <w:t>Tyto přístupy jsou také řazeny mezi institucionální s</w:t>
      </w:r>
      <w:r w:rsidR="00AB7ABD">
        <w:rPr>
          <w:rFonts w:eastAsia="Calibri"/>
          <w:sz w:val="24"/>
          <w:szCs w:val="24"/>
          <w:lang w:eastAsia="en-US"/>
        </w:rPr>
        <w:t xml:space="preserve">měry a jejich hlavní myšlenkou </w:t>
      </w:r>
      <w:r w:rsidRPr="003E0D09">
        <w:rPr>
          <w:rFonts w:eastAsia="Calibri"/>
          <w:sz w:val="24"/>
          <w:szCs w:val="24"/>
          <w:lang w:eastAsia="en-US"/>
        </w:rPr>
        <w:t xml:space="preserve">je pojetí technologie jako mixu kodifikovaných a nekodifikovaných znalostí. Poznávací </w:t>
      </w:r>
      <w:r w:rsidRPr="003E0D09">
        <w:rPr>
          <w:rFonts w:eastAsia="Calibri"/>
          <w:sz w:val="24"/>
          <w:szCs w:val="24"/>
          <w:lang w:eastAsia="en-US"/>
        </w:rPr>
        <w:lastRenderedPageBreak/>
        <w:t>schopnosti se nezaměřují pouze na vědeckotechnické znalosti, ale také na znalosti vztažené k trhům či k podnikové a organizační praxi. Inovace a j</w:t>
      </w:r>
      <w:r w:rsidR="007F79BC">
        <w:rPr>
          <w:rFonts w:eastAsia="Calibri"/>
          <w:sz w:val="24"/>
          <w:szCs w:val="24"/>
          <w:lang w:eastAsia="en-US"/>
        </w:rPr>
        <w:t>ejich šíření jsou považovány za </w:t>
      </w:r>
      <w:r w:rsidRPr="003E0D09">
        <w:rPr>
          <w:rFonts w:eastAsia="Calibri"/>
          <w:sz w:val="24"/>
          <w:szCs w:val="24"/>
          <w:lang w:eastAsia="en-US"/>
        </w:rPr>
        <w:t>kolektivní, kumulativní a rovněž inerciální proces (path-dependence). Rozdíl mezi běžně užívanými systémovými a evolučními přístupy</w:t>
      </w:r>
      <w:r w:rsidR="00AB7ABD">
        <w:rPr>
          <w:rFonts w:eastAsia="Calibri"/>
          <w:sz w:val="24"/>
          <w:szCs w:val="24"/>
          <w:lang w:eastAsia="en-US"/>
        </w:rPr>
        <w:t xml:space="preserve"> </w:t>
      </w:r>
      <w:r w:rsidRPr="003E0D09">
        <w:rPr>
          <w:rFonts w:eastAsia="Calibri"/>
          <w:sz w:val="24"/>
          <w:szCs w:val="24"/>
          <w:lang w:eastAsia="en-US"/>
        </w:rPr>
        <w:t xml:space="preserve">pak spočívá v tom, že evoluční pohled není redukován na to, jak instituce tvarují tvorbu znalostí a jejich užití, ale jde o širší pohled zohledňující specifický vývoj jednotlivých odvětví a jejich sítí. Dalším rozdílem je důraz na diverzitu systému a jeho schopnost selektivně využívat „správné“ trajektorie rozvoje a zajistit „správný“ přechod od jedné trajektorie k druhé. Důraz tedy není kladen pouze na učení, ale i na schopnost přizpůsobit se (Laranja a kol., 2008). Za významný důvod pro veřejné intervence je pak považována potřeba vyhnout se regionálním lock-in situacím. </w:t>
      </w:r>
    </w:p>
    <w:p w:rsidR="003E0D09" w:rsidRPr="003E0D09" w:rsidRDefault="003E0D09" w:rsidP="000E4C07">
      <w:pPr>
        <w:spacing w:after="120"/>
        <w:ind w:firstLine="720"/>
        <w:jc w:val="both"/>
        <w:rPr>
          <w:rFonts w:eastAsia="Calibri"/>
          <w:sz w:val="24"/>
          <w:szCs w:val="24"/>
          <w:lang w:eastAsia="en-US"/>
        </w:rPr>
      </w:pPr>
      <w:r w:rsidRPr="003E0D09">
        <w:rPr>
          <w:rFonts w:eastAsia="Calibri"/>
          <w:sz w:val="24"/>
          <w:szCs w:val="24"/>
          <w:lang w:eastAsia="en-US"/>
        </w:rPr>
        <w:t xml:space="preserve">Mezi koncepty evolučních přístupů je možné zařadit koncept učících se regionů, triple helix nebo příbuznou rozmanitost. </w:t>
      </w:r>
      <w:r w:rsidRPr="003E0D09">
        <w:rPr>
          <w:rFonts w:eastAsia="Calibri"/>
          <w:b/>
          <w:sz w:val="24"/>
          <w:szCs w:val="24"/>
          <w:lang w:eastAsia="en-US"/>
        </w:rPr>
        <w:t>Koncept učících se regionů</w:t>
      </w:r>
      <w:r w:rsidRPr="003E0D09">
        <w:rPr>
          <w:rFonts w:eastAsia="Calibri"/>
          <w:sz w:val="24"/>
          <w:szCs w:val="24"/>
          <w:lang w:eastAsia="en-US"/>
        </w:rPr>
        <w:t xml:space="preserve"> byl rozpracován zejména Lundvallem. Pojem učící se region znamená, že příslušní aktéři spolupracují a učí se společně řešit lokální problémy (Šipikal, Parízková, 2009). Za nejdůležitější je považována konkurenční výhodu daná tacitními znalostmi, které jsou vázány na konkrétní region či lokalitu a jsou tedy nepřenosné. Lundvall a Johnson (1994) rozlišují čtyři typy znalostí: </w:t>
      </w:r>
    </w:p>
    <w:p w:rsidR="003E0D09" w:rsidRPr="003E0D09" w:rsidRDefault="003E0D09" w:rsidP="00423120">
      <w:pPr>
        <w:ind w:left="284" w:hanging="284"/>
        <w:jc w:val="both"/>
        <w:rPr>
          <w:rFonts w:eastAsia="Calibri"/>
          <w:sz w:val="24"/>
          <w:szCs w:val="24"/>
          <w:lang w:eastAsia="en-US"/>
        </w:rPr>
      </w:pPr>
      <w:r w:rsidRPr="003E0D09">
        <w:rPr>
          <w:rFonts w:eastAsia="Calibri"/>
          <w:sz w:val="24"/>
          <w:szCs w:val="24"/>
          <w:lang w:eastAsia="en-US"/>
        </w:rPr>
        <w:t>1) Know-what (vědět co) jsou znalosti o faktech. Některá fakta jsou známá všeobecně, jiná jen úzké skupině lidí (např. vědcům v určitém oboru). Tyto</w:t>
      </w:r>
      <w:r w:rsidR="007F79BC">
        <w:rPr>
          <w:rFonts w:eastAsia="Calibri"/>
          <w:sz w:val="24"/>
          <w:szCs w:val="24"/>
          <w:lang w:eastAsia="en-US"/>
        </w:rPr>
        <w:t xml:space="preserve"> znalosti je možné zaznamenat a </w:t>
      </w:r>
      <w:r w:rsidRPr="003E0D09">
        <w:rPr>
          <w:rFonts w:eastAsia="Calibri"/>
          <w:sz w:val="24"/>
          <w:szCs w:val="24"/>
          <w:lang w:eastAsia="en-US"/>
        </w:rPr>
        <w:t xml:space="preserve">šířit dále (např. prostřednictvím učebnic). </w:t>
      </w:r>
    </w:p>
    <w:p w:rsidR="003E0D09" w:rsidRPr="003E0D09" w:rsidRDefault="003E0D09" w:rsidP="00423120">
      <w:pPr>
        <w:ind w:left="284" w:hanging="284"/>
        <w:jc w:val="both"/>
        <w:rPr>
          <w:rFonts w:eastAsia="Calibri"/>
          <w:sz w:val="24"/>
          <w:szCs w:val="24"/>
          <w:lang w:eastAsia="en-US"/>
        </w:rPr>
      </w:pPr>
      <w:r w:rsidRPr="003E0D09">
        <w:rPr>
          <w:rFonts w:eastAsia="Calibri"/>
          <w:sz w:val="24"/>
          <w:szCs w:val="24"/>
          <w:lang w:eastAsia="en-US"/>
        </w:rPr>
        <w:t>2) Know-why (vědět proč) jsou vědecké znalosti o principec</w:t>
      </w:r>
      <w:r w:rsidR="00AB7ABD">
        <w:rPr>
          <w:rFonts w:eastAsia="Calibri"/>
          <w:sz w:val="24"/>
          <w:szCs w:val="24"/>
          <w:lang w:eastAsia="en-US"/>
        </w:rPr>
        <w:t xml:space="preserve">h a přírodních zákonech, které </w:t>
      </w:r>
      <w:r w:rsidRPr="003E0D09">
        <w:rPr>
          <w:rFonts w:eastAsia="Calibri"/>
          <w:sz w:val="24"/>
          <w:szCs w:val="24"/>
          <w:lang w:eastAsia="en-US"/>
        </w:rPr>
        <w:t xml:space="preserve">jsou základem pokroku ve většině průmyslových odvětví. Jsou často produkovány a šířeny specializovanými institucemi (univerzitami, výzkumnými ústavy). </w:t>
      </w:r>
    </w:p>
    <w:p w:rsidR="003E0D09" w:rsidRPr="003E0D09" w:rsidRDefault="003E0D09" w:rsidP="00423120">
      <w:pPr>
        <w:ind w:left="284" w:hanging="284"/>
        <w:jc w:val="both"/>
        <w:rPr>
          <w:rFonts w:eastAsia="Calibri"/>
          <w:sz w:val="24"/>
          <w:szCs w:val="24"/>
          <w:lang w:eastAsia="en-US"/>
        </w:rPr>
      </w:pPr>
      <w:r w:rsidRPr="003E0D09">
        <w:rPr>
          <w:rFonts w:eastAsia="Calibri"/>
          <w:sz w:val="24"/>
          <w:szCs w:val="24"/>
          <w:lang w:eastAsia="en-US"/>
        </w:rPr>
        <w:t xml:space="preserve">3) Know-how (vědět jak) znamená dovednost nebo schopnost provádět nějakou činnost. Tyto znalosti jsou založeny na předchozích zkušenostech. Obvykle vznikají ve firmách, které k jejich sdílení vytváří průmyslové sítě. </w:t>
      </w:r>
    </w:p>
    <w:p w:rsidR="003E0D09" w:rsidRPr="003E0D09" w:rsidRDefault="003E0D09" w:rsidP="00423120">
      <w:pPr>
        <w:ind w:left="284" w:hanging="284"/>
        <w:jc w:val="both"/>
        <w:rPr>
          <w:rFonts w:eastAsia="Calibri"/>
          <w:sz w:val="24"/>
          <w:szCs w:val="24"/>
          <w:lang w:eastAsia="en-US"/>
        </w:rPr>
      </w:pPr>
      <w:r w:rsidRPr="003E0D09">
        <w:rPr>
          <w:rFonts w:eastAsia="Calibri"/>
          <w:sz w:val="24"/>
          <w:szCs w:val="24"/>
          <w:lang w:eastAsia="en-US"/>
        </w:rPr>
        <w:t>4) Know-who (vědět kdo) zahrnuje informace o tom, kdo má znalosti vědět co a jak, které vznikají v sítích společenských vztahů. Zatímco první z nich</w:t>
      </w:r>
      <w:r w:rsidR="007F79BC">
        <w:rPr>
          <w:rFonts w:eastAsia="Calibri"/>
          <w:sz w:val="24"/>
          <w:szCs w:val="24"/>
          <w:lang w:eastAsia="en-US"/>
        </w:rPr>
        <w:t xml:space="preserve"> mohou být šířeny literaturou a </w:t>
      </w:r>
      <w:r w:rsidRPr="003E0D09">
        <w:rPr>
          <w:rFonts w:eastAsia="Calibri"/>
          <w:sz w:val="24"/>
          <w:szCs w:val="24"/>
          <w:lang w:eastAsia="en-US"/>
        </w:rPr>
        <w:t xml:space="preserve">vzděláváním, druhé mohou být získávány pouze praktickou zkušeností. </w:t>
      </w:r>
    </w:p>
    <w:p w:rsidR="003E0D09" w:rsidRPr="003E0D09" w:rsidRDefault="003E0D09" w:rsidP="00423120">
      <w:pPr>
        <w:ind w:firstLine="720"/>
        <w:jc w:val="both"/>
        <w:rPr>
          <w:rFonts w:eastAsia="Calibri"/>
          <w:sz w:val="24"/>
          <w:szCs w:val="24"/>
          <w:lang w:eastAsia="en-US"/>
        </w:rPr>
      </w:pPr>
      <w:r w:rsidRPr="003E0D09">
        <w:rPr>
          <w:rFonts w:eastAsia="Calibri"/>
          <w:b/>
          <w:sz w:val="24"/>
          <w:szCs w:val="24"/>
          <w:lang w:eastAsia="en-US"/>
        </w:rPr>
        <w:t>Koncept příbuzné rozmanitosti</w:t>
      </w:r>
      <w:r w:rsidRPr="003E0D09">
        <w:rPr>
          <w:rFonts w:eastAsia="Calibri"/>
          <w:sz w:val="24"/>
          <w:szCs w:val="24"/>
          <w:lang w:eastAsia="en-US"/>
        </w:rPr>
        <w:t xml:space="preserve"> (related variety) využívá kog</w:t>
      </w:r>
      <w:r w:rsidR="00FE017A">
        <w:rPr>
          <w:rFonts w:eastAsia="Calibri"/>
          <w:sz w:val="24"/>
          <w:szCs w:val="24"/>
          <w:lang w:eastAsia="en-US"/>
        </w:rPr>
        <w:t xml:space="preserve">nitivní psychologii k pochopení, jak </w:t>
      </w:r>
      <w:r w:rsidRPr="003E0D09">
        <w:rPr>
          <w:rFonts w:eastAsia="Calibri"/>
          <w:sz w:val="24"/>
          <w:szCs w:val="24"/>
          <w:lang w:eastAsia="en-US"/>
        </w:rPr>
        <w:t>vznikají inovace v interakci mezi aktéry s různými sociokulturními charakteristikami.  Ukazuje se, že přílišná kognitivní blízkost omezuje možnost vzájemného učení, neboť aktéři mají podobné znalosti a dovednosti. Příbuzná rozmanitost tak zahrnuje firmy</w:t>
      </w:r>
      <w:r w:rsidR="00FE017A">
        <w:rPr>
          <w:rFonts w:eastAsia="Calibri"/>
          <w:sz w:val="24"/>
          <w:szCs w:val="24"/>
          <w:lang w:eastAsia="en-US"/>
        </w:rPr>
        <w:t xml:space="preserve"> </w:t>
      </w:r>
      <w:r w:rsidRPr="003E0D09">
        <w:rPr>
          <w:rFonts w:eastAsia="Calibri"/>
          <w:sz w:val="24"/>
          <w:szCs w:val="24"/>
          <w:lang w:eastAsia="en-US"/>
        </w:rPr>
        <w:t>s odlišným know-how,</w:t>
      </w:r>
      <w:r w:rsidR="00B54DAC">
        <w:rPr>
          <w:rFonts w:eastAsia="Calibri"/>
          <w:sz w:val="24"/>
          <w:szCs w:val="24"/>
          <w:lang w:eastAsia="en-US"/>
        </w:rPr>
        <w:t xml:space="preserve"> kde</w:t>
      </w:r>
      <w:r w:rsidR="00FE017A">
        <w:rPr>
          <w:rFonts w:eastAsia="Calibri"/>
          <w:sz w:val="24"/>
          <w:szCs w:val="24"/>
          <w:lang w:eastAsia="en-US"/>
        </w:rPr>
        <w:t xml:space="preserve"> si však </w:t>
      </w:r>
      <w:r w:rsidRPr="003E0D09">
        <w:rPr>
          <w:rFonts w:eastAsia="Calibri"/>
          <w:sz w:val="24"/>
          <w:szCs w:val="24"/>
          <w:lang w:eastAsia="en-US"/>
        </w:rPr>
        <w:t>klíčoví zaměstnanci jsou tak blízko, aby si mohli porozumět. Empirické studie se zaměřují na výzkum mobility pracovníků v rámci příbuzných a nepříbuzných odvětví či stejných a odlišných regionů (Blažek, Uhlíř, 2011).</w:t>
      </w:r>
    </w:p>
    <w:p w:rsidR="003E0D09" w:rsidRPr="003E0D09" w:rsidRDefault="003E0D09" w:rsidP="00423120">
      <w:pPr>
        <w:jc w:val="both"/>
        <w:rPr>
          <w:rFonts w:eastAsia="Calibri"/>
          <w:sz w:val="24"/>
          <w:szCs w:val="24"/>
          <w:lang w:eastAsia="en-US"/>
        </w:rPr>
      </w:pPr>
      <w:r w:rsidRPr="003E0D09">
        <w:rPr>
          <w:rFonts w:eastAsia="Calibri"/>
          <w:sz w:val="24"/>
          <w:szCs w:val="24"/>
          <w:lang w:eastAsia="en-US"/>
        </w:rPr>
        <w:t xml:space="preserve">Za autory </w:t>
      </w:r>
      <w:r w:rsidRPr="003E0D09">
        <w:rPr>
          <w:rFonts w:eastAsia="Calibri"/>
          <w:b/>
          <w:sz w:val="24"/>
          <w:szCs w:val="24"/>
          <w:lang w:eastAsia="en-US"/>
        </w:rPr>
        <w:t>konceptu triple helix</w:t>
      </w:r>
      <w:r w:rsidRPr="003E0D09">
        <w:rPr>
          <w:rFonts w:eastAsia="Calibri"/>
          <w:sz w:val="24"/>
          <w:szCs w:val="24"/>
          <w:lang w:eastAsia="en-US"/>
        </w:rPr>
        <w:t xml:space="preserve"> (trojitá šroubovice) jsou považováni H. Etzkowitz a L. Leydesdorff. Jeho podstatou je dosažení vzájem</w:t>
      </w:r>
      <w:r w:rsidR="00FE017A">
        <w:rPr>
          <w:rFonts w:eastAsia="Calibri"/>
          <w:sz w:val="24"/>
          <w:szCs w:val="24"/>
          <w:lang w:eastAsia="en-US"/>
        </w:rPr>
        <w:t>ného porozumění o</w:t>
      </w:r>
      <w:r w:rsidR="007F79BC">
        <w:rPr>
          <w:rFonts w:eastAsia="Calibri"/>
          <w:sz w:val="24"/>
          <w:szCs w:val="24"/>
          <w:lang w:eastAsia="en-US"/>
        </w:rPr>
        <w:t xml:space="preserve"> potřebách a </w:t>
      </w:r>
      <w:r w:rsidRPr="003E0D09">
        <w:rPr>
          <w:rFonts w:eastAsia="Calibri"/>
          <w:sz w:val="24"/>
          <w:szCs w:val="24"/>
          <w:lang w:eastAsia="en-US"/>
        </w:rPr>
        <w:t>problémech aktérů šroubovice a dosažení vzájemných synergií. Koncept má tři části: univerzity a ústav</w:t>
      </w:r>
      <w:r w:rsidR="00B54DAC">
        <w:rPr>
          <w:rFonts w:eastAsia="Calibri"/>
          <w:sz w:val="24"/>
          <w:szCs w:val="24"/>
          <w:lang w:eastAsia="en-US"/>
        </w:rPr>
        <w:t>y</w:t>
      </w:r>
      <w:r w:rsidRPr="003E0D09">
        <w:rPr>
          <w:rFonts w:eastAsia="Calibri"/>
          <w:sz w:val="24"/>
          <w:szCs w:val="24"/>
          <w:lang w:eastAsia="en-US"/>
        </w:rPr>
        <w:t xml:space="preserve"> VaV, vláda a firmy a tři dimenze, kterými jsou (Etzkowitz, 2002):</w:t>
      </w:r>
    </w:p>
    <w:p w:rsidR="003E0D09" w:rsidRPr="003E0D09" w:rsidRDefault="003E0D09" w:rsidP="00423120">
      <w:pPr>
        <w:numPr>
          <w:ilvl w:val="0"/>
          <w:numId w:val="30"/>
        </w:numPr>
        <w:ind w:left="426"/>
        <w:contextualSpacing/>
        <w:jc w:val="both"/>
        <w:rPr>
          <w:rFonts w:eastAsia="Calibri"/>
          <w:sz w:val="24"/>
          <w:szCs w:val="24"/>
          <w:lang w:eastAsia="en-US"/>
        </w:rPr>
      </w:pPr>
      <w:r w:rsidRPr="003E0D09">
        <w:rPr>
          <w:rFonts w:eastAsia="Calibri"/>
          <w:sz w:val="24"/>
          <w:szCs w:val="24"/>
          <w:lang w:eastAsia="en-US"/>
        </w:rPr>
        <w:lastRenderedPageBreak/>
        <w:t>interní transformace v rámci šroubovic – např. vztahy mezi firmami,</w:t>
      </w:r>
    </w:p>
    <w:p w:rsidR="003E0D09" w:rsidRPr="003E0D09" w:rsidRDefault="003E0D09" w:rsidP="00423120">
      <w:pPr>
        <w:numPr>
          <w:ilvl w:val="0"/>
          <w:numId w:val="30"/>
        </w:numPr>
        <w:ind w:left="426"/>
        <w:contextualSpacing/>
        <w:jc w:val="both"/>
        <w:rPr>
          <w:rFonts w:eastAsia="Calibri"/>
          <w:sz w:val="24"/>
          <w:szCs w:val="24"/>
          <w:lang w:eastAsia="en-US"/>
        </w:rPr>
      </w:pPr>
      <w:r w:rsidRPr="003E0D09">
        <w:rPr>
          <w:rFonts w:eastAsia="Calibri"/>
          <w:sz w:val="24"/>
          <w:szCs w:val="24"/>
          <w:lang w:eastAsia="en-US"/>
        </w:rPr>
        <w:t>vliv jedné šroubovice na jinou – např. dopad vládního rozhodnutí na firmy,</w:t>
      </w:r>
    </w:p>
    <w:p w:rsidR="003E0D09" w:rsidRPr="003E0D09" w:rsidRDefault="003E0D09" w:rsidP="00423120">
      <w:pPr>
        <w:numPr>
          <w:ilvl w:val="0"/>
          <w:numId w:val="30"/>
        </w:numPr>
        <w:ind w:left="425" w:hanging="357"/>
        <w:contextualSpacing/>
        <w:jc w:val="both"/>
        <w:rPr>
          <w:rFonts w:eastAsia="Calibri"/>
          <w:sz w:val="24"/>
          <w:szCs w:val="24"/>
          <w:lang w:eastAsia="en-US"/>
        </w:rPr>
      </w:pPr>
      <w:r w:rsidRPr="003E0D09">
        <w:rPr>
          <w:rFonts w:eastAsia="Calibri"/>
          <w:sz w:val="24"/>
          <w:szCs w:val="24"/>
          <w:lang w:eastAsia="en-US"/>
        </w:rPr>
        <w:t>tvorba nových vztahů trilaterálních sítí – např. interakce za účelem hi-tech rozvoje.</w:t>
      </w:r>
    </w:p>
    <w:p w:rsidR="003E0D09" w:rsidRPr="003E0D09" w:rsidRDefault="00B40349" w:rsidP="00423120">
      <w:pPr>
        <w:jc w:val="both"/>
        <w:rPr>
          <w:rFonts w:eastAsia="Calibri"/>
          <w:lang w:eastAsia="en-US"/>
        </w:rPr>
      </w:pPr>
      <w:r>
        <w:rPr>
          <w:rFonts w:ascii="Calibri" w:eastAsia="Calibri" w:hAnsi="Calibri"/>
          <w:noProof/>
        </w:rPr>
        <w:pict>
          <v:group id="Skupina 136" o:spid="_x0000_s1072" style="position:absolute;left:0;text-align:left;margin-left:-.75pt;margin-top:15.15pt;width:441.65pt;height:129.45pt;z-index:251752448" coordsize="56091,16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">
            <v:oval id="Ovál 137" o:spid="_x0000_s1073" style="position:absolute;left:40356;top:5715;width:8877;height:8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ossAA&#10;AADcAAAADwAAAGRycy9kb3ducmV2LnhtbERP24rCMBB9F/yHMMK+aeoqq9RGES9Q8MnLBwzN2JY2&#10;k9JkbdevN4Kwb3M410k2vanFg1pXWlYwnUQgiDOrS84V3K7H8RKE88gaa8uk4I8cbNbDQYKxth2f&#10;6XHxuQgh7GJUUHjfxFK6rCCDbmIb4sDdbWvQB9jmUrfYhXBTy+8o+pEGSw4NBTa0KyirLr9GwXm6&#10;nO9ld5WntE+rg749eeaeSn2N+u0KhKfe/4s/7lSH+b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KossAAAADcAAAADwAAAAAAAAAAAAAAAACYAgAAZHJzL2Rvd25y&#10;ZXYueG1sUEsFBgAAAAAEAAQA9QAAAIUDAAAAAA==&#10;" filled="f" strokecolor="windowText" strokeweight=".25pt">
              <v:textbox style="mso-next-textbox:#Ovál 137" inset="0,,0">
                <w:txbxContent>
                  <w:p w:rsidR="00B40349" w:rsidRDefault="00B40349" w:rsidP="003E0D09">
                    <w:pPr>
                      <w:spacing w:after="0"/>
                      <w:rPr>
                        <w:rFonts w:ascii="Arial Narrow" w:hAnsi="Arial Narrow"/>
                        <w:sz w:val="20"/>
                        <w:szCs w:val="20"/>
                      </w:rPr>
                    </w:pPr>
                    <w:r>
                      <w:rPr>
                        <w:rFonts w:ascii="Arial Narrow" w:hAnsi="Arial Narrow"/>
                        <w:sz w:val="20"/>
                        <w:szCs w:val="20"/>
                      </w:rPr>
                      <w:t>Vláda</w:t>
                    </w:r>
                  </w:p>
                </w:txbxContent>
              </v:textbox>
            </v:oval>
            <v:group id="Skupina 138" o:spid="_x0000_s1074" style="position:absolute;width:56091;height:16441" coordsize="56091,16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oval id="Ovál 139" o:spid="_x0000_s1075" style="position:absolute;left:30685;top:8704;width:6680;height:5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vcIA&#10;AADcAAAADwAAAGRycy9kb3ducmV2LnhtbERPS4vCMBC+C/sfwizsRTRVQbQaRSrCyuLBx8Hj2Ixt&#10;d5tJaWKt/94sCN7m43vOfNmaUjRUu8KygkE/AkGcWl1wpuB03PQmIJxH1lhaJgUPcrBcfHTmGGt7&#10;5z01B5+JEMIuRgW591UspUtzMuj6tiIO3NXWBn2AdSZ1jfcQbko5jKKxNFhwaMixoiSn9O9wMwpc&#10;5G90+eEk+90SbZrk3N2tz0p9fbarGQhPrX+LX+5vHeaPpvD/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X69wgAAANwAAAAPAAAAAAAAAAAAAAAAAJgCAABkcnMvZG93&#10;bnJldi54bWxQSwUGAAAAAAQABAD1AAAAhwMAAAAA&#10;" filled="f" strokecolor="windowText" strokeweight=".25pt">
                <v:textbox style="mso-next-textbox:#Ovál 139" inset="1mm,,1mm">
                  <w:txbxContent>
                    <w:p w:rsidR="00B40349" w:rsidRDefault="00B40349" w:rsidP="003E0D09">
                      <w:pPr>
                        <w:spacing w:after="0"/>
                        <w:jc w:val="center"/>
                        <w:rPr>
                          <w:rFonts w:ascii="Arial Narrow" w:hAnsi="Arial Narrow"/>
                          <w:sz w:val="20"/>
                          <w:szCs w:val="20"/>
                        </w:rPr>
                      </w:pPr>
                      <w:r>
                        <w:rPr>
                          <w:rFonts w:ascii="Arial Narrow" w:hAnsi="Arial Narrow"/>
                          <w:sz w:val="20"/>
                          <w:szCs w:val="20"/>
                        </w:rPr>
                        <w:t>Průmysl</w:t>
                      </w:r>
                    </w:p>
                  </w:txbxContent>
                </v:textbox>
              </v:oval>
              <v:oval id="Ovál 140" o:spid="_x0000_s1076" style="position:absolute;top:967;width:16705;height:15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uuCsQA&#10;AADcAAAADwAAAGRycy9kb3ducmV2LnhtbESPQUvDQBCF70L/wzKCN7tRikjsthShKj0ITUvPY3ZM&#10;otnZuDs28d87B8HbDO/Ne98s11PozZlS7iI7uJkXYIjr6DtuHBwP2+t7MFmQPfaRycEPZVivZhdL&#10;LH0ceU/nShqjIZxLdNCKDKW1uW4pYJ7HgVi195gCiq6psT7hqOGht7dFcWcDdqwNLQ702FL9WX0H&#10;B/uufv76SE9xfNud/G5RyUZexbmry2nzAEZokn/z3/WLV/yF4uszOoF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rgrEAAAA3AAAAA8AAAAAAAAAAAAAAAAAmAIAAGRycy9k&#10;b3ducmV2LnhtbFBLBQYAAAAABAAEAPUAAACJAwAAAAA=&#10;" filled="f" strokecolor="windowText" strokeweight=".25pt">
                <v:textbox style="mso-next-textbox:#Ovál 140" inset="1mm,,1mm">
                  <w:txbxContent>
                    <w:p w:rsidR="00B40349" w:rsidRDefault="00B40349" w:rsidP="003E0D09">
                      <w:pPr>
                        <w:spacing w:after="0"/>
                        <w:jc w:val="center"/>
                        <w:rPr>
                          <w:rFonts w:ascii="Arial Narrow" w:hAnsi="Arial Narrow"/>
                          <w:sz w:val="20"/>
                          <w:szCs w:val="20"/>
                        </w:rPr>
                      </w:pPr>
                      <w:r>
                        <w:rPr>
                          <w:rFonts w:ascii="Arial Narrow" w:hAnsi="Arial Narrow"/>
                          <w:sz w:val="20"/>
                          <w:szCs w:val="20"/>
                        </w:rPr>
                        <w:t>Vláda</w:t>
                      </w:r>
                    </w:p>
                  </w:txbxContent>
                </v:textbox>
              </v:oval>
              <v:oval id="Ovál 141" o:spid="_x0000_s1077" style="position:absolute;left:8704;top:6858;width:6680;height:5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mIMAA&#10;AADcAAAADwAAAGRycy9kb3ducmV2LnhtbERPzYrCMBC+L/gOYYS9rWl3RaSaiugKhT1pfYChGdvS&#10;ZlKaaKtPb4QFb/Px/c56M5pW3Kh3tWUF8SwCQVxYXXOp4JwfvpYgnEfW2FomBXdysEknH2tMtB34&#10;SLeTL0UIYZeggsr7LpHSFRUZdDPbEQfuYnuDPsC+lLrHIYSbVn5H0UIarDk0VNjRrqKiOV2NgmO8&#10;nO/lkMu/bMyaX31+8I97KPU5HbcrEJ5G/xb/uzMd5s9jeD0TLp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HmIMAAAADcAAAADwAAAAAAAAAAAAAAAACYAgAAZHJzL2Rvd25y&#10;ZXYueG1sUEsFBgAAAAAEAAQA9QAAAIUDAAAAAA==&#10;" filled="f" strokecolor="windowText" strokeweight=".25pt">
                <v:textbox style="mso-next-textbox:#Ovál 141" inset="0,,0">
                  <w:txbxContent>
                    <w:p w:rsidR="00B40349" w:rsidRDefault="00B40349" w:rsidP="003E0D09">
                      <w:pPr>
                        <w:spacing w:after="0"/>
                        <w:jc w:val="center"/>
                        <w:rPr>
                          <w:rFonts w:ascii="Arial Narrow" w:hAnsi="Arial Narrow"/>
                          <w:sz w:val="20"/>
                          <w:szCs w:val="20"/>
                        </w:rPr>
                      </w:pPr>
                      <w:r>
                        <w:rPr>
                          <w:rFonts w:ascii="Arial Narrow" w:hAnsi="Arial Narrow"/>
                          <w:sz w:val="20"/>
                          <w:szCs w:val="20"/>
                        </w:rPr>
                        <w:t>Univerzity</w:t>
                      </w:r>
                    </w:p>
                  </w:txbxContent>
                </v:textbox>
              </v:oval>
              <v:oval id="Ovál 142" o:spid="_x0000_s1078" style="position:absolute;left:1230;top:6858;width:6681;height:5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fscMA&#10;AADcAAAADwAAAGRycy9kb3ducmV2LnhtbERPTWvCQBC9C/6HZYRepNkYikjMKhIRWkoPag8ex+w0&#10;Sc3OhuyapP++Wyh4m8f7nGw7mkb01LnasoJFFIMgLqyuuVTweT48r0A4j6yxsUwKfsjBdjOdZJhq&#10;O/CR+pMvRQhhl6KCyvs2ldIVFRl0kW2JA/dlO4M+wK6UusMhhJtGJnG8lAZrDg0VtpRXVNxOd6PA&#10;xf5O13fOy+83okOfX+Yf+4tST7NxtwbhafQP8b/7VYf5Lwn8PR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OfscMAAADcAAAADwAAAAAAAAAAAAAAAACYAgAAZHJzL2Rv&#10;d25yZXYueG1sUEsFBgAAAAAEAAQA9QAAAIgDAAAAAA==&#10;" filled="f" strokecolor="windowText" strokeweight=".25pt">
                <v:textbox style="mso-next-textbox:#Ovál 142" inset="1mm,,1mm">
                  <w:txbxContent>
                    <w:p w:rsidR="00B40349" w:rsidRDefault="00B40349" w:rsidP="003E0D09">
                      <w:pPr>
                        <w:spacing w:after="0"/>
                        <w:jc w:val="center"/>
                        <w:rPr>
                          <w:rFonts w:ascii="Arial Narrow" w:hAnsi="Arial Narrow"/>
                          <w:sz w:val="20"/>
                          <w:szCs w:val="20"/>
                        </w:rPr>
                      </w:pPr>
                      <w:r>
                        <w:rPr>
                          <w:rFonts w:ascii="Arial Narrow" w:hAnsi="Arial Narrow"/>
                          <w:sz w:val="20"/>
                          <w:szCs w:val="20"/>
                        </w:rPr>
                        <w:t>Průmysl</w:t>
                      </w:r>
                    </w:p>
                  </w:txbxContent>
                </v:textbox>
              </v:oval>
              <v:oval id="Ovál 143" o:spid="_x0000_s1079" style="position:absolute;left:43785;width:8880;height:870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NmMIA&#10;AADcAAAADwAAAGRycy9kb3ducmV2LnhtbERPTWvCQBC9F/wPywje6kYtRaKriGBRejLqwduQHZNg&#10;djZkpyb213cLhd7m8T5nue5drR7Uhsqzgck4AUWce1txYeB82r3OQQVBtlh7JgNPCrBeDV6WmFrf&#10;8ZEemRQqhnBI0UAp0qRah7wkh2HsG+LI3XzrUCJsC21b7GK4q/U0Sd61w4pjQ4kNbUvK79mXM/D9&#10;sb1ml2kXzqfbpjiIHOzxszFmNOw3C1BCvfyL/9x7G+e/zeD3mXi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02YwgAAANwAAAAPAAAAAAAAAAAAAAAAAJgCAABkcnMvZG93&#10;bnJldi54bWxQSwUGAAAAAAQABAD1AAAAhwMAAAAA&#10;" filled="f" strokecolor="windowText" strokeweight=".25pt">
                <v:textbox style="mso-next-textbox:#Ovál 143" inset="0,,0">
                  <w:txbxContent>
                    <w:p w:rsidR="00B40349" w:rsidRDefault="00B40349" w:rsidP="003E0D09">
                      <w:pPr>
                        <w:spacing w:after="0"/>
                        <w:jc w:val="center"/>
                        <w:rPr>
                          <w:rFonts w:ascii="Arial Narrow" w:hAnsi="Arial Narrow"/>
                          <w:sz w:val="20"/>
                          <w:szCs w:val="20"/>
                        </w:rPr>
                      </w:pPr>
                      <w:r>
                        <w:rPr>
                          <w:rFonts w:ascii="Arial Narrow" w:hAnsi="Arial Narrow"/>
                          <w:sz w:val="20"/>
                          <w:szCs w:val="20"/>
                        </w:rPr>
                        <w:t>Univerzity</w:t>
                      </w:r>
                    </w:p>
                  </w:txbxContent>
                </v:textbox>
              </v:oval>
              <v:oval id="Ovál 144" o:spid="_x0000_s1080" style="position:absolute;left:25497;top:879;width:6680;height:5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iXsMA&#10;AADcAAAADwAAAGRycy9kb3ducmV2LnhtbERPTWvCQBC9C/0PyxS8SLOphFJiVpEUQSk91PaQ45id&#10;JqnZ2ZBdk/TfdwXB2zze52SbybRioN41lhU8RzEI4tLqhisF31+7p1cQziNrbC2Tgj9ysFk/zDJM&#10;tR35k4ajr0QIYZeigtr7LpXSlTUZdJHtiAP3Y3uDPsC+krrHMYSbVi7j+EUabDg01NhRXlN5Pl6M&#10;Ahf7C53eOa9+D0S7IS8WH2+FUvPHabsC4Wnyd/HNvddhfpL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iXsMAAADcAAAADwAAAAAAAAAAAAAAAACYAgAAZHJzL2Rv&#10;d25yZXYueG1sUEsFBgAAAAAEAAQA9QAAAIgDAAAAAA==&#10;" filled="f" strokecolor="windowText" strokeweight=".25pt">
                <v:textbox style="mso-next-textbox:#Ovál 144" inset="1mm,,1mm">
                  <w:txbxContent>
                    <w:p w:rsidR="00B40349" w:rsidRDefault="00B40349" w:rsidP="003E0D09">
                      <w:pPr>
                        <w:spacing w:after="0"/>
                        <w:jc w:val="center"/>
                        <w:rPr>
                          <w:rFonts w:ascii="Arial Narrow" w:hAnsi="Arial Narrow"/>
                          <w:sz w:val="20"/>
                          <w:szCs w:val="20"/>
                        </w:rPr>
                      </w:pPr>
                      <w:r>
                        <w:rPr>
                          <w:rFonts w:ascii="Arial Narrow" w:hAnsi="Arial Narrow"/>
                          <w:sz w:val="20"/>
                          <w:szCs w:val="20"/>
                        </w:rPr>
                        <w:t>Vláda</w:t>
                      </w:r>
                    </w:p>
                  </w:txbxContent>
                </v:textbox>
              </v:oval>
              <v:oval id="Ovál 145" o:spid="_x0000_s1081" style="position:absolute;left:20486;top:8616;width:6680;height:5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gI8IA&#10;AADcAAAADwAAAGRycy9kb3ducmV2LnhtbERP22qDQBB9L+Qflgn0rVlt0yA2mxByAaFPMX7A4E5V&#10;4s6Ku1WTr88GCn2bw7nOejuZVgzUu8aygngRgSAurW64UlBcTm8JCOeRNbaWScGNHGw3s5c1ptqO&#10;fKYh95UIIexSVFB736VSurImg25hO+LA/djeoA+wr6TucQzhppXvUbSSBhsODTV2tK+pvOa/RsE5&#10;TpYHOV7kdzZl16Mu7vzh7kq9zqfdFwhPk/8X/7kzHeYvP+H5TLh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uAjwgAAANwAAAAPAAAAAAAAAAAAAAAAAJgCAABkcnMvZG93&#10;bnJldi54bWxQSwUGAAAAAAQABAD1AAAAhwMAAAAA&#10;" filled="f" strokecolor="windowText" strokeweight=".25pt">
                <v:textbox style="mso-next-textbox:#Ovál 145" inset="0,,0">
                  <w:txbxContent>
                    <w:p w:rsidR="00B40349" w:rsidRDefault="00B40349" w:rsidP="003E0D09">
                      <w:pPr>
                        <w:spacing w:after="0"/>
                        <w:jc w:val="center"/>
                        <w:rPr>
                          <w:rFonts w:ascii="Arial Narrow" w:hAnsi="Arial Narrow"/>
                          <w:sz w:val="20"/>
                          <w:szCs w:val="20"/>
                        </w:rPr>
                      </w:pPr>
                      <w:r>
                        <w:rPr>
                          <w:rFonts w:ascii="Arial Narrow" w:hAnsi="Arial Narrow"/>
                          <w:sz w:val="20"/>
                          <w:szCs w:val="20"/>
                        </w:rPr>
                        <w:t>Univerzity</w:t>
                      </w:r>
                    </w:p>
                  </w:txbxContent>
                </v:textbox>
              </v:oval>
              <v:oval id="Ovál 146" o:spid="_x0000_s1082" style="position:absolute;left:47214;top:5627;width:8877;height:8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VL4A&#10;AADcAAAADwAAAGRycy9kb3ducmV2LnhtbERPyQrCMBC9C/5DGMGbpi6IVKOICxQ8uXzA0IxtsZmU&#10;Jtrq1xtB8DaPt85y3ZpSPKl2hWUFo2EEgji1uuBMwfVyGMxBOI+ssbRMCl7kYL3qdpYYa9vwiZ5n&#10;n4kQwi5GBbn3VSylS3My6Ia2Ig7czdYGfYB1JnWNTQg3pRxH0UwaLDg05FjRNqf0fn4YBafRfLqT&#10;zUUekza57/X1zRP3VqrfazcLEJ5a/xf/3IkO86cz+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YflS+AAAA3AAAAA8AAAAAAAAAAAAAAAAAmAIAAGRycy9kb3ducmV2&#10;LnhtbFBLBQYAAAAABAAEAPUAAACDAwAAAAA=&#10;" filled="f" strokecolor="windowText" strokeweight=".25pt">
                <v:textbox style="mso-next-textbox:#Ovál 146" inset="0,,0">
                  <w:txbxContent>
                    <w:p w:rsidR="00B40349" w:rsidRDefault="00B40349" w:rsidP="003E0D09">
                      <w:pPr>
                        <w:spacing w:after="0"/>
                        <w:jc w:val="right"/>
                        <w:rPr>
                          <w:rFonts w:ascii="Arial Narrow" w:hAnsi="Arial Narrow"/>
                          <w:sz w:val="20"/>
                          <w:szCs w:val="20"/>
                        </w:rPr>
                      </w:pPr>
                      <w:r>
                        <w:rPr>
                          <w:rFonts w:ascii="Arial Narrow" w:hAnsi="Arial Narrow"/>
                          <w:sz w:val="20"/>
                          <w:szCs w:val="20"/>
                        </w:rPr>
                        <w:t>Průmysl</w:t>
                      </w:r>
                    </w:p>
                  </w:txbxContent>
                </v:textbox>
              </v:oval>
              <v:line id="Přímá spojnice 147" o:spid="_x0000_s1083" style="position:absolute;visibility:visible;mso-wrap-style:square" from="30685,6242" to="34545,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BhfcIAAADcAAAADwAAAGRycy9kb3ducmV2LnhtbERPTYvCMBC9C/sfwgheZE2V4krXKCIK&#10;HrWK7HFoxrbaTLpN1Lq/fiMI3ubxPmc6b00lbtS40rKC4SACQZxZXXKu4LBff05AOI+ssbJMCh7k&#10;YD776Ewx0fbOO7qlPhchhF2CCgrv60RKlxVk0A1sTRy4k20M+gCbXOoG7yHcVHIURWNpsOTQUGBN&#10;y4KyS3o1CvLluf/7k57/Yj9eTew63h6Pp4VSvW67+AbhqfVv8cu90WF+/AXPZ8IF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BhfcIAAADcAAAADwAAAAAAAAAAAAAA&#10;AAChAgAAZHJzL2Rvd25yZXYueG1sUEsFBgAAAAAEAAQA+QAAAJADAAAAAA==&#10;" strokecolor="windowText"/>
              <v:line id="Přímá spojnice 148" o:spid="_x0000_s1084" style="position:absolute;visibility:visible;mso-wrap-style:square" from="27168,11957" to="30685,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1D8YAAADcAAAADwAAAGRycy9kb3ducmV2LnhtbESPT2vCQBDF74LfYZlCL1I3liCSZhUR&#10;BY9tWqTHITvmT7OzMbtq2k/fORR6m+G9ee83+WZ0nbrREBrPBhbzBBRx6W3DlYGP98PTClSIyBY7&#10;z2TgmwJs1tNJjpn1d36jWxErJSEcMjRQx9hnWoeyJodh7nti0c5+cBhlHSptB7xLuOv0c5IstcOG&#10;paHGnnY1lV/F1Rmodu3s8lm0P2lc7lf+kL6eTuetMY8P4/YFVKQx/pv/ro9W8FOhlW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P9Q/GAAAA3AAAAA8AAAAAAAAA&#10;AAAAAAAAoQIAAGRycy9kb3ducmV2LnhtbFBLBQYAAAAABAAEAPkAAACUAwAAAAA=&#10;" strokecolor="windowText"/>
              <v:line id="Přímá spojnice 149" o:spid="_x0000_s1085" style="position:absolute;flip:x;visibility:visible;mso-wrap-style:square" from="23739,6242" to="27161,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9GLMQAAADcAAAADwAAAGRycy9kb3ducmV2LnhtbERPTWvCQBC9F/wPywje6kYppaauUrWC&#10;J6vWS25jdsymyc6G7Kqpv75bKPQ2j/c503lna3Gl1peOFYyGCQji3OmSCwXHz/XjCwgfkDXWjknB&#10;N3mYz3oPU0y1u/GerodQiBjCPkUFJoQmldLnhiz6oWuII3d2rcUQYVtI3eIthttajpPkWVosOTYY&#10;bGhpKK8OF6tgdd9V2yzLxlX9YY6j90XztTplSg363dsriEBd+Bf/uTc6zn+awO8z8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0YsxAAAANwAAAAPAAAAAAAAAAAA&#10;AAAAAKECAABkcnMvZG93bnJldi54bWxQSwUGAAAAAAQABAD5AAAAkgMAAAAA&#10;" strokecolor="windowText"/>
            </v:group>
          </v:group>
        </w:pict>
      </w:r>
      <w:r w:rsidR="003E0D09" w:rsidRPr="003E0D09">
        <w:rPr>
          <w:rFonts w:eastAsia="Calibri"/>
          <w:lang w:eastAsia="en-US"/>
        </w:rPr>
        <w:t xml:space="preserve"> </w:t>
      </w:r>
    </w:p>
    <w:p w:rsidR="003E0D09" w:rsidRPr="003E0D09" w:rsidRDefault="003E0D09" w:rsidP="00423120">
      <w:pPr>
        <w:jc w:val="both"/>
        <w:rPr>
          <w:rFonts w:eastAsia="Calibri"/>
          <w:lang w:eastAsia="en-US"/>
        </w:rPr>
      </w:pPr>
    </w:p>
    <w:p w:rsidR="003E0D09" w:rsidRPr="003E0D09" w:rsidRDefault="003E0D09" w:rsidP="00423120">
      <w:pPr>
        <w:jc w:val="both"/>
        <w:rPr>
          <w:rFonts w:eastAsia="Calibri"/>
          <w:lang w:eastAsia="en-US"/>
        </w:rPr>
      </w:pPr>
    </w:p>
    <w:p w:rsidR="00CB4F24" w:rsidRDefault="00CB4F24" w:rsidP="00FE017A">
      <w:pPr>
        <w:keepNext/>
        <w:spacing w:after="0"/>
        <w:jc w:val="center"/>
        <w:rPr>
          <w:rFonts w:asciiTheme="minorHAnsi" w:eastAsia="Calibri" w:hAnsiTheme="minorHAnsi" w:cstheme="minorHAnsi"/>
          <w:b/>
          <w:sz w:val="24"/>
          <w:szCs w:val="24"/>
          <w:lang w:eastAsia="en-US"/>
        </w:rPr>
      </w:pPr>
    </w:p>
    <w:p w:rsidR="00CB4F24" w:rsidRDefault="00CB4F24" w:rsidP="00FE017A">
      <w:pPr>
        <w:keepNext/>
        <w:spacing w:after="0"/>
        <w:jc w:val="center"/>
        <w:rPr>
          <w:rFonts w:asciiTheme="minorHAnsi" w:eastAsia="Calibri" w:hAnsiTheme="minorHAnsi" w:cstheme="minorHAnsi"/>
          <w:b/>
          <w:sz w:val="24"/>
          <w:szCs w:val="24"/>
          <w:lang w:eastAsia="en-US"/>
        </w:rPr>
      </w:pPr>
    </w:p>
    <w:p w:rsidR="00CB4F24" w:rsidRDefault="00CB4F24" w:rsidP="00FE017A">
      <w:pPr>
        <w:keepNext/>
        <w:spacing w:after="0"/>
        <w:jc w:val="center"/>
        <w:rPr>
          <w:rFonts w:asciiTheme="minorHAnsi" w:eastAsia="Calibri" w:hAnsiTheme="minorHAnsi" w:cstheme="minorHAnsi"/>
          <w:b/>
          <w:sz w:val="24"/>
          <w:szCs w:val="24"/>
          <w:lang w:eastAsia="en-US"/>
        </w:rPr>
      </w:pPr>
    </w:p>
    <w:p w:rsidR="00CB4F24" w:rsidRDefault="00CB4F24" w:rsidP="007F79BC">
      <w:pPr>
        <w:keepNext/>
        <w:spacing w:after="0"/>
        <w:rPr>
          <w:rFonts w:asciiTheme="minorHAnsi" w:eastAsia="Calibri" w:hAnsiTheme="minorHAnsi" w:cstheme="minorHAnsi"/>
          <w:b/>
          <w:sz w:val="24"/>
          <w:szCs w:val="24"/>
          <w:lang w:eastAsia="en-US"/>
        </w:rPr>
      </w:pPr>
    </w:p>
    <w:p w:rsidR="003E0D09" w:rsidRPr="003E0D09" w:rsidRDefault="003E0D09" w:rsidP="007B1066">
      <w:pPr>
        <w:pStyle w:val="0G-Titulek"/>
        <w:spacing w:before="100"/>
        <w:ind w:firstLine="0"/>
        <w:rPr>
          <w:rFonts w:asciiTheme="minorHAnsi" w:eastAsia="Calibri" w:hAnsiTheme="minorHAnsi" w:cstheme="minorHAnsi"/>
        </w:rPr>
      </w:pPr>
      <w:bookmarkStart w:id="132" w:name="_Toc382326831"/>
      <w:r w:rsidRPr="003E0D09">
        <w:rPr>
          <w:rFonts w:asciiTheme="minorHAnsi" w:eastAsia="Calibri" w:hAnsiTheme="minorHAnsi" w:cstheme="minorHAnsi"/>
        </w:rPr>
        <w:t xml:space="preserve">Obrázek 26: </w:t>
      </w:r>
      <w:r w:rsidRPr="003E0D09">
        <w:rPr>
          <w:rFonts w:eastAsia="Calibri"/>
        </w:rPr>
        <w:t>Vývoj triple helix</w:t>
      </w:r>
      <w:bookmarkEnd w:id="132"/>
    </w:p>
    <w:p w:rsidR="00CB4F24" w:rsidRPr="00CB4F24" w:rsidRDefault="003E0D09" w:rsidP="007F79BC">
      <w:pPr>
        <w:keepNext/>
        <w:jc w:val="center"/>
        <w:rPr>
          <w:rFonts w:asciiTheme="minorHAnsi" w:eastAsia="Calibri" w:hAnsiTheme="minorHAnsi" w:cstheme="minorHAnsi"/>
          <w:lang w:eastAsia="en-US"/>
        </w:rPr>
      </w:pPr>
      <w:r w:rsidRPr="003E0D09">
        <w:rPr>
          <w:rFonts w:asciiTheme="minorHAnsi" w:eastAsia="Calibri" w:hAnsiTheme="minorHAnsi" w:cstheme="minorHAnsi"/>
          <w:i/>
          <w:lang w:eastAsia="en-US"/>
        </w:rPr>
        <w:t>Pramen: Etzkowitz  2002.</w:t>
      </w:r>
    </w:p>
    <w:p w:rsidR="003E0D09" w:rsidRPr="003E0D09" w:rsidRDefault="00FE017A" w:rsidP="000E4C07">
      <w:pPr>
        <w:spacing w:after="120"/>
        <w:ind w:firstLine="720"/>
        <w:jc w:val="both"/>
        <w:rPr>
          <w:rFonts w:eastAsia="Calibri"/>
          <w:sz w:val="24"/>
          <w:szCs w:val="24"/>
          <w:lang w:eastAsia="en-US"/>
        </w:rPr>
      </w:pPr>
      <w:r>
        <w:rPr>
          <w:rFonts w:eastAsia="Calibri"/>
          <w:sz w:val="24"/>
          <w:szCs w:val="24"/>
          <w:lang w:eastAsia="en-US"/>
        </w:rPr>
        <w:t>Na</w:t>
      </w:r>
      <w:r w:rsidR="00C20733">
        <w:rPr>
          <w:rFonts w:eastAsia="Calibri"/>
          <w:sz w:val="24"/>
          <w:szCs w:val="24"/>
          <w:lang w:eastAsia="en-US"/>
        </w:rPr>
        <w:t xml:space="preserve"> výše uvedeném </w:t>
      </w:r>
      <w:r w:rsidR="00C20733" w:rsidRPr="003E0D09">
        <w:rPr>
          <w:rFonts w:eastAsia="Calibri"/>
          <w:sz w:val="24"/>
          <w:szCs w:val="24"/>
          <w:lang w:eastAsia="en-US"/>
        </w:rPr>
        <w:t>o</w:t>
      </w:r>
      <w:r>
        <w:rPr>
          <w:rFonts w:eastAsia="Calibri"/>
          <w:sz w:val="24"/>
          <w:szCs w:val="24"/>
          <w:lang w:eastAsia="en-US"/>
        </w:rPr>
        <w:t>brázku jsou zachyceny</w:t>
      </w:r>
      <w:r w:rsidR="00C20733">
        <w:rPr>
          <w:rFonts w:eastAsia="Calibri"/>
          <w:sz w:val="24"/>
          <w:szCs w:val="24"/>
          <w:lang w:eastAsia="en-US"/>
        </w:rPr>
        <w:t xml:space="preserve"> v</w:t>
      </w:r>
      <w:r w:rsidR="00C20733" w:rsidRPr="003E0D09">
        <w:rPr>
          <w:rFonts w:eastAsia="Calibri"/>
          <w:sz w:val="24"/>
          <w:szCs w:val="24"/>
          <w:lang w:eastAsia="en-US"/>
        </w:rPr>
        <w:t>ztahy mezi</w:t>
      </w:r>
      <w:r>
        <w:rPr>
          <w:rFonts w:eastAsia="Calibri"/>
          <w:sz w:val="24"/>
          <w:szCs w:val="24"/>
          <w:lang w:eastAsia="en-US"/>
        </w:rPr>
        <w:t xml:space="preserve"> </w:t>
      </w:r>
      <w:r w:rsidR="00C20733">
        <w:rPr>
          <w:rFonts w:eastAsia="Calibri"/>
          <w:sz w:val="24"/>
          <w:szCs w:val="24"/>
          <w:lang w:eastAsia="en-US"/>
        </w:rPr>
        <w:t xml:space="preserve">jednotlivými </w:t>
      </w:r>
      <w:r w:rsidR="00C20733" w:rsidRPr="003E0D09">
        <w:rPr>
          <w:rFonts w:eastAsia="Calibri"/>
          <w:sz w:val="24"/>
          <w:szCs w:val="24"/>
          <w:lang w:eastAsia="en-US"/>
        </w:rPr>
        <w:t>prvky šroubovice</w:t>
      </w:r>
      <w:r w:rsidR="00C20733">
        <w:rPr>
          <w:rFonts w:eastAsia="Calibri"/>
          <w:sz w:val="24"/>
          <w:szCs w:val="24"/>
          <w:lang w:eastAsia="en-US"/>
        </w:rPr>
        <w:t xml:space="preserve">. </w:t>
      </w:r>
      <w:r w:rsidR="003E0D09" w:rsidRPr="003E0D09">
        <w:rPr>
          <w:rFonts w:eastAsia="Calibri"/>
          <w:sz w:val="24"/>
          <w:szCs w:val="24"/>
          <w:lang w:eastAsia="en-US"/>
        </w:rPr>
        <w:t>První z nich zobrazuje situaci, kdy jeden prvek (vláda) dominuje nad ostatními. Typické jsou však spíše následující modely, kde v prvním z nich jsou jednotlivé prvky samostatné a vztahy mezi nimi jsou obvykle dvoustranné a druhý z nich zobrazuje ideální trojstrannou spolupráci se vzájemn</w:t>
      </w:r>
      <w:r>
        <w:rPr>
          <w:rFonts w:eastAsia="Calibri"/>
          <w:sz w:val="24"/>
          <w:szCs w:val="24"/>
          <w:lang w:eastAsia="en-US"/>
        </w:rPr>
        <w:t xml:space="preserve">ým překrýváním činností. </w:t>
      </w:r>
      <w:proofErr w:type="gramStart"/>
      <w:r>
        <w:rPr>
          <w:rFonts w:eastAsia="Calibri"/>
          <w:sz w:val="24"/>
          <w:szCs w:val="24"/>
          <w:lang w:eastAsia="en-US"/>
        </w:rPr>
        <w:t>Triple</w:t>
      </w:r>
      <w:proofErr w:type="gramEnd"/>
      <w:r>
        <w:rPr>
          <w:rFonts w:eastAsia="Calibri"/>
          <w:sz w:val="24"/>
          <w:szCs w:val="24"/>
          <w:lang w:eastAsia="en-US"/>
        </w:rPr>
        <w:t xml:space="preserve"> </w:t>
      </w:r>
      <w:r w:rsidR="003E0D09" w:rsidRPr="003E0D09">
        <w:rPr>
          <w:rFonts w:eastAsia="Calibri"/>
          <w:sz w:val="24"/>
          <w:szCs w:val="24"/>
          <w:lang w:eastAsia="en-US"/>
        </w:rPr>
        <w:t xml:space="preserve">helix </w:t>
      </w:r>
      <w:r w:rsidR="00C20733">
        <w:rPr>
          <w:rFonts w:eastAsia="Calibri"/>
          <w:sz w:val="24"/>
          <w:szCs w:val="24"/>
          <w:lang w:eastAsia="en-US"/>
        </w:rPr>
        <w:t xml:space="preserve">je pak </w:t>
      </w:r>
      <w:r>
        <w:rPr>
          <w:rFonts w:eastAsia="Calibri"/>
          <w:sz w:val="24"/>
          <w:szCs w:val="24"/>
          <w:lang w:eastAsia="en-US"/>
        </w:rPr>
        <w:t xml:space="preserve">obecně </w:t>
      </w:r>
      <w:proofErr w:type="gramStart"/>
      <w:r w:rsidR="003E0D09" w:rsidRPr="003E0D09">
        <w:rPr>
          <w:rFonts w:eastAsia="Calibri"/>
          <w:sz w:val="24"/>
          <w:szCs w:val="24"/>
          <w:lang w:eastAsia="en-US"/>
        </w:rPr>
        <w:t>for</w:t>
      </w:r>
      <w:r>
        <w:rPr>
          <w:rFonts w:eastAsia="Calibri"/>
          <w:sz w:val="24"/>
          <w:szCs w:val="24"/>
          <w:lang w:eastAsia="en-US"/>
        </w:rPr>
        <w:t>mován</w:t>
      </w:r>
      <w:proofErr w:type="gramEnd"/>
      <w:r w:rsidR="000E4C07">
        <w:rPr>
          <w:rFonts w:eastAsia="Calibri"/>
          <w:sz w:val="24"/>
          <w:szCs w:val="24"/>
          <w:lang w:eastAsia="en-US"/>
        </w:rPr>
        <w:t xml:space="preserve"> </w:t>
      </w:r>
      <w:r w:rsidR="003E0D09" w:rsidRPr="003E0D09">
        <w:rPr>
          <w:rFonts w:eastAsia="Calibri"/>
          <w:sz w:val="24"/>
          <w:szCs w:val="24"/>
          <w:lang w:eastAsia="en-US"/>
        </w:rPr>
        <w:t xml:space="preserve">třemi kroky, kterými jsou (Etzkowitz, 2002): </w:t>
      </w:r>
    </w:p>
    <w:p w:rsidR="003E0D09" w:rsidRPr="003E0D09" w:rsidRDefault="003E0D09" w:rsidP="00423120">
      <w:pPr>
        <w:numPr>
          <w:ilvl w:val="0"/>
          <w:numId w:val="30"/>
        </w:numPr>
        <w:ind w:left="426"/>
        <w:contextualSpacing/>
        <w:jc w:val="both"/>
        <w:rPr>
          <w:rFonts w:eastAsia="Calibri"/>
          <w:sz w:val="24"/>
          <w:szCs w:val="24"/>
          <w:lang w:eastAsia="en-US"/>
        </w:rPr>
      </w:pPr>
      <w:r w:rsidRPr="003E0D09">
        <w:rPr>
          <w:rFonts w:eastAsia="Calibri"/>
          <w:sz w:val="24"/>
          <w:szCs w:val="24"/>
          <w:lang w:eastAsia="en-US"/>
        </w:rPr>
        <w:t>tvorba znalostního prostoru (knowledge space) – inovační prostředí, kde jednotliví aktéři zlepšují lokální podmínky pro inovace koncentrací na VaV aktivity,</w:t>
      </w:r>
    </w:p>
    <w:p w:rsidR="003E0D09" w:rsidRPr="003E0D09" w:rsidRDefault="003E0D09" w:rsidP="00423120">
      <w:pPr>
        <w:numPr>
          <w:ilvl w:val="0"/>
          <w:numId w:val="30"/>
        </w:numPr>
        <w:ind w:left="426"/>
        <w:contextualSpacing/>
        <w:jc w:val="both"/>
        <w:rPr>
          <w:rFonts w:eastAsia="Calibri"/>
          <w:sz w:val="24"/>
          <w:szCs w:val="24"/>
          <w:lang w:eastAsia="en-US"/>
        </w:rPr>
      </w:pPr>
      <w:r w:rsidRPr="003E0D09">
        <w:rPr>
          <w:rFonts w:eastAsia="Calibri"/>
          <w:sz w:val="24"/>
          <w:szCs w:val="24"/>
          <w:lang w:eastAsia="en-US"/>
        </w:rPr>
        <w:t xml:space="preserve">tvorba konsensu (consensus space) – tvorba </w:t>
      </w:r>
      <w:r w:rsidR="007F79BC">
        <w:rPr>
          <w:rFonts w:eastAsia="Calibri"/>
          <w:sz w:val="24"/>
          <w:szCs w:val="24"/>
          <w:lang w:eastAsia="en-US"/>
        </w:rPr>
        <w:t>vztahů vzájemné spolupráce mezi </w:t>
      </w:r>
      <w:r w:rsidRPr="003E0D09">
        <w:rPr>
          <w:rFonts w:eastAsia="Calibri"/>
          <w:sz w:val="24"/>
          <w:szCs w:val="24"/>
          <w:lang w:eastAsia="en-US"/>
        </w:rPr>
        <w:t>jednotlivými odvětvími/sektory</w:t>
      </w:r>
    </w:p>
    <w:p w:rsidR="003E0D09" w:rsidRPr="00A70B0A" w:rsidRDefault="003E0D09" w:rsidP="00423120">
      <w:pPr>
        <w:numPr>
          <w:ilvl w:val="0"/>
          <w:numId w:val="30"/>
        </w:numPr>
        <w:ind w:left="426"/>
        <w:contextualSpacing/>
        <w:jc w:val="both"/>
        <w:rPr>
          <w:rFonts w:eastAsia="Calibri"/>
          <w:sz w:val="24"/>
          <w:szCs w:val="24"/>
          <w:lang w:eastAsia="en-US"/>
        </w:rPr>
      </w:pPr>
      <w:r w:rsidRPr="003E0D09">
        <w:rPr>
          <w:rFonts w:eastAsia="Calibri"/>
          <w:sz w:val="24"/>
          <w:szCs w:val="24"/>
          <w:lang w:eastAsia="en-US"/>
        </w:rPr>
        <w:t>tvorba inovačního prostoru (innovation space) – důraz na realizaci cílů dohodnutých v rámci předchozích fází.</w:t>
      </w:r>
    </w:p>
    <w:p w:rsidR="003E0D09" w:rsidRPr="00A70B0A" w:rsidRDefault="003E0D09" w:rsidP="00A70B0A">
      <w:pPr>
        <w:pStyle w:val="02-Nadpis2"/>
      </w:pPr>
      <w:bookmarkStart w:id="133" w:name="_Toc382327213"/>
      <w:r w:rsidRPr="00A70B0A">
        <w:t>4.5. Ostatní rozvojově významné souvislosti</w:t>
      </w:r>
      <w:bookmarkEnd w:id="133"/>
      <w:r w:rsidRPr="00A70B0A">
        <w:t xml:space="preserve"> </w:t>
      </w:r>
    </w:p>
    <w:p w:rsidR="003E0D09" w:rsidRPr="003E0D09" w:rsidRDefault="003E0D09" w:rsidP="00423120">
      <w:pPr>
        <w:keepNext/>
        <w:suppressLineNumbers/>
        <w:ind w:firstLine="720"/>
        <w:jc w:val="both"/>
        <w:rPr>
          <w:color w:val="FF0000"/>
          <w:sz w:val="24"/>
          <w:szCs w:val="24"/>
        </w:rPr>
      </w:pPr>
      <w:r w:rsidRPr="003E0D09">
        <w:rPr>
          <w:sz w:val="24"/>
          <w:szCs w:val="24"/>
        </w:rPr>
        <w:t>Z hlediska dalších rozvojových souvislostí je v rámci regionálních integračních procesů účelné zmínit dopravní politiku České republiky a její vazby na politiku dopravy Evropské unie. Právě dopravní infrastruktura je jedním z významných integračních předpokladů pro rozvoj českých regionů a jejich napojení</w:t>
      </w:r>
      <w:r w:rsidR="007F79BC">
        <w:rPr>
          <w:sz w:val="24"/>
          <w:szCs w:val="24"/>
        </w:rPr>
        <w:t xml:space="preserve"> na zahraniční regiony nejen ze </w:t>
      </w:r>
      <w:r w:rsidRPr="003E0D09">
        <w:rPr>
          <w:sz w:val="24"/>
          <w:szCs w:val="24"/>
        </w:rPr>
        <w:t xml:space="preserve">sousedních států Evropské unie. V současné době je základním strategickým dokumentem „Dopravní politika </w:t>
      </w:r>
      <w:r w:rsidR="006D46B0">
        <w:rPr>
          <w:sz w:val="24"/>
          <w:szCs w:val="24"/>
        </w:rPr>
        <w:t>České republiky pro období 2014–</w:t>
      </w:r>
      <w:r w:rsidR="00FE017A">
        <w:rPr>
          <w:sz w:val="24"/>
          <w:szCs w:val="24"/>
        </w:rPr>
        <w:t>2020 s výhledem do roku 2050“</w:t>
      </w:r>
      <w:r w:rsidRPr="003E0D09">
        <w:rPr>
          <w:sz w:val="24"/>
          <w:szCs w:val="24"/>
        </w:rPr>
        <w:t xml:space="preserve"> schválená vládou v roce 2013 (tvorba této strategie probíhala paralelně s tvorbou sektorových strategií). Novým koncepčním rysem je zakomponování multimodálního</w:t>
      </w:r>
      <w:r w:rsidR="007F79BC">
        <w:rPr>
          <w:sz w:val="24"/>
          <w:szCs w:val="24"/>
        </w:rPr>
        <w:t xml:space="preserve"> přístupu při </w:t>
      </w:r>
      <w:r w:rsidRPr="003E0D09">
        <w:rPr>
          <w:sz w:val="24"/>
          <w:szCs w:val="24"/>
        </w:rPr>
        <w:t xml:space="preserve">vytváření rozvojových strategií jednotlivých dopravních modů (tedy doprava silniční, železniční, vodní/lodní a letecká). </w:t>
      </w:r>
      <w:r w:rsidRPr="00FE017A">
        <w:rPr>
          <w:color w:val="000000" w:themeColor="text1"/>
          <w:sz w:val="24"/>
          <w:szCs w:val="24"/>
        </w:rPr>
        <w:t>Tento multimodální přístup</w:t>
      </w:r>
      <w:r w:rsidR="00FE017A">
        <w:rPr>
          <w:color w:val="000000" w:themeColor="text1"/>
          <w:sz w:val="24"/>
          <w:szCs w:val="24"/>
        </w:rPr>
        <w:t>,</w:t>
      </w:r>
      <w:r w:rsidRPr="00FE017A">
        <w:rPr>
          <w:color w:val="000000" w:themeColor="text1"/>
          <w:sz w:val="24"/>
          <w:szCs w:val="24"/>
        </w:rPr>
        <w:t xml:space="preserve"> iniciovaný Evropskou unií v intencích potřebné integrace různých národních dopravních systémů do propojeného kompaktního celku v rámci celé Evropy (nejen EU)</w:t>
      </w:r>
      <w:r w:rsidR="00FE017A">
        <w:rPr>
          <w:color w:val="000000" w:themeColor="text1"/>
          <w:sz w:val="24"/>
          <w:szCs w:val="24"/>
        </w:rPr>
        <w:t>,</w:t>
      </w:r>
      <w:r w:rsidRPr="00FE017A">
        <w:rPr>
          <w:color w:val="000000" w:themeColor="text1"/>
          <w:sz w:val="24"/>
          <w:szCs w:val="24"/>
        </w:rPr>
        <w:t xml:space="preserve"> má za cíl optimalizaci využívání vzájemných kombinací dopravních modů s ohledem na geografické, technické, ekonomické, ale i environmentální aspekty celého systému.</w:t>
      </w:r>
      <w:r w:rsidRPr="003E0D09">
        <w:rPr>
          <w:sz w:val="24"/>
          <w:szCs w:val="24"/>
        </w:rPr>
        <w:t xml:space="preserve"> Dalším rysem je logicky i vytváření specifické </w:t>
      </w:r>
      <w:r w:rsidRPr="003E0D09">
        <w:rPr>
          <w:sz w:val="24"/>
          <w:szCs w:val="24"/>
        </w:rPr>
        <w:lastRenderedPageBreak/>
        <w:t>infrastruktury, která umožní vzájemnou kompatibilitu dopravních modů (např. využívání lodních kontejnerů, které lze co nejsnadněji přeložit na vlakovou soupravu či na nákladní automobil apod.). Dopravní politika Evropské unie má pro politiku dopravy v rámci České republiky klíčovou úlohu i z hlediska budoucích potenciálních finančních zdrojů potřebných pro rozvoj dopravní infrastruktury, protože základním finančním pilířem výstavby jsou zde samozřejmě prostředky z evropských strukturálních fondů. V rámci Evropské unie je základním konceptem rozvoje dopravy projekt TEN-T, tedy Trans-European Transport Network, který byl přijat v roce 1996. V první fázi projektu TEN-T byly vytvořeny sítě dopravních cest a dopravních uzlů, jejichž realizace či modernizace je základním předpokladem pro vytvoření panevropského dopravního systému. K nejvýraznější změně v rámci tohoto projektu došlo v roce 2010, kdy byla na základě rozhodnutí Evropského parlamentu a Rady Evropské unie o hlavních směrech rozvoje transevropské dopravní sítě aktualizována nejen páteřní infrastrukturní dopravní síť</w:t>
      </w:r>
      <w:r w:rsidR="007F79BC">
        <w:rPr>
          <w:sz w:val="24"/>
          <w:szCs w:val="24"/>
        </w:rPr>
        <w:t>, ale zároveň bylo rozhodnuto o </w:t>
      </w:r>
      <w:r w:rsidRPr="003E0D09">
        <w:rPr>
          <w:sz w:val="24"/>
          <w:szCs w:val="24"/>
        </w:rPr>
        <w:t>vytvoření seznamu celkem 30 prioritních projektů, které se promítají do základního finančního rámce.</w:t>
      </w:r>
    </w:p>
    <w:p w:rsidR="003E0D09" w:rsidRPr="003E0D09" w:rsidRDefault="003E0D09" w:rsidP="00423120">
      <w:pPr>
        <w:keepNext/>
        <w:ind w:firstLine="720"/>
        <w:jc w:val="both"/>
        <w:rPr>
          <w:sz w:val="24"/>
          <w:szCs w:val="24"/>
        </w:rPr>
      </w:pPr>
      <w:r w:rsidRPr="003E0D09">
        <w:rPr>
          <w:sz w:val="24"/>
          <w:szCs w:val="24"/>
        </w:rPr>
        <w:t>V oblasti letecké dopravy byly v rámci TEN-T v roce 2010 vymezeny původně tři stupně významnosti letišť, a to mezinárodní spojovací body, spojovací body Unie a regionální spojovací body či přístupové body. V České republice bylo do prvního</w:t>
      </w:r>
      <w:r w:rsidR="005862FC">
        <w:rPr>
          <w:sz w:val="24"/>
          <w:szCs w:val="24"/>
        </w:rPr>
        <w:t>,</w:t>
      </w:r>
      <w:r w:rsidRPr="003E0D09">
        <w:rPr>
          <w:sz w:val="24"/>
          <w:szCs w:val="24"/>
        </w:rPr>
        <w:t xml:space="preserve"> tj. nejvýznamnějšího stupně</w:t>
      </w:r>
      <w:r w:rsidR="005862FC">
        <w:rPr>
          <w:sz w:val="24"/>
          <w:szCs w:val="24"/>
        </w:rPr>
        <w:t>,</w:t>
      </w:r>
      <w:r w:rsidRPr="003E0D09">
        <w:rPr>
          <w:sz w:val="24"/>
          <w:szCs w:val="24"/>
        </w:rPr>
        <w:t xml:space="preserve"> zahrnuto letiště Václava Havla v Praze, do třetího stupně p</w:t>
      </w:r>
      <w:r w:rsidR="008C7D62">
        <w:rPr>
          <w:sz w:val="24"/>
          <w:szCs w:val="24"/>
        </w:rPr>
        <w:t>ak bylo zařazeno letiště Brno-Tuřany a Ostrava-</w:t>
      </w:r>
      <w:r w:rsidRPr="003E0D09">
        <w:rPr>
          <w:sz w:val="24"/>
          <w:szCs w:val="24"/>
        </w:rPr>
        <w:t>Mošnov. Na základě aktualizace politiky TEN-T byl pak v roce 2013 přijat odlišný pouze dvoustupňový jednotný systém členění významnosti dopravních uzlů</w:t>
      </w:r>
      <w:r w:rsidR="00FE017A">
        <w:rPr>
          <w:sz w:val="24"/>
          <w:szCs w:val="24"/>
        </w:rPr>
        <w:t>,</w:t>
      </w:r>
      <w:r w:rsidR="007F79BC">
        <w:rPr>
          <w:sz w:val="24"/>
          <w:szCs w:val="24"/>
        </w:rPr>
        <w:t xml:space="preserve"> a </w:t>
      </w:r>
      <w:r w:rsidRPr="003E0D09">
        <w:rPr>
          <w:sz w:val="24"/>
          <w:szCs w:val="24"/>
        </w:rPr>
        <w:t>to dopravní uzly jádrové a všeobecné (core and comprehensive) v kategoriích letiště, vnitrozemský přístav, přímořský přístav a silničně železničních terminálů (rail-road terminals – RRT). Obdobně bylo stanoveno odstupňování významnosti jednotlivých dopravních koridorů, které z pohledu České republiky zobrazuje následující mapa.</w:t>
      </w:r>
    </w:p>
    <w:p w:rsidR="003E0D09" w:rsidRPr="00FE017A" w:rsidRDefault="003E0D09" w:rsidP="00FE017A">
      <w:pPr>
        <w:keepNext/>
        <w:widowControl w:val="0"/>
        <w:spacing w:after="0"/>
        <w:jc w:val="center"/>
        <w:rPr>
          <w:sz w:val="24"/>
          <w:szCs w:val="24"/>
        </w:rPr>
      </w:pPr>
      <w:r w:rsidRPr="003E0D09">
        <w:rPr>
          <w:noProof/>
          <w:sz w:val="24"/>
          <w:szCs w:val="24"/>
          <w:lang w:val="en-GB" w:eastAsia="en-GB"/>
        </w:rPr>
        <w:drawing>
          <wp:inline distT="0" distB="0" distL="0" distR="0" wp14:anchorId="66BBD75D" wp14:editId="4F4209DD">
            <wp:extent cx="5721350" cy="2492375"/>
            <wp:effectExtent l="0" t="0" r="0" b="3175"/>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73">
                      <a:extLst>
                        <a:ext uri="{28A0092B-C50C-407E-A947-70E740481C1C}">
                          <a14:useLocalDpi xmlns:a14="http://schemas.microsoft.com/office/drawing/2010/main" val="0"/>
                        </a:ext>
                      </a:extLst>
                    </a:blip>
                    <a:srcRect l="23103" t="14590" r="1720" b="30057"/>
                    <a:stretch>
                      <a:fillRect/>
                    </a:stretch>
                  </pic:blipFill>
                  <pic:spPr bwMode="auto">
                    <a:xfrm>
                      <a:off x="0" y="0"/>
                      <a:ext cx="5721350" cy="2492375"/>
                    </a:xfrm>
                    <a:prstGeom prst="rect">
                      <a:avLst/>
                    </a:prstGeom>
                    <a:noFill/>
                    <a:ln>
                      <a:noFill/>
                    </a:ln>
                  </pic:spPr>
                </pic:pic>
              </a:graphicData>
            </a:graphic>
          </wp:inline>
        </w:drawing>
      </w:r>
      <w:r w:rsidRPr="00E808B4">
        <w:rPr>
          <w:rStyle w:val="0G-TitulekChar"/>
        </w:rPr>
        <w:t>Obrázek</w:t>
      </w:r>
      <w:r w:rsidR="00E808B4" w:rsidRPr="00E808B4">
        <w:rPr>
          <w:rStyle w:val="0G-TitulekChar"/>
        </w:rPr>
        <w:t xml:space="preserve"> 26</w:t>
      </w:r>
      <w:r w:rsidRPr="00E808B4">
        <w:rPr>
          <w:rStyle w:val="0G-TitulekChar"/>
        </w:rPr>
        <w:t>: Mapa železničních a silničních koridorů v rámci TEN-T v České republice</w:t>
      </w:r>
    </w:p>
    <w:p w:rsidR="003E0D09" w:rsidRPr="00E048D8" w:rsidRDefault="003E0D09" w:rsidP="00423120">
      <w:pPr>
        <w:keepNext/>
        <w:jc w:val="center"/>
        <w:rPr>
          <w:i/>
        </w:rPr>
      </w:pPr>
      <w:r w:rsidRPr="00E048D8">
        <w:rPr>
          <w:i/>
        </w:rPr>
        <w:t>Pramen: Revision of TEN-T guideline ,2013, Anex I, vol. 14 a vol. 15.</w:t>
      </w:r>
    </w:p>
    <w:p w:rsidR="003E0D09" w:rsidRPr="003E0D09" w:rsidRDefault="003E0D09" w:rsidP="00423120">
      <w:pPr>
        <w:keepNext/>
        <w:ind w:firstLine="720"/>
        <w:jc w:val="both"/>
        <w:rPr>
          <w:sz w:val="24"/>
          <w:szCs w:val="24"/>
        </w:rPr>
      </w:pPr>
      <w:r w:rsidRPr="003E0D09">
        <w:rPr>
          <w:sz w:val="24"/>
          <w:szCs w:val="24"/>
        </w:rPr>
        <w:t xml:space="preserve">Aktualizace přinesla určité změny v postavení jednotlivých dopravních uzlů i v České republice. Z pohledu letecké dopravy byla zachována pozice Prahy jako jádrového uzlu, nicméně na tuto úroveň byla také posílena pozice letiště Ostrava-Mošnov. Jako letištní uzel </w:t>
      </w:r>
      <w:r w:rsidRPr="003E0D09">
        <w:rPr>
          <w:sz w:val="24"/>
          <w:szCs w:val="24"/>
        </w:rPr>
        <w:lastRenderedPageBreak/>
        <w:t>všeobecného charakter</w:t>
      </w:r>
      <w:r w:rsidR="000869DE">
        <w:rPr>
          <w:sz w:val="24"/>
          <w:szCs w:val="24"/>
        </w:rPr>
        <w:t>u</w:t>
      </w:r>
      <w:r w:rsidRPr="003E0D09">
        <w:rPr>
          <w:sz w:val="24"/>
          <w:szCs w:val="24"/>
        </w:rPr>
        <w:t xml:space="preserve"> bylo zařazeno letiště Brno-Tuřany. V oblasti vnitrozemské vodní dopravy pak byly jako jádrové uzly stanoveny následující přístavy: Děčín, Mělník, Pardubice, Praha a jako uzly všeobecného významu Lovosice a Ústí nad Labem. Z hlediska silničně-železničních terminálů byly do jádrové soustavy zařazeny uzly Děčín, Mělník, Ostrava, Pardubice, Plzeň, Praha a Přerov a do soustavy všeobecného významu potom Brno, Lovosice a Ústí nad Labem. Nejvýznamnějším dopravním uzlem intermodálního charakteru v České republice (a také jediného zahrnující všechny tři využívané dopravní mody) je tedy logicky Praha. </w:t>
      </w:r>
    </w:p>
    <w:p w:rsidR="003E0D09" w:rsidRPr="003E0D09" w:rsidRDefault="003E0D09" w:rsidP="00423120">
      <w:pPr>
        <w:keepNext/>
        <w:ind w:firstLine="720"/>
        <w:jc w:val="both"/>
        <w:rPr>
          <w:color w:val="0070C0"/>
          <w:sz w:val="24"/>
          <w:szCs w:val="24"/>
        </w:rPr>
      </w:pPr>
      <w:r w:rsidRPr="003E0D09">
        <w:rPr>
          <w:sz w:val="24"/>
          <w:szCs w:val="24"/>
        </w:rPr>
        <w:t>Z hlediska pozemních dopravních koridorů byly do jádrového systému silniční dopravy zahrnuty nejvýznamnější expresní komunikace:</w:t>
      </w:r>
      <w:r w:rsidR="007F79BC">
        <w:rPr>
          <w:sz w:val="24"/>
          <w:szCs w:val="24"/>
        </w:rPr>
        <w:t xml:space="preserve"> D1, D2, D8, D5, D11/R11, R49 a </w:t>
      </w:r>
      <w:r w:rsidRPr="003E0D09">
        <w:rPr>
          <w:sz w:val="24"/>
          <w:szCs w:val="24"/>
        </w:rPr>
        <w:t>R52. Mezi silniční koridory všeobecného významu pak byly zahrnuty následující komunikace: D3, R6, R10, R35, R43, R48 a R55. V oblast</w:t>
      </w:r>
      <w:r w:rsidR="007F79BC">
        <w:rPr>
          <w:sz w:val="24"/>
          <w:szCs w:val="24"/>
        </w:rPr>
        <w:t>i železničních koridorů byly do </w:t>
      </w:r>
      <w:r w:rsidRPr="003E0D09">
        <w:rPr>
          <w:sz w:val="24"/>
          <w:szCs w:val="24"/>
        </w:rPr>
        <w:t>jádrového systému zařazeny následující kori</w:t>
      </w:r>
      <w:r w:rsidR="006D46B0">
        <w:rPr>
          <w:sz w:val="24"/>
          <w:szCs w:val="24"/>
        </w:rPr>
        <w:t xml:space="preserve">dory: koridor I (E61, </w:t>
      </w:r>
      <w:proofErr w:type="gramStart"/>
      <w:r w:rsidR="006D46B0">
        <w:rPr>
          <w:sz w:val="24"/>
          <w:szCs w:val="24"/>
        </w:rPr>
        <w:t>Děčín</w:t>
      </w:r>
      <w:proofErr w:type="gramEnd"/>
      <w:r w:rsidR="006D46B0">
        <w:rPr>
          <w:sz w:val="24"/>
          <w:szCs w:val="24"/>
        </w:rPr>
        <w:t>–</w:t>
      </w:r>
      <w:proofErr w:type="gramStart"/>
      <w:r w:rsidRPr="003E0D09">
        <w:rPr>
          <w:sz w:val="24"/>
          <w:szCs w:val="24"/>
        </w:rPr>
        <w:t>Ústí</w:t>
      </w:r>
      <w:proofErr w:type="gramEnd"/>
      <w:r w:rsidRPr="003E0D09">
        <w:rPr>
          <w:sz w:val="24"/>
          <w:szCs w:val="24"/>
        </w:rPr>
        <w:t xml:space="preserve"> </w:t>
      </w:r>
      <w:r w:rsidR="006D46B0">
        <w:rPr>
          <w:sz w:val="24"/>
          <w:szCs w:val="24"/>
        </w:rPr>
        <w:t>nad Labem–Praha–Pardubice–Česká Třebová–Brno–Břeclav–</w:t>
      </w:r>
      <w:r w:rsidRPr="003E0D09">
        <w:rPr>
          <w:sz w:val="24"/>
          <w:szCs w:val="24"/>
        </w:rPr>
        <w:t>Lanžhot</w:t>
      </w:r>
      <w:r w:rsidR="007F79BC">
        <w:rPr>
          <w:sz w:val="24"/>
          <w:szCs w:val="24"/>
        </w:rPr>
        <w:t>, navazující na jedné straně na </w:t>
      </w:r>
      <w:r w:rsidRPr="003E0D09">
        <w:rPr>
          <w:sz w:val="24"/>
          <w:szCs w:val="24"/>
        </w:rPr>
        <w:t>Berlin a na druhé straně na Bratislavu a Budapest)</w:t>
      </w:r>
      <w:r w:rsidR="000869DE">
        <w:rPr>
          <w:sz w:val="24"/>
          <w:szCs w:val="24"/>
        </w:rPr>
        <w:t>,</w:t>
      </w:r>
      <w:r w:rsidR="006D46B0">
        <w:rPr>
          <w:sz w:val="24"/>
          <w:szCs w:val="24"/>
        </w:rPr>
        <w:t xml:space="preserve"> koridor II (E65, Ostrava–Přerov–Brno–Břeclav–</w:t>
      </w:r>
      <w:r w:rsidRPr="003E0D09">
        <w:rPr>
          <w:sz w:val="24"/>
          <w:szCs w:val="24"/>
        </w:rPr>
        <w:t>Lanžhot s odbočkou na Olomouc a Českou Třebovou, navazující na</w:t>
      </w:r>
      <w:r w:rsidR="006D46B0">
        <w:rPr>
          <w:sz w:val="24"/>
          <w:szCs w:val="24"/>
        </w:rPr>
        <w:t xml:space="preserve"> jedné straně na trasu Gdańsk–</w:t>
      </w:r>
      <w:r w:rsidRPr="003E0D09">
        <w:rPr>
          <w:sz w:val="24"/>
          <w:szCs w:val="24"/>
        </w:rPr>
        <w:t xml:space="preserve">Katowice a </w:t>
      </w:r>
      <w:r w:rsidR="006D46B0">
        <w:rPr>
          <w:sz w:val="24"/>
          <w:szCs w:val="24"/>
        </w:rPr>
        <w:t>na druhé straně na trasu Wien–Ljubljana–</w:t>
      </w:r>
      <w:r w:rsidRPr="003E0D09">
        <w:rPr>
          <w:sz w:val="24"/>
          <w:szCs w:val="24"/>
        </w:rPr>
        <w:t>Rij</w:t>
      </w:r>
      <w:r w:rsidR="006D46B0">
        <w:rPr>
          <w:sz w:val="24"/>
          <w:szCs w:val="24"/>
        </w:rPr>
        <w:t>eka) a koridor III (E40, Cheb–Plzeň–Praha–Pardubice–Česká Třebová–Olomouc–Ostrava–</w:t>
      </w:r>
      <w:r w:rsidRPr="003E0D09">
        <w:rPr>
          <w:sz w:val="24"/>
          <w:szCs w:val="24"/>
        </w:rPr>
        <w:t>Český Těšín, s odbočkou na Domažlice a Regensburg, navazující na j</w:t>
      </w:r>
      <w:r w:rsidR="006D46B0">
        <w:rPr>
          <w:sz w:val="24"/>
          <w:szCs w:val="24"/>
        </w:rPr>
        <w:t>edné straně na tr</w:t>
      </w:r>
      <w:r w:rsidR="007F79BC">
        <w:rPr>
          <w:sz w:val="24"/>
          <w:szCs w:val="24"/>
        </w:rPr>
        <w:t>asu Le Havre–Paris–Frankfurt am </w:t>
      </w:r>
      <w:r w:rsidR="006D46B0">
        <w:rPr>
          <w:sz w:val="24"/>
          <w:szCs w:val="24"/>
        </w:rPr>
        <w:t>Main–</w:t>
      </w:r>
      <w:r w:rsidRPr="003E0D09">
        <w:rPr>
          <w:sz w:val="24"/>
          <w:szCs w:val="24"/>
        </w:rPr>
        <w:t>Nürnberg a na druhé straně na trasy na Bielsko-Biału a Žilinu). Do železničních koridorů v</w:t>
      </w:r>
      <w:r w:rsidR="00DA616A">
        <w:rPr>
          <w:sz w:val="24"/>
          <w:szCs w:val="24"/>
        </w:rPr>
        <w:t xml:space="preserve">šeobecného významu pak byly </w:t>
      </w:r>
      <w:r w:rsidRPr="003E0D09">
        <w:rPr>
          <w:sz w:val="24"/>
          <w:szCs w:val="24"/>
        </w:rPr>
        <w:t>zahrnuty: koridor IV (E55/E5</w:t>
      </w:r>
      <w:r w:rsidR="00923F83">
        <w:rPr>
          <w:sz w:val="24"/>
          <w:szCs w:val="24"/>
        </w:rPr>
        <w:t xml:space="preserve">51, </w:t>
      </w:r>
      <w:proofErr w:type="gramStart"/>
      <w:r w:rsidR="00923F83">
        <w:rPr>
          <w:sz w:val="24"/>
          <w:szCs w:val="24"/>
        </w:rPr>
        <w:t>Praha</w:t>
      </w:r>
      <w:proofErr w:type="gramEnd"/>
      <w:r w:rsidR="00923F83">
        <w:rPr>
          <w:sz w:val="24"/>
          <w:szCs w:val="24"/>
        </w:rPr>
        <w:t>–</w:t>
      </w:r>
      <w:proofErr w:type="gramStart"/>
      <w:r w:rsidR="00923F83">
        <w:rPr>
          <w:sz w:val="24"/>
          <w:szCs w:val="24"/>
        </w:rPr>
        <w:t>České</w:t>
      </w:r>
      <w:proofErr w:type="gramEnd"/>
      <w:r w:rsidR="00923F83">
        <w:rPr>
          <w:sz w:val="24"/>
          <w:szCs w:val="24"/>
        </w:rPr>
        <w:t xml:space="preserve"> Budějovice–Linz), dále spojení Děčín–Karlovy Vary–Cheb, spojení Praha–</w:t>
      </w:r>
      <w:r w:rsidRPr="003E0D09">
        <w:rPr>
          <w:sz w:val="24"/>
          <w:szCs w:val="24"/>
        </w:rPr>
        <w:t>Brno přes Jihlavu, spojení Přerova a Břeclavi přes Hodonín, napojení od Če</w:t>
      </w:r>
      <w:r w:rsidR="007F79BC">
        <w:rPr>
          <w:sz w:val="24"/>
          <w:szCs w:val="24"/>
        </w:rPr>
        <w:t>ské Třebové směrem na Wrocław a </w:t>
      </w:r>
      <w:r w:rsidRPr="003E0D09">
        <w:rPr>
          <w:sz w:val="24"/>
          <w:szCs w:val="24"/>
        </w:rPr>
        <w:t>napojení Přerova směrem na Trenčín a Žilinu. Speciální kategorií z hlediska železniční dopravy jsou pak koridory vysokorychlostní železnice, z nichž do jádrové soustavy byly v České r</w:t>
      </w:r>
      <w:r w:rsidR="00923F83">
        <w:rPr>
          <w:sz w:val="24"/>
          <w:szCs w:val="24"/>
        </w:rPr>
        <w:t xml:space="preserve">epublice zařazeny úseky </w:t>
      </w:r>
      <w:proofErr w:type="gramStart"/>
      <w:r w:rsidR="00923F83">
        <w:rPr>
          <w:sz w:val="24"/>
          <w:szCs w:val="24"/>
        </w:rPr>
        <w:t>Děčín</w:t>
      </w:r>
      <w:proofErr w:type="gramEnd"/>
      <w:r w:rsidR="00923F83">
        <w:rPr>
          <w:sz w:val="24"/>
          <w:szCs w:val="24"/>
        </w:rPr>
        <w:t>–</w:t>
      </w:r>
      <w:proofErr w:type="gramStart"/>
      <w:r w:rsidR="00923F83">
        <w:rPr>
          <w:sz w:val="24"/>
          <w:szCs w:val="24"/>
        </w:rPr>
        <w:t>Praha</w:t>
      </w:r>
      <w:proofErr w:type="gramEnd"/>
      <w:r w:rsidR="00923F83">
        <w:rPr>
          <w:sz w:val="24"/>
          <w:szCs w:val="24"/>
        </w:rPr>
        <w:t>, a dále úsek Břeclav–Brno–</w:t>
      </w:r>
      <w:r w:rsidRPr="003E0D09">
        <w:rPr>
          <w:sz w:val="24"/>
          <w:szCs w:val="24"/>
        </w:rPr>
        <w:t xml:space="preserve">Přerov. Do sítě všeobecného významu byl zařazen i úsek </w:t>
      </w:r>
      <w:proofErr w:type="gramStart"/>
      <w:r w:rsidRPr="003E0D09">
        <w:rPr>
          <w:sz w:val="24"/>
          <w:szCs w:val="24"/>
        </w:rPr>
        <w:t>Přer</w:t>
      </w:r>
      <w:r w:rsidR="00923F83">
        <w:rPr>
          <w:sz w:val="24"/>
          <w:szCs w:val="24"/>
        </w:rPr>
        <w:t>ov</w:t>
      </w:r>
      <w:proofErr w:type="gramEnd"/>
      <w:r w:rsidR="00923F83">
        <w:rPr>
          <w:sz w:val="24"/>
          <w:szCs w:val="24"/>
        </w:rPr>
        <w:t>–</w:t>
      </w:r>
      <w:proofErr w:type="gramStart"/>
      <w:r w:rsidRPr="003E0D09">
        <w:rPr>
          <w:sz w:val="24"/>
          <w:szCs w:val="24"/>
        </w:rPr>
        <w:t>Ostrava</w:t>
      </w:r>
      <w:proofErr w:type="gramEnd"/>
      <w:r w:rsidR="007F79BC">
        <w:rPr>
          <w:sz w:val="24"/>
          <w:szCs w:val="24"/>
        </w:rPr>
        <w:t>, napojení Prahy na Vratislav a </w:t>
      </w:r>
      <w:r w:rsidRPr="003E0D09">
        <w:rPr>
          <w:sz w:val="24"/>
          <w:szCs w:val="24"/>
        </w:rPr>
        <w:t>spojení Prahy a Brna přes Jihlavu. Z vodních koridorů byly do jádrové soustav</w:t>
      </w:r>
      <w:r w:rsidR="00923F83">
        <w:rPr>
          <w:sz w:val="24"/>
          <w:szCs w:val="24"/>
        </w:rPr>
        <w:t xml:space="preserve">y zařazeny Labe v úseku </w:t>
      </w:r>
      <w:proofErr w:type="gramStart"/>
      <w:r w:rsidR="00923F83">
        <w:rPr>
          <w:sz w:val="24"/>
          <w:szCs w:val="24"/>
        </w:rPr>
        <w:t>Děčín</w:t>
      </w:r>
      <w:proofErr w:type="gramEnd"/>
      <w:r w:rsidR="00923F83">
        <w:rPr>
          <w:sz w:val="24"/>
          <w:szCs w:val="24"/>
        </w:rPr>
        <w:t>–</w:t>
      </w:r>
      <w:proofErr w:type="gramStart"/>
      <w:r w:rsidRPr="003E0D09">
        <w:rPr>
          <w:sz w:val="24"/>
          <w:szCs w:val="24"/>
        </w:rPr>
        <w:t>Pard</w:t>
      </w:r>
      <w:r w:rsidR="00923F83">
        <w:rPr>
          <w:sz w:val="24"/>
          <w:szCs w:val="24"/>
        </w:rPr>
        <w:t>ubice</w:t>
      </w:r>
      <w:proofErr w:type="gramEnd"/>
      <w:r w:rsidR="00923F83">
        <w:rPr>
          <w:sz w:val="24"/>
          <w:szCs w:val="24"/>
        </w:rPr>
        <w:t xml:space="preserve"> a Vltava v úseku Mělník–</w:t>
      </w:r>
      <w:r w:rsidRPr="003E0D09">
        <w:rPr>
          <w:sz w:val="24"/>
          <w:szCs w:val="24"/>
        </w:rPr>
        <w:t>Praha. Poslední důležitou skutečností v rámci projektu TEN-T je zařazení dvou projektů týkajících se území České republiky do třiceti nejvýznamnějších prioritních projektů v rámci celého systému TEN-T. Jde o projekty v železniční dopravě,</w:t>
      </w:r>
      <w:r w:rsidR="00923F83">
        <w:rPr>
          <w:sz w:val="24"/>
          <w:szCs w:val="24"/>
        </w:rPr>
        <w:t xml:space="preserve"> a sice projekt č. 22 (</w:t>
      </w:r>
      <w:proofErr w:type="gramStart"/>
      <w:r w:rsidR="00923F83">
        <w:rPr>
          <w:sz w:val="24"/>
          <w:szCs w:val="24"/>
        </w:rPr>
        <w:t>Athény</w:t>
      </w:r>
      <w:proofErr w:type="gramEnd"/>
      <w:r w:rsidR="00923F83">
        <w:rPr>
          <w:sz w:val="24"/>
          <w:szCs w:val="24"/>
        </w:rPr>
        <w:t>–</w:t>
      </w:r>
      <w:proofErr w:type="gramStart"/>
      <w:r w:rsidR="00923F83">
        <w:rPr>
          <w:sz w:val="24"/>
          <w:szCs w:val="24"/>
        </w:rPr>
        <w:t>Sofia</w:t>
      </w:r>
      <w:proofErr w:type="gramEnd"/>
      <w:r w:rsidR="00923F83">
        <w:rPr>
          <w:sz w:val="24"/>
          <w:szCs w:val="24"/>
        </w:rPr>
        <w:t>–Budapest–Wien– Praha–</w:t>
      </w:r>
      <w:r w:rsidRPr="003E0D09">
        <w:rPr>
          <w:sz w:val="24"/>
          <w:szCs w:val="24"/>
        </w:rPr>
        <w:t>Nürnberg/Dresden – korespondující s vybranými částmi koridorů I a III) a projekt č. 23</w:t>
      </w:r>
      <w:hyperlink r:id="rId74" w:tooltip="Priority Project 23" w:history="1">
        <w:r w:rsidR="00923F83">
          <w:rPr>
            <w:rFonts w:eastAsiaTheme="majorEastAsia"/>
            <w:sz w:val="24"/>
            <w:szCs w:val="24"/>
          </w:rPr>
          <w:t xml:space="preserve"> (Gdańsk–</w:t>
        </w:r>
        <w:r w:rsidRPr="003E0D09">
          <w:rPr>
            <w:rFonts w:eastAsiaTheme="majorEastAsia"/>
            <w:sz w:val="24"/>
            <w:szCs w:val="24"/>
          </w:rPr>
          <w:t>Warszawa</w:t>
        </w:r>
        <w:r w:rsidR="00923F83">
          <w:rPr>
            <w:sz w:val="24"/>
            <w:szCs w:val="24"/>
          </w:rPr>
          <w:t>–</w:t>
        </w:r>
        <w:r w:rsidR="00923F83">
          <w:rPr>
            <w:rFonts w:eastAsiaTheme="majorEastAsia"/>
            <w:sz w:val="24"/>
            <w:szCs w:val="24"/>
          </w:rPr>
          <w:t>Brno/Bratislava–Wien, korespondující s </w:t>
        </w:r>
      </w:hyperlink>
      <w:r w:rsidR="00923F83">
        <w:rPr>
          <w:sz w:val="24"/>
          <w:szCs w:val="24"/>
        </w:rPr>
        <w:t xml:space="preserve">koridorem </w:t>
      </w:r>
      <w:r w:rsidRPr="003E0D09">
        <w:rPr>
          <w:sz w:val="24"/>
          <w:szCs w:val="24"/>
        </w:rPr>
        <w:t>II).</w:t>
      </w:r>
    </w:p>
    <w:p w:rsidR="003E0D09" w:rsidRPr="00A70B0A" w:rsidRDefault="003E0D09" w:rsidP="00A70B0A">
      <w:pPr>
        <w:pStyle w:val="02-Nadpis2"/>
      </w:pPr>
      <w:bookmarkStart w:id="134" w:name="_Toc382327214"/>
      <w:r w:rsidRPr="00A70B0A">
        <w:t>4.6. Praktické příklady</w:t>
      </w:r>
      <w:bookmarkEnd w:id="134"/>
    </w:p>
    <w:p w:rsidR="003E0D09" w:rsidRPr="00A70B0A" w:rsidRDefault="003E0D09" w:rsidP="00F172A0">
      <w:pPr>
        <w:pStyle w:val="03-Nadpis3"/>
      </w:pPr>
      <w:bookmarkStart w:id="135" w:name="_Toc382327215"/>
      <w:r w:rsidRPr="00A70B0A">
        <w:t>4.6.1. Hodno</w:t>
      </w:r>
      <w:r w:rsidR="002C38F8" w:rsidRPr="00A70B0A">
        <w:t>cení konkurenceschopnosti regionů</w:t>
      </w:r>
      <w:bookmarkEnd w:id="135"/>
    </w:p>
    <w:p w:rsidR="002C38F8" w:rsidRPr="006D5068" w:rsidRDefault="002C38F8" w:rsidP="002C38F8">
      <w:pPr>
        <w:keepNext/>
        <w:suppressLineNumbers/>
        <w:ind w:firstLine="720"/>
        <w:jc w:val="both"/>
        <w:rPr>
          <w:rFonts w:eastAsia="Calibri"/>
          <w:sz w:val="24"/>
          <w:szCs w:val="24"/>
        </w:rPr>
      </w:pPr>
      <w:r w:rsidRPr="006D5068">
        <w:rPr>
          <w:rFonts w:eastAsia="Calibri"/>
          <w:sz w:val="24"/>
          <w:szCs w:val="24"/>
        </w:rPr>
        <w:t xml:space="preserve">Konkurenceschopnost je nejčastěji měřena pomocí kompozitního indexu, jehož předností je, že pomocí jediného číselného výsledku sumarizuje údaje za několik vybraných ukazatelů. Hojně využívaný je zejména britský Hugginsův index. Při jeho konstrukci je však nutné dbát na správný výběr ukazatelů a jejich váhy. V dalším textu jsou představena čtyři hodnocení, která posuzují konkurenceschopnost regionů v rámci jednoho státu. </w:t>
      </w:r>
    </w:p>
    <w:p w:rsidR="002C38F8" w:rsidRPr="006D5068" w:rsidRDefault="002C38F8" w:rsidP="002C38F8">
      <w:pPr>
        <w:keepNext/>
        <w:suppressLineNumbers/>
        <w:rPr>
          <w:rFonts w:eastAsia="Calibri"/>
          <w:b/>
          <w:sz w:val="24"/>
          <w:szCs w:val="24"/>
        </w:rPr>
      </w:pPr>
      <w:r w:rsidRPr="006D5068">
        <w:rPr>
          <w:rFonts w:eastAsia="Calibri"/>
          <w:b/>
          <w:sz w:val="24"/>
          <w:szCs w:val="24"/>
        </w:rPr>
        <w:lastRenderedPageBreak/>
        <w:t>Index konkurenceschopnosti regionů Velké Británie (UK)</w:t>
      </w:r>
    </w:p>
    <w:p w:rsidR="0054376F" w:rsidRPr="00A25937" w:rsidRDefault="002C38F8" w:rsidP="00E23CFF">
      <w:pPr>
        <w:keepNext/>
        <w:suppressLineNumbers/>
        <w:spacing w:after="120"/>
        <w:ind w:firstLine="720"/>
        <w:jc w:val="both"/>
        <w:rPr>
          <w:rFonts w:eastAsia="Calibri"/>
          <w:color w:val="FF0000"/>
          <w:sz w:val="24"/>
          <w:szCs w:val="24"/>
        </w:rPr>
      </w:pPr>
      <w:r w:rsidRPr="006D5068">
        <w:rPr>
          <w:rFonts w:eastAsia="Calibri"/>
          <w:sz w:val="24"/>
          <w:szCs w:val="24"/>
        </w:rPr>
        <w:t>Index konkurenceschopnosti Velké Británie (UK Com</w:t>
      </w:r>
      <w:r w:rsidR="007F79BC">
        <w:rPr>
          <w:rFonts w:eastAsia="Calibri"/>
          <w:sz w:val="24"/>
          <w:szCs w:val="24"/>
        </w:rPr>
        <w:t>petitiveness Index, UKCI) je od </w:t>
      </w:r>
      <w:r w:rsidRPr="006D5068">
        <w:rPr>
          <w:rFonts w:eastAsia="Calibri"/>
          <w:sz w:val="24"/>
          <w:szCs w:val="24"/>
        </w:rPr>
        <w:t xml:space="preserve">roku 2000 publikován v několikaletých intervalech Centrem pro mezinárodní konkurenceschopnost na univerzitě v Cardiffu. Poslední hodnocení byla provedena v roce 2010 a 2013 (Huggins, Thompson, 2010 a 2013). Zatímco </w:t>
      </w:r>
      <w:proofErr w:type="gramStart"/>
      <w:r w:rsidR="00423BD6">
        <w:rPr>
          <w:rFonts w:eastAsia="Calibri"/>
          <w:sz w:val="24"/>
          <w:szCs w:val="24"/>
        </w:rPr>
        <w:t xml:space="preserve">indexy </w:t>
      </w:r>
      <w:r w:rsidRPr="006D5068">
        <w:rPr>
          <w:rFonts w:eastAsia="Calibri"/>
          <w:sz w:val="24"/>
          <w:szCs w:val="24"/>
        </w:rPr>
        <w:t xml:space="preserve"> z roku</w:t>
      </w:r>
      <w:proofErr w:type="gramEnd"/>
      <w:r w:rsidRPr="006D5068">
        <w:rPr>
          <w:rFonts w:eastAsia="Calibri"/>
          <w:sz w:val="24"/>
          <w:szCs w:val="24"/>
        </w:rPr>
        <w:t xml:space="preserve"> 2010 v sobě zahrnuj</w:t>
      </w:r>
      <w:r w:rsidR="00423BD6">
        <w:rPr>
          <w:rFonts w:eastAsia="Calibri"/>
          <w:sz w:val="24"/>
          <w:szCs w:val="24"/>
        </w:rPr>
        <w:t>í</w:t>
      </w:r>
      <w:r w:rsidRPr="006D5068">
        <w:rPr>
          <w:rFonts w:eastAsia="Calibri"/>
          <w:sz w:val="24"/>
          <w:szCs w:val="24"/>
        </w:rPr>
        <w:t xml:space="preserve"> 12 regionů úrovně NUTS 1 a 379 lokalit, </w:t>
      </w:r>
      <w:r w:rsidR="00423BD6">
        <w:rPr>
          <w:rFonts w:eastAsia="Calibri"/>
          <w:sz w:val="24"/>
          <w:szCs w:val="24"/>
        </w:rPr>
        <w:t>index</w:t>
      </w:r>
      <w:r w:rsidR="00AE7EC3">
        <w:rPr>
          <w:rFonts w:eastAsia="Calibri"/>
          <w:sz w:val="24"/>
          <w:szCs w:val="24"/>
        </w:rPr>
        <w:t>y</w:t>
      </w:r>
      <w:r w:rsidRPr="006D5068">
        <w:rPr>
          <w:rFonts w:eastAsia="Calibri"/>
          <w:sz w:val="24"/>
          <w:szCs w:val="24"/>
        </w:rPr>
        <w:t xml:space="preserve"> z roku 2013 se zaměřuj</w:t>
      </w:r>
      <w:r w:rsidR="00423BD6">
        <w:rPr>
          <w:rFonts w:eastAsia="Calibri"/>
          <w:sz w:val="24"/>
          <w:szCs w:val="24"/>
        </w:rPr>
        <w:t>í</w:t>
      </w:r>
      <w:r w:rsidR="007F79BC">
        <w:rPr>
          <w:rFonts w:eastAsia="Calibri"/>
          <w:sz w:val="24"/>
          <w:szCs w:val="24"/>
        </w:rPr>
        <w:t xml:space="preserve"> pouze na </w:t>
      </w:r>
      <w:r w:rsidRPr="006D5068">
        <w:rPr>
          <w:rFonts w:eastAsia="Calibri"/>
          <w:sz w:val="24"/>
          <w:szCs w:val="24"/>
        </w:rPr>
        <w:t xml:space="preserve">oněch 379 lokalit a hodnocení regionů bude samostatně publikováno později </w:t>
      </w:r>
      <w:r w:rsidRPr="006D5068">
        <w:rPr>
          <w:rFonts w:eastAsia="Calibri"/>
          <w:sz w:val="24"/>
          <w:szCs w:val="24"/>
          <w:vertAlign w:val="superscript"/>
        </w:rPr>
        <w:footnoteReference w:id="35"/>
      </w:r>
      <w:r w:rsidRPr="006D5068">
        <w:rPr>
          <w:rFonts w:eastAsia="Calibri"/>
          <w:sz w:val="24"/>
          <w:szCs w:val="24"/>
        </w:rPr>
        <w:t>. Hodnocení lokalit věnuje zvláštní pozornost konkurenceschopnosti větších měst a v roce 2013 rovněž tzv. oblastem lokálního partnerství podniků na území Anglie (</w:t>
      </w:r>
      <w:r w:rsidR="007F79BC">
        <w:rPr>
          <w:rFonts w:eastAsia="Calibri"/>
          <w:sz w:val="24"/>
          <w:szCs w:val="24"/>
        </w:rPr>
        <w:t>39 umělých oblastí založených s </w:t>
      </w:r>
      <w:r w:rsidRPr="006D5068">
        <w:rPr>
          <w:rFonts w:eastAsia="Calibri"/>
          <w:sz w:val="24"/>
          <w:szCs w:val="24"/>
        </w:rPr>
        <w:t xml:space="preserve">cílem efektivnější podpory podnikání v regionech). UKCI  je konstruován </w:t>
      </w:r>
      <w:r w:rsidRPr="003D024F">
        <w:rPr>
          <w:rFonts w:eastAsia="Calibri"/>
          <w:sz w:val="24"/>
          <w:szCs w:val="24"/>
        </w:rPr>
        <w:t xml:space="preserve">jako </w:t>
      </w:r>
      <w:r w:rsidR="00AE7EC3" w:rsidRPr="003D024F">
        <w:rPr>
          <w:rFonts w:eastAsia="Calibri"/>
          <w:sz w:val="24"/>
          <w:szCs w:val="24"/>
        </w:rPr>
        <w:t>tří</w:t>
      </w:r>
      <w:r w:rsidRPr="003D024F">
        <w:rPr>
          <w:rFonts w:eastAsia="Calibri"/>
          <w:sz w:val="24"/>
          <w:szCs w:val="24"/>
        </w:rPr>
        <w:t>faktorový model,</w:t>
      </w:r>
      <w:r w:rsidRPr="006D5068">
        <w:rPr>
          <w:rFonts w:eastAsia="Calibri"/>
          <w:sz w:val="24"/>
          <w:szCs w:val="24"/>
        </w:rPr>
        <w:t xml:space="preserve"> který se skládá z faktorů vstupů, výstupů a výsledků. Při tvorbě tohoto indexu byla všem faktorům přiřazena stejná váha, </w:t>
      </w:r>
      <w:r w:rsidR="00B2209E">
        <w:rPr>
          <w:rFonts w:eastAsia="Calibri"/>
          <w:sz w:val="24"/>
          <w:szCs w:val="24"/>
        </w:rPr>
        <w:t xml:space="preserve">neboť se vychází z předpokladu </w:t>
      </w:r>
      <w:r w:rsidRPr="006D5068">
        <w:rPr>
          <w:rFonts w:eastAsia="Calibri"/>
          <w:sz w:val="24"/>
          <w:szCs w:val="24"/>
        </w:rPr>
        <w:t xml:space="preserve">jejich vzájemné provázanosti. Každý z nich v sobě zahrnuje několik indikátorů, které jsou vztaženy k britskému průměru (průměr UK = 100) a zároveň transformovány do logaritmické podoby, aby se rozložení více přibližovalo normální křivce a zmírnily se tak zkreslující vlivy extrémních hodnot. Metodiky pro hodnocení regionů a lokalit jsou si velmi podobné, liší se však menším počtem </w:t>
      </w:r>
      <w:r w:rsidR="00CB4F24">
        <w:rPr>
          <w:rFonts w:eastAsia="Calibri"/>
          <w:sz w:val="24"/>
          <w:szCs w:val="24"/>
        </w:rPr>
        <w:t xml:space="preserve">sledovaných ukazatelů u jednotlivých </w:t>
      </w:r>
      <w:r w:rsidRPr="006D5068">
        <w:rPr>
          <w:rFonts w:eastAsia="Calibri"/>
          <w:sz w:val="24"/>
          <w:szCs w:val="24"/>
        </w:rPr>
        <w:t>lokalit. Faktor</w:t>
      </w:r>
      <w:r w:rsidR="007F79BC">
        <w:rPr>
          <w:rFonts w:eastAsia="Calibri"/>
          <w:sz w:val="24"/>
          <w:szCs w:val="24"/>
        </w:rPr>
        <w:t xml:space="preserve"> vstupů zahrnuje 7 </w:t>
      </w:r>
      <w:r w:rsidRPr="006D5068">
        <w:rPr>
          <w:rFonts w:eastAsia="Calibri"/>
          <w:sz w:val="24"/>
          <w:szCs w:val="24"/>
        </w:rPr>
        <w:t>indikátorů u hodnocení regionů a 5 u lokalit (např. míry ekonomické aktivit</w:t>
      </w:r>
      <w:r w:rsidR="00B2209E">
        <w:rPr>
          <w:rFonts w:eastAsia="Calibri"/>
          <w:sz w:val="24"/>
          <w:szCs w:val="24"/>
        </w:rPr>
        <w:t>y či kvalifikace zaměstnanců). F</w:t>
      </w:r>
      <w:r w:rsidRPr="006D5068">
        <w:rPr>
          <w:rFonts w:eastAsia="Calibri"/>
          <w:sz w:val="24"/>
          <w:szCs w:val="24"/>
        </w:rPr>
        <w:t>aktor výstupů je složen z</w:t>
      </w:r>
      <w:r w:rsidR="00BA6F21">
        <w:rPr>
          <w:rFonts w:eastAsia="Calibri"/>
          <w:sz w:val="24"/>
          <w:szCs w:val="24"/>
        </w:rPr>
        <w:t> </w:t>
      </w:r>
      <w:r w:rsidRPr="006D5068">
        <w:rPr>
          <w:rFonts w:eastAsia="Calibri"/>
          <w:sz w:val="24"/>
          <w:szCs w:val="24"/>
        </w:rPr>
        <w:t>6</w:t>
      </w:r>
      <w:r w:rsidR="00BA6F21">
        <w:rPr>
          <w:rFonts w:eastAsia="Calibri"/>
          <w:sz w:val="24"/>
          <w:szCs w:val="24"/>
        </w:rPr>
        <w:t>,</w:t>
      </w:r>
      <w:r w:rsidRPr="006D5068">
        <w:rPr>
          <w:rFonts w:eastAsia="Calibri"/>
          <w:sz w:val="24"/>
          <w:szCs w:val="24"/>
        </w:rPr>
        <w:t xml:space="preserve"> resp. 3 indikátorů (např. produktivita či zaměstnanost) a faktor výsledků zahrnuje 2 indikátory (mzdy, nezaměstnanost). Tabulka podává nejnovější dostupné informace o konkurenceschopnosti regionů úrovně NUTS 1. V roce 2010 region London poprvé nedosahuje nejvyšší konkurenceschopnosti a byl předstižen regionem South East. Z tabulky je rovněž patrné, že dochází ke zvětšování rozdílu mezi nejvíce a nejméně konkurenceschopným regionem.</w:t>
      </w:r>
    </w:p>
    <w:p w:rsidR="002C38F8" w:rsidRDefault="002C38F8" w:rsidP="000E4C07">
      <w:pPr>
        <w:pStyle w:val="0T-Titulek"/>
        <w:rPr>
          <w:rFonts w:eastAsia="Calibri"/>
        </w:rPr>
      </w:pPr>
      <w:bookmarkStart w:id="136" w:name="_Toc382326462"/>
      <w:r w:rsidRPr="006D5068">
        <w:rPr>
          <w:rFonts w:eastAsia="Calibri"/>
        </w:rPr>
        <w:t>Tabulka 35: Index konkurenceschopnosti regionů v UK (UK = 100)</w:t>
      </w:r>
      <w:bookmarkEnd w:id="136"/>
    </w:p>
    <w:tbl>
      <w:tblPr>
        <w:tblStyle w:val="Mkatabulky"/>
        <w:tblW w:w="0" w:type="auto"/>
        <w:tblInd w:w="675" w:type="dxa"/>
        <w:tblLayout w:type="fixed"/>
        <w:tblLook w:val="04A0" w:firstRow="1" w:lastRow="0" w:firstColumn="1" w:lastColumn="0" w:noHBand="0" w:noVBand="1"/>
      </w:tblPr>
      <w:tblGrid>
        <w:gridCol w:w="2835"/>
        <w:gridCol w:w="1191"/>
        <w:gridCol w:w="1191"/>
        <w:gridCol w:w="1191"/>
        <w:gridCol w:w="1191"/>
      </w:tblGrid>
      <w:tr w:rsidR="009E48BE" w:rsidTr="000E4C07">
        <w:trPr>
          <w:trHeight w:hRule="exact" w:val="567"/>
        </w:trPr>
        <w:tc>
          <w:tcPr>
            <w:tcW w:w="2835" w:type="dxa"/>
            <w:vAlign w:val="center"/>
          </w:tcPr>
          <w:p w:rsidR="009E48BE" w:rsidRPr="007F79BC" w:rsidRDefault="009E48BE" w:rsidP="000E4C07">
            <w:pPr>
              <w:keepNext/>
              <w:suppressLineNumbers/>
              <w:spacing w:after="0" w:line="240" w:lineRule="auto"/>
              <w:rPr>
                <w:rFonts w:asciiTheme="minorHAnsi" w:eastAsia="Calibri" w:hAnsiTheme="minorHAnsi" w:cstheme="minorHAnsi"/>
                <w:b/>
                <w:sz w:val="22"/>
                <w:szCs w:val="22"/>
              </w:rPr>
            </w:pPr>
            <w:r w:rsidRPr="007F79BC">
              <w:rPr>
                <w:rFonts w:asciiTheme="minorHAnsi" w:eastAsia="Calibri" w:hAnsiTheme="minorHAnsi" w:cstheme="minorHAnsi"/>
                <w:b/>
                <w:sz w:val="22"/>
                <w:szCs w:val="22"/>
              </w:rPr>
              <w:t>region NUTS 1</w:t>
            </w:r>
          </w:p>
        </w:tc>
        <w:tc>
          <w:tcPr>
            <w:tcW w:w="1191" w:type="dxa"/>
            <w:vAlign w:val="center"/>
          </w:tcPr>
          <w:p w:rsidR="009E48BE" w:rsidRPr="007F79BC" w:rsidRDefault="009E48BE" w:rsidP="000E4C07">
            <w:pPr>
              <w:keepNext/>
              <w:suppressLineNumbers/>
              <w:spacing w:after="0" w:line="240" w:lineRule="auto"/>
              <w:jc w:val="center"/>
              <w:rPr>
                <w:rFonts w:asciiTheme="minorHAnsi" w:eastAsia="Calibri" w:hAnsiTheme="minorHAnsi" w:cstheme="minorHAnsi"/>
                <w:b/>
                <w:sz w:val="22"/>
                <w:szCs w:val="22"/>
              </w:rPr>
            </w:pPr>
            <w:r w:rsidRPr="007F79BC">
              <w:rPr>
                <w:rFonts w:asciiTheme="minorHAnsi" w:eastAsia="Calibri" w:hAnsiTheme="minorHAnsi" w:cstheme="minorHAnsi"/>
                <w:b/>
                <w:sz w:val="22"/>
                <w:szCs w:val="22"/>
              </w:rPr>
              <w:t>pořadí 2010</w:t>
            </w:r>
          </w:p>
        </w:tc>
        <w:tc>
          <w:tcPr>
            <w:tcW w:w="1191" w:type="dxa"/>
            <w:vAlign w:val="center"/>
          </w:tcPr>
          <w:p w:rsidR="009E48BE" w:rsidRPr="007F79BC" w:rsidRDefault="009E48BE" w:rsidP="000E4C07">
            <w:pPr>
              <w:keepNext/>
              <w:suppressLineNumbers/>
              <w:spacing w:after="0" w:line="240" w:lineRule="auto"/>
              <w:jc w:val="center"/>
              <w:rPr>
                <w:rFonts w:asciiTheme="minorHAnsi" w:eastAsia="Calibri" w:hAnsiTheme="minorHAnsi" w:cstheme="minorHAnsi"/>
                <w:b/>
                <w:sz w:val="22"/>
                <w:szCs w:val="22"/>
              </w:rPr>
            </w:pPr>
            <w:r w:rsidRPr="007F79BC">
              <w:rPr>
                <w:rFonts w:asciiTheme="minorHAnsi" w:eastAsia="Calibri" w:hAnsiTheme="minorHAnsi" w:cstheme="minorHAnsi"/>
                <w:b/>
                <w:sz w:val="22"/>
                <w:szCs w:val="22"/>
              </w:rPr>
              <w:t>pořadí 2008</w:t>
            </w:r>
          </w:p>
        </w:tc>
        <w:tc>
          <w:tcPr>
            <w:tcW w:w="1191" w:type="dxa"/>
            <w:vAlign w:val="center"/>
          </w:tcPr>
          <w:p w:rsidR="009E48BE" w:rsidRPr="007F79BC" w:rsidRDefault="009E48BE" w:rsidP="000E4C07">
            <w:pPr>
              <w:keepNext/>
              <w:suppressLineNumbers/>
              <w:spacing w:after="0" w:line="240" w:lineRule="auto"/>
              <w:jc w:val="center"/>
              <w:rPr>
                <w:rFonts w:asciiTheme="minorHAnsi" w:eastAsia="Calibri" w:hAnsiTheme="minorHAnsi" w:cstheme="minorHAnsi"/>
                <w:b/>
                <w:sz w:val="22"/>
                <w:szCs w:val="22"/>
              </w:rPr>
            </w:pPr>
            <w:r w:rsidRPr="007F79BC">
              <w:rPr>
                <w:rFonts w:asciiTheme="minorHAnsi" w:eastAsia="Calibri" w:hAnsiTheme="minorHAnsi" w:cstheme="minorHAnsi"/>
                <w:b/>
                <w:sz w:val="22"/>
                <w:szCs w:val="22"/>
              </w:rPr>
              <w:t>UKCI 2010</w:t>
            </w:r>
          </w:p>
        </w:tc>
        <w:tc>
          <w:tcPr>
            <w:tcW w:w="1191" w:type="dxa"/>
            <w:vAlign w:val="center"/>
          </w:tcPr>
          <w:p w:rsidR="009E48BE" w:rsidRPr="007F79BC" w:rsidRDefault="009E48BE" w:rsidP="000E4C07">
            <w:pPr>
              <w:keepNext/>
              <w:suppressLineNumbers/>
              <w:spacing w:after="0" w:line="240" w:lineRule="auto"/>
              <w:jc w:val="center"/>
              <w:rPr>
                <w:rFonts w:asciiTheme="minorHAnsi" w:eastAsia="Calibri" w:hAnsiTheme="minorHAnsi" w:cstheme="minorHAnsi"/>
                <w:b/>
                <w:sz w:val="22"/>
                <w:szCs w:val="22"/>
              </w:rPr>
            </w:pPr>
            <w:r w:rsidRPr="007F79BC">
              <w:rPr>
                <w:rFonts w:asciiTheme="minorHAnsi" w:eastAsia="Calibri" w:hAnsiTheme="minorHAnsi" w:cstheme="minorHAnsi"/>
                <w:b/>
                <w:sz w:val="22"/>
                <w:szCs w:val="22"/>
              </w:rPr>
              <w:t>UKCI 2008</w:t>
            </w:r>
          </w:p>
        </w:tc>
      </w:tr>
      <w:tr w:rsidR="009E48BE" w:rsidTr="000E4C07">
        <w:trPr>
          <w:trHeight w:hRule="exact" w:val="284"/>
        </w:trPr>
        <w:tc>
          <w:tcPr>
            <w:tcW w:w="2835" w:type="dxa"/>
          </w:tcPr>
          <w:p w:rsidR="009E48BE" w:rsidRPr="007F79BC" w:rsidRDefault="009E48BE" w:rsidP="00890421">
            <w:pPr>
              <w:keepNext/>
              <w:suppressLineNumbers/>
              <w:spacing w:after="0"/>
              <w:rPr>
                <w:rFonts w:asciiTheme="minorHAnsi" w:eastAsia="Calibri" w:hAnsiTheme="minorHAnsi" w:cstheme="minorHAnsi"/>
                <w:sz w:val="22"/>
                <w:szCs w:val="22"/>
              </w:rPr>
            </w:pPr>
            <w:r w:rsidRPr="007F79BC">
              <w:rPr>
                <w:rFonts w:asciiTheme="minorHAnsi" w:eastAsia="Calibri" w:hAnsiTheme="minorHAnsi" w:cstheme="minorHAnsi"/>
                <w:sz w:val="22"/>
                <w:szCs w:val="22"/>
              </w:rPr>
              <w:t>South East</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1</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2</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110,5</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109,7</w:t>
            </w:r>
          </w:p>
        </w:tc>
      </w:tr>
      <w:tr w:rsidR="009E48BE" w:rsidTr="000E4C07">
        <w:trPr>
          <w:trHeight w:hRule="exact" w:val="284"/>
        </w:trPr>
        <w:tc>
          <w:tcPr>
            <w:tcW w:w="2835" w:type="dxa"/>
          </w:tcPr>
          <w:p w:rsidR="009E48BE" w:rsidRPr="007F79BC" w:rsidRDefault="009E48BE" w:rsidP="00890421">
            <w:pPr>
              <w:keepNext/>
              <w:suppressLineNumbers/>
              <w:spacing w:after="0"/>
              <w:rPr>
                <w:rFonts w:asciiTheme="minorHAnsi" w:eastAsia="Calibri" w:hAnsiTheme="minorHAnsi" w:cstheme="minorHAnsi"/>
                <w:sz w:val="22"/>
                <w:szCs w:val="22"/>
              </w:rPr>
            </w:pPr>
            <w:r w:rsidRPr="007F79BC">
              <w:rPr>
                <w:rFonts w:asciiTheme="minorHAnsi" w:eastAsia="Calibri" w:hAnsiTheme="minorHAnsi" w:cstheme="minorHAnsi"/>
                <w:sz w:val="22"/>
                <w:szCs w:val="22"/>
              </w:rPr>
              <w:t>London</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2</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1</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109,6</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112,5</w:t>
            </w:r>
          </w:p>
        </w:tc>
      </w:tr>
      <w:tr w:rsidR="009E48BE" w:rsidTr="000E4C07">
        <w:trPr>
          <w:trHeight w:hRule="exact" w:val="284"/>
        </w:trPr>
        <w:tc>
          <w:tcPr>
            <w:tcW w:w="2835" w:type="dxa"/>
          </w:tcPr>
          <w:p w:rsidR="009E48BE" w:rsidRPr="007F79BC" w:rsidRDefault="009E48BE" w:rsidP="00890421">
            <w:pPr>
              <w:keepNext/>
              <w:suppressLineNumbers/>
              <w:spacing w:after="0"/>
              <w:rPr>
                <w:rFonts w:asciiTheme="minorHAnsi" w:eastAsia="Calibri" w:hAnsiTheme="minorHAnsi" w:cstheme="minorHAnsi"/>
                <w:sz w:val="22"/>
                <w:szCs w:val="22"/>
              </w:rPr>
            </w:pPr>
            <w:r w:rsidRPr="007F79BC">
              <w:rPr>
                <w:rFonts w:asciiTheme="minorHAnsi" w:eastAsia="Calibri" w:hAnsiTheme="minorHAnsi" w:cstheme="minorHAnsi"/>
                <w:sz w:val="22"/>
                <w:szCs w:val="22"/>
              </w:rPr>
              <w:t>East of England</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3</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3</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108,9</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105,6</w:t>
            </w:r>
          </w:p>
        </w:tc>
      </w:tr>
      <w:tr w:rsidR="009E48BE" w:rsidTr="000E4C07">
        <w:trPr>
          <w:trHeight w:hRule="exact" w:val="284"/>
        </w:trPr>
        <w:tc>
          <w:tcPr>
            <w:tcW w:w="2835" w:type="dxa"/>
          </w:tcPr>
          <w:p w:rsidR="009E48BE" w:rsidRPr="007F79BC" w:rsidRDefault="009E48BE" w:rsidP="00890421">
            <w:pPr>
              <w:keepNext/>
              <w:suppressLineNumbers/>
              <w:spacing w:after="0"/>
              <w:rPr>
                <w:rFonts w:asciiTheme="minorHAnsi" w:eastAsia="Calibri" w:hAnsiTheme="minorHAnsi" w:cstheme="minorHAnsi"/>
                <w:sz w:val="22"/>
                <w:szCs w:val="22"/>
              </w:rPr>
            </w:pPr>
            <w:r w:rsidRPr="007F79BC">
              <w:rPr>
                <w:rFonts w:asciiTheme="minorHAnsi" w:eastAsia="Calibri" w:hAnsiTheme="minorHAnsi" w:cstheme="minorHAnsi"/>
                <w:sz w:val="22"/>
                <w:szCs w:val="22"/>
              </w:rPr>
              <w:t>North West</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4</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6</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93,8</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94,5</w:t>
            </w:r>
          </w:p>
        </w:tc>
      </w:tr>
      <w:tr w:rsidR="009E48BE" w:rsidTr="000E4C07">
        <w:trPr>
          <w:trHeight w:hRule="exact" w:val="284"/>
        </w:trPr>
        <w:tc>
          <w:tcPr>
            <w:tcW w:w="2835" w:type="dxa"/>
          </w:tcPr>
          <w:p w:rsidR="009E48BE" w:rsidRPr="007F79BC" w:rsidRDefault="009E48BE" w:rsidP="00890421">
            <w:pPr>
              <w:keepNext/>
              <w:suppressLineNumbers/>
              <w:spacing w:after="0"/>
              <w:rPr>
                <w:rFonts w:asciiTheme="minorHAnsi" w:eastAsia="Calibri" w:hAnsiTheme="minorHAnsi" w:cstheme="minorHAnsi"/>
                <w:sz w:val="22"/>
                <w:szCs w:val="22"/>
              </w:rPr>
            </w:pPr>
            <w:r w:rsidRPr="007F79BC">
              <w:rPr>
                <w:rFonts w:asciiTheme="minorHAnsi" w:eastAsia="Calibri" w:hAnsiTheme="minorHAnsi" w:cstheme="minorHAnsi"/>
                <w:sz w:val="22"/>
                <w:szCs w:val="22"/>
              </w:rPr>
              <w:t>East Midlands</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5</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4</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93,5</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97,7</w:t>
            </w:r>
          </w:p>
        </w:tc>
      </w:tr>
      <w:tr w:rsidR="009E48BE" w:rsidTr="000E4C07">
        <w:trPr>
          <w:trHeight w:hRule="exact" w:val="284"/>
        </w:trPr>
        <w:tc>
          <w:tcPr>
            <w:tcW w:w="2835" w:type="dxa"/>
          </w:tcPr>
          <w:p w:rsidR="009E48BE" w:rsidRPr="007F79BC" w:rsidRDefault="009E48BE" w:rsidP="00890421">
            <w:pPr>
              <w:keepNext/>
              <w:suppressLineNumbers/>
              <w:spacing w:after="0"/>
              <w:rPr>
                <w:rFonts w:asciiTheme="minorHAnsi" w:eastAsia="Calibri" w:hAnsiTheme="minorHAnsi" w:cstheme="minorHAnsi"/>
                <w:sz w:val="22"/>
                <w:szCs w:val="22"/>
              </w:rPr>
            </w:pPr>
            <w:r w:rsidRPr="007F79BC">
              <w:rPr>
                <w:rFonts w:asciiTheme="minorHAnsi" w:eastAsia="Calibri" w:hAnsiTheme="minorHAnsi" w:cstheme="minorHAnsi"/>
                <w:sz w:val="22"/>
                <w:szCs w:val="22"/>
              </w:rPr>
              <w:t>South West</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6</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5</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91,8</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95,0</w:t>
            </w:r>
          </w:p>
        </w:tc>
      </w:tr>
      <w:tr w:rsidR="009E48BE" w:rsidTr="000E4C07">
        <w:trPr>
          <w:trHeight w:hRule="exact" w:val="284"/>
        </w:trPr>
        <w:tc>
          <w:tcPr>
            <w:tcW w:w="2835" w:type="dxa"/>
          </w:tcPr>
          <w:p w:rsidR="009E48BE" w:rsidRPr="007F79BC" w:rsidRDefault="009E48BE" w:rsidP="00890421">
            <w:pPr>
              <w:keepNext/>
              <w:suppressLineNumbers/>
              <w:spacing w:after="0"/>
              <w:rPr>
                <w:rFonts w:asciiTheme="minorHAnsi" w:eastAsia="Calibri" w:hAnsiTheme="minorHAnsi" w:cstheme="minorHAnsi"/>
                <w:sz w:val="22"/>
                <w:szCs w:val="22"/>
              </w:rPr>
            </w:pPr>
            <w:r w:rsidRPr="007F79BC">
              <w:rPr>
                <w:rFonts w:asciiTheme="minorHAnsi" w:eastAsia="Calibri" w:hAnsiTheme="minorHAnsi" w:cstheme="minorHAnsi"/>
                <w:sz w:val="22"/>
                <w:szCs w:val="22"/>
              </w:rPr>
              <w:t>West Midlands</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7</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7</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90,3</w:t>
            </w:r>
          </w:p>
        </w:tc>
        <w:tc>
          <w:tcPr>
            <w:tcW w:w="1191" w:type="dxa"/>
          </w:tcPr>
          <w:p w:rsidR="009E48BE" w:rsidRPr="007F79BC" w:rsidRDefault="009E48BE" w:rsidP="00B2209E">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94,4</w:t>
            </w:r>
          </w:p>
        </w:tc>
      </w:tr>
      <w:tr w:rsidR="009E48BE" w:rsidTr="000E4C07">
        <w:trPr>
          <w:trHeight w:hRule="exact" w:val="284"/>
        </w:trPr>
        <w:tc>
          <w:tcPr>
            <w:tcW w:w="2835" w:type="dxa"/>
          </w:tcPr>
          <w:p w:rsidR="009E48BE" w:rsidRPr="007F79BC" w:rsidRDefault="009E48BE" w:rsidP="00890421">
            <w:pPr>
              <w:keepNext/>
              <w:suppressLineNumbers/>
              <w:spacing w:after="0"/>
              <w:rPr>
                <w:rFonts w:asciiTheme="minorHAnsi" w:eastAsia="Calibri" w:hAnsiTheme="minorHAnsi" w:cstheme="minorHAnsi"/>
                <w:sz w:val="22"/>
                <w:szCs w:val="22"/>
              </w:rPr>
            </w:pPr>
            <w:r w:rsidRPr="007F79BC">
              <w:rPr>
                <w:rFonts w:asciiTheme="minorHAnsi" w:eastAsia="Calibri" w:hAnsiTheme="minorHAnsi" w:cstheme="minorHAnsi"/>
                <w:sz w:val="22"/>
                <w:szCs w:val="22"/>
              </w:rPr>
              <w:t>Scotland</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8</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8</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89,4</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94,3</w:t>
            </w:r>
          </w:p>
        </w:tc>
      </w:tr>
      <w:tr w:rsidR="009E48BE" w:rsidTr="000E4C07">
        <w:trPr>
          <w:trHeight w:hRule="exact" w:val="284"/>
        </w:trPr>
        <w:tc>
          <w:tcPr>
            <w:tcW w:w="2835" w:type="dxa"/>
          </w:tcPr>
          <w:p w:rsidR="009E48BE" w:rsidRPr="007F79BC" w:rsidRDefault="009E48BE" w:rsidP="00890421">
            <w:pPr>
              <w:keepNext/>
              <w:suppressLineNumbers/>
              <w:spacing w:after="0"/>
              <w:rPr>
                <w:rFonts w:asciiTheme="minorHAnsi" w:eastAsia="Calibri" w:hAnsiTheme="minorHAnsi" w:cstheme="minorHAnsi"/>
                <w:sz w:val="22"/>
                <w:szCs w:val="22"/>
              </w:rPr>
            </w:pPr>
            <w:r w:rsidRPr="007F79BC">
              <w:rPr>
                <w:rFonts w:asciiTheme="minorHAnsi" w:eastAsia="Calibri" w:hAnsiTheme="minorHAnsi" w:cstheme="minorHAnsi"/>
                <w:sz w:val="22"/>
                <w:szCs w:val="22"/>
              </w:rPr>
              <w:t>Northern Ireland</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9</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10</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89,0</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88,8</w:t>
            </w:r>
          </w:p>
        </w:tc>
      </w:tr>
      <w:tr w:rsidR="009E48BE" w:rsidTr="000E4C07">
        <w:trPr>
          <w:trHeight w:hRule="exact" w:val="284"/>
        </w:trPr>
        <w:tc>
          <w:tcPr>
            <w:tcW w:w="2835" w:type="dxa"/>
          </w:tcPr>
          <w:p w:rsidR="009E48BE" w:rsidRPr="007F79BC" w:rsidRDefault="009E48BE" w:rsidP="00890421">
            <w:pPr>
              <w:keepNext/>
              <w:suppressLineNumbers/>
              <w:spacing w:after="0"/>
              <w:rPr>
                <w:rFonts w:asciiTheme="minorHAnsi" w:eastAsia="Calibri" w:hAnsiTheme="minorHAnsi" w:cstheme="minorHAnsi"/>
                <w:sz w:val="22"/>
                <w:szCs w:val="22"/>
              </w:rPr>
            </w:pPr>
            <w:r w:rsidRPr="007F79BC">
              <w:rPr>
                <w:rFonts w:asciiTheme="minorHAnsi" w:eastAsia="Calibri" w:hAnsiTheme="minorHAnsi" w:cstheme="minorHAnsi"/>
                <w:sz w:val="22"/>
                <w:szCs w:val="22"/>
              </w:rPr>
              <w:t>Yorkshire and Humber</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10</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9</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87,3</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89,6</w:t>
            </w:r>
          </w:p>
        </w:tc>
      </w:tr>
      <w:tr w:rsidR="009E48BE" w:rsidTr="000E4C07">
        <w:trPr>
          <w:trHeight w:hRule="exact" w:val="284"/>
        </w:trPr>
        <w:tc>
          <w:tcPr>
            <w:tcW w:w="2835" w:type="dxa"/>
          </w:tcPr>
          <w:p w:rsidR="009E48BE" w:rsidRPr="007F79BC" w:rsidRDefault="009E48BE" w:rsidP="00890421">
            <w:pPr>
              <w:keepNext/>
              <w:suppressLineNumbers/>
              <w:spacing w:after="0"/>
              <w:rPr>
                <w:rFonts w:asciiTheme="minorHAnsi" w:eastAsia="Calibri" w:hAnsiTheme="minorHAnsi" w:cstheme="minorHAnsi"/>
                <w:sz w:val="22"/>
                <w:szCs w:val="22"/>
              </w:rPr>
            </w:pPr>
            <w:r w:rsidRPr="007F79BC">
              <w:rPr>
                <w:rFonts w:asciiTheme="minorHAnsi" w:eastAsia="Calibri" w:hAnsiTheme="minorHAnsi" w:cstheme="minorHAnsi"/>
                <w:sz w:val="22"/>
                <w:szCs w:val="22"/>
              </w:rPr>
              <w:t>North East</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11</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12</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86,5</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83,1</w:t>
            </w:r>
          </w:p>
        </w:tc>
      </w:tr>
      <w:tr w:rsidR="009E48BE" w:rsidTr="000E4C07">
        <w:trPr>
          <w:trHeight w:hRule="exact" w:val="284"/>
        </w:trPr>
        <w:tc>
          <w:tcPr>
            <w:tcW w:w="2835" w:type="dxa"/>
          </w:tcPr>
          <w:p w:rsidR="009E48BE" w:rsidRPr="007F79BC" w:rsidRDefault="009E48BE" w:rsidP="00890421">
            <w:pPr>
              <w:keepNext/>
              <w:suppressLineNumbers/>
              <w:spacing w:after="0"/>
              <w:rPr>
                <w:rFonts w:asciiTheme="minorHAnsi" w:eastAsia="Calibri" w:hAnsiTheme="minorHAnsi" w:cstheme="minorHAnsi"/>
                <w:sz w:val="22"/>
                <w:szCs w:val="22"/>
              </w:rPr>
            </w:pPr>
            <w:r w:rsidRPr="007F79BC">
              <w:rPr>
                <w:rFonts w:asciiTheme="minorHAnsi" w:eastAsia="Calibri" w:hAnsiTheme="minorHAnsi" w:cstheme="minorHAnsi"/>
                <w:sz w:val="22"/>
                <w:szCs w:val="22"/>
              </w:rPr>
              <w:t>Wales</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12</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11</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83,9</w:t>
            </w:r>
          </w:p>
        </w:tc>
        <w:tc>
          <w:tcPr>
            <w:tcW w:w="1191" w:type="dxa"/>
          </w:tcPr>
          <w:p w:rsidR="009E48BE" w:rsidRPr="007F79BC" w:rsidRDefault="009E48BE" w:rsidP="00C23604">
            <w:pPr>
              <w:keepNext/>
              <w:suppressLineNumbers/>
              <w:spacing w:after="0"/>
              <w:jc w:val="center"/>
              <w:rPr>
                <w:rFonts w:asciiTheme="minorHAnsi" w:eastAsia="Calibri" w:hAnsiTheme="minorHAnsi" w:cstheme="minorHAnsi"/>
                <w:sz w:val="22"/>
                <w:szCs w:val="22"/>
              </w:rPr>
            </w:pPr>
            <w:r w:rsidRPr="007F79BC">
              <w:rPr>
                <w:rFonts w:asciiTheme="minorHAnsi" w:eastAsia="Calibri" w:hAnsiTheme="minorHAnsi" w:cstheme="minorHAnsi"/>
                <w:sz w:val="22"/>
                <w:szCs w:val="22"/>
              </w:rPr>
              <w:t>86,8</w:t>
            </w:r>
          </w:p>
        </w:tc>
      </w:tr>
    </w:tbl>
    <w:p w:rsidR="002C38F8" w:rsidRPr="006D5068" w:rsidRDefault="002C38F8" w:rsidP="00890421">
      <w:pPr>
        <w:keepNext/>
        <w:suppressLineNumbers/>
        <w:spacing w:after="0"/>
        <w:jc w:val="center"/>
        <w:rPr>
          <w:rFonts w:asciiTheme="minorHAnsi" w:eastAsia="Calibri" w:hAnsiTheme="minorHAnsi" w:cstheme="minorHAnsi"/>
          <w:i/>
        </w:rPr>
      </w:pPr>
      <w:r w:rsidRPr="006D5068">
        <w:rPr>
          <w:rFonts w:asciiTheme="minorHAnsi" w:hAnsiTheme="minorHAnsi" w:cstheme="minorHAnsi"/>
          <w:i/>
        </w:rPr>
        <w:t>Pramen:</w:t>
      </w:r>
      <w:r w:rsidRPr="006D5068">
        <w:rPr>
          <w:rFonts w:eastAsia="Calibri"/>
          <w:i/>
        </w:rPr>
        <w:t xml:space="preserve"> </w:t>
      </w:r>
      <w:r w:rsidRPr="006D5068">
        <w:rPr>
          <w:rFonts w:asciiTheme="minorHAnsi" w:eastAsia="Calibri" w:hAnsiTheme="minorHAnsi" w:cstheme="minorHAnsi"/>
          <w:i/>
        </w:rPr>
        <w:t>Huggins, Thompson, 2010.</w:t>
      </w:r>
    </w:p>
    <w:p w:rsidR="002C38F8" w:rsidRPr="006D5068" w:rsidRDefault="002C38F8" w:rsidP="000E4C07">
      <w:pPr>
        <w:keepNext/>
        <w:suppressLineNumbers/>
        <w:spacing w:before="200" w:after="120"/>
        <w:ind w:firstLine="720"/>
        <w:jc w:val="both"/>
        <w:rPr>
          <w:rFonts w:eastAsia="Calibri"/>
          <w:color w:val="FF0000"/>
        </w:rPr>
      </w:pPr>
      <w:r w:rsidRPr="006D5068">
        <w:rPr>
          <w:rFonts w:eastAsia="Calibri"/>
          <w:sz w:val="24"/>
          <w:szCs w:val="24"/>
        </w:rPr>
        <w:t xml:space="preserve">Následující tabulka vypovídá o konkurenceschopnosti 379 lokalit v roce 2013. Nejlepší postavení zaujímá City of </w:t>
      </w:r>
      <w:proofErr w:type="gramStart"/>
      <w:r w:rsidRPr="006D5068">
        <w:rPr>
          <w:rFonts w:eastAsia="Calibri"/>
          <w:sz w:val="24"/>
          <w:szCs w:val="24"/>
        </w:rPr>
        <w:t>London</w:t>
      </w:r>
      <w:proofErr w:type="gramEnd"/>
      <w:r w:rsidRPr="006D5068">
        <w:rPr>
          <w:rFonts w:eastAsia="Calibri"/>
          <w:sz w:val="24"/>
          <w:szCs w:val="24"/>
        </w:rPr>
        <w:t xml:space="preserve"> a i následující příčky obsazují lokality z jeho </w:t>
      </w:r>
      <w:r w:rsidRPr="006D5068">
        <w:rPr>
          <w:rFonts w:eastAsia="Calibri"/>
          <w:sz w:val="24"/>
          <w:szCs w:val="24"/>
        </w:rPr>
        <w:lastRenderedPageBreak/>
        <w:t>regionu. Lokalita z jiného regionu se nachází až na</w:t>
      </w:r>
      <w:r w:rsidR="007F79BC">
        <w:rPr>
          <w:rFonts w:eastAsia="Calibri"/>
          <w:sz w:val="24"/>
          <w:szCs w:val="24"/>
        </w:rPr>
        <w:t xml:space="preserve"> desáté pozici a to Windsor and </w:t>
      </w:r>
      <w:r w:rsidRPr="006D5068">
        <w:rPr>
          <w:rFonts w:eastAsia="Calibri"/>
          <w:sz w:val="24"/>
          <w:szCs w:val="24"/>
        </w:rPr>
        <w:t>Maidenhead (region South East). Ve srovnání s předchozím hodnocením se na žebříčku nejvíce vzhůru posunuly lokality Rossendale (North West, +143 pozic), Greenwich (London, +103) a Barking and Dagenham (+103)</w:t>
      </w:r>
      <w:r w:rsidR="00B2209E">
        <w:rPr>
          <w:rFonts w:eastAsia="Calibri"/>
          <w:sz w:val="24"/>
          <w:szCs w:val="24"/>
        </w:rPr>
        <w:t xml:space="preserve"> </w:t>
      </w:r>
      <w:r w:rsidRPr="006D5068">
        <w:rPr>
          <w:rFonts w:eastAsia="Calibri"/>
          <w:sz w:val="24"/>
          <w:szCs w:val="24"/>
        </w:rPr>
        <w:t xml:space="preserve">a směrem dolů pak lokality Rushcliffe (East Midlands, </w:t>
      </w:r>
      <w:r w:rsidRPr="006D5068">
        <w:rPr>
          <w:rFonts w:eastAsia="Calibri"/>
          <w:sz w:val="28"/>
          <w:szCs w:val="24"/>
        </w:rPr>
        <w:t>-</w:t>
      </w:r>
      <w:r w:rsidRPr="006D5068">
        <w:rPr>
          <w:rFonts w:eastAsia="Calibri"/>
          <w:sz w:val="24"/>
          <w:szCs w:val="24"/>
        </w:rPr>
        <w:t>128), Harlow (East of England, -127) a South Stafforshire (West Midlands, -126).</w:t>
      </w:r>
    </w:p>
    <w:p w:rsidR="002C38F8" w:rsidRPr="006D5068" w:rsidRDefault="002C38F8" w:rsidP="000E4C07">
      <w:pPr>
        <w:pStyle w:val="0T-Titulek"/>
        <w:rPr>
          <w:rFonts w:eastAsia="Calibri"/>
        </w:rPr>
      </w:pPr>
      <w:bookmarkStart w:id="137" w:name="_Toc382326463"/>
      <w:r w:rsidRPr="006D5068">
        <w:rPr>
          <w:rFonts w:eastAsia="Calibri"/>
        </w:rPr>
        <w:t>Tabulka 36: Nejvíce a nejméně konkurenceschopné lokality v UK (UK = 100)</w:t>
      </w:r>
      <w:bookmarkEnd w:id="137"/>
    </w:p>
    <w:tbl>
      <w:tblPr>
        <w:tblStyle w:val="Mkatabulky14"/>
        <w:tblW w:w="0" w:type="auto"/>
        <w:jc w:val="center"/>
        <w:tblLook w:val="04A0" w:firstRow="1" w:lastRow="0" w:firstColumn="1" w:lastColumn="0" w:noHBand="0" w:noVBand="1"/>
      </w:tblPr>
      <w:tblGrid>
        <w:gridCol w:w="3402"/>
        <w:gridCol w:w="1134"/>
        <w:gridCol w:w="1134"/>
        <w:gridCol w:w="1134"/>
        <w:gridCol w:w="1134"/>
      </w:tblGrid>
      <w:tr w:rsidR="002C38F8" w:rsidRPr="006D5068" w:rsidTr="000E4C07">
        <w:trPr>
          <w:trHeight w:hRule="exact" w:val="510"/>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0E4C07">
            <w:pPr>
              <w:keepNext/>
              <w:suppressLineNumbers/>
              <w:spacing w:line="240" w:lineRule="auto"/>
              <w:rPr>
                <w:b/>
              </w:rPr>
            </w:pPr>
            <w:r w:rsidRPr="006D5068">
              <w:rPr>
                <w:b/>
              </w:rPr>
              <w:t>Lokalita (region NUTS 1)</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0E4C07">
            <w:pPr>
              <w:keepNext/>
              <w:suppressLineNumbers/>
              <w:spacing w:line="240" w:lineRule="auto"/>
              <w:jc w:val="center"/>
              <w:rPr>
                <w:b/>
              </w:rPr>
            </w:pPr>
            <w:r w:rsidRPr="006D5068">
              <w:rPr>
                <w:b/>
              </w:rPr>
              <w:t>Pořadí 2013</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0E4C07">
            <w:pPr>
              <w:keepNext/>
              <w:suppressLineNumbers/>
              <w:spacing w:line="240" w:lineRule="auto"/>
              <w:jc w:val="center"/>
              <w:rPr>
                <w:b/>
              </w:rPr>
            </w:pPr>
            <w:r w:rsidRPr="006D5068">
              <w:rPr>
                <w:b/>
              </w:rPr>
              <w:t>Pořadí 2010</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0E4C07">
            <w:pPr>
              <w:keepNext/>
              <w:suppressLineNumbers/>
              <w:spacing w:line="240" w:lineRule="auto"/>
              <w:jc w:val="center"/>
              <w:rPr>
                <w:b/>
              </w:rPr>
            </w:pPr>
            <w:r w:rsidRPr="006D5068">
              <w:rPr>
                <w:b/>
              </w:rPr>
              <w:t>UKCI 2013</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0E4C07">
            <w:pPr>
              <w:keepNext/>
              <w:suppressLineNumbers/>
              <w:spacing w:line="240" w:lineRule="auto"/>
              <w:jc w:val="center"/>
              <w:rPr>
                <w:b/>
              </w:rPr>
            </w:pPr>
            <w:r w:rsidRPr="006D5068">
              <w:rPr>
                <w:b/>
              </w:rPr>
              <w:t>UKCI 2010</w:t>
            </w:r>
          </w:p>
        </w:tc>
      </w:tr>
      <w:tr w:rsidR="002C38F8" w:rsidRPr="006D5068" w:rsidTr="000E4C07">
        <w:trPr>
          <w:trHeight w:hRule="exact" w:val="284"/>
          <w:jc w:val="center"/>
        </w:trPr>
        <w:tc>
          <w:tcPr>
            <w:tcW w:w="3402"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pPr>
            <w:r w:rsidRPr="006D5068">
              <w:t xml:space="preserve">City of </w:t>
            </w:r>
            <w:proofErr w:type="gramStart"/>
            <w:r w:rsidRPr="006D5068">
              <w:t>London</w:t>
            </w:r>
            <w:proofErr w:type="gramEnd"/>
            <w:r w:rsidRPr="006D5068">
              <w:t xml:space="preserve"> (London)</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1</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1</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773,6</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688,4</w:t>
            </w:r>
          </w:p>
        </w:tc>
      </w:tr>
      <w:tr w:rsidR="002C38F8" w:rsidRPr="006D5068" w:rsidTr="000E4C07">
        <w:trPr>
          <w:trHeight w:hRule="exact" w:val="284"/>
          <w:jc w:val="center"/>
        </w:trPr>
        <w:tc>
          <w:tcPr>
            <w:tcW w:w="3402"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pPr>
            <w:r w:rsidRPr="006D5068">
              <w:t>Westminster (London)</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2</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2</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203,4</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202,5</w:t>
            </w:r>
          </w:p>
        </w:tc>
      </w:tr>
      <w:tr w:rsidR="002C38F8" w:rsidRPr="006D5068" w:rsidTr="000E4C07">
        <w:trPr>
          <w:trHeight w:hRule="exact" w:val="284"/>
          <w:jc w:val="center"/>
        </w:trPr>
        <w:tc>
          <w:tcPr>
            <w:tcW w:w="3402"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pPr>
            <w:r w:rsidRPr="006D5068">
              <w:t>Camden (London)</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3</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3</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160,0</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160,9</w:t>
            </w:r>
          </w:p>
        </w:tc>
      </w:tr>
      <w:tr w:rsidR="002C38F8" w:rsidRPr="006D5068" w:rsidTr="000E4C07">
        <w:trPr>
          <w:trHeight w:hRule="exact" w:val="284"/>
          <w:jc w:val="center"/>
        </w:trPr>
        <w:tc>
          <w:tcPr>
            <w:tcW w:w="3402"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pPr>
            <w:r w:rsidRPr="006D5068">
              <w:t>Blackpool (North West)</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377</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374</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79,4</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79,6</w:t>
            </w:r>
          </w:p>
        </w:tc>
      </w:tr>
      <w:tr w:rsidR="002C38F8" w:rsidRPr="006D5068" w:rsidTr="000E4C07">
        <w:trPr>
          <w:trHeight w:hRule="exact" w:val="284"/>
          <w:jc w:val="center"/>
        </w:trPr>
        <w:tc>
          <w:tcPr>
            <w:tcW w:w="3402"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pPr>
            <w:r w:rsidRPr="006D5068">
              <w:t>Caerphilly (Wales)</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378</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376</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78,5</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79,0</w:t>
            </w:r>
          </w:p>
        </w:tc>
      </w:tr>
      <w:tr w:rsidR="002C38F8" w:rsidRPr="006D5068" w:rsidTr="000E4C07">
        <w:trPr>
          <w:trHeight w:hRule="exact" w:val="284"/>
          <w:jc w:val="center"/>
        </w:trPr>
        <w:tc>
          <w:tcPr>
            <w:tcW w:w="3402"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pPr>
            <w:r w:rsidRPr="006D5068">
              <w:t>Blaenau Gwent (Wales)</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379</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379</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71,7</w:t>
            </w:r>
          </w:p>
        </w:tc>
        <w:tc>
          <w:tcPr>
            <w:tcW w:w="113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pPr>
            <w:r w:rsidRPr="006D5068">
              <w:t>73,4</w:t>
            </w:r>
          </w:p>
        </w:tc>
      </w:tr>
    </w:tbl>
    <w:p w:rsidR="002C38F8" w:rsidRPr="006D5068" w:rsidRDefault="002C38F8" w:rsidP="00B2209E">
      <w:pPr>
        <w:keepNext/>
        <w:suppressLineNumbers/>
        <w:ind w:left="567"/>
        <w:jc w:val="center"/>
        <w:rPr>
          <w:rFonts w:asciiTheme="minorHAnsi" w:eastAsia="Calibri" w:hAnsiTheme="minorHAnsi" w:cstheme="minorHAnsi"/>
          <w:i/>
        </w:rPr>
      </w:pPr>
      <w:r w:rsidRPr="006D5068">
        <w:rPr>
          <w:rFonts w:asciiTheme="minorHAnsi" w:hAnsiTheme="minorHAnsi" w:cstheme="minorHAnsi"/>
          <w:i/>
        </w:rPr>
        <w:t xml:space="preserve">Pramen: </w:t>
      </w:r>
      <w:r w:rsidRPr="006D5068">
        <w:rPr>
          <w:rFonts w:asciiTheme="minorHAnsi" w:eastAsia="Calibri" w:hAnsiTheme="minorHAnsi" w:cstheme="minorHAnsi"/>
          <w:i/>
        </w:rPr>
        <w:t>Huggins, Thompson, 2013.</w:t>
      </w:r>
    </w:p>
    <w:p w:rsidR="002C38F8" w:rsidRPr="006D5068" w:rsidRDefault="002C38F8" w:rsidP="002C38F8">
      <w:pPr>
        <w:keepNext/>
        <w:suppressLineNumbers/>
        <w:ind w:firstLine="720"/>
        <w:jc w:val="both"/>
        <w:rPr>
          <w:rFonts w:eastAsia="Calibri"/>
          <w:color w:val="FF0000"/>
          <w:sz w:val="24"/>
          <w:szCs w:val="24"/>
        </w:rPr>
      </w:pPr>
      <w:r w:rsidRPr="006D5068">
        <w:rPr>
          <w:rFonts w:eastAsia="Calibri"/>
          <w:sz w:val="24"/>
          <w:szCs w:val="24"/>
        </w:rPr>
        <w:t xml:space="preserve">Index konkurenceschopnosti byl sestaven i pro města s více než 100 tis. obyvateli </w:t>
      </w:r>
      <w:r w:rsidRPr="006D5068">
        <w:rPr>
          <w:rFonts w:eastAsia="Calibri"/>
          <w:sz w:val="24"/>
          <w:szCs w:val="24"/>
          <w:vertAlign w:val="superscript"/>
        </w:rPr>
        <w:footnoteReference w:id="36"/>
      </w:r>
      <w:r w:rsidRPr="006D5068">
        <w:rPr>
          <w:rFonts w:eastAsia="Calibri"/>
          <w:sz w:val="24"/>
          <w:szCs w:val="24"/>
        </w:rPr>
        <w:t>. Jako nejvíce konkurenceschopná byla vyhodnocena města Cambridge (East of England), Aberdeen (Scotland) a Winchester (South East). Na opačné straně žebříčku se nacházejí Sunderland (North East), Stoke-on-Trent (West Midlands) a Kingston upon Hull (Yorkshire and Humber). Výsledky hodnocení jsou prezentovány také dle pořadí v jednotlivých dílčích faktorech nebo ve vztahu k dalším charakteristikám (zalidnění, kreativita, emise CO</w:t>
      </w:r>
      <w:r w:rsidRPr="006D5068">
        <w:rPr>
          <w:rFonts w:eastAsia="Calibri"/>
          <w:sz w:val="24"/>
          <w:szCs w:val="24"/>
          <w:vertAlign w:val="subscript"/>
        </w:rPr>
        <w:t>2</w:t>
      </w:r>
      <w:r w:rsidRPr="006D5068">
        <w:rPr>
          <w:rFonts w:eastAsia="Calibri"/>
          <w:sz w:val="24"/>
          <w:szCs w:val="24"/>
        </w:rPr>
        <w:t xml:space="preserve">). </w:t>
      </w:r>
    </w:p>
    <w:p w:rsidR="002C38F8" w:rsidRPr="006D5068" w:rsidRDefault="002C38F8" w:rsidP="002C38F8">
      <w:pPr>
        <w:keepNext/>
        <w:suppressLineNumbers/>
        <w:jc w:val="both"/>
        <w:rPr>
          <w:rFonts w:eastAsia="Calibri"/>
          <w:b/>
        </w:rPr>
      </w:pPr>
      <w:r w:rsidRPr="006D5068">
        <w:rPr>
          <w:rFonts w:eastAsia="Calibri"/>
          <w:b/>
        </w:rPr>
        <w:t>Index konkurenceschopnosti polských regionů</w:t>
      </w:r>
    </w:p>
    <w:p w:rsidR="002C38F8" w:rsidRPr="006D5068" w:rsidRDefault="002C38F8" w:rsidP="002C38F8">
      <w:pPr>
        <w:keepNext/>
        <w:suppressLineNumbers/>
        <w:ind w:firstLine="720"/>
        <w:jc w:val="both"/>
        <w:rPr>
          <w:rFonts w:eastAsia="Calibri"/>
          <w:color w:val="FF0000"/>
        </w:rPr>
      </w:pPr>
      <w:r w:rsidRPr="006D5068">
        <w:rPr>
          <w:rFonts w:eastAsia="Calibri"/>
          <w:sz w:val="24"/>
          <w:szCs w:val="24"/>
        </w:rPr>
        <w:t xml:space="preserve">Také polští autoři (Bronisz a kol., 2008) vychází při sestavování kompozitního indexu konkurenceschopnosti </w:t>
      </w:r>
      <w:r w:rsidRPr="00AE7EC3">
        <w:rPr>
          <w:rFonts w:eastAsia="Calibri"/>
          <w:sz w:val="24"/>
          <w:szCs w:val="24"/>
        </w:rPr>
        <w:t>z </w:t>
      </w:r>
      <w:r w:rsidR="00AE7EC3" w:rsidRPr="00AE7EC3">
        <w:rPr>
          <w:rFonts w:eastAsia="Calibri"/>
          <w:sz w:val="24"/>
          <w:szCs w:val="24"/>
        </w:rPr>
        <w:t>tří</w:t>
      </w:r>
      <w:r w:rsidRPr="00AE7EC3">
        <w:rPr>
          <w:rFonts w:eastAsia="Calibri"/>
          <w:sz w:val="24"/>
          <w:szCs w:val="24"/>
        </w:rPr>
        <w:t>faktorového modelu publikovaného Hugginsem (2003). Podobně jako ve výše uvedeném příkladu patří mezi základní faktory vstupy, výstupy a výsledky. Faktory vstupů zahrnují indexy/ukazatele</w:t>
      </w:r>
      <w:r w:rsidRPr="006D5068">
        <w:rPr>
          <w:rFonts w:eastAsia="Calibri"/>
          <w:sz w:val="24"/>
          <w:szCs w:val="24"/>
        </w:rPr>
        <w:t xml:space="preserve"> podnikání (6 ukazatelů, např. počet podniků), znalostně založeného podnikání (7 ukazatelů, např. zaměstnanost v hi-tech) a ukazatelů tzv. ekonomické</w:t>
      </w:r>
      <w:r w:rsidR="00F1759C">
        <w:rPr>
          <w:rFonts w:eastAsia="Calibri"/>
          <w:sz w:val="24"/>
          <w:szCs w:val="24"/>
        </w:rPr>
        <w:t xml:space="preserve"> participace (5 ukazatelů, zejména</w:t>
      </w:r>
      <w:r w:rsidRPr="006D5068">
        <w:rPr>
          <w:rFonts w:eastAsia="Calibri"/>
          <w:sz w:val="24"/>
          <w:szCs w:val="24"/>
        </w:rPr>
        <w:t xml:space="preserve"> vzdělanost obyvatelstva). Faktor výstupů se vztahuje k produktivitě a faktor výsledků se pak zaměřuje na mzdy a nezaměstnanost.  Výsledný kompozitní index byl nejdříve sestaven v devíti různých </w:t>
      </w:r>
      <w:r w:rsidR="007F79BC">
        <w:rPr>
          <w:rFonts w:eastAsia="Calibri"/>
          <w:sz w:val="24"/>
          <w:szCs w:val="24"/>
        </w:rPr>
        <w:t>variantách, které se mezi </w:t>
      </w:r>
      <w:r w:rsidRPr="006D5068">
        <w:rPr>
          <w:rFonts w:eastAsia="Calibri"/>
          <w:sz w:val="24"/>
          <w:szCs w:val="24"/>
        </w:rPr>
        <w:t>sebou odlišovaly v tom, že položily větší váhu na některou z částí kompozitního index</w:t>
      </w:r>
      <w:r w:rsidR="00B2209E">
        <w:rPr>
          <w:rFonts w:eastAsia="Calibri"/>
          <w:sz w:val="24"/>
          <w:szCs w:val="24"/>
        </w:rPr>
        <w:t>u</w:t>
      </w:r>
      <w:r w:rsidRPr="006D5068">
        <w:rPr>
          <w:rFonts w:eastAsia="Calibri"/>
          <w:sz w:val="24"/>
          <w:szCs w:val="24"/>
        </w:rPr>
        <w:t>. Pro každé vojvodství (regiony NUTS 2) tak vzniklo devět různých indexů, z nichž byl sestaven výsledný index. Pořadí vojvodství uvedené v devíti variantách a dále finální pořadí včetně hodnoty příslušného indexu (polský průměr = 100) podává následující tabulka.</w:t>
      </w:r>
      <w:r w:rsidRPr="006D5068">
        <w:rPr>
          <w:rFonts w:eastAsia="Calibri"/>
        </w:rPr>
        <w:t xml:space="preserve"> </w:t>
      </w:r>
    </w:p>
    <w:p w:rsidR="000E4C07" w:rsidRDefault="000E4C07" w:rsidP="006B61FE">
      <w:pPr>
        <w:pStyle w:val="0T-Titulek"/>
        <w:rPr>
          <w:rFonts w:eastAsia="Calibri"/>
        </w:rPr>
      </w:pPr>
    </w:p>
    <w:p w:rsidR="000E4C07" w:rsidRDefault="000E4C07" w:rsidP="006B61FE">
      <w:pPr>
        <w:pStyle w:val="0T-Titulek"/>
        <w:rPr>
          <w:rFonts w:eastAsia="Calibri"/>
        </w:rPr>
      </w:pPr>
    </w:p>
    <w:p w:rsidR="000E4C07" w:rsidRDefault="000E4C07" w:rsidP="006B61FE">
      <w:pPr>
        <w:pStyle w:val="0T-Titulek"/>
        <w:rPr>
          <w:rFonts w:eastAsia="Calibri"/>
        </w:rPr>
      </w:pPr>
    </w:p>
    <w:p w:rsidR="000E4C07" w:rsidRDefault="000E4C07" w:rsidP="006B61FE">
      <w:pPr>
        <w:pStyle w:val="0T-Titulek"/>
        <w:rPr>
          <w:rFonts w:eastAsia="Calibri"/>
        </w:rPr>
      </w:pPr>
    </w:p>
    <w:p w:rsidR="000E4C07" w:rsidRDefault="000E4C07" w:rsidP="006B61FE">
      <w:pPr>
        <w:pStyle w:val="0T-Titulek"/>
        <w:rPr>
          <w:rFonts w:eastAsia="Calibri"/>
        </w:rPr>
      </w:pPr>
    </w:p>
    <w:p w:rsidR="000E4C07" w:rsidRDefault="000E4C07" w:rsidP="006B61FE">
      <w:pPr>
        <w:pStyle w:val="0T-Titulek"/>
        <w:rPr>
          <w:rFonts w:eastAsia="Calibri"/>
        </w:rPr>
      </w:pPr>
    </w:p>
    <w:p w:rsidR="002C38F8" w:rsidRPr="006B61FE" w:rsidRDefault="002C38F8" w:rsidP="006B61FE">
      <w:pPr>
        <w:pStyle w:val="0T-Titulek"/>
        <w:rPr>
          <w:rFonts w:eastAsia="Calibri"/>
        </w:rPr>
      </w:pPr>
      <w:bookmarkStart w:id="138" w:name="_Toc382326464"/>
      <w:r w:rsidRPr="006B61FE">
        <w:rPr>
          <w:rFonts w:eastAsia="Calibri"/>
        </w:rPr>
        <w:lastRenderedPageBreak/>
        <w:t>Tabulka 37: Pořadí konkurenceschopnosti polských vojvodství</w:t>
      </w:r>
      <w:bookmarkEnd w:id="138"/>
    </w:p>
    <w:tbl>
      <w:tblPr>
        <w:tblStyle w:val="Mkatabulky14"/>
        <w:tblW w:w="9266" w:type="dxa"/>
        <w:tblLayout w:type="fixed"/>
        <w:tblLook w:val="04A0" w:firstRow="1" w:lastRow="0" w:firstColumn="1" w:lastColumn="0" w:noHBand="0" w:noVBand="1"/>
      </w:tblPr>
      <w:tblGrid>
        <w:gridCol w:w="2036"/>
        <w:gridCol w:w="658"/>
        <w:gridCol w:w="658"/>
        <w:gridCol w:w="658"/>
        <w:gridCol w:w="658"/>
        <w:gridCol w:w="658"/>
        <w:gridCol w:w="658"/>
        <w:gridCol w:w="658"/>
        <w:gridCol w:w="658"/>
        <w:gridCol w:w="658"/>
        <w:gridCol w:w="718"/>
        <w:gridCol w:w="590"/>
      </w:tblGrid>
      <w:tr w:rsidR="002C38F8" w:rsidRPr="006D5068" w:rsidTr="000E4C07">
        <w:trPr>
          <w:trHeight w:hRule="exact" w:val="567"/>
        </w:trPr>
        <w:tc>
          <w:tcPr>
            <w:tcW w:w="2036" w:type="dxa"/>
            <w:vMerge w:val="restart"/>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ind w:left="-57"/>
              <w:rPr>
                <w:rFonts w:asciiTheme="minorHAnsi" w:hAnsiTheme="minorHAnsi" w:cstheme="minorHAnsi"/>
                <w:b/>
              </w:rPr>
            </w:pPr>
            <w:r w:rsidRPr="006D5068">
              <w:rPr>
                <w:rFonts w:asciiTheme="minorHAnsi" w:hAnsiTheme="minorHAnsi" w:cstheme="minorHAnsi"/>
                <w:b/>
              </w:rPr>
              <w:t>vojvodství / varianta</w:t>
            </w:r>
          </w:p>
        </w:tc>
        <w:tc>
          <w:tcPr>
            <w:tcW w:w="658" w:type="dxa"/>
            <w:vMerge w:val="restart"/>
            <w:tcBorders>
              <w:top w:val="single" w:sz="4" w:space="0" w:color="auto"/>
              <w:left w:val="single" w:sz="4" w:space="0" w:color="auto"/>
              <w:bottom w:val="single" w:sz="4" w:space="0" w:color="auto"/>
              <w:right w:val="single" w:sz="4" w:space="0" w:color="auto"/>
            </w:tcBorders>
            <w:textDirection w:val="btLr"/>
            <w:hideMark/>
          </w:tcPr>
          <w:p w:rsidR="002C38F8" w:rsidRPr="006D5068" w:rsidRDefault="002C38F8" w:rsidP="00B2209E">
            <w:pPr>
              <w:keepNext/>
              <w:suppressLineNumbers/>
              <w:spacing w:after="180"/>
              <w:jc w:val="center"/>
              <w:rPr>
                <w:rFonts w:asciiTheme="minorHAnsi" w:hAnsiTheme="minorHAnsi" w:cstheme="minorHAnsi"/>
                <w:b/>
              </w:rPr>
            </w:pPr>
            <w:r w:rsidRPr="006D5068">
              <w:rPr>
                <w:rFonts w:asciiTheme="minorHAnsi" w:hAnsiTheme="minorHAnsi" w:cstheme="minorHAnsi"/>
                <w:b/>
              </w:rPr>
              <w:t>stejné váhy</w:t>
            </w:r>
          </w:p>
        </w:tc>
        <w:tc>
          <w:tcPr>
            <w:tcW w:w="658" w:type="dxa"/>
            <w:vMerge w:val="restart"/>
            <w:tcBorders>
              <w:top w:val="single" w:sz="4" w:space="0" w:color="auto"/>
              <w:left w:val="single" w:sz="4" w:space="0" w:color="auto"/>
              <w:bottom w:val="single" w:sz="4" w:space="0" w:color="auto"/>
              <w:right w:val="single" w:sz="4" w:space="0" w:color="auto"/>
            </w:tcBorders>
            <w:textDirection w:val="btLr"/>
            <w:hideMark/>
          </w:tcPr>
          <w:p w:rsidR="002C38F8" w:rsidRPr="006D5068" w:rsidRDefault="002C38F8" w:rsidP="00B2209E">
            <w:pPr>
              <w:keepNext/>
              <w:suppressLineNumbers/>
              <w:spacing w:after="180"/>
              <w:jc w:val="center"/>
              <w:rPr>
                <w:rFonts w:asciiTheme="minorHAnsi" w:hAnsiTheme="minorHAnsi" w:cstheme="minorHAnsi"/>
                <w:b/>
              </w:rPr>
            </w:pPr>
            <w:r w:rsidRPr="006D5068">
              <w:rPr>
                <w:rFonts w:asciiTheme="minorHAnsi" w:hAnsiTheme="minorHAnsi" w:cstheme="minorHAnsi"/>
                <w:b/>
              </w:rPr>
              <w:t>3F model</w:t>
            </w:r>
          </w:p>
        </w:tc>
        <w:tc>
          <w:tcPr>
            <w:tcW w:w="658" w:type="dxa"/>
            <w:vMerge w:val="restart"/>
            <w:tcBorders>
              <w:top w:val="single" w:sz="4" w:space="0" w:color="auto"/>
              <w:left w:val="single" w:sz="4" w:space="0" w:color="auto"/>
              <w:bottom w:val="single" w:sz="4" w:space="0" w:color="auto"/>
              <w:right w:val="single" w:sz="4" w:space="0" w:color="auto"/>
            </w:tcBorders>
            <w:textDirection w:val="btLr"/>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znalosti</w:t>
            </w:r>
          </w:p>
        </w:tc>
        <w:tc>
          <w:tcPr>
            <w:tcW w:w="658" w:type="dxa"/>
            <w:vMerge w:val="restart"/>
            <w:tcBorders>
              <w:top w:val="single" w:sz="4" w:space="0" w:color="auto"/>
              <w:left w:val="single" w:sz="4" w:space="0" w:color="auto"/>
              <w:bottom w:val="single" w:sz="4" w:space="0" w:color="auto"/>
              <w:right w:val="single" w:sz="4" w:space="0" w:color="auto"/>
            </w:tcBorders>
            <w:textDirection w:val="btLr"/>
            <w:hideMark/>
          </w:tcPr>
          <w:p w:rsidR="002C38F8" w:rsidRPr="006D5068" w:rsidRDefault="002C38F8" w:rsidP="00B2209E">
            <w:pPr>
              <w:keepNext/>
              <w:suppressLineNumbers/>
              <w:spacing w:after="180"/>
              <w:jc w:val="center"/>
              <w:rPr>
                <w:rFonts w:asciiTheme="minorHAnsi" w:hAnsiTheme="minorHAnsi" w:cstheme="minorHAnsi"/>
                <w:b/>
              </w:rPr>
            </w:pPr>
            <w:r w:rsidRPr="006D5068">
              <w:rPr>
                <w:rFonts w:asciiTheme="minorHAnsi" w:hAnsiTheme="minorHAnsi" w:cstheme="minorHAnsi"/>
                <w:b/>
              </w:rPr>
              <w:t>výsledky</w:t>
            </w:r>
          </w:p>
        </w:tc>
        <w:tc>
          <w:tcPr>
            <w:tcW w:w="658" w:type="dxa"/>
            <w:vMerge w:val="restart"/>
            <w:tcBorders>
              <w:top w:val="single" w:sz="4" w:space="0" w:color="auto"/>
              <w:left w:val="single" w:sz="4" w:space="0" w:color="auto"/>
              <w:bottom w:val="single" w:sz="6" w:space="0" w:color="auto"/>
              <w:right w:val="single" w:sz="6" w:space="0" w:color="auto"/>
            </w:tcBorders>
            <w:textDirection w:val="btLr"/>
            <w:hideMark/>
          </w:tcPr>
          <w:p w:rsidR="002C38F8" w:rsidRPr="006D5068" w:rsidRDefault="002C38F8" w:rsidP="00B2209E">
            <w:pPr>
              <w:keepNext/>
              <w:suppressLineNumbers/>
              <w:spacing w:after="180"/>
              <w:jc w:val="center"/>
              <w:rPr>
                <w:rFonts w:asciiTheme="minorHAnsi" w:hAnsiTheme="minorHAnsi" w:cstheme="minorHAnsi"/>
                <w:b/>
              </w:rPr>
            </w:pPr>
            <w:r w:rsidRPr="006D5068">
              <w:rPr>
                <w:rFonts w:asciiTheme="minorHAnsi" w:hAnsiTheme="minorHAnsi" w:cstheme="minorHAnsi"/>
                <w:b/>
              </w:rPr>
              <w:t>vstupy</w:t>
            </w:r>
          </w:p>
        </w:tc>
        <w:tc>
          <w:tcPr>
            <w:tcW w:w="658" w:type="dxa"/>
            <w:vMerge w:val="restart"/>
            <w:tcBorders>
              <w:top w:val="single" w:sz="4" w:space="0" w:color="auto"/>
              <w:left w:val="single" w:sz="6" w:space="0" w:color="auto"/>
              <w:bottom w:val="single" w:sz="6" w:space="0" w:color="auto"/>
              <w:right w:val="single" w:sz="6" w:space="0" w:color="auto"/>
            </w:tcBorders>
            <w:textDirection w:val="btLr"/>
            <w:hideMark/>
          </w:tcPr>
          <w:p w:rsidR="002C38F8" w:rsidRPr="006D5068" w:rsidRDefault="002C38F8" w:rsidP="00B2209E">
            <w:pPr>
              <w:keepNext/>
              <w:suppressLineNumbers/>
              <w:spacing w:after="180"/>
              <w:jc w:val="center"/>
              <w:rPr>
                <w:rFonts w:asciiTheme="minorHAnsi" w:hAnsiTheme="minorHAnsi" w:cstheme="minorHAnsi"/>
                <w:b/>
              </w:rPr>
            </w:pPr>
            <w:r w:rsidRPr="006D5068">
              <w:rPr>
                <w:rFonts w:asciiTheme="minorHAnsi" w:hAnsiTheme="minorHAnsi" w:cstheme="minorHAnsi"/>
                <w:b/>
              </w:rPr>
              <w:t>výstupy</w:t>
            </w:r>
          </w:p>
        </w:tc>
        <w:tc>
          <w:tcPr>
            <w:tcW w:w="658" w:type="dxa"/>
            <w:vMerge w:val="restart"/>
            <w:tcBorders>
              <w:top w:val="single" w:sz="4" w:space="0" w:color="auto"/>
              <w:left w:val="single" w:sz="6" w:space="0" w:color="auto"/>
              <w:bottom w:val="single" w:sz="6" w:space="0" w:color="auto"/>
              <w:right w:val="single" w:sz="6" w:space="0" w:color="auto"/>
            </w:tcBorders>
            <w:textDirection w:val="btLr"/>
            <w:hideMark/>
          </w:tcPr>
          <w:p w:rsidR="002C38F8" w:rsidRPr="006D5068" w:rsidRDefault="002C38F8" w:rsidP="00B2209E">
            <w:pPr>
              <w:keepNext/>
              <w:suppressLineNumbers/>
              <w:spacing w:after="180"/>
              <w:jc w:val="center"/>
              <w:rPr>
                <w:rFonts w:asciiTheme="minorHAnsi" w:hAnsiTheme="minorHAnsi" w:cstheme="minorHAnsi"/>
                <w:b/>
              </w:rPr>
            </w:pPr>
            <w:r w:rsidRPr="006D5068">
              <w:rPr>
                <w:rFonts w:asciiTheme="minorHAnsi" w:hAnsiTheme="minorHAnsi" w:cstheme="minorHAnsi"/>
                <w:b/>
              </w:rPr>
              <w:t>aktivity</w:t>
            </w:r>
          </w:p>
        </w:tc>
        <w:tc>
          <w:tcPr>
            <w:tcW w:w="658" w:type="dxa"/>
            <w:vMerge w:val="restart"/>
            <w:tcBorders>
              <w:top w:val="single" w:sz="4" w:space="0" w:color="auto"/>
              <w:left w:val="single" w:sz="6" w:space="0" w:color="auto"/>
              <w:bottom w:val="single" w:sz="6" w:space="0" w:color="auto"/>
              <w:right w:val="single" w:sz="6" w:space="0" w:color="auto"/>
            </w:tcBorders>
            <w:textDirection w:val="btLr"/>
            <w:hideMark/>
          </w:tcPr>
          <w:p w:rsidR="002C38F8" w:rsidRPr="006D5068" w:rsidRDefault="002C38F8" w:rsidP="00B2209E">
            <w:pPr>
              <w:keepNext/>
              <w:suppressLineNumbers/>
              <w:spacing w:after="180"/>
              <w:jc w:val="center"/>
              <w:rPr>
                <w:rFonts w:asciiTheme="minorHAnsi" w:hAnsiTheme="minorHAnsi" w:cstheme="minorHAnsi"/>
                <w:b/>
              </w:rPr>
            </w:pPr>
            <w:r w:rsidRPr="006D5068">
              <w:rPr>
                <w:rFonts w:asciiTheme="minorHAnsi" w:hAnsiTheme="minorHAnsi" w:cstheme="minorHAnsi"/>
                <w:b/>
              </w:rPr>
              <w:t>mzdy</w:t>
            </w:r>
          </w:p>
        </w:tc>
        <w:tc>
          <w:tcPr>
            <w:tcW w:w="658" w:type="dxa"/>
            <w:vMerge w:val="restart"/>
            <w:tcBorders>
              <w:top w:val="single" w:sz="4" w:space="0" w:color="auto"/>
              <w:left w:val="single" w:sz="6" w:space="0" w:color="auto"/>
              <w:bottom w:val="single" w:sz="6" w:space="0" w:color="auto"/>
              <w:right w:val="single" w:sz="4" w:space="0" w:color="auto"/>
            </w:tcBorders>
            <w:textDirection w:val="btLr"/>
            <w:hideMark/>
          </w:tcPr>
          <w:p w:rsidR="002C38F8" w:rsidRPr="006D5068" w:rsidRDefault="002C38F8" w:rsidP="00B2209E">
            <w:pPr>
              <w:keepNext/>
              <w:suppressLineNumbers/>
              <w:spacing w:after="180"/>
              <w:jc w:val="center"/>
              <w:rPr>
                <w:rFonts w:asciiTheme="minorHAnsi" w:hAnsiTheme="minorHAnsi" w:cstheme="minorHAnsi"/>
                <w:b/>
              </w:rPr>
            </w:pPr>
            <w:r w:rsidRPr="006D5068">
              <w:rPr>
                <w:rFonts w:asciiTheme="minorHAnsi" w:hAnsiTheme="minorHAnsi" w:cstheme="minorHAnsi"/>
                <w:b/>
              </w:rPr>
              <w:t>podnikání</w:t>
            </w:r>
          </w:p>
        </w:tc>
        <w:tc>
          <w:tcPr>
            <w:tcW w:w="1308" w:type="dxa"/>
            <w:gridSpan w:val="2"/>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celkem</w:t>
            </w:r>
          </w:p>
        </w:tc>
      </w:tr>
      <w:tr w:rsidR="002C38F8" w:rsidRPr="006D5068" w:rsidTr="000E4C07">
        <w:trPr>
          <w:trHeight w:hRule="exact" w:val="567"/>
        </w:trPr>
        <w:tc>
          <w:tcPr>
            <w:tcW w:w="2036" w:type="dxa"/>
            <w:vMerge/>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ind w:left="-57"/>
              <w:rPr>
                <w:rFonts w:asciiTheme="minorHAnsi" w:hAnsiTheme="minorHAnsi" w:cstheme="minorHAnsi"/>
                <w:b/>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p>
        </w:tc>
        <w:tc>
          <w:tcPr>
            <w:tcW w:w="658" w:type="dxa"/>
            <w:vMerge/>
            <w:tcBorders>
              <w:top w:val="single" w:sz="6" w:space="0" w:color="auto"/>
              <w:left w:val="single" w:sz="4" w:space="0" w:color="auto"/>
              <w:bottom w:val="single" w:sz="6" w:space="0" w:color="auto"/>
              <w:right w:val="single" w:sz="6" w:space="0" w:color="auto"/>
            </w:tcBorders>
            <w:vAlign w:val="center"/>
            <w:hideMark/>
          </w:tcPr>
          <w:p w:rsidR="002C38F8" w:rsidRPr="006D5068" w:rsidRDefault="002C38F8" w:rsidP="00B2209E">
            <w:pPr>
              <w:keepNext/>
              <w:suppressLineNumbers/>
              <w:jc w:val="center"/>
              <w:rPr>
                <w:rFonts w:asciiTheme="minorHAnsi" w:hAnsiTheme="minorHAnsi" w:cstheme="minorHAnsi"/>
                <w:b/>
              </w:rPr>
            </w:pPr>
          </w:p>
        </w:tc>
        <w:tc>
          <w:tcPr>
            <w:tcW w:w="658" w:type="dxa"/>
            <w:vMerge/>
            <w:tcBorders>
              <w:top w:val="single" w:sz="6" w:space="0" w:color="auto"/>
              <w:left w:val="single" w:sz="6" w:space="0" w:color="auto"/>
              <w:bottom w:val="single" w:sz="6" w:space="0" w:color="auto"/>
              <w:right w:val="single" w:sz="6" w:space="0" w:color="auto"/>
            </w:tcBorders>
            <w:vAlign w:val="center"/>
            <w:hideMark/>
          </w:tcPr>
          <w:p w:rsidR="002C38F8" w:rsidRPr="006D5068" w:rsidRDefault="002C38F8" w:rsidP="00B2209E">
            <w:pPr>
              <w:keepNext/>
              <w:suppressLineNumbers/>
              <w:jc w:val="center"/>
              <w:rPr>
                <w:rFonts w:asciiTheme="minorHAnsi" w:hAnsiTheme="minorHAnsi" w:cstheme="minorHAnsi"/>
                <w:b/>
              </w:rPr>
            </w:pPr>
          </w:p>
        </w:tc>
        <w:tc>
          <w:tcPr>
            <w:tcW w:w="658" w:type="dxa"/>
            <w:vMerge/>
            <w:tcBorders>
              <w:top w:val="single" w:sz="6" w:space="0" w:color="auto"/>
              <w:left w:val="single" w:sz="6" w:space="0" w:color="auto"/>
              <w:bottom w:val="single" w:sz="6" w:space="0" w:color="auto"/>
              <w:right w:val="single" w:sz="6" w:space="0" w:color="auto"/>
            </w:tcBorders>
            <w:vAlign w:val="center"/>
            <w:hideMark/>
          </w:tcPr>
          <w:p w:rsidR="002C38F8" w:rsidRPr="006D5068" w:rsidRDefault="002C38F8" w:rsidP="00B2209E">
            <w:pPr>
              <w:keepNext/>
              <w:suppressLineNumbers/>
              <w:jc w:val="center"/>
              <w:rPr>
                <w:rFonts w:asciiTheme="minorHAnsi" w:hAnsiTheme="minorHAnsi" w:cstheme="minorHAnsi"/>
                <w:b/>
              </w:rPr>
            </w:pPr>
          </w:p>
        </w:tc>
        <w:tc>
          <w:tcPr>
            <w:tcW w:w="658" w:type="dxa"/>
            <w:vMerge/>
            <w:tcBorders>
              <w:top w:val="single" w:sz="6" w:space="0" w:color="auto"/>
              <w:left w:val="single" w:sz="6" w:space="0" w:color="auto"/>
              <w:bottom w:val="single" w:sz="6" w:space="0" w:color="auto"/>
              <w:right w:val="single" w:sz="6" w:space="0" w:color="auto"/>
            </w:tcBorders>
            <w:vAlign w:val="center"/>
            <w:hideMark/>
          </w:tcPr>
          <w:p w:rsidR="002C38F8" w:rsidRPr="006D5068" w:rsidRDefault="002C38F8" w:rsidP="00B2209E">
            <w:pPr>
              <w:keepNext/>
              <w:suppressLineNumbers/>
              <w:jc w:val="center"/>
              <w:rPr>
                <w:rFonts w:asciiTheme="minorHAnsi" w:hAnsiTheme="minorHAnsi" w:cstheme="minorHAnsi"/>
                <w:b/>
              </w:rPr>
            </w:pPr>
          </w:p>
        </w:tc>
        <w:tc>
          <w:tcPr>
            <w:tcW w:w="658" w:type="dxa"/>
            <w:vMerge/>
            <w:tcBorders>
              <w:top w:val="single" w:sz="6" w:space="0" w:color="auto"/>
              <w:left w:val="single" w:sz="6" w:space="0" w:color="auto"/>
              <w:bottom w:val="single" w:sz="6" w:space="0" w:color="auto"/>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p>
        </w:tc>
        <w:tc>
          <w:tcPr>
            <w:tcW w:w="718" w:type="dxa"/>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jc w:val="both"/>
              <w:rPr>
                <w:rFonts w:asciiTheme="minorHAnsi" w:hAnsiTheme="minorHAnsi" w:cstheme="minorHAnsi"/>
                <w:b/>
              </w:rPr>
            </w:pPr>
            <w:r w:rsidRPr="006D5068">
              <w:rPr>
                <w:rFonts w:asciiTheme="minorHAnsi" w:hAnsiTheme="minorHAnsi" w:cstheme="minorHAnsi"/>
                <w:b/>
              </w:rPr>
              <w:t>index</w:t>
            </w:r>
          </w:p>
        </w:tc>
        <w:tc>
          <w:tcPr>
            <w:tcW w:w="590" w:type="dxa"/>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poř.</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jc w:val="both"/>
              <w:rPr>
                <w:rFonts w:asciiTheme="minorHAnsi" w:hAnsiTheme="minorHAnsi" w:cstheme="minorHAnsi"/>
              </w:rPr>
            </w:pPr>
            <w:r w:rsidRPr="006D5068">
              <w:rPr>
                <w:rFonts w:asciiTheme="minorHAnsi" w:hAnsiTheme="minorHAnsi" w:cstheme="minorHAnsi"/>
              </w:rPr>
              <w:t>Mazowieckie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658" w:type="dxa"/>
            <w:tcBorders>
              <w:top w:val="single" w:sz="6" w:space="0" w:color="auto"/>
              <w:left w:val="single" w:sz="4"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658" w:type="dxa"/>
            <w:tcBorders>
              <w:top w:val="single" w:sz="6" w:space="0" w:color="auto"/>
              <w:left w:val="single" w:sz="6" w:space="0" w:color="auto"/>
              <w:bottom w:val="single" w:sz="6"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203,5</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jc w:val="both"/>
              <w:rPr>
                <w:rFonts w:asciiTheme="minorHAnsi" w:hAnsiTheme="minorHAnsi" w:cstheme="minorHAnsi"/>
              </w:rPr>
            </w:pPr>
            <w:r w:rsidRPr="006D5068">
              <w:rPr>
                <w:rFonts w:asciiTheme="minorHAnsi" w:hAnsiTheme="minorHAnsi" w:cstheme="minorHAnsi"/>
              </w:rPr>
              <w:t>Slaskie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658" w:type="dxa"/>
            <w:tcBorders>
              <w:top w:val="single" w:sz="6" w:space="0" w:color="auto"/>
              <w:left w:val="single" w:sz="4"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658" w:type="dxa"/>
            <w:tcBorders>
              <w:top w:val="single" w:sz="6" w:space="0" w:color="auto"/>
              <w:left w:val="single" w:sz="6" w:space="0" w:color="auto"/>
              <w:bottom w:val="single" w:sz="6"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140,2</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jc w:val="both"/>
              <w:rPr>
                <w:rFonts w:asciiTheme="minorHAnsi" w:hAnsiTheme="minorHAnsi" w:cstheme="minorHAnsi"/>
              </w:rPr>
            </w:pPr>
            <w:r w:rsidRPr="006D5068">
              <w:rPr>
                <w:rFonts w:asciiTheme="minorHAnsi" w:hAnsiTheme="minorHAnsi" w:cstheme="minorHAnsi"/>
              </w:rPr>
              <w:t>Malopolskie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658" w:type="dxa"/>
            <w:tcBorders>
              <w:top w:val="single" w:sz="6" w:space="0" w:color="auto"/>
              <w:left w:val="single" w:sz="4"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658" w:type="dxa"/>
            <w:tcBorders>
              <w:top w:val="single" w:sz="6" w:space="0" w:color="auto"/>
              <w:left w:val="single" w:sz="6" w:space="0" w:color="auto"/>
              <w:bottom w:val="single" w:sz="6"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128,9</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both"/>
              <w:rPr>
                <w:rFonts w:asciiTheme="minorHAnsi" w:hAnsiTheme="minorHAnsi" w:cstheme="minorHAnsi"/>
              </w:rPr>
            </w:pPr>
            <w:r w:rsidRPr="006D5068">
              <w:rPr>
                <w:rFonts w:asciiTheme="minorHAnsi" w:hAnsiTheme="minorHAnsi" w:cstheme="minorHAnsi"/>
              </w:rPr>
              <w:t>Dolnoslaskie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658" w:type="dxa"/>
            <w:tcBorders>
              <w:top w:val="single" w:sz="6" w:space="0" w:color="auto"/>
              <w:left w:val="single" w:sz="4"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658" w:type="dxa"/>
            <w:tcBorders>
              <w:top w:val="single" w:sz="6" w:space="0" w:color="auto"/>
              <w:left w:val="single" w:sz="6" w:space="0" w:color="auto"/>
              <w:bottom w:val="single" w:sz="6"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124,5</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jc w:val="both"/>
              <w:rPr>
                <w:rFonts w:asciiTheme="minorHAnsi" w:hAnsiTheme="minorHAnsi" w:cstheme="minorHAnsi"/>
              </w:rPr>
            </w:pPr>
            <w:r w:rsidRPr="006D5068">
              <w:rPr>
                <w:rFonts w:asciiTheme="minorHAnsi" w:hAnsiTheme="minorHAnsi" w:cstheme="minorHAnsi"/>
              </w:rPr>
              <w:t>Wielkopolskie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658" w:type="dxa"/>
            <w:tcBorders>
              <w:top w:val="single" w:sz="6" w:space="0" w:color="auto"/>
              <w:left w:val="single" w:sz="4"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658" w:type="dxa"/>
            <w:tcBorders>
              <w:top w:val="single" w:sz="6" w:space="0" w:color="auto"/>
              <w:left w:val="single" w:sz="6" w:space="0" w:color="auto"/>
              <w:bottom w:val="single" w:sz="6"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110,2</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jc w:val="both"/>
              <w:rPr>
                <w:rFonts w:asciiTheme="minorHAnsi" w:hAnsiTheme="minorHAnsi" w:cstheme="minorHAnsi"/>
              </w:rPr>
            </w:pPr>
            <w:r w:rsidRPr="006D5068">
              <w:rPr>
                <w:rFonts w:asciiTheme="minorHAnsi" w:hAnsiTheme="minorHAnsi" w:cstheme="minorHAnsi"/>
              </w:rPr>
              <w:t>Pomorskie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658" w:type="dxa"/>
            <w:tcBorders>
              <w:top w:val="single" w:sz="6" w:space="0" w:color="auto"/>
              <w:left w:val="single" w:sz="4"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658" w:type="dxa"/>
            <w:tcBorders>
              <w:top w:val="single" w:sz="6" w:space="0" w:color="auto"/>
              <w:left w:val="single" w:sz="6" w:space="0" w:color="auto"/>
              <w:bottom w:val="single" w:sz="6"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103,5</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jc w:val="both"/>
              <w:rPr>
                <w:rFonts w:asciiTheme="minorHAnsi" w:hAnsiTheme="minorHAnsi" w:cstheme="minorHAnsi"/>
              </w:rPr>
            </w:pPr>
            <w:r w:rsidRPr="006D5068">
              <w:rPr>
                <w:rFonts w:asciiTheme="minorHAnsi" w:hAnsiTheme="minorHAnsi" w:cstheme="minorHAnsi"/>
              </w:rPr>
              <w:t>Lódzkie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658" w:type="dxa"/>
            <w:tcBorders>
              <w:top w:val="single" w:sz="6" w:space="0" w:color="auto"/>
              <w:left w:val="single" w:sz="4"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658" w:type="dxa"/>
            <w:tcBorders>
              <w:top w:val="single" w:sz="6" w:space="0" w:color="auto"/>
              <w:left w:val="single" w:sz="6" w:space="0" w:color="auto"/>
              <w:bottom w:val="single" w:sz="6"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88,6</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jc w:val="both"/>
              <w:rPr>
                <w:rFonts w:asciiTheme="minorHAnsi" w:hAnsiTheme="minorHAnsi" w:cstheme="minorHAnsi"/>
              </w:rPr>
            </w:pPr>
            <w:r w:rsidRPr="006D5068">
              <w:rPr>
                <w:rFonts w:asciiTheme="minorHAnsi" w:hAnsiTheme="minorHAnsi" w:cstheme="minorHAnsi"/>
              </w:rPr>
              <w:t>Lubuskie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658" w:type="dxa"/>
            <w:tcBorders>
              <w:top w:val="single" w:sz="6" w:space="0" w:color="auto"/>
              <w:left w:val="single" w:sz="4"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w:t>
            </w:r>
          </w:p>
        </w:tc>
        <w:tc>
          <w:tcPr>
            <w:tcW w:w="658" w:type="dxa"/>
            <w:tcBorders>
              <w:top w:val="single" w:sz="6" w:space="0" w:color="auto"/>
              <w:left w:val="single" w:sz="6" w:space="0" w:color="auto"/>
              <w:bottom w:val="single" w:sz="6"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86,0</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jc w:val="both"/>
              <w:rPr>
                <w:rFonts w:asciiTheme="minorHAnsi" w:hAnsiTheme="minorHAnsi" w:cstheme="minorHAnsi"/>
              </w:rPr>
            </w:pPr>
            <w:r w:rsidRPr="006D5068">
              <w:rPr>
                <w:rFonts w:asciiTheme="minorHAnsi" w:hAnsiTheme="minorHAnsi" w:cstheme="minorHAnsi"/>
              </w:rPr>
              <w:t>Podlaskie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658" w:type="dxa"/>
            <w:tcBorders>
              <w:top w:val="single" w:sz="6" w:space="0" w:color="auto"/>
              <w:left w:val="single" w:sz="4"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w:t>
            </w:r>
          </w:p>
        </w:tc>
        <w:tc>
          <w:tcPr>
            <w:tcW w:w="658" w:type="dxa"/>
            <w:tcBorders>
              <w:top w:val="single" w:sz="6" w:space="0" w:color="auto"/>
              <w:left w:val="single" w:sz="6" w:space="0" w:color="auto"/>
              <w:bottom w:val="single" w:sz="6"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83,3</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jc w:val="both"/>
              <w:rPr>
                <w:rFonts w:asciiTheme="minorHAnsi" w:hAnsiTheme="minorHAnsi" w:cstheme="minorHAnsi"/>
              </w:rPr>
            </w:pPr>
            <w:r w:rsidRPr="006D5068">
              <w:rPr>
                <w:rFonts w:asciiTheme="minorHAnsi" w:hAnsiTheme="minorHAnsi" w:cstheme="minorHAnsi"/>
              </w:rPr>
              <w:t>Lubelskie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658" w:type="dxa"/>
            <w:tcBorders>
              <w:top w:val="single" w:sz="6" w:space="0" w:color="auto"/>
              <w:left w:val="single" w:sz="4"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658" w:type="dxa"/>
            <w:tcBorders>
              <w:top w:val="single" w:sz="6" w:space="0" w:color="auto"/>
              <w:left w:val="single" w:sz="6" w:space="0" w:color="auto"/>
              <w:bottom w:val="single" w:sz="6"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81,1</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jc w:val="both"/>
              <w:rPr>
                <w:rFonts w:asciiTheme="minorHAnsi" w:hAnsiTheme="minorHAnsi" w:cstheme="minorHAnsi"/>
              </w:rPr>
            </w:pPr>
            <w:r w:rsidRPr="006D5068">
              <w:rPr>
                <w:rFonts w:asciiTheme="minorHAnsi" w:hAnsiTheme="minorHAnsi" w:cstheme="minorHAnsi"/>
              </w:rPr>
              <w:t>Kujawsko-Pomorskie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w:t>
            </w:r>
          </w:p>
        </w:tc>
        <w:tc>
          <w:tcPr>
            <w:tcW w:w="658" w:type="dxa"/>
            <w:tcBorders>
              <w:top w:val="single" w:sz="6" w:space="0" w:color="auto"/>
              <w:left w:val="single" w:sz="4"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658" w:type="dxa"/>
            <w:tcBorders>
              <w:top w:val="single" w:sz="6" w:space="0" w:color="auto"/>
              <w:left w:val="single" w:sz="6" w:space="0" w:color="auto"/>
              <w:bottom w:val="single" w:sz="6"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80,4</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jc w:val="both"/>
              <w:rPr>
                <w:rFonts w:asciiTheme="minorHAnsi" w:hAnsiTheme="minorHAnsi" w:cstheme="minorHAnsi"/>
              </w:rPr>
            </w:pPr>
            <w:r w:rsidRPr="006D5068">
              <w:rPr>
                <w:rFonts w:asciiTheme="minorHAnsi" w:hAnsiTheme="minorHAnsi" w:cstheme="minorHAnsi"/>
              </w:rPr>
              <w:t>Zachodniopomorskie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w:t>
            </w:r>
          </w:p>
        </w:tc>
        <w:tc>
          <w:tcPr>
            <w:tcW w:w="658" w:type="dxa"/>
            <w:tcBorders>
              <w:top w:val="single" w:sz="6" w:space="0" w:color="auto"/>
              <w:left w:val="single" w:sz="4"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658" w:type="dxa"/>
            <w:tcBorders>
              <w:top w:val="single" w:sz="6" w:space="0" w:color="auto"/>
              <w:left w:val="single" w:sz="6" w:space="0" w:color="auto"/>
              <w:bottom w:val="single" w:sz="6"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78,1</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jc w:val="both"/>
              <w:rPr>
                <w:rFonts w:asciiTheme="minorHAnsi" w:hAnsiTheme="minorHAnsi" w:cstheme="minorHAnsi"/>
              </w:rPr>
            </w:pPr>
            <w:r w:rsidRPr="006D5068">
              <w:rPr>
                <w:rFonts w:asciiTheme="minorHAnsi" w:hAnsiTheme="minorHAnsi" w:cstheme="minorHAnsi"/>
              </w:rPr>
              <w:t>Podkarpackie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w:t>
            </w:r>
          </w:p>
        </w:tc>
        <w:tc>
          <w:tcPr>
            <w:tcW w:w="658" w:type="dxa"/>
            <w:tcBorders>
              <w:top w:val="single" w:sz="6" w:space="0" w:color="auto"/>
              <w:left w:val="single" w:sz="4"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w:t>
            </w:r>
          </w:p>
        </w:tc>
        <w:tc>
          <w:tcPr>
            <w:tcW w:w="658" w:type="dxa"/>
            <w:tcBorders>
              <w:top w:val="single" w:sz="6" w:space="0" w:color="auto"/>
              <w:left w:val="single" w:sz="6" w:space="0" w:color="auto"/>
              <w:bottom w:val="single" w:sz="6"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74,4</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jc w:val="both"/>
              <w:rPr>
                <w:rFonts w:asciiTheme="minorHAnsi" w:hAnsiTheme="minorHAnsi" w:cstheme="minorHAnsi"/>
              </w:rPr>
            </w:pPr>
            <w:r w:rsidRPr="006D5068">
              <w:rPr>
                <w:rFonts w:asciiTheme="minorHAnsi" w:hAnsiTheme="minorHAnsi" w:cstheme="minorHAnsi"/>
              </w:rPr>
              <w:t>Opolskie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w:t>
            </w:r>
          </w:p>
        </w:tc>
        <w:tc>
          <w:tcPr>
            <w:tcW w:w="658" w:type="dxa"/>
            <w:tcBorders>
              <w:top w:val="single" w:sz="6" w:space="0" w:color="auto"/>
              <w:left w:val="single" w:sz="4"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w:t>
            </w:r>
          </w:p>
        </w:tc>
        <w:tc>
          <w:tcPr>
            <w:tcW w:w="658" w:type="dxa"/>
            <w:tcBorders>
              <w:top w:val="single" w:sz="6" w:space="0" w:color="auto"/>
              <w:left w:val="single" w:sz="6" w:space="0" w:color="auto"/>
              <w:bottom w:val="single" w:sz="6"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72,0</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jc w:val="both"/>
              <w:rPr>
                <w:rFonts w:asciiTheme="minorHAnsi" w:hAnsiTheme="minorHAnsi" w:cstheme="minorHAnsi"/>
              </w:rPr>
            </w:pPr>
            <w:r w:rsidRPr="006D5068">
              <w:rPr>
                <w:rFonts w:asciiTheme="minorHAnsi" w:hAnsiTheme="minorHAnsi" w:cstheme="minorHAnsi"/>
              </w:rPr>
              <w:t>Warmin.-Mazurskie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15</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15</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15</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15</w:t>
            </w:r>
          </w:p>
        </w:tc>
        <w:tc>
          <w:tcPr>
            <w:tcW w:w="658" w:type="dxa"/>
            <w:tcBorders>
              <w:top w:val="single" w:sz="6" w:space="0" w:color="auto"/>
              <w:left w:val="single" w:sz="4"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15</w:t>
            </w:r>
          </w:p>
        </w:tc>
        <w:tc>
          <w:tcPr>
            <w:tcW w:w="658" w:type="dxa"/>
            <w:tcBorders>
              <w:top w:val="single" w:sz="6" w:space="0" w:color="auto"/>
              <w:left w:val="single" w:sz="6" w:space="0" w:color="auto"/>
              <w:bottom w:val="single" w:sz="6"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15</w:t>
            </w:r>
          </w:p>
        </w:tc>
        <w:tc>
          <w:tcPr>
            <w:tcW w:w="658" w:type="dxa"/>
            <w:tcBorders>
              <w:top w:val="single" w:sz="6" w:space="0" w:color="auto"/>
              <w:left w:val="single" w:sz="6" w:space="0" w:color="auto"/>
              <w:bottom w:val="single" w:sz="6"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15</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64,8</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15</w:t>
            </w:r>
          </w:p>
        </w:tc>
      </w:tr>
      <w:tr w:rsidR="002C38F8" w:rsidRPr="006D5068" w:rsidTr="000E4C07">
        <w:trPr>
          <w:trHeight w:hRule="exact" w:val="284"/>
        </w:trPr>
        <w:tc>
          <w:tcPr>
            <w:tcW w:w="2036"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jc w:val="both"/>
              <w:rPr>
                <w:rFonts w:asciiTheme="minorHAnsi" w:hAnsiTheme="minorHAnsi" w:cstheme="minorHAnsi"/>
              </w:rPr>
            </w:pPr>
            <w:r w:rsidRPr="006D5068">
              <w:rPr>
                <w:rFonts w:asciiTheme="minorHAnsi" w:hAnsiTheme="minorHAnsi" w:cstheme="minorHAnsi"/>
              </w:rPr>
              <w:t>Swietokrzyskie</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w:t>
            </w:r>
          </w:p>
        </w:tc>
        <w:tc>
          <w:tcPr>
            <w:tcW w:w="65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w:t>
            </w:r>
          </w:p>
        </w:tc>
        <w:tc>
          <w:tcPr>
            <w:tcW w:w="658" w:type="dxa"/>
            <w:tcBorders>
              <w:top w:val="single" w:sz="6" w:space="0" w:color="auto"/>
              <w:left w:val="single" w:sz="4" w:space="0" w:color="auto"/>
              <w:bottom w:val="single" w:sz="4"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15</w:t>
            </w:r>
          </w:p>
        </w:tc>
        <w:tc>
          <w:tcPr>
            <w:tcW w:w="658" w:type="dxa"/>
            <w:tcBorders>
              <w:top w:val="single" w:sz="6" w:space="0" w:color="auto"/>
              <w:left w:val="single" w:sz="6" w:space="0" w:color="auto"/>
              <w:bottom w:val="single" w:sz="4"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w:t>
            </w:r>
          </w:p>
        </w:tc>
        <w:tc>
          <w:tcPr>
            <w:tcW w:w="658" w:type="dxa"/>
            <w:tcBorders>
              <w:top w:val="single" w:sz="6" w:space="0" w:color="auto"/>
              <w:left w:val="single" w:sz="6" w:space="0" w:color="auto"/>
              <w:bottom w:val="single" w:sz="4"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w:t>
            </w:r>
          </w:p>
        </w:tc>
        <w:tc>
          <w:tcPr>
            <w:tcW w:w="658" w:type="dxa"/>
            <w:tcBorders>
              <w:top w:val="single" w:sz="6" w:space="0" w:color="auto"/>
              <w:left w:val="single" w:sz="6" w:space="0" w:color="auto"/>
              <w:bottom w:val="single" w:sz="4" w:space="0" w:color="auto"/>
              <w:right w:val="single" w:sz="6"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w:t>
            </w:r>
          </w:p>
        </w:tc>
        <w:tc>
          <w:tcPr>
            <w:tcW w:w="658" w:type="dxa"/>
            <w:tcBorders>
              <w:top w:val="single" w:sz="6" w:space="0" w:color="auto"/>
              <w:left w:val="single" w:sz="6"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w:t>
            </w:r>
          </w:p>
        </w:tc>
        <w:tc>
          <w:tcPr>
            <w:tcW w:w="71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62,7</w:t>
            </w:r>
          </w:p>
        </w:tc>
        <w:tc>
          <w:tcPr>
            <w:tcW w:w="59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w:t>
            </w:r>
          </w:p>
        </w:tc>
      </w:tr>
    </w:tbl>
    <w:p w:rsidR="002C38F8" w:rsidRPr="00B2209E" w:rsidRDefault="002C38F8" w:rsidP="00B2209E">
      <w:pPr>
        <w:keepNext/>
        <w:suppressLineNumbers/>
        <w:spacing w:after="0"/>
        <w:rPr>
          <w:rFonts w:asciiTheme="minorHAnsi" w:eastAsia="Calibri" w:hAnsiTheme="minorHAnsi" w:cstheme="minorHAnsi"/>
          <w:i/>
          <w:sz w:val="20"/>
          <w:szCs w:val="20"/>
        </w:rPr>
      </w:pPr>
      <w:r w:rsidRPr="00B2209E">
        <w:rPr>
          <w:rFonts w:asciiTheme="minorHAnsi" w:eastAsia="Calibri" w:hAnsiTheme="minorHAnsi" w:cstheme="minorHAnsi"/>
          <w:i/>
          <w:sz w:val="20"/>
          <w:szCs w:val="20"/>
        </w:rPr>
        <w:t>Poznámka: varianta udává, na kterou část indexu byla položena vyšší váha.</w:t>
      </w:r>
    </w:p>
    <w:p w:rsidR="00E23CFF" w:rsidRDefault="002C38F8" w:rsidP="00E23CFF">
      <w:pPr>
        <w:keepNext/>
        <w:suppressLineNumbers/>
        <w:spacing w:after="0"/>
        <w:jc w:val="center"/>
        <w:rPr>
          <w:rFonts w:asciiTheme="minorHAnsi" w:eastAsia="Calibri" w:hAnsiTheme="minorHAnsi" w:cstheme="minorHAnsi"/>
          <w:i/>
        </w:rPr>
      </w:pPr>
      <w:r w:rsidRPr="006D5068">
        <w:rPr>
          <w:rFonts w:asciiTheme="minorHAnsi" w:hAnsiTheme="minorHAnsi" w:cstheme="minorHAnsi"/>
          <w:i/>
        </w:rPr>
        <w:t xml:space="preserve">Pramen: </w:t>
      </w:r>
      <w:r w:rsidRPr="006D5068">
        <w:rPr>
          <w:rFonts w:asciiTheme="minorHAnsi" w:eastAsia="Calibri" w:hAnsiTheme="minorHAnsi" w:cstheme="minorHAnsi"/>
          <w:i/>
        </w:rPr>
        <w:t>Bronisz a kol., 2008.</w:t>
      </w:r>
    </w:p>
    <w:p w:rsidR="002C38F8" w:rsidRPr="00E23CFF" w:rsidRDefault="002C38F8" w:rsidP="00E23CFF">
      <w:pPr>
        <w:keepNext/>
        <w:suppressLineNumbers/>
        <w:spacing w:before="120"/>
        <w:ind w:firstLine="720"/>
        <w:jc w:val="both"/>
        <w:rPr>
          <w:rFonts w:asciiTheme="minorHAnsi" w:eastAsia="Calibri" w:hAnsiTheme="minorHAnsi" w:cstheme="minorHAnsi"/>
          <w:i/>
        </w:rPr>
      </w:pPr>
      <w:r w:rsidRPr="006D5068">
        <w:rPr>
          <w:rFonts w:eastAsia="Calibri"/>
          <w:sz w:val="24"/>
          <w:szCs w:val="24"/>
        </w:rPr>
        <w:t>Nejvíce konkurenceschopným regionem je Mazowieckie vojvodství, kde se nachází hlavní město Varšava. Další místa v pořadí konkurenceschopnosti zaujímají vojvodství, Slaskie, Malopolskie a Dolnoslaskie, které se nacházejí v jižní části Polska. Mezi nejméně konkurenceschopné pak patří vojvodství Warminsko-Mazurskie a Podkarpackie, jejichž slabá výkonnost je dána zemědělským charakterem, nízkou úrovní inovací a také blízkostí hranic s méně vyspělými zeměmi (Bělorusko, Ukrajina, Rusko).</w:t>
      </w:r>
    </w:p>
    <w:p w:rsidR="002C38F8" w:rsidRPr="006D5068" w:rsidRDefault="002C38F8" w:rsidP="00E23CFF">
      <w:pPr>
        <w:keepNext/>
        <w:suppressLineNumbers/>
        <w:jc w:val="both"/>
        <w:rPr>
          <w:rFonts w:eastAsia="Calibri"/>
          <w:b/>
          <w:sz w:val="24"/>
          <w:szCs w:val="24"/>
        </w:rPr>
      </w:pPr>
      <w:r w:rsidRPr="006D5068">
        <w:rPr>
          <w:rFonts w:eastAsia="Calibri"/>
          <w:b/>
          <w:sz w:val="24"/>
          <w:szCs w:val="24"/>
        </w:rPr>
        <w:t>Index konkurenceschopnosti maďarských regionů</w:t>
      </w:r>
    </w:p>
    <w:p w:rsidR="002C38F8" w:rsidRPr="006D5068" w:rsidRDefault="002C38F8" w:rsidP="002C38F8">
      <w:pPr>
        <w:keepNext/>
        <w:suppressLineNumbers/>
        <w:spacing w:after="100"/>
        <w:ind w:firstLine="720"/>
        <w:jc w:val="both"/>
        <w:rPr>
          <w:rFonts w:eastAsia="Calibri"/>
          <w:sz w:val="24"/>
          <w:szCs w:val="24"/>
        </w:rPr>
      </w:pPr>
      <w:r w:rsidRPr="006D5068">
        <w:rPr>
          <w:rFonts w:eastAsia="Calibri"/>
          <w:sz w:val="24"/>
          <w:szCs w:val="24"/>
        </w:rPr>
        <w:t xml:space="preserve">Maďarské hodnocení konkurenceschopnosti regionů (Barna, 2007) vyjadřuje myšlenku, že konkurenceschopnost nelze měřit pouze prostřednictvím HDP na obyv., ale že je třeba do hodnocení zahrnout i ukazatele charakterizující kvalitu života. Hodnocení konkurenceschopnosti bylo provedeno za rok 2003 a zaměřilo se na maďarské župy (regiony NUTS 3) i regiony soudržnosti (NUTS 2).  V prvním kroku bylo vybráno 17 potenciálních ukazatelů. Tyto ukazatele vychází z rozhodnutí parlamentu, </w:t>
      </w:r>
      <w:r w:rsidR="007F79BC">
        <w:rPr>
          <w:rFonts w:eastAsia="Calibri"/>
          <w:sz w:val="24"/>
          <w:szCs w:val="24"/>
        </w:rPr>
        <w:t>které definuje 17 ukazatelů pro </w:t>
      </w:r>
      <w:r w:rsidRPr="006D5068">
        <w:rPr>
          <w:rFonts w:eastAsia="Calibri"/>
          <w:sz w:val="24"/>
          <w:szCs w:val="24"/>
        </w:rPr>
        <w:t xml:space="preserve">hodnocení socioekonomické vyspělosti regionů (toto hodnocení bylo původně vytvořeno pro účely přidělování dotací na regionální rozvoj). Celková konkurenceschopnost je hodnocena prostřednictvím agregovaného regionálního indexu konkurenceschopnosti (ARC), který se skládá z objektivního (ORC) a </w:t>
      </w:r>
      <w:r w:rsidR="00F1759C">
        <w:rPr>
          <w:rFonts w:eastAsia="Calibri"/>
          <w:sz w:val="24"/>
          <w:szCs w:val="24"/>
        </w:rPr>
        <w:t xml:space="preserve">subjektivního (SRC) </w:t>
      </w:r>
      <w:r w:rsidRPr="006D5068">
        <w:rPr>
          <w:rFonts w:eastAsia="Calibri"/>
          <w:sz w:val="24"/>
          <w:szCs w:val="24"/>
        </w:rPr>
        <w:t>indexu konkurenceschopnosti:</w:t>
      </w:r>
    </w:p>
    <w:p w:rsidR="002C38F8" w:rsidRPr="006D5068" w:rsidRDefault="002C38F8" w:rsidP="00B2209E">
      <w:pPr>
        <w:keepNext/>
        <w:suppressLineNumbers/>
        <w:spacing w:after="0"/>
        <w:jc w:val="center"/>
        <w:rPr>
          <w:rFonts w:eastAsia="Calibri"/>
          <w:sz w:val="24"/>
          <w:szCs w:val="24"/>
        </w:rPr>
      </w:pPr>
      <w:r w:rsidRPr="006D5068">
        <w:rPr>
          <w:rFonts w:eastAsia="Calibri"/>
          <w:sz w:val="24"/>
          <w:szCs w:val="24"/>
        </w:rPr>
        <w:t>ARC = ORC + SRC</w:t>
      </w:r>
    </w:p>
    <w:p w:rsidR="002C38F8" w:rsidRPr="006D5068" w:rsidRDefault="002C38F8" w:rsidP="00E23CFF">
      <w:pPr>
        <w:keepNext/>
        <w:suppressLineNumbers/>
        <w:spacing w:before="120" w:after="120"/>
        <w:ind w:firstLine="720"/>
        <w:jc w:val="both"/>
        <w:rPr>
          <w:rFonts w:eastAsia="Calibri"/>
          <w:sz w:val="24"/>
          <w:szCs w:val="24"/>
        </w:rPr>
      </w:pPr>
      <w:r w:rsidRPr="006D5068">
        <w:rPr>
          <w:rFonts w:eastAsia="Calibri"/>
          <w:sz w:val="24"/>
          <w:szCs w:val="24"/>
        </w:rPr>
        <w:t>Ukazatele zahrnuté do výpočtu ORC indexu byly z</w:t>
      </w:r>
      <w:r w:rsidR="007F79BC">
        <w:rPr>
          <w:rFonts w:eastAsia="Calibri"/>
          <w:sz w:val="24"/>
          <w:szCs w:val="24"/>
        </w:rPr>
        <w:t>ískány tak, že zmíněných 17 </w:t>
      </w:r>
      <w:r w:rsidRPr="006D5068">
        <w:rPr>
          <w:rFonts w:eastAsia="Calibri"/>
          <w:sz w:val="24"/>
          <w:szCs w:val="24"/>
        </w:rPr>
        <w:t xml:space="preserve">ukazatelů bylo korelováno s HDP/obyv. a zvoleny byly ty ukazatele, jejichž korelační koeficient byl alespoň ve dvou letech vyšší než 0,7 (při hladině významnosti 0,05). Váha </w:t>
      </w:r>
      <w:r w:rsidRPr="006D5068">
        <w:rPr>
          <w:rFonts w:eastAsia="Calibri"/>
          <w:sz w:val="24"/>
          <w:szCs w:val="24"/>
        </w:rPr>
        <w:lastRenderedPageBreak/>
        <w:t xml:space="preserve">jednotlivým ukazatelům byla přiřazena podle výše korelačního koeficientu v roce 2003. Index ORC tak zahrnuje ukazatele, které mají těsný vztah k HDP a má tedy následující podobu: </w:t>
      </w:r>
    </w:p>
    <w:p w:rsidR="002C38F8" w:rsidRPr="006D5068" w:rsidRDefault="002C38F8" w:rsidP="000E4C07">
      <w:pPr>
        <w:keepNext/>
        <w:suppressLineNumbers/>
        <w:spacing w:after="120"/>
        <w:jc w:val="center"/>
        <w:rPr>
          <w:rFonts w:eastAsia="Calibri"/>
          <w:sz w:val="24"/>
          <w:szCs w:val="24"/>
        </w:rPr>
      </w:pPr>
      <w:r w:rsidRPr="006D5068">
        <w:rPr>
          <w:rFonts w:eastAsia="Calibri"/>
          <w:sz w:val="24"/>
          <w:szCs w:val="24"/>
        </w:rPr>
        <w:t>ORC = 0,948 E +</w:t>
      </w:r>
      <w:r w:rsidR="008C7D62">
        <w:rPr>
          <w:rFonts w:eastAsia="Calibri"/>
          <w:sz w:val="24"/>
          <w:szCs w:val="24"/>
        </w:rPr>
        <w:t xml:space="preserve"> 0,893 PD + 0,803 DG + 0,780 C -</w:t>
      </w:r>
      <w:r w:rsidRPr="006D5068">
        <w:rPr>
          <w:rFonts w:eastAsia="Calibri"/>
          <w:sz w:val="24"/>
          <w:szCs w:val="24"/>
        </w:rPr>
        <w:t xml:space="preserve"> 0,721 U + 0,712 P,</w:t>
      </w:r>
    </w:p>
    <w:p w:rsidR="002C38F8" w:rsidRPr="006D5068" w:rsidRDefault="002C38F8" w:rsidP="002C38F8">
      <w:pPr>
        <w:keepNext/>
        <w:suppressLineNumbers/>
        <w:spacing w:before="100" w:after="0"/>
        <w:jc w:val="both"/>
        <w:rPr>
          <w:rFonts w:eastAsia="Calibri"/>
          <w:sz w:val="24"/>
          <w:szCs w:val="24"/>
        </w:rPr>
      </w:pPr>
      <w:r w:rsidRPr="006D5068">
        <w:rPr>
          <w:rFonts w:eastAsia="Calibri"/>
          <w:sz w:val="24"/>
          <w:szCs w:val="24"/>
        </w:rPr>
        <w:t>kde E = aktivní podniky (na 1000 obyv.), PD = hustota zalidnění</w:t>
      </w:r>
      <w:r w:rsidR="007F79BC">
        <w:rPr>
          <w:rFonts w:eastAsia="Calibri"/>
          <w:sz w:val="24"/>
          <w:szCs w:val="24"/>
        </w:rPr>
        <w:t>, DG = délka kanalizace na 1 </w:t>
      </w:r>
      <w:r w:rsidRPr="006D5068">
        <w:rPr>
          <w:rFonts w:eastAsia="Calibri"/>
          <w:sz w:val="24"/>
          <w:szCs w:val="24"/>
        </w:rPr>
        <w:t>km vodovodního potrubí (%), C = počet automobilů (na 1000 obyv.), U = míra nezaměstnanosti (%), P = počet obyvatel.</w:t>
      </w:r>
    </w:p>
    <w:p w:rsidR="002C38F8" w:rsidRPr="006D5068" w:rsidRDefault="002C38F8" w:rsidP="000E4C07">
      <w:pPr>
        <w:keepNext/>
        <w:suppressLineNumbers/>
        <w:spacing w:before="200" w:after="120"/>
        <w:ind w:firstLine="720"/>
        <w:jc w:val="both"/>
        <w:rPr>
          <w:rFonts w:eastAsia="Calibri"/>
          <w:sz w:val="24"/>
          <w:szCs w:val="24"/>
        </w:rPr>
      </w:pPr>
      <w:r w:rsidRPr="006D5068">
        <w:rPr>
          <w:rFonts w:eastAsia="Calibri"/>
          <w:sz w:val="24"/>
          <w:szCs w:val="24"/>
        </w:rPr>
        <w:t>Ukazatele a váhy pro index SRC byly zvoleny na zá</w:t>
      </w:r>
      <w:r w:rsidR="007F79BC">
        <w:rPr>
          <w:rFonts w:eastAsia="Calibri"/>
          <w:sz w:val="24"/>
          <w:szCs w:val="24"/>
        </w:rPr>
        <w:t>kladě dotazníkového šetření, do </w:t>
      </w:r>
      <w:r w:rsidRPr="006D5068">
        <w:rPr>
          <w:rFonts w:eastAsia="Calibri"/>
          <w:sz w:val="24"/>
          <w:szCs w:val="24"/>
        </w:rPr>
        <w:t>kterého bylo zapojeno 1051 zástupců regionů i státu, kteří posuzovali pořadí 17 ukazatelů z hlediska jejich významnosti pro konkurenceschopnost. Výsledné hodnocení každého ukazatele se pohybovalo v rozmezí 0 až 1, přičemž do SRC indexu byly vybrány ukazatele s hodnocením 0,7 a vyšším, což současně představovalo váhu těchto ukazatelů. Výsledná podoba SRC je následující:</w:t>
      </w:r>
    </w:p>
    <w:p w:rsidR="002C38F8" w:rsidRPr="006D5068" w:rsidRDefault="002C38F8" w:rsidP="000E4C07">
      <w:pPr>
        <w:keepNext/>
        <w:suppressLineNumbers/>
        <w:spacing w:after="120"/>
        <w:jc w:val="center"/>
        <w:rPr>
          <w:rFonts w:eastAsia="Calibri"/>
          <w:sz w:val="24"/>
          <w:szCs w:val="24"/>
        </w:rPr>
      </w:pPr>
      <w:r w:rsidRPr="006D5068">
        <w:rPr>
          <w:rFonts w:eastAsia="Calibri"/>
          <w:sz w:val="24"/>
          <w:szCs w:val="24"/>
        </w:rPr>
        <w:t xml:space="preserve">SRC = 0,916 E + </w:t>
      </w:r>
      <w:r w:rsidR="008C7D62">
        <w:rPr>
          <w:rFonts w:eastAsia="Calibri"/>
          <w:sz w:val="24"/>
          <w:szCs w:val="24"/>
        </w:rPr>
        <w:t>0,768 FB + 0,745 LB + 0,740 RU -</w:t>
      </w:r>
      <w:r w:rsidRPr="006D5068">
        <w:rPr>
          <w:rFonts w:eastAsia="Calibri"/>
          <w:sz w:val="24"/>
          <w:szCs w:val="24"/>
        </w:rPr>
        <w:t xml:space="preserve"> 0,717 LU + 0,712 FW,</w:t>
      </w:r>
    </w:p>
    <w:p w:rsidR="002C38F8" w:rsidRPr="006D5068" w:rsidRDefault="002C38F8" w:rsidP="002C38F8">
      <w:pPr>
        <w:keepNext/>
        <w:suppressLineNumbers/>
        <w:spacing w:before="100"/>
        <w:jc w:val="both"/>
        <w:rPr>
          <w:rFonts w:eastAsia="Calibri"/>
          <w:sz w:val="24"/>
          <w:szCs w:val="24"/>
        </w:rPr>
      </w:pPr>
      <w:r w:rsidRPr="006D5068">
        <w:rPr>
          <w:rFonts w:eastAsia="Calibri"/>
          <w:sz w:val="24"/>
          <w:szCs w:val="24"/>
        </w:rPr>
        <w:t>kde E= aktivní podniky (na 1000 obyv.), FB = výstavba b</w:t>
      </w:r>
      <w:r w:rsidR="007F79BC">
        <w:rPr>
          <w:rFonts w:eastAsia="Calibri"/>
          <w:sz w:val="24"/>
          <w:szCs w:val="24"/>
        </w:rPr>
        <w:t>ytů (%), LB = živě narození (na </w:t>
      </w:r>
      <w:r w:rsidRPr="006D5068">
        <w:rPr>
          <w:rFonts w:eastAsia="Calibri"/>
          <w:sz w:val="24"/>
          <w:szCs w:val="24"/>
        </w:rPr>
        <w:t>1000 obyv.), RU = maloobchodní jednotky (na 1000 obyv.), LU = dlouhodobá nezaměstnanost (%), FW = byty připojené na vodovod (%).</w:t>
      </w:r>
    </w:p>
    <w:p w:rsidR="002C38F8" w:rsidRPr="006D5068" w:rsidRDefault="002C38F8" w:rsidP="00E23CFF">
      <w:pPr>
        <w:keepNext/>
        <w:suppressLineNumbers/>
        <w:spacing w:after="120"/>
        <w:ind w:firstLine="720"/>
        <w:jc w:val="both"/>
        <w:rPr>
          <w:rFonts w:eastAsia="Calibri"/>
          <w:color w:val="FF0000"/>
          <w:sz w:val="24"/>
          <w:szCs w:val="24"/>
        </w:rPr>
      </w:pPr>
      <w:r w:rsidRPr="006D5068">
        <w:rPr>
          <w:rFonts w:eastAsia="Calibri"/>
          <w:sz w:val="24"/>
          <w:szCs w:val="24"/>
        </w:rPr>
        <w:t>Z tabulky je patrné, že nejvíce konkurenceschopné jsou župy Budapest,</w:t>
      </w:r>
      <w:r w:rsidR="001D5D6A">
        <w:rPr>
          <w:rFonts w:eastAsia="Calibri"/>
          <w:sz w:val="24"/>
          <w:szCs w:val="24"/>
        </w:rPr>
        <w:t xml:space="preserve"> Györ-Moson-Sopron (nacházející </w:t>
      </w:r>
      <w:proofErr w:type="gramStart"/>
      <w:r w:rsidR="001D5D6A">
        <w:rPr>
          <w:rFonts w:eastAsia="Calibri"/>
          <w:sz w:val="24"/>
          <w:szCs w:val="24"/>
        </w:rPr>
        <w:t>se</w:t>
      </w:r>
      <w:proofErr w:type="gramEnd"/>
      <w:r w:rsidR="001D5D6A">
        <w:rPr>
          <w:rFonts w:eastAsia="Calibri"/>
          <w:sz w:val="24"/>
          <w:szCs w:val="24"/>
        </w:rPr>
        <w:t xml:space="preserve"> </w:t>
      </w:r>
      <w:r w:rsidRPr="006D5068">
        <w:rPr>
          <w:rFonts w:eastAsia="Calibri"/>
          <w:sz w:val="24"/>
          <w:szCs w:val="24"/>
        </w:rPr>
        <w:t>v sousedství Rakouska a Slovenska) a Komárom-Esztergom (sousedící se Slovenskem). K nejméně konkurenceschopným župám pak patří župy Nógrád (lokalizovaná v severní část země) a Békés (sousedící s Rumunskem). Výsledné pořadí konkurenceschopnosti ve velké míře odpovídá výši HDP/obyv. v jednotlivých regionech.</w:t>
      </w:r>
    </w:p>
    <w:p w:rsidR="002C38F8" w:rsidRPr="006D5068" w:rsidRDefault="002C38F8" w:rsidP="006B61FE">
      <w:pPr>
        <w:pStyle w:val="0T-Titulek"/>
        <w:rPr>
          <w:rFonts w:eastAsia="Calibri"/>
        </w:rPr>
      </w:pPr>
      <w:bookmarkStart w:id="139" w:name="_Toc382326465"/>
      <w:r w:rsidRPr="006D5068">
        <w:rPr>
          <w:rFonts w:eastAsia="Calibri"/>
        </w:rPr>
        <w:t>Tabulka 38: Konkurenceschopnost maďarských žup</w:t>
      </w:r>
      <w:bookmarkEnd w:id="139"/>
    </w:p>
    <w:tbl>
      <w:tblPr>
        <w:tblStyle w:val="Mkatabulky14"/>
        <w:tblW w:w="0" w:type="auto"/>
        <w:tblLook w:val="04A0" w:firstRow="1" w:lastRow="0" w:firstColumn="1" w:lastColumn="0" w:noHBand="0" w:noVBand="1"/>
      </w:tblPr>
      <w:tblGrid>
        <w:gridCol w:w="2268"/>
        <w:gridCol w:w="999"/>
        <w:gridCol w:w="999"/>
        <w:gridCol w:w="999"/>
        <w:gridCol w:w="939"/>
        <w:gridCol w:w="60"/>
        <w:gridCol w:w="999"/>
        <w:gridCol w:w="249"/>
        <w:gridCol w:w="750"/>
        <w:gridCol w:w="1001"/>
      </w:tblGrid>
      <w:tr w:rsidR="002C38F8" w:rsidRPr="006D5068" w:rsidTr="00B2209E">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ind w:left="-57" w:right="-57"/>
              <w:rPr>
                <w:rFonts w:asciiTheme="minorHAnsi" w:hAnsiTheme="minorHAnsi" w:cstheme="minorHAnsi"/>
                <w:b/>
              </w:rPr>
            </w:pPr>
            <w:r w:rsidRPr="006D5068">
              <w:rPr>
                <w:rFonts w:asciiTheme="minorHAnsi" w:hAnsiTheme="minorHAnsi" w:cstheme="minorHAnsi"/>
                <w:b/>
              </w:rPr>
              <w:t>Župa (region NUTS 3)</w:t>
            </w:r>
          </w:p>
        </w:tc>
        <w:tc>
          <w:tcPr>
            <w:tcW w:w="1998" w:type="dxa"/>
            <w:gridSpan w:val="2"/>
            <w:tcBorders>
              <w:top w:val="single" w:sz="4" w:space="0" w:color="auto"/>
              <w:left w:val="single" w:sz="4" w:space="0" w:color="auto"/>
              <w:bottom w:val="nil"/>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p>
        </w:tc>
        <w:tc>
          <w:tcPr>
            <w:tcW w:w="1938" w:type="dxa"/>
            <w:gridSpan w:val="2"/>
            <w:tcBorders>
              <w:top w:val="single" w:sz="4" w:space="0" w:color="auto"/>
              <w:left w:val="single" w:sz="4" w:space="0" w:color="auto"/>
              <w:bottom w:val="nil"/>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p>
        </w:tc>
        <w:tc>
          <w:tcPr>
            <w:tcW w:w="1308" w:type="dxa"/>
            <w:gridSpan w:val="3"/>
            <w:tcBorders>
              <w:top w:val="single" w:sz="4" w:space="0" w:color="auto"/>
              <w:left w:val="single" w:sz="4" w:space="0" w:color="auto"/>
              <w:bottom w:val="nil"/>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p>
        </w:tc>
        <w:tc>
          <w:tcPr>
            <w:tcW w:w="1751" w:type="dxa"/>
            <w:gridSpan w:val="2"/>
            <w:tcBorders>
              <w:top w:val="single" w:sz="4" w:space="0" w:color="auto"/>
              <w:left w:val="single" w:sz="4" w:space="0" w:color="auto"/>
              <w:bottom w:val="nil"/>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p>
        </w:tc>
      </w:tr>
      <w:tr w:rsidR="002C38F8" w:rsidRPr="006D5068" w:rsidTr="00E23CFF">
        <w:trPr>
          <w:trHeight w:hRule="exact" w:val="284"/>
        </w:trPr>
        <w:tc>
          <w:tcPr>
            <w:tcW w:w="0" w:type="auto"/>
            <w:vMerge/>
            <w:tcBorders>
              <w:top w:val="single" w:sz="4" w:space="0" w:color="auto"/>
              <w:left w:val="single" w:sz="4" w:space="0" w:color="auto"/>
              <w:bottom w:val="single" w:sz="4" w:space="0" w:color="auto"/>
              <w:right w:val="single" w:sz="2" w:space="0" w:color="auto"/>
            </w:tcBorders>
            <w:vAlign w:val="center"/>
          </w:tcPr>
          <w:p w:rsidR="002C38F8" w:rsidRPr="006D5068" w:rsidRDefault="002C38F8" w:rsidP="00B2209E">
            <w:pPr>
              <w:keepNext/>
              <w:suppressLineNumbers/>
              <w:ind w:left="-57" w:right="-57"/>
              <w:rPr>
                <w:rFonts w:asciiTheme="minorHAnsi" w:hAnsiTheme="minorHAnsi" w:cstheme="minorHAnsi"/>
                <w:b/>
              </w:rPr>
            </w:pPr>
          </w:p>
        </w:tc>
        <w:tc>
          <w:tcPr>
            <w:tcW w:w="1998" w:type="dxa"/>
            <w:gridSpan w:val="2"/>
            <w:tcBorders>
              <w:top w:val="nil"/>
              <w:left w:val="single" w:sz="2" w:space="0" w:color="auto"/>
              <w:bottom w:val="single" w:sz="2" w:space="0" w:color="auto"/>
              <w:right w:val="single" w:sz="2" w:space="0" w:color="auto"/>
            </w:tcBorders>
            <w:vAlign w:val="center"/>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ARC</w:t>
            </w:r>
          </w:p>
        </w:tc>
        <w:tc>
          <w:tcPr>
            <w:tcW w:w="1998" w:type="dxa"/>
            <w:gridSpan w:val="3"/>
            <w:tcBorders>
              <w:top w:val="nil"/>
              <w:left w:val="single" w:sz="2" w:space="0" w:color="auto"/>
              <w:bottom w:val="single" w:sz="2" w:space="0" w:color="auto"/>
              <w:right w:val="single" w:sz="2" w:space="0" w:color="auto"/>
            </w:tcBorders>
            <w:vAlign w:val="center"/>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ORC</w:t>
            </w:r>
          </w:p>
        </w:tc>
        <w:tc>
          <w:tcPr>
            <w:tcW w:w="1998" w:type="dxa"/>
            <w:gridSpan w:val="3"/>
            <w:tcBorders>
              <w:top w:val="nil"/>
              <w:left w:val="single" w:sz="2" w:space="0" w:color="auto"/>
              <w:bottom w:val="single" w:sz="2" w:space="0" w:color="auto"/>
              <w:right w:val="single" w:sz="2" w:space="0" w:color="auto"/>
            </w:tcBorders>
            <w:vAlign w:val="center"/>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SRC</w:t>
            </w:r>
          </w:p>
        </w:tc>
        <w:tc>
          <w:tcPr>
            <w:tcW w:w="1001" w:type="dxa"/>
            <w:tcBorders>
              <w:top w:val="nil"/>
              <w:left w:val="single" w:sz="2" w:space="0" w:color="auto"/>
              <w:bottom w:val="single" w:sz="2" w:space="0" w:color="auto"/>
              <w:right w:val="single" w:sz="2" w:space="0" w:color="auto"/>
            </w:tcBorders>
            <w:vAlign w:val="center"/>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HDP/ob.</w:t>
            </w:r>
          </w:p>
        </w:tc>
      </w:tr>
      <w:tr w:rsidR="002C38F8" w:rsidRPr="006D5068" w:rsidTr="00E23CFF">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ind w:left="-57" w:right="-57"/>
              <w:rPr>
                <w:rFonts w:asciiTheme="minorHAnsi" w:hAnsiTheme="minorHAnsi" w:cstheme="minorHAnsi"/>
                <w:b/>
              </w:rPr>
            </w:pPr>
          </w:p>
        </w:tc>
        <w:tc>
          <w:tcPr>
            <w:tcW w:w="999" w:type="dxa"/>
            <w:tcBorders>
              <w:top w:val="single" w:sz="2"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pořadí</w:t>
            </w:r>
          </w:p>
        </w:tc>
        <w:tc>
          <w:tcPr>
            <w:tcW w:w="999" w:type="dxa"/>
            <w:tcBorders>
              <w:top w:val="single" w:sz="2"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index</w:t>
            </w:r>
          </w:p>
        </w:tc>
        <w:tc>
          <w:tcPr>
            <w:tcW w:w="999" w:type="dxa"/>
            <w:tcBorders>
              <w:top w:val="single" w:sz="2"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pořadí</w:t>
            </w:r>
          </w:p>
        </w:tc>
        <w:tc>
          <w:tcPr>
            <w:tcW w:w="999" w:type="dxa"/>
            <w:gridSpan w:val="2"/>
            <w:tcBorders>
              <w:top w:val="single" w:sz="2"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index</w:t>
            </w:r>
          </w:p>
        </w:tc>
        <w:tc>
          <w:tcPr>
            <w:tcW w:w="999" w:type="dxa"/>
            <w:tcBorders>
              <w:top w:val="single" w:sz="2"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pořadí</w:t>
            </w:r>
          </w:p>
        </w:tc>
        <w:tc>
          <w:tcPr>
            <w:tcW w:w="999" w:type="dxa"/>
            <w:gridSpan w:val="2"/>
            <w:tcBorders>
              <w:top w:val="single" w:sz="2"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index</w:t>
            </w:r>
          </w:p>
        </w:tc>
        <w:tc>
          <w:tcPr>
            <w:tcW w:w="1001" w:type="dxa"/>
            <w:tcBorders>
              <w:top w:val="single" w:sz="2"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pořadí</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Budapest</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3,951</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2,143</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1,808</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Györ-Moson-Sopron</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2,430</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0,895</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1,535</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Komárom-Esztergom</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2,301</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0,879</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1,444</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Pest</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2,285</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0,810</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1,476</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Zala</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2,178</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0,689</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1,491</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Veszprém</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2,065</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0,584</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1,482</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Fejér</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2,036</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0,662</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1,374</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Vas</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2,001</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0,588</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1,413</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Heves</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1,953</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0,635</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1,319</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Tolna</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923F83" w:rsidP="00B2209E">
            <w:pPr>
              <w:keepNext/>
              <w:suppressLineNumbers/>
              <w:jc w:val="center"/>
              <w:rPr>
                <w:rFonts w:asciiTheme="minorHAnsi" w:hAnsiTheme="minorHAnsi" w:cstheme="minorHAnsi"/>
              </w:rPr>
            </w:pPr>
            <w:r>
              <w:rPr>
                <w:rFonts w:asciiTheme="minorHAnsi" w:hAnsiTheme="minorHAnsi" w:cstheme="minorHAnsi"/>
              </w:rPr>
              <w:t>10–</w:t>
            </w:r>
            <w:r w:rsidR="002C38F8" w:rsidRPr="006D5068">
              <w:rPr>
                <w:rFonts w:asciiTheme="minorHAnsi" w:hAnsiTheme="minorHAnsi" w:cstheme="minorHAnsi"/>
              </w:rPr>
              <w:t>11</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1,916</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0,562</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1,354</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Baranya</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923F83" w:rsidP="00B2209E">
            <w:pPr>
              <w:keepNext/>
              <w:suppressLineNumbers/>
              <w:jc w:val="center"/>
              <w:rPr>
                <w:rFonts w:asciiTheme="minorHAnsi" w:hAnsiTheme="minorHAnsi" w:cstheme="minorHAnsi"/>
              </w:rPr>
            </w:pPr>
            <w:r>
              <w:rPr>
                <w:rFonts w:asciiTheme="minorHAnsi" w:hAnsiTheme="minorHAnsi" w:cstheme="minorHAnsi"/>
              </w:rPr>
              <w:t>10–</w:t>
            </w:r>
            <w:r w:rsidR="002C38F8" w:rsidRPr="006D5068">
              <w:rPr>
                <w:rFonts w:asciiTheme="minorHAnsi" w:hAnsiTheme="minorHAnsi" w:cstheme="minorHAnsi"/>
              </w:rPr>
              <w:t>11</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1,916</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0,523</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1,393</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Somogy</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1,901</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18</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0,458</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1,422</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15</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Csongrád</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1,870</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0,500</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1,370</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Szabolcs-Szatmár-Bereg</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1,862</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0,567</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1,292</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20</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Jász-Nagykun-Szolnok</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15</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1,855</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0,577</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17</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1,278</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Hajdú-Bihar</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1,832</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17</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0,486</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1,346</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Bács-Kiskun</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17</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1,748</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19</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0,450</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15</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1,298</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Borsod-Abaúj-Zemplén</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18</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1,692</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0,582</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20</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1,110</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17</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Békés</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19</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1,677</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20</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0,440</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18</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1,238</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18</w:t>
            </w:r>
          </w:p>
        </w:tc>
      </w:tr>
      <w:tr w:rsidR="002C38F8" w:rsidRPr="006D5068" w:rsidTr="00E23CFF">
        <w:trPr>
          <w:trHeight w:hRule="exact" w:val="255"/>
        </w:trPr>
        <w:tc>
          <w:tcPr>
            <w:tcW w:w="2268"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Nógrád</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20</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1,670</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15</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0,516</w:t>
            </w:r>
          </w:p>
        </w:tc>
        <w:tc>
          <w:tcPr>
            <w:tcW w:w="99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19</w:t>
            </w:r>
          </w:p>
        </w:tc>
        <w:tc>
          <w:tcPr>
            <w:tcW w:w="99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1,155</w:t>
            </w:r>
          </w:p>
        </w:tc>
        <w:tc>
          <w:tcPr>
            <w:tcW w:w="100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19</w:t>
            </w:r>
          </w:p>
        </w:tc>
      </w:tr>
    </w:tbl>
    <w:p w:rsidR="002C38F8" w:rsidRPr="006D5068" w:rsidRDefault="002C38F8" w:rsidP="002C38F8">
      <w:pPr>
        <w:keepNext/>
        <w:suppressLineNumbers/>
        <w:jc w:val="center"/>
        <w:rPr>
          <w:rFonts w:asciiTheme="minorHAnsi" w:eastAsia="Calibri" w:hAnsiTheme="minorHAnsi" w:cstheme="minorHAnsi"/>
          <w:i/>
        </w:rPr>
      </w:pPr>
      <w:r w:rsidRPr="006D5068">
        <w:rPr>
          <w:rFonts w:asciiTheme="minorHAnsi" w:hAnsiTheme="minorHAnsi" w:cstheme="minorHAnsi"/>
          <w:i/>
        </w:rPr>
        <w:t xml:space="preserve">Pramen: </w:t>
      </w:r>
      <w:r w:rsidRPr="006D5068">
        <w:rPr>
          <w:rFonts w:asciiTheme="minorHAnsi" w:eastAsia="Calibri" w:hAnsiTheme="minorHAnsi" w:cstheme="minorHAnsi"/>
          <w:i/>
        </w:rPr>
        <w:t>Barna, 2007.</w:t>
      </w:r>
    </w:p>
    <w:p w:rsidR="002C38F8" w:rsidRPr="006D5068" w:rsidRDefault="002C38F8" w:rsidP="00E23CFF">
      <w:pPr>
        <w:keepNext/>
        <w:suppressLineNumbers/>
        <w:spacing w:after="120"/>
        <w:ind w:firstLine="720"/>
        <w:jc w:val="both"/>
        <w:rPr>
          <w:rFonts w:eastAsia="Calibri"/>
          <w:color w:val="FF0000"/>
          <w:sz w:val="24"/>
          <w:szCs w:val="24"/>
        </w:rPr>
      </w:pPr>
      <w:r w:rsidRPr="006D5068">
        <w:rPr>
          <w:rFonts w:eastAsia="Calibri"/>
          <w:sz w:val="24"/>
          <w:szCs w:val="24"/>
        </w:rPr>
        <w:lastRenderedPageBreak/>
        <w:t>I při hodnocení na úrovni NUTS 2 se jako nejvíce konkurenceschopný jeví region hlavního města  Budapest Central Hungary (Közép-Magyarország), následovaný západním regionem West Transdanubia (Nyugat-Dunántúl s městem Győr). Jako nejméně konkurenceschopné pak byly vyhodnoceny regiony North Hungary (</w:t>
      </w:r>
      <w:r w:rsidR="007F79BC">
        <w:rPr>
          <w:rFonts w:eastAsia="Calibri"/>
          <w:sz w:val="24"/>
          <w:szCs w:val="24"/>
        </w:rPr>
        <w:t>Észak-Magyarország, s </w:t>
      </w:r>
      <w:r w:rsidRPr="006D5068">
        <w:rPr>
          <w:rFonts w:eastAsia="Calibri"/>
          <w:sz w:val="24"/>
          <w:szCs w:val="24"/>
        </w:rPr>
        <w:t>městem Miskolc) a Northern Great Plain (Észak-Alföld, s městem Debrecen). Agregátní konkurenceschopnost se i v tomto případě shoduje s pořadím regionů dle HDP.</w:t>
      </w:r>
    </w:p>
    <w:p w:rsidR="002C38F8" w:rsidRPr="001D5D6A" w:rsidRDefault="002C38F8" w:rsidP="006B61FE">
      <w:pPr>
        <w:pStyle w:val="0T-Titulek"/>
        <w:rPr>
          <w:rFonts w:eastAsia="Calibri"/>
        </w:rPr>
      </w:pPr>
      <w:bookmarkStart w:id="140" w:name="_Toc382326466"/>
      <w:r w:rsidRPr="001D5D6A">
        <w:rPr>
          <w:rFonts w:eastAsia="Calibri"/>
        </w:rPr>
        <w:t>Tabulka 39: Konkurenceschopnost maďarských regionů soudržnosti</w:t>
      </w:r>
      <w:bookmarkEnd w:id="140"/>
    </w:p>
    <w:tbl>
      <w:tblPr>
        <w:tblStyle w:val="Mkatabulky14"/>
        <w:tblW w:w="9203" w:type="dxa"/>
        <w:tblLayout w:type="fixed"/>
        <w:tblLook w:val="04A0" w:firstRow="1" w:lastRow="0" w:firstColumn="1" w:lastColumn="0" w:noHBand="0" w:noVBand="1"/>
      </w:tblPr>
      <w:tblGrid>
        <w:gridCol w:w="1984"/>
        <w:gridCol w:w="1019"/>
        <w:gridCol w:w="1009"/>
        <w:gridCol w:w="1020"/>
        <w:gridCol w:w="1009"/>
        <w:gridCol w:w="1020"/>
        <w:gridCol w:w="1009"/>
        <w:gridCol w:w="1133"/>
      </w:tblGrid>
      <w:tr w:rsidR="002C38F8" w:rsidRPr="006D5068" w:rsidTr="00E23CFF">
        <w:trPr>
          <w:trHeight w:hRule="exact" w:val="284"/>
        </w:trPr>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ind w:left="-57" w:right="-57"/>
              <w:rPr>
                <w:rFonts w:asciiTheme="minorHAnsi" w:hAnsiTheme="minorHAnsi" w:cstheme="minorHAnsi"/>
                <w:b/>
              </w:rPr>
            </w:pPr>
            <w:r w:rsidRPr="006D5068">
              <w:rPr>
                <w:rFonts w:asciiTheme="minorHAnsi" w:hAnsiTheme="minorHAnsi" w:cstheme="minorHAnsi"/>
                <w:b/>
              </w:rPr>
              <w:t>region NUTS 2</w:t>
            </w:r>
          </w:p>
        </w:tc>
        <w:tc>
          <w:tcPr>
            <w:tcW w:w="2028"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 xml:space="preserve">ARC </w:t>
            </w:r>
          </w:p>
        </w:tc>
        <w:tc>
          <w:tcPr>
            <w:tcW w:w="202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 xml:space="preserve">ORC </w:t>
            </w:r>
          </w:p>
        </w:tc>
        <w:tc>
          <w:tcPr>
            <w:tcW w:w="2029" w:type="dxa"/>
            <w:gridSpan w:val="2"/>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SRC</w:t>
            </w:r>
          </w:p>
        </w:tc>
        <w:tc>
          <w:tcPr>
            <w:tcW w:w="1133"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center"/>
              <w:rPr>
                <w:rFonts w:asciiTheme="minorHAnsi" w:hAnsiTheme="minorHAnsi" w:cstheme="minorHAnsi"/>
                <w:b/>
              </w:rPr>
            </w:pPr>
            <w:r w:rsidRPr="006D5068">
              <w:rPr>
                <w:rFonts w:asciiTheme="minorHAnsi" w:hAnsiTheme="minorHAnsi" w:cstheme="minorHAnsi"/>
                <w:b/>
              </w:rPr>
              <w:t>HDP/obyv.</w:t>
            </w:r>
          </w:p>
        </w:tc>
      </w:tr>
      <w:tr w:rsidR="002C38F8" w:rsidRPr="006D5068" w:rsidTr="00E23CFF">
        <w:trPr>
          <w:trHeight w:hRule="exact" w:val="284"/>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B2209E">
            <w:pPr>
              <w:keepNext/>
              <w:suppressLineNumbers/>
              <w:ind w:left="-57" w:right="-57"/>
              <w:rPr>
                <w:rFonts w:asciiTheme="minorHAnsi" w:hAnsiTheme="minorHAnsi" w:cstheme="minorHAnsi"/>
                <w:b/>
              </w:rPr>
            </w:pPr>
          </w:p>
        </w:tc>
        <w:tc>
          <w:tcPr>
            <w:tcW w:w="101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pořadí</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index</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pořadí</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index</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pořadí</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b/>
              </w:rPr>
            </w:pPr>
            <w:r w:rsidRPr="006D5068">
              <w:rPr>
                <w:rFonts w:asciiTheme="minorHAnsi" w:hAnsiTheme="minorHAnsi" w:cstheme="minorHAnsi"/>
                <w:b/>
              </w:rPr>
              <w:t>index</w:t>
            </w:r>
          </w:p>
        </w:tc>
        <w:tc>
          <w:tcPr>
            <w:tcW w:w="1133"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center"/>
              <w:rPr>
                <w:rFonts w:asciiTheme="minorHAnsi" w:hAnsiTheme="minorHAnsi" w:cstheme="minorHAnsi"/>
                <w:b/>
              </w:rPr>
            </w:pPr>
            <w:r w:rsidRPr="006D5068">
              <w:rPr>
                <w:rFonts w:asciiTheme="minorHAnsi" w:hAnsiTheme="minorHAnsi" w:cstheme="minorHAnsi"/>
                <w:b/>
              </w:rPr>
              <w:t>pořadí</w:t>
            </w:r>
          </w:p>
        </w:tc>
      </w:tr>
      <w:tr w:rsidR="002C38F8" w:rsidRPr="006D5068" w:rsidTr="00E23CFF">
        <w:trPr>
          <w:trHeight w:hRule="exact" w:val="284"/>
        </w:trPr>
        <w:tc>
          <w:tcPr>
            <w:tcW w:w="19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Central Hungary</w:t>
            </w:r>
          </w:p>
        </w:tc>
        <w:tc>
          <w:tcPr>
            <w:tcW w:w="101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3,152</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1,476</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1,676</w:t>
            </w:r>
          </w:p>
        </w:tc>
        <w:tc>
          <w:tcPr>
            <w:tcW w:w="1133"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center"/>
              <w:rPr>
                <w:rFonts w:asciiTheme="minorHAnsi" w:hAnsiTheme="minorHAnsi" w:cstheme="minorHAnsi"/>
              </w:rPr>
            </w:pPr>
            <w:r w:rsidRPr="006D5068">
              <w:rPr>
                <w:rFonts w:asciiTheme="minorHAnsi" w:hAnsiTheme="minorHAnsi" w:cstheme="minorHAnsi"/>
              </w:rPr>
              <w:t>1</w:t>
            </w:r>
          </w:p>
        </w:tc>
      </w:tr>
      <w:tr w:rsidR="002C38F8" w:rsidRPr="006D5068" w:rsidTr="00E23CFF">
        <w:trPr>
          <w:trHeight w:hRule="exact" w:val="284"/>
        </w:trPr>
        <w:tc>
          <w:tcPr>
            <w:tcW w:w="19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West Transdanubia</w:t>
            </w:r>
          </w:p>
        </w:tc>
        <w:tc>
          <w:tcPr>
            <w:tcW w:w="101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2,213</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0,723</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1,490</w:t>
            </w:r>
          </w:p>
        </w:tc>
        <w:tc>
          <w:tcPr>
            <w:tcW w:w="1133"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center"/>
              <w:rPr>
                <w:rFonts w:asciiTheme="minorHAnsi" w:hAnsiTheme="minorHAnsi" w:cstheme="minorHAnsi"/>
              </w:rPr>
            </w:pPr>
            <w:r w:rsidRPr="006D5068">
              <w:rPr>
                <w:rFonts w:asciiTheme="minorHAnsi" w:hAnsiTheme="minorHAnsi" w:cstheme="minorHAnsi"/>
              </w:rPr>
              <w:t>2</w:t>
            </w:r>
          </w:p>
        </w:tc>
      </w:tr>
      <w:tr w:rsidR="002C38F8" w:rsidRPr="006D5068" w:rsidTr="00E23CFF">
        <w:trPr>
          <w:trHeight w:hRule="exact" w:val="284"/>
        </w:trPr>
        <w:tc>
          <w:tcPr>
            <w:tcW w:w="19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Central Transdanubia</w:t>
            </w:r>
          </w:p>
        </w:tc>
        <w:tc>
          <w:tcPr>
            <w:tcW w:w="101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2,131</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0,708</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1,423</w:t>
            </w:r>
          </w:p>
        </w:tc>
        <w:tc>
          <w:tcPr>
            <w:tcW w:w="1133"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center"/>
              <w:rPr>
                <w:rFonts w:asciiTheme="minorHAnsi" w:hAnsiTheme="minorHAnsi" w:cstheme="minorHAnsi"/>
              </w:rPr>
            </w:pPr>
            <w:r w:rsidRPr="006D5068">
              <w:rPr>
                <w:rFonts w:asciiTheme="minorHAnsi" w:hAnsiTheme="minorHAnsi" w:cstheme="minorHAnsi"/>
              </w:rPr>
              <w:t>3</w:t>
            </w:r>
          </w:p>
        </w:tc>
      </w:tr>
      <w:tr w:rsidR="002C38F8" w:rsidRPr="006D5068" w:rsidTr="00E23CFF">
        <w:trPr>
          <w:trHeight w:hRule="exact" w:val="284"/>
        </w:trPr>
        <w:tc>
          <w:tcPr>
            <w:tcW w:w="19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South Transdanubia</w:t>
            </w:r>
          </w:p>
        </w:tc>
        <w:tc>
          <w:tcPr>
            <w:tcW w:w="101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1,915</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0,514</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1,401</w:t>
            </w:r>
          </w:p>
        </w:tc>
        <w:tc>
          <w:tcPr>
            <w:tcW w:w="1133"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center"/>
              <w:rPr>
                <w:rFonts w:asciiTheme="minorHAnsi" w:hAnsiTheme="minorHAnsi" w:cstheme="minorHAnsi"/>
              </w:rPr>
            </w:pPr>
            <w:r w:rsidRPr="006D5068">
              <w:rPr>
                <w:rFonts w:asciiTheme="minorHAnsi" w:hAnsiTheme="minorHAnsi" w:cstheme="minorHAnsi"/>
              </w:rPr>
              <w:t>4</w:t>
            </w:r>
          </w:p>
        </w:tc>
      </w:tr>
      <w:tr w:rsidR="002C38F8" w:rsidRPr="006D5068" w:rsidTr="00E23CFF">
        <w:trPr>
          <w:trHeight w:hRule="exact" w:val="284"/>
        </w:trPr>
        <w:tc>
          <w:tcPr>
            <w:tcW w:w="19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North Great Plains</w:t>
            </w:r>
          </w:p>
        </w:tc>
        <w:tc>
          <w:tcPr>
            <w:tcW w:w="101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1,851</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0,544</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1,307</w:t>
            </w:r>
          </w:p>
        </w:tc>
        <w:tc>
          <w:tcPr>
            <w:tcW w:w="1133"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center"/>
              <w:rPr>
                <w:rFonts w:asciiTheme="minorHAnsi" w:hAnsiTheme="minorHAnsi" w:cstheme="minorHAnsi"/>
              </w:rPr>
            </w:pPr>
            <w:r w:rsidRPr="006D5068">
              <w:rPr>
                <w:rFonts w:asciiTheme="minorHAnsi" w:hAnsiTheme="minorHAnsi" w:cstheme="minorHAnsi"/>
              </w:rPr>
              <w:t>6</w:t>
            </w:r>
          </w:p>
        </w:tc>
      </w:tr>
      <w:tr w:rsidR="002C38F8" w:rsidRPr="006D5068" w:rsidTr="00E23CFF">
        <w:trPr>
          <w:trHeight w:hRule="exact" w:val="284"/>
        </w:trPr>
        <w:tc>
          <w:tcPr>
            <w:tcW w:w="19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South Great Plains</w:t>
            </w:r>
          </w:p>
        </w:tc>
        <w:tc>
          <w:tcPr>
            <w:tcW w:w="101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1,766</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0,463</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1,303</w:t>
            </w:r>
          </w:p>
        </w:tc>
        <w:tc>
          <w:tcPr>
            <w:tcW w:w="1133"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r>
      <w:tr w:rsidR="002C38F8" w:rsidRPr="006D5068" w:rsidTr="00E23CFF">
        <w:trPr>
          <w:trHeight w:hRule="exact" w:val="284"/>
        </w:trPr>
        <w:tc>
          <w:tcPr>
            <w:tcW w:w="19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ind w:left="-57" w:right="-57"/>
              <w:jc w:val="both"/>
              <w:rPr>
                <w:rFonts w:asciiTheme="minorHAnsi" w:hAnsiTheme="minorHAnsi" w:cstheme="minorHAnsi"/>
              </w:rPr>
            </w:pPr>
            <w:r w:rsidRPr="006D5068">
              <w:rPr>
                <w:rFonts w:asciiTheme="minorHAnsi" w:hAnsiTheme="minorHAnsi" w:cstheme="minorHAnsi"/>
              </w:rPr>
              <w:t>North Hungary</w:t>
            </w:r>
          </w:p>
        </w:tc>
        <w:tc>
          <w:tcPr>
            <w:tcW w:w="101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1,749</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0,578</w:t>
            </w:r>
          </w:p>
        </w:tc>
        <w:tc>
          <w:tcPr>
            <w:tcW w:w="1020"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100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1,171</w:t>
            </w:r>
          </w:p>
        </w:tc>
        <w:tc>
          <w:tcPr>
            <w:tcW w:w="1133"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r>
    </w:tbl>
    <w:p w:rsidR="002C38F8" w:rsidRPr="006D5068" w:rsidRDefault="002C38F8" w:rsidP="002C38F8">
      <w:pPr>
        <w:keepNext/>
        <w:suppressLineNumbers/>
        <w:spacing w:after="0"/>
        <w:jc w:val="center"/>
        <w:rPr>
          <w:rFonts w:asciiTheme="minorHAnsi" w:eastAsia="Calibri" w:hAnsiTheme="minorHAnsi" w:cstheme="minorHAnsi"/>
          <w:i/>
        </w:rPr>
      </w:pPr>
      <w:r w:rsidRPr="006D5068">
        <w:rPr>
          <w:rFonts w:asciiTheme="minorHAnsi" w:hAnsiTheme="minorHAnsi" w:cstheme="minorHAnsi"/>
          <w:i/>
        </w:rPr>
        <w:t>Pramen:</w:t>
      </w:r>
      <w:r w:rsidRPr="006D5068">
        <w:rPr>
          <w:rFonts w:asciiTheme="minorHAnsi" w:eastAsia="Calibri" w:hAnsiTheme="minorHAnsi" w:cstheme="minorHAnsi"/>
          <w:i/>
        </w:rPr>
        <w:t xml:space="preserve"> Barna, 2007</w:t>
      </w:r>
    </w:p>
    <w:p w:rsidR="002C38F8" w:rsidRPr="006D5068" w:rsidRDefault="002C38F8" w:rsidP="002C38F8">
      <w:pPr>
        <w:keepNext/>
        <w:suppressLineNumbers/>
        <w:spacing w:before="200"/>
        <w:jc w:val="both"/>
        <w:rPr>
          <w:rFonts w:eastAsia="Calibri"/>
          <w:b/>
        </w:rPr>
      </w:pPr>
      <w:r w:rsidRPr="006D5068">
        <w:rPr>
          <w:rFonts w:eastAsia="Calibri"/>
          <w:b/>
        </w:rPr>
        <w:t>Index konkurenceschopnosti litevských regionů</w:t>
      </w:r>
    </w:p>
    <w:p w:rsidR="002C38F8" w:rsidRPr="006D5068" w:rsidRDefault="002C38F8" w:rsidP="00E23CFF">
      <w:pPr>
        <w:keepNext/>
        <w:suppressLineNumbers/>
        <w:spacing w:after="120"/>
        <w:ind w:firstLine="720"/>
        <w:jc w:val="both"/>
        <w:rPr>
          <w:rFonts w:eastAsia="Calibri"/>
          <w:sz w:val="24"/>
          <w:szCs w:val="24"/>
        </w:rPr>
      </w:pPr>
      <w:r w:rsidRPr="006D5068">
        <w:rPr>
          <w:rFonts w:eastAsia="Calibri"/>
          <w:sz w:val="24"/>
          <w:szCs w:val="24"/>
        </w:rPr>
        <w:t>Litevský index konkurenceschopnosti regionů RCI (regional competitiveness index) hodnotí konkurenceschopnost 10 krajů (regiony NUTS 3) za období let 2001 až 2007 (Snieška, Bruneckiene, 2009). Opět nebyly brány do úvahy faktory na národní úrovni, které se ve všech regionech projevují podobným způsobem (faktory charakterizující politické, ekonomické, technologické, geograficko-přírodní, sociálně-demografické a kulturní prostředí). Model je postaven na tzv. diamantu regionální konkurenceschopnosti (využívá tedy Porterův model diamantu konkurenční výhody) a je tvořen čtyřmi komponentami</w:t>
      </w:r>
      <w:r w:rsidR="00BA6F21">
        <w:rPr>
          <w:rFonts w:eastAsia="Calibri"/>
          <w:sz w:val="24"/>
          <w:szCs w:val="24"/>
        </w:rPr>
        <w:t>,</w:t>
      </w:r>
      <w:r w:rsidRPr="006D5068">
        <w:rPr>
          <w:rFonts w:eastAsia="Calibri"/>
          <w:sz w:val="24"/>
          <w:szCs w:val="24"/>
        </w:rPr>
        <w:t xml:space="preserve"> resp. faktory:</w:t>
      </w:r>
    </w:p>
    <w:p w:rsidR="002C38F8" w:rsidRPr="006D5068" w:rsidRDefault="002C38F8" w:rsidP="002C38F8">
      <w:pPr>
        <w:keepNext/>
        <w:numPr>
          <w:ilvl w:val="0"/>
          <w:numId w:val="35"/>
        </w:numPr>
        <w:suppressLineNumbers/>
        <w:ind w:left="284" w:hanging="284"/>
        <w:contextualSpacing/>
        <w:jc w:val="both"/>
        <w:rPr>
          <w:rFonts w:eastAsia="Calibri"/>
          <w:sz w:val="24"/>
          <w:szCs w:val="24"/>
        </w:rPr>
      </w:pPr>
      <w:r w:rsidRPr="006D5068">
        <w:rPr>
          <w:rFonts w:eastAsia="Calibri"/>
          <w:sz w:val="24"/>
          <w:szCs w:val="24"/>
        </w:rPr>
        <w:t>CF: faktory podmínek produkce (váha w</w:t>
      </w:r>
      <w:r w:rsidRPr="006D5068">
        <w:rPr>
          <w:rFonts w:eastAsia="Calibri"/>
          <w:sz w:val="24"/>
          <w:szCs w:val="24"/>
          <w:vertAlign w:val="subscript"/>
        </w:rPr>
        <w:t>1</w:t>
      </w:r>
      <w:r w:rsidRPr="006D5068">
        <w:rPr>
          <w:rFonts w:eastAsia="Calibri"/>
          <w:sz w:val="24"/>
          <w:szCs w:val="24"/>
        </w:rPr>
        <w:t xml:space="preserve"> = 0,317)</w:t>
      </w:r>
    </w:p>
    <w:p w:rsidR="002C38F8" w:rsidRPr="006D5068" w:rsidRDefault="002C38F8" w:rsidP="002C38F8">
      <w:pPr>
        <w:keepNext/>
        <w:numPr>
          <w:ilvl w:val="0"/>
          <w:numId w:val="35"/>
        </w:numPr>
        <w:suppressLineNumbers/>
        <w:spacing w:before="100" w:beforeAutospacing="1"/>
        <w:ind w:left="284" w:hanging="284"/>
        <w:contextualSpacing/>
        <w:jc w:val="both"/>
        <w:rPr>
          <w:rFonts w:eastAsia="Calibri"/>
          <w:sz w:val="24"/>
          <w:szCs w:val="24"/>
        </w:rPr>
      </w:pPr>
      <w:r w:rsidRPr="006D5068">
        <w:rPr>
          <w:rFonts w:eastAsia="Calibri"/>
          <w:sz w:val="24"/>
          <w:szCs w:val="24"/>
        </w:rPr>
        <w:t>DC: podmínky poptávky zvyšující se regionální konkurenceschopnosti (váha w</w:t>
      </w:r>
      <w:r w:rsidRPr="006D5068">
        <w:rPr>
          <w:rFonts w:eastAsia="Calibri"/>
          <w:sz w:val="24"/>
          <w:szCs w:val="24"/>
          <w:vertAlign w:val="subscript"/>
        </w:rPr>
        <w:t>2</w:t>
      </w:r>
      <w:r w:rsidRPr="006D5068">
        <w:rPr>
          <w:rFonts w:eastAsia="Calibri"/>
          <w:sz w:val="24"/>
          <w:szCs w:val="24"/>
        </w:rPr>
        <w:t xml:space="preserve"> = 0,214)</w:t>
      </w:r>
    </w:p>
    <w:p w:rsidR="002C38F8" w:rsidRPr="006D5068" w:rsidRDefault="002C38F8" w:rsidP="002C38F8">
      <w:pPr>
        <w:keepNext/>
        <w:numPr>
          <w:ilvl w:val="0"/>
          <w:numId w:val="35"/>
        </w:numPr>
        <w:suppressLineNumbers/>
        <w:spacing w:before="100" w:beforeAutospacing="1"/>
        <w:ind w:left="284" w:hanging="284"/>
        <w:contextualSpacing/>
        <w:jc w:val="both"/>
        <w:rPr>
          <w:rFonts w:eastAsia="Calibri"/>
          <w:sz w:val="24"/>
          <w:szCs w:val="24"/>
        </w:rPr>
      </w:pPr>
      <w:r w:rsidRPr="006D5068">
        <w:rPr>
          <w:rFonts w:eastAsia="Calibri"/>
          <w:sz w:val="24"/>
          <w:szCs w:val="24"/>
        </w:rPr>
        <w:t>FC: faktory zvyšující konkurenceschopnost regionálních firem (váha w</w:t>
      </w:r>
      <w:r w:rsidRPr="006D5068">
        <w:rPr>
          <w:rFonts w:eastAsia="Calibri"/>
          <w:sz w:val="24"/>
          <w:szCs w:val="24"/>
          <w:vertAlign w:val="subscript"/>
        </w:rPr>
        <w:t>3</w:t>
      </w:r>
      <w:r w:rsidRPr="006D5068">
        <w:rPr>
          <w:rFonts w:eastAsia="Calibri"/>
          <w:sz w:val="24"/>
          <w:szCs w:val="24"/>
        </w:rPr>
        <w:t xml:space="preserve"> = 0,261)</w:t>
      </w:r>
    </w:p>
    <w:p w:rsidR="002C38F8" w:rsidRPr="006D5068" w:rsidRDefault="002C38F8" w:rsidP="002C38F8">
      <w:pPr>
        <w:keepNext/>
        <w:numPr>
          <w:ilvl w:val="0"/>
          <w:numId w:val="35"/>
        </w:numPr>
        <w:suppressLineNumbers/>
        <w:spacing w:after="0"/>
        <w:ind w:left="284" w:hanging="284"/>
        <w:contextualSpacing/>
        <w:jc w:val="both"/>
        <w:rPr>
          <w:rFonts w:eastAsia="Calibri"/>
          <w:sz w:val="24"/>
          <w:szCs w:val="24"/>
        </w:rPr>
      </w:pPr>
      <w:r w:rsidRPr="006D5068">
        <w:rPr>
          <w:rFonts w:eastAsia="Calibri"/>
          <w:sz w:val="24"/>
          <w:szCs w:val="24"/>
        </w:rPr>
        <w:t>faktory podporující rozvoj regionálních klastrů (váha = 0,208).</w:t>
      </w:r>
    </w:p>
    <w:p w:rsidR="002C38F8" w:rsidRPr="006D5068" w:rsidRDefault="002C38F8" w:rsidP="00E23CFF">
      <w:pPr>
        <w:keepNext/>
        <w:suppressLineNumbers/>
        <w:spacing w:before="200" w:after="120"/>
        <w:ind w:firstLine="720"/>
        <w:jc w:val="both"/>
        <w:rPr>
          <w:rFonts w:eastAsia="Calibri"/>
          <w:sz w:val="24"/>
          <w:szCs w:val="24"/>
        </w:rPr>
      </w:pPr>
      <w:r w:rsidRPr="006D5068">
        <w:rPr>
          <w:rFonts w:eastAsia="Calibri"/>
          <w:sz w:val="24"/>
          <w:szCs w:val="24"/>
        </w:rPr>
        <w:t>Součet vah všech uvedených faktorů činí 1 (faktory vztahující se ke klastrům nebyly nakonec uvažovány – hlavním argumentem je skutečnost, že klastry je vhodnější hodnotit podle kvalitativních ukazatelů). Váhy pro jednotlivé faktory a ukazatele byly stanoveny na základě expertních odhadů vycházejících z dotazníkového šetření. Výsledný index pak má podobu:</w:t>
      </w:r>
    </w:p>
    <w:p w:rsidR="002C38F8" w:rsidRPr="006D5068" w:rsidRDefault="002C38F8" w:rsidP="00E23CFF">
      <w:pPr>
        <w:keepNext/>
        <w:suppressLineNumbers/>
        <w:spacing w:after="0"/>
        <w:jc w:val="center"/>
        <w:rPr>
          <w:rFonts w:eastAsia="Calibri"/>
          <w:sz w:val="24"/>
          <w:szCs w:val="24"/>
        </w:rPr>
      </w:pPr>
      <w:r w:rsidRPr="006D5068">
        <w:rPr>
          <w:rFonts w:eastAsia="Calibri"/>
          <w:sz w:val="24"/>
          <w:szCs w:val="24"/>
        </w:rPr>
        <w:t xml:space="preserve">RCI = </w:t>
      </w:r>
      <w:r w:rsidRPr="006D5068">
        <w:rPr>
          <w:rFonts w:eastAsia="Calibri"/>
          <w:i/>
          <w:sz w:val="24"/>
          <w:szCs w:val="24"/>
        </w:rPr>
        <w:t>(w</w:t>
      </w:r>
      <w:r w:rsidRPr="006D5068">
        <w:rPr>
          <w:rFonts w:eastAsia="Calibri"/>
          <w:i/>
          <w:sz w:val="24"/>
          <w:szCs w:val="24"/>
          <w:vertAlign w:val="subscript"/>
        </w:rPr>
        <w:t>1</w:t>
      </w:r>
      <w:r w:rsidRPr="006D5068">
        <w:rPr>
          <w:rFonts w:eastAsia="Calibri"/>
          <w:i/>
          <w:sz w:val="24"/>
          <w:szCs w:val="24"/>
        </w:rPr>
        <w:t>)</w:t>
      </w:r>
      <w:r w:rsidRPr="006D5068">
        <w:rPr>
          <w:rFonts w:eastAsia="Calibri"/>
          <w:sz w:val="24"/>
          <w:szCs w:val="24"/>
        </w:rPr>
        <w:t xml:space="preserve"> CF + </w:t>
      </w:r>
      <w:r w:rsidRPr="006D5068">
        <w:rPr>
          <w:rFonts w:eastAsia="Calibri"/>
          <w:i/>
          <w:sz w:val="24"/>
          <w:szCs w:val="24"/>
        </w:rPr>
        <w:t>(w</w:t>
      </w:r>
      <w:r w:rsidRPr="006D5068">
        <w:rPr>
          <w:rFonts w:eastAsia="Calibri"/>
          <w:i/>
          <w:sz w:val="24"/>
          <w:szCs w:val="24"/>
          <w:vertAlign w:val="subscript"/>
        </w:rPr>
        <w:t>2</w:t>
      </w:r>
      <w:r w:rsidRPr="006D5068">
        <w:rPr>
          <w:rFonts w:eastAsia="Calibri"/>
          <w:i/>
          <w:sz w:val="24"/>
          <w:szCs w:val="24"/>
        </w:rPr>
        <w:t>)</w:t>
      </w:r>
      <w:r w:rsidRPr="006D5068">
        <w:rPr>
          <w:rFonts w:eastAsia="Calibri"/>
          <w:sz w:val="24"/>
          <w:szCs w:val="24"/>
        </w:rPr>
        <w:t xml:space="preserve"> DC + </w:t>
      </w:r>
      <w:r w:rsidRPr="006D5068">
        <w:rPr>
          <w:rFonts w:eastAsia="Calibri"/>
          <w:i/>
          <w:sz w:val="24"/>
          <w:szCs w:val="24"/>
        </w:rPr>
        <w:t>(w</w:t>
      </w:r>
      <w:r w:rsidRPr="006D5068">
        <w:rPr>
          <w:rFonts w:eastAsia="Calibri"/>
          <w:i/>
          <w:sz w:val="24"/>
          <w:szCs w:val="24"/>
          <w:vertAlign w:val="subscript"/>
        </w:rPr>
        <w:t>3</w:t>
      </w:r>
      <w:r w:rsidRPr="006D5068">
        <w:rPr>
          <w:rFonts w:eastAsia="Calibri"/>
          <w:i/>
          <w:sz w:val="24"/>
          <w:szCs w:val="24"/>
        </w:rPr>
        <w:t>)</w:t>
      </w:r>
      <w:r w:rsidRPr="006D5068">
        <w:rPr>
          <w:rFonts w:eastAsia="Calibri"/>
          <w:sz w:val="24"/>
          <w:szCs w:val="24"/>
        </w:rPr>
        <w:t xml:space="preserve"> FC</w:t>
      </w:r>
    </w:p>
    <w:p w:rsidR="002C38F8" w:rsidRPr="006D5068" w:rsidRDefault="002C38F8" w:rsidP="00E23CFF">
      <w:pPr>
        <w:keepNext/>
        <w:suppressLineNumbers/>
        <w:spacing w:before="200" w:after="120"/>
        <w:ind w:firstLine="720"/>
        <w:jc w:val="both"/>
        <w:rPr>
          <w:rFonts w:eastAsia="Calibri"/>
          <w:sz w:val="24"/>
          <w:szCs w:val="24"/>
        </w:rPr>
      </w:pPr>
      <w:r w:rsidRPr="006D5068">
        <w:rPr>
          <w:rFonts w:eastAsia="Calibri"/>
          <w:sz w:val="24"/>
          <w:szCs w:val="24"/>
        </w:rPr>
        <w:t>Faktory podmínek produkce (CF) jsou tvořeny</w:t>
      </w:r>
      <w:r w:rsidR="001D5D6A">
        <w:rPr>
          <w:rFonts w:eastAsia="Calibri"/>
          <w:sz w:val="24"/>
          <w:szCs w:val="24"/>
        </w:rPr>
        <w:t xml:space="preserve"> těmito faktory:</w:t>
      </w:r>
      <w:r w:rsidRPr="006D5068">
        <w:rPr>
          <w:rFonts w:eastAsia="Calibri"/>
          <w:sz w:val="24"/>
          <w:szCs w:val="24"/>
        </w:rPr>
        <w:t xml:space="preserve"> lidské zdroje (HR, zahrnující celkem 5 ukazatelů), fyzická infrastruktura a geografická situace (PhI, 10 ukazatelů), zdroje znalostí (KnR, 7 ukazatelů) a kapitál (C, 4 ukazatelů):</w:t>
      </w:r>
    </w:p>
    <w:p w:rsidR="002C38F8" w:rsidRPr="006D5068" w:rsidRDefault="002C38F8" w:rsidP="001D5D6A">
      <w:pPr>
        <w:keepNext/>
        <w:suppressLineNumbers/>
        <w:spacing w:after="0"/>
        <w:jc w:val="center"/>
        <w:rPr>
          <w:rFonts w:eastAsia="Calibri"/>
          <w:sz w:val="24"/>
          <w:szCs w:val="24"/>
        </w:rPr>
      </w:pPr>
      <w:r w:rsidRPr="006D5068">
        <w:rPr>
          <w:rFonts w:eastAsia="Calibri"/>
          <w:sz w:val="24"/>
          <w:szCs w:val="24"/>
        </w:rPr>
        <w:t xml:space="preserve">CF = </w:t>
      </w:r>
      <w:r w:rsidRPr="006D5068">
        <w:rPr>
          <w:rFonts w:eastAsia="Calibri"/>
          <w:i/>
          <w:sz w:val="24"/>
          <w:szCs w:val="24"/>
        </w:rPr>
        <w:t>(w</w:t>
      </w:r>
      <w:r w:rsidRPr="006D5068">
        <w:rPr>
          <w:rFonts w:eastAsia="Calibri"/>
          <w:i/>
          <w:sz w:val="24"/>
          <w:szCs w:val="24"/>
          <w:vertAlign w:val="subscript"/>
        </w:rPr>
        <w:t>4</w:t>
      </w:r>
      <w:r w:rsidRPr="006D5068">
        <w:rPr>
          <w:rFonts w:eastAsia="Calibri"/>
          <w:i/>
          <w:sz w:val="24"/>
          <w:szCs w:val="24"/>
        </w:rPr>
        <w:t>)</w:t>
      </w:r>
      <w:r w:rsidRPr="006D5068">
        <w:rPr>
          <w:rFonts w:eastAsia="Calibri"/>
          <w:sz w:val="24"/>
          <w:szCs w:val="24"/>
        </w:rPr>
        <w:t xml:space="preserve"> HR + </w:t>
      </w:r>
      <w:r w:rsidRPr="006D5068">
        <w:rPr>
          <w:rFonts w:eastAsia="Calibri"/>
          <w:i/>
          <w:sz w:val="24"/>
          <w:szCs w:val="24"/>
        </w:rPr>
        <w:t>(w</w:t>
      </w:r>
      <w:r w:rsidRPr="006D5068">
        <w:rPr>
          <w:rFonts w:eastAsia="Calibri"/>
          <w:i/>
          <w:sz w:val="24"/>
          <w:szCs w:val="24"/>
          <w:vertAlign w:val="subscript"/>
        </w:rPr>
        <w:t>5</w:t>
      </w:r>
      <w:r w:rsidRPr="006D5068">
        <w:rPr>
          <w:rFonts w:eastAsia="Calibri"/>
          <w:i/>
          <w:sz w:val="24"/>
          <w:szCs w:val="24"/>
        </w:rPr>
        <w:t>)</w:t>
      </w:r>
      <w:r w:rsidRPr="006D5068">
        <w:rPr>
          <w:rFonts w:eastAsia="Calibri"/>
          <w:sz w:val="24"/>
          <w:szCs w:val="24"/>
        </w:rPr>
        <w:t xml:space="preserve"> PhI + </w:t>
      </w:r>
      <w:r w:rsidRPr="006D5068">
        <w:rPr>
          <w:rFonts w:eastAsia="Calibri"/>
          <w:i/>
          <w:sz w:val="24"/>
          <w:szCs w:val="24"/>
        </w:rPr>
        <w:t>(w</w:t>
      </w:r>
      <w:r w:rsidRPr="006D5068">
        <w:rPr>
          <w:rFonts w:eastAsia="Calibri"/>
          <w:i/>
          <w:sz w:val="24"/>
          <w:szCs w:val="24"/>
          <w:vertAlign w:val="subscript"/>
        </w:rPr>
        <w:t>6</w:t>
      </w:r>
      <w:r w:rsidRPr="006D5068">
        <w:rPr>
          <w:rFonts w:eastAsia="Calibri"/>
          <w:i/>
          <w:sz w:val="24"/>
          <w:szCs w:val="24"/>
        </w:rPr>
        <w:t>)</w:t>
      </w:r>
      <w:r w:rsidRPr="006D5068">
        <w:rPr>
          <w:rFonts w:eastAsia="Calibri"/>
          <w:sz w:val="24"/>
          <w:szCs w:val="24"/>
        </w:rPr>
        <w:t xml:space="preserve"> KnR + </w:t>
      </w:r>
      <w:r w:rsidRPr="006D5068">
        <w:rPr>
          <w:rFonts w:eastAsia="Calibri"/>
          <w:i/>
          <w:sz w:val="24"/>
          <w:szCs w:val="24"/>
        </w:rPr>
        <w:t>(w</w:t>
      </w:r>
      <w:r w:rsidRPr="006D5068">
        <w:rPr>
          <w:rFonts w:eastAsia="Calibri"/>
          <w:i/>
          <w:sz w:val="24"/>
          <w:szCs w:val="24"/>
          <w:vertAlign w:val="subscript"/>
        </w:rPr>
        <w:t>7</w:t>
      </w:r>
      <w:r w:rsidRPr="006D5068">
        <w:rPr>
          <w:rFonts w:eastAsia="Calibri"/>
          <w:i/>
          <w:sz w:val="24"/>
          <w:szCs w:val="24"/>
        </w:rPr>
        <w:t>)</w:t>
      </w:r>
      <w:r w:rsidRPr="006D5068">
        <w:rPr>
          <w:rFonts w:eastAsia="Calibri"/>
          <w:sz w:val="24"/>
          <w:szCs w:val="24"/>
        </w:rPr>
        <w:t xml:space="preserve"> C</w:t>
      </w:r>
    </w:p>
    <w:p w:rsidR="002C38F8" w:rsidRPr="006D5068" w:rsidRDefault="002C38F8" w:rsidP="00E23CFF">
      <w:pPr>
        <w:keepNext/>
        <w:suppressLineNumbers/>
        <w:spacing w:before="200" w:after="120"/>
        <w:ind w:firstLine="720"/>
        <w:jc w:val="both"/>
        <w:rPr>
          <w:rFonts w:eastAsia="Calibri"/>
          <w:sz w:val="24"/>
          <w:szCs w:val="24"/>
        </w:rPr>
      </w:pPr>
      <w:r w:rsidRPr="006D5068">
        <w:rPr>
          <w:rFonts w:eastAsia="Calibri"/>
          <w:sz w:val="24"/>
          <w:szCs w:val="24"/>
        </w:rPr>
        <w:lastRenderedPageBreak/>
        <w:t>Podmínky poptávky (DC) potom zahrnují dílčí faktory</w:t>
      </w:r>
      <w:r w:rsidR="001D5D6A">
        <w:rPr>
          <w:rFonts w:eastAsia="Calibri"/>
          <w:sz w:val="24"/>
          <w:szCs w:val="24"/>
        </w:rPr>
        <w:t>:</w:t>
      </w:r>
      <w:r w:rsidRPr="006D5068">
        <w:rPr>
          <w:rFonts w:eastAsia="Calibri"/>
          <w:sz w:val="24"/>
          <w:szCs w:val="24"/>
        </w:rPr>
        <w:t xml:space="preserve"> velikost a struktura místní poptávky (SSD, celkem 3 ukazatele), požadavky místních zákazníků na kvalitu a cenu (LCD, 7 ukazatelů) a dále poptávka externích trhů po pro</w:t>
      </w:r>
      <w:r w:rsidR="007F79BC">
        <w:rPr>
          <w:rFonts w:eastAsia="Calibri"/>
          <w:sz w:val="24"/>
          <w:szCs w:val="24"/>
        </w:rPr>
        <w:t>duktech daného regionů (ESSD, 5 </w:t>
      </w:r>
      <w:r w:rsidRPr="006D5068">
        <w:rPr>
          <w:rFonts w:eastAsia="Calibri"/>
          <w:sz w:val="24"/>
          <w:szCs w:val="24"/>
        </w:rPr>
        <w:t>ukazatelů):</w:t>
      </w:r>
    </w:p>
    <w:p w:rsidR="002C38F8" w:rsidRPr="006D5068" w:rsidRDefault="002C38F8" w:rsidP="00E23CFF">
      <w:pPr>
        <w:keepNext/>
        <w:suppressLineNumbers/>
        <w:spacing w:after="120"/>
        <w:jc w:val="center"/>
        <w:rPr>
          <w:rFonts w:eastAsia="Calibri"/>
          <w:sz w:val="24"/>
          <w:szCs w:val="24"/>
        </w:rPr>
      </w:pPr>
      <w:r w:rsidRPr="006D5068">
        <w:rPr>
          <w:rFonts w:eastAsia="Calibri"/>
          <w:sz w:val="24"/>
          <w:szCs w:val="24"/>
        </w:rPr>
        <w:t xml:space="preserve">DC = </w:t>
      </w:r>
      <w:r w:rsidRPr="006D5068">
        <w:rPr>
          <w:rFonts w:eastAsia="Calibri"/>
          <w:i/>
          <w:sz w:val="24"/>
          <w:szCs w:val="24"/>
        </w:rPr>
        <w:t>(w</w:t>
      </w:r>
      <w:r w:rsidRPr="006D5068">
        <w:rPr>
          <w:rFonts w:eastAsia="Calibri"/>
          <w:i/>
          <w:sz w:val="24"/>
          <w:szCs w:val="24"/>
          <w:vertAlign w:val="subscript"/>
        </w:rPr>
        <w:t>8</w:t>
      </w:r>
      <w:r w:rsidRPr="006D5068">
        <w:rPr>
          <w:rFonts w:eastAsia="Calibri"/>
          <w:i/>
          <w:sz w:val="24"/>
          <w:szCs w:val="24"/>
        </w:rPr>
        <w:t>)</w:t>
      </w:r>
      <w:r w:rsidRPr="006D5068">
        <w:rPr>
          <w:rFonts w:eastAsia="Calibri"/>
          <w:sz w:val="24"/>
          <w:szCs w:val="24"/>
        </w:rPr>
        <w:t xml:space="preserve"> SSD + </w:t>
      </w:r>
      <w:r w:rsidRPr="006D5068">
        <w:rPr>
          <w:rFonts w:eastAsia="Calibri"/>
          <w:i/>
          <w:sz w:val="24"/>
          <w:szCs w:val="24"/>
        </w:rPr>
        <w:t>(w</w:t>
      </w:r>
      <w:r w:rsidRPr="006D5068">
        <w:rPr>
          <w:rFonts w:eastAsia="Calibri"/>
          <w:i/>
          <w:sz w:val="24"/>
          <w:szCs w:val="24"/>
          <w:vertAlign w:val="subscript"/>
        </w:rPr>
        <w:t>9</w:t>
      </w:r>
      <w:r w:rsidRPr="006D5068">
        <w:rPr>
          <w:rFonts w:eastAsia="Calibri"/>
          <w:i/>
          <w:sz w:val="24"/>
          <w:szCs w:val="24"/>
        </w:rPr>
        <w:t>)</w:t>
      </w:r>
      <w:r w:rsidRPr="006D5068">
        <w:rPr>
          <w:rFonts w:eastAsia="Calibri"/>
          <w:sz w:val="24"/>
          <w:szCs w:val="24"/>
        </w:rPr>
        <w:t xml:space="preserve"> LCD + </w:t>
      </w:r>
      <w:r w:rsidRPr="006D5068">
        <w:rPr>
          <w:rFonts w:eastAsia="Calibri"/>
          <w:i/>
          <w:sz w:val="24"/>
          <w:szCs w:val="24"/>
        </w:rPr>
        <w:t>(w</w:t>
      </w:r>
      <w:r w:rsidRPr="006D5068">
        <w:rPr>
          <w:rFonts w:eastAsia="Calibri"/>
          <w:i/>
          <w:sz w:val="24"/>
          <w:szCs w:val="24"/>
          <w:vertAlign w:val="subscript"/>
        </w:rPr>
        <w:t>10</w:t>
      </w:r>
      <w:r w:rsidRPr="006D5068">
        <w:rPr>
          <w:rFonts w:eastAsia="Calibri"/>
          <w:i/>
          <w:sz w:val="24"/>
          <w:szCs w:val="24"/>
        </w:rPr>
        <w:t>)</w:t>
      </w:r>
      <w:r w:rsidRPr="006D5068">
        <w:rPr>
          <w:rFonts w:eastAsia="Calibri"/>
          <w:sz w:val="24"/>
          <w:szCs w:val="24"/>
        </w:rPr>
        <w:t xml:space="preserve"> ESSD</w:t>
      </w:r>
    </w:p>
    <w:p w:rsidR="002C38F8" w:rsidRPr="006D5068" w:rsidRDefault="002C38F8" w:rsidP="00E23CFF">
      <w:pPr>
        <w:keepNext/>
        <w:suppressLineNumbers/>
        <w:spacing w:after="120"/>
        <w:ind w:firstLine="720"/>
        <w:jc w:val="both"/>
        <w:rPr>
          <w:rFonts w:eastAsia="Calibri"/>
          <w:sz w:val="24"/>
          <w:szCs w:val="24"/>
        </w:rPr>
      </w:pPr>
      <w:r w:rsidRPr="006D5068">
        <w:rPr>
          <w:rFonts w:eastAsia="Calibri"/>
          <w:sz w:val="24"/>
          <w:szCs w:val="24"/>
        </w:rPr>
        <w:t xml:space="preserve">Poslední aplikovaný faktor konkurenceschopnosti firem (FC) pak zahrnuje faktory konkurenční výhody firem (SCA, celkem 5 ukazatelů) a zkušenosti a jejich využití </w:t>
      </w:r>
      <w:r w:rsidR="00E23CFF">
        <w:rPr>
          <w:rFonts w:eastAsia="Calibri"/>
          <w:sz w:val="24"/>
          <w:szCs w:val="24"/>
        </w:rPr>
        <w:t>v rámci firem (TGE, 4 ukazatelé</w:t>
      </w:r>
      <w:r w:rsidRPr="006D5068">
        <w:rPr>
          <w:rFonts w:eastAsia="Calibri"/>
          <w:sz w:val="24"/>
          <w:szCs w:val="24"/>
        </w:rPr>
        <w:t>):</w:t>
      </w:r>
    </w:p>
    <w:p w:rsidR="002C38F8" w:rsidRPr="006D5068" w:rsidRDefault="002C38F8" w:rsidP="00E23CFF">
      <w:pPr>
        <w:keepNext/>
        <w:suppressLineNumbers/>
        <w:spacing w:after="120"/>
        <w:jc w:val="center"/>
        <w:rPr>
          <w:rFonts w:eastAsia="Calibri"/>
          <w:sz w:val="24"/>
          <w:szCs w:val="24"/>
        </w:rPr>
      </w:pPr>
      <w:r w:rsidRPr="006D5068">
        <w:rPr>
          <w:rFonts w:eastAsia="Calibri"/>
          <w:sz w:val="24"/>
          <w:szCs w:val="24"/>
        </w:rPr>
        <w:t xml:space="preserve">FC = </w:t>
      </w:r>
      <w:r w:rsidRPr="006D5068">
        <w:rPr>
          <w:rFonts w:eastAsia="Calibri"/>
          <w:i/>
          <w:sz w:val="24"/>
          <w:szCs w:val="24"/>
        </w:rPr>
        <w:t>(w</w:t>
      </w:r>
      <w:r w:rsidRPr="006D5068">
        <w:rPr>
          <w:rFonts w:eastAsia="Calibri"/>
          <w:i/>
          <w:sz w:val="24"/>
          <w:szCs w:val="24"/>
          <w:vertAlign w:val="subscript"/>
        </w:rPr>
        <w:t>11</w:t>
      </w:r>
      <w:r w:rsidRPr="006D5068">
        <w:rPr>
          <w:rFonts w:eastAsia="Calibri"/>
          <w:i/>
          <w:sz w:val="24"/>
          <w:szCs w:val="24"/>
        </w:rPr>
        <w:t>)</w:t>
      </w:r>
      <w:r w:rsidRPr="006D5068">
        <w:rPr>
          <w:rFonts w:eastAsia="Calibri"/>
          <w:sz w:val="24"/>
          <w:szCs w:val="24"/>
        </w:rPr>
        <w:t xml:space="preserve"> SCA + </w:t>
      </w:r>
      <w:r w:rsidRPr="006D5068">
        <w:rPr>
          <w:rFonts w:eastAsia="Calibri"/>
          <w:i/>
          <w:sz w:val="24"/>
          <w:szCs w:val="24"/>
        </w:rPr>
        <w:t>(w</w:t>
      </w:r>
      <w:r w:rsidRPr="006D5068">
        <w:rPr>
          <w:rFonts w:eastAsia="Calibri"/>
          <w:i/>
          <w:sz w:val="24"/>
          <w:szCs w:val="24"/>
          <w:vertAlign w:val="subscript"/>
        </w:rPr>
        <w:t>12</w:t>
      </w:r>
      <w:r w:rsidRPr="006D5068">
        <w:rPr>
          <w:rFonts w:eastAsia="Calibri"/>
          <w:i/>
          <w:sz w:val="24"/>
          <w:szCs w:val="24"/>
        </w:rPr>
        <w:t>)</w:t>
      </w:r>
      <w:r w:rsidRPr="006D5068">
        <w:rPr>
          <w:rFonts w:eastAsia="Calibri"/>
          <w:sz w:val="24"/>
          <w:szCs w:val="24"/>
        </w:rPr>
        <w:t xml:space="preserve"> TGE</w:t>
      </w:r>
    </w:p>
    <w:p w:rsidR="002C38F8" w:rsidRPr="006D5068" w:rsidRDefault="002C38F8" w:rsidP="002C38F8">
      <w:pPr>
        <w:keepNext/>
        <w:suppressLineNumbers/>
        <w:ind w:firstLine="720"/>
        <w:jc w:val="both"/>
        <w:rPr>
          <w:rFonts w:eastAsia="Calibri"/>
          <w:sz w:val="24"/>
          <w:szCs w:val="24"/>
        </w:rPr>
      </w:pPr>
      <w:r w:rsidRPr="006D5068">
        <w:rPr>
          <w:rFonts w:eastAsia="Calibri"/>
          <w:sz w:val="24"/>
          <w:szCs w:val="24"/>
        </w:rPr>
        <w:t xml:space="preserve">Na základě popsané metodiky bylo sestaveno pořadí </w:t>
      </w:r>
      <w:r w:rsidR="007F79BC">
        <w:rPr>
          <w:rFonts w:eastAsia="Calibri"/>
          <w:sz w:val="24"/>
          <w:szCs w:val="24"/>
        </w:rPr>
        <w:t>konkurenceschopnosti krajů. Pro </w:t>
      </w:r>
      <w:r w:rsidRPr="006D5068">
        <w:rPr>
          <w:rFonts w:eastAsia="Calibri"/>
          <w:sz w:val="24"/>
          <w:szCs w:val="24"/>
        </w:rPr>
        <w:t>výpočet kompozitního indexu byla zvolená metodika dále ověřená pomocí analýzy citlivosti a robustní analýzy. Získané výsledky opět ukazují, že nejvíce konkurenceschopný je region hlavní</w:t>
      </w:r>
      <w:r w:rsidR="001D5D6A">
        <w:rPr>
          <w:rFonts w:eastAsia="Calibri"/>
          <w:sz w:val="24"/>
          <w:szCs w:val="24"/>
        </w:rPr>
        <w:t xml:space="preserve">ho města Vilnius a dále regiony kolem velkých měst, tj. </w:t>
      </w:r>
      <w:r w:rsidR="007F79BC">
        <w:rPr>
          <w:rFonts w:eastAsia="Calibri"/>
          <w:sz w:val="24"/>
          <w:szCs w:val="24"/>
        </w:rPr>
        <w:t>regiony Kaunasu (2. </w:t>
      </w:r>
      <w:r w:rsidRPr="006D5068">
        <w:rPr>
          <w:rFonts w:eastAsia="Calibri"/>
          <w:sz w:val="24"/>
          <w:szCs w:val="24"/>
        </w:rPr>
        <w:t>největší město) a Klaipedy (jediný litevský námořní přístav). Nejméně konkurenceschopným regionem je pak Taurag</w:t>
      </w:r>
      <w:r w:rsidRPr="006D5068">
        <w:rPr>
          <w:rFonts w:cstheme="minorHAnsi"/>
          <w:sz w:val="24"/>
        </w:rPr>
        <w:t>ė</w:t>
      </w:r>
      <w:r w:rsidRPr="006D5068">
        <w:rPr>
          <w:rFonts w:eastAsia="Calibri"/>
          <w:sz w:val="24"/>
          <w:szCs w:val="24"/>
        </w:rPr>
        <w:t xml:space="preserve">. </w:t>
      </w:r>
    </w:p>
    <w:p w:rsidR="002C38F8" w:rsidRPr="006D5068" w:rsidRDefault="002C38F8" w:rsidP="00286F2F">
      <w:pPr>
        <w:pStyle w:val="0T-Titulek"/>
        <w:rPr>
          <w:rFonts w:eastAsia="Calibri"/>
        </w:rPr>
      </w:pPr>
      <w:bookmarkStart w:id="141" w:name="_Toc382326467"/>
      <w:r w:rsidRPr="006D5068">
        <w:rPr>
          <w:rFonts w:eastAsia="Calibri"/>
        </w:rPr>
        <w:t>Tabulka 40: Pořadí konkurenceschopnosti litevských krajů</w:t>
      </w:r>
      <w:bookmarkEnd w:id="141"/>
    </w:p>
    <w:tbl>
      <w:tblPr>
        <w:tblStyle w:val="Mkatabulky14"/>
        <w:tblW w:w="0" w:type="auto"/>
        <w:tblLook w:val="04A0" w:firstRow="1" w:lastRow="0" w:firstColumn="1" w:lastColumn="0" w:noHBand="0" w:noVBand="1"/>
      </w:tblPr>
      <w:tblGrid>
        <w:gridCol w:w="1884"/>
        <w:gridCol w:w="937"/>
        <w:gridCol w:w="939"/>
        <w:gridCol w:w="939"/>
        <w:gridCol w:w="939"/>
        <w:gridCol w:w="939"/>
        <w:gridCol w:w="939"/>
        <w:gridCol w:w="939"/>
        <w:gridCol w:w="831"/>
      </w:tblGrid>
      <w:tr w:rsidR="002C38F8" w:rsidRPr="006D5068" w:rsidTr="00286F2F">
        <w:trPr>
          <w:trHeight w:hRule="exact" w:val="510"/>
        </w:trPr>
        <w:tc>
          <w:tcPr>
            <w:tcW w:w="1884" w:type="dxa"/>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286F2F">
            <w:pPr>
              <w:keepNext/>
              <w:suppressLineNumbers/>
              <w:spacing w:line="240" w:lineRule="auto"/>
              <w:rPr>
                <w:rFonts w:asciiTheme="minorHAnsi" w:hAnsiTheme="minorHAnsi" w:cstheme="minorHAnsi"/>
                <w:b/>
              </w:rPr>
            </w:pPr>
            <w:r w:rsidRPr="006D5068">
              <w:rPr>
                <w:rFonts w:asciiTheme="minorHAnsi" w:hAnsiTheme="minorHAnsi" w:cstheme="minorHAnsi"/>
                <w:b/>
              </w:rPr>
              <w:t>kraj</w:t>
            </w:r>
          </w:p>
        </w:tc>
        <w:tc>
          <w:tcPr>
            <w:tcW w:w="937" w:type="dxa"/>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286F2F">
            <w:pPr>
              <w:keepNext/>
              <w:suppressLineNumbers/>
              <w:spacing w:line="240" w:lineRule="auto"/>
              <w:jc w:val="center"/>
              <w:rPr>
                <w:rFonts w:asciiTheme="minorHAnsi" w:hAnsiTheme="minorHAnsi" w:cstheme="minorHAnsi"/>
                <w:b/>
              </w:rPr>
            </w:pPr>
            <w:r w:rsidRPr="006D5068">
              <w:rPr>
                <w:rFonts w:asciiTheme="minorHAnsi" w:hAnsiTheme="minorHAnsi" w:cstheme="minorHAnsi"/>
                <w:b/>
              </w:rPr>
              <w:t>2001</w:t>
            </w:r>
          </w:p>
        </w:tc>
        <w:tc>
          <w:tcPr>
            <w:tcW w:w="939" w:type="dxa"/>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286F2F">
            <w:pPr>
              <w:keepNext/>
              <w:suppressLineNumbers/>
              <w:spacing w:line="240" w:lineRule="auto"/>
              <w:jc w:val="center"/>
              <w:rPr>
                <w:rFonts w:asciiTheme="minorHAnsi" w:hAnsiTheme="minorHAnsi" w:cstheme="minorHAnsi"/>
                <w:b/>
              </w:rPr>
            </w:pPr>
            <w:r w:rsidRPr="006D5068">
              <w:rPr>
                <w:rFonts w:asciiTheme="minorHAnsi" w:hAnsiTheme="minorHAnsi" w:cstheme="minorHAnsi"/>
                <w:b/>
              </w:rPr>
              <w:t>2002</w:t>
            </w:r>
          </w:p>
        </w:tc>
        <w:tc>
          <w:tcPr>
            <w:tcW w:w="939" w:type="dxa"/>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286F2F">
            <w:pPr>
              <w:keepNext/>
              <w:suppressLineNumbers/>
              <w:spacing w:line="240" w:lineRule="auto"/>
              <w:jc w:val="center"/>
              <w:rPr>
                <w:rFonts w:asciiTheme="minorHAnsi" w:hAnsiTheme="minorHAnsi" w:cstheme="minorHAnsi"/>
                <w:b/>
              </w:rPr>
            </w:pPr>
            <w:r w:rsidRPr="006D5068">
              <w:rPr>
                <w:rFonts w:asciiTheme="minorHAnsi" w:hAnsiTheme="minorHAnsi" w:cstheme="minorHAnsi"/>
                <w:b/>
              </w:rPr>
              <w:t>2003</w:t>
            </w:r>
          </w:p>
        </w:tc>
        <w:tc>
          <w:tcPr>
            <w:tcW w:w="939" w:type="dxa"/>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286F2F">
            <w:pPr>
              <w:keepNext/>
              <w:suppressLineNumbers/>
              <w:spacing w:line="240" w:lineRule="auto"/>
              <w:jc w:val="center"/>
              <w:rPr>
                <w:rFonts w:asciiTheme="minorHAnsi" w:hAnsiTheme="minorHAnsi" w:cstheme="minorHAnsi"/>
                <w:b/>
              </w:rPr>
            </w:pPr>
            <w:r w:rsidRPr="006D5068">
              <w:rPr>
                <w:rFonts w:asciiTheme="minorHAnsi" w:hAnsiTheme="minorHAnsi" w:cstheme="minorHAnsi"/>
                <w:b/>
              </w:rPr>
              <w:t>2004</w:t>
            </w:r>
          </w:p>
        </w:tc>
        <w:tc>
          <w:tcPr>
            <w:tcW w:w="939" w:type="dxa"/>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286F2F">
            <w:pPr>
              <w:keepNext/>
              <w:suppressLineNumbers/>
              <w:spacing w:line="240" w:lineRule="auto"/>
              <w:jc w:val="center"/>
              <w:rPr>
                <w:rFonts w:asciiTheme="minorHAnsi" w:hAnsiTheme="minorHAnsi" w:cstheme="minorHAnsi"/>
                <w:b/>
              </w:rPr>
            </w:pPr>
            <w:r w:rsidRPr="006D5068">
              <w:rPr>
                <w:rFonts w:asciiTheme="minorHAnsi" w:hAnsiTheme="minorHAnsi" w:cstheme="minorHAnsi"/>
                <w:b/>
              </w:rPr>
              <w:t>2005</w:t>
            </w:r>
          </w:p>
        </w:tc>
        <w:tc>
          <w:tcPr>
            <w:tcW w:w="939" w:type="dxa"/>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286F2F">
            <w:pPr>
              <w:keepNext/>
              <w:suppressLineNumbers/>
              <w:spacing w:line="240" w:lineRule="auto"/>
              <w:jc w:val="center"/>
              <w:rPr>
                <w:rFonts w:asciiTheme="minorHAnsi" w:hAnsiTheme="minorHAnsi" w:cstheme="minorHAnsi"/>
                <w:b/>
              </w:rPr>
            </w:pPr>
            <w:r w:rsidRPr="006D5068">
              <w:rPr>
                <w:rFonts w:asciiTheme="minorHAnsi" w:hAnsiTheme="minorHAnsi" w:cstheme="minorHAnsi"/>
                <w:b/>
              </w:rPr>
              <w:t>2006</w:t>
            </w:r>
          </w:p>
        </w:tc>
        <w:tc>
          <w:tcPr>
            <w:tcW w:w="939" w:type="dxa"/>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286F2F">
            <w:pPr>
              <w:keepNext/>
              <w:suppressLineNumbers/>
              <w:spacing w:line="240" w:lineRule="auto"/>
              <w:jc w:val="center"/>
              <w:rPr>
                <w:rFonts w:asciiTheme="minorHAnsi" w:hAnsiTheme="minorHAnsi" w:cstheme="minorHAnsi"/>
                <w:b/>
              </w:rPr>
            </w:pPr>
            <w:r w:rsidRPr="006D5068">
              <w:rPr>
                <w:rFonts w:asciiTheme="minorHAnsi" w:hAnsiTheme="minorHAnsi" w:cstheme="minorHAnsi"/>
                <w:b/>
              </w:rPr>
              <w:t>2007</w:t>
            </w:r>
          </w:p>
        </w:tc>
        <w:tc>
          <w:tcPr>
            <w:tcW w:w="831" w:type="dxa"/>
            <w:tcBorders>
              <w:top w:val="single" w:sz="4" w:space="0" w:color="auto"/>
              <w:left w:val="single" w:sz="4" w:space="0" w:color="auto"/>
              <w:bottom w:val="single" w:sz="4" w:space="0" w:color="auto"/>
              <w:right w:val="single" w:sz="4" w:space="0" w:color="auto"/>
            </w:tcBorders>
            <w:vAlign w:val="center"/>
            <w:hideMark/>
          </w:tcPr>
          <w:p w:rsidR="002C38F8" w:rsidRPr="006D5068" w:rsidRDefault="002C38F8" w:rsidP="00286F2F">
            <w:pPr>
              <w:keepNext/>
              <w:suppressLineNumbers/>
              <w:spacing w:line="240" w:lineRule="auto"/>
              <w:jc w:val="center"/>
              <w:rPr>
                <w:rFonts w:asciiTheme="minorHAnsi" w:hAnsiTheme="minorHAnsi" w:cstheme="minorHAnsi"/>
                <w:b/>
              </w:rPr>
            </w:pPr>
            <w:r w:rsidRPr="006D5068">
              <w:rPr>
                <w:rFonts w:asciiTheme="minorHAnsi" w:hAnsiTheme="minorHAnsi" w:cstheme="minorHAnsi"/>
                <w:b/>
              </w:rPr>
              <w:t>prům. pořadí</w:t>
            </w:r>
          </w:p>
        </w:tc>
      </w:tr>
      <w:tr w:rsidR="002C38F8" w:rsidRPr="006D5068" w:rsidTr="00890421">
        <w:trPr>
          <w:trHeight w:hRule="exact" w:val="284"/>
        </w:trPr>
        <w:tc>
          <w:tcPr>
            <w:tcW w:w="18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rPr>
                <w:rFonts w:asciiTheme="minorHAnsi" w:hAnsiTheme="minorHAnsi" w:cstheme="minorHAnsi"/>
              </w:rPr>
            </w:pPr>
            <w:r w:rsidRPr="006D5068">
              <w:rPr>
                <w:rFonts w:asciiTheme="minorHAnsi" w:hAnsiTheme="minorHAnsi" w:cstheme="minorHAnsi"/>
              </w:rPr>
              <w:t xml:space="preserve">Alytus </w:t>
            </w:r>
          </w:p>
        </w:tc>
        <w:tc>
          <w:tcPr>
            <w:tcW w:w="937"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83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r>
      <w:tr w:rsidR="002C38F8" w:rsidRPr="006D5068" w:rsidTr="00890421">
        <w:trPr>
          <w:trHeight w:hRule="exact" w:val="284"/>
        </w:trPr>
        <w:tc>
          <w:tcPr>
            <w:tcW w:w="18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rPr>
                <w:rFonts w:asciiTheme="minorHAnsi" w:hAnsiTheme="minorHAnsi" w:cstheme="minorHAnsi"/>
              </w:rPr>
            </w:pPr>
            <w:r w:rsidRPr="006D5068">
              <w:rPr>
                <w:rFonts w:asciiTheme="minorHAnsi" w:hAnsiTheme="minorHAnsi" w:cstheme="minorHAnsi"/>
              </w:rPr>
              <w:t xml:space="preserve">Kaunas </w:t>
            </w:r>
          </w:p>
        </w:tc>
        <w:tc>
          <w:tcPr>
            <w:tcW w:w="937"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83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2,5</w:t>
            </w:r>
          </w:p>
        </w:tc>
      </w:tr>
      <w:tr w:rsidR="002C38F8" w:rsidRPr="006D5068" w:rsidTr="00890421">
        <w:trPr>
          <w:trHeight w:hRule="exact" w:val="284"/>
        </w:trPr>
        <w:tc>
          <w:tcPr>
            <w:tcW w:w="18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rPr>
                <w:rFonts w:asciiTheme="minorHAnsi" w:hAnsiTheme="minorHAnsi" w:cstheme="minorHAnsi"/>
              </w:rPr>
            </w:pPr>
            <w:r w:rsidRPr="006D5068">
              <w:rPr>
                <w:rFonts w:asciiTheme="minorHAnsi" w:hAnsiTheme="minorHAnsi" w:cstheme="minorHAnsi"/>
              </w:rPr>
              <w:t xml:space="preserve">Klaipėda </w:t>
            </w:r>
          </w:p>
        </w:tc>
        <w:tc>
          <w:tcPr>
            <w:tcW w:w="937"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3</w:t>
            </w:r>
          </w:p>
        </w:tc>
        <w:tc>
          <w:tcPr>
            <w:tcW w:w="83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2,5</w:t>
            </w:r>
          </w:p>
        </w:tc>
      </w:tr>
      <w:tr w:rsidR="002C38F8" w:rsidRPr="006D5068" w:rsidTr="00890421">
        <w:trPr>
          <w:trHeight w:hRule="exact" w:val="284"/>
        </w:trPr>
        <w:tc>
          <w:tcPr>
            <w:tcW w:w="18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rPr>
                <w:rFonts w:asciiTheme="minorHAnsi" w:hAnsiTheme="minorHAnsi" w:cstheme="minorHAnsi"/>
              </w:rPr>
            </w:pPr>
            <w:r w:rsidRPr="006D5068">
              <w:rPr>
                <w:rFonts w:asciiTheme="minorHAnsi" w:hAnsiTheme="minorHAnsi" w:cstheme="minorHAnsi"/>
              </w:rPr>
              <w:t xml:space="preserve">Marijampolė </w:t>
            </w:r>
          </w:p>
        </w:tc>
        <w:tc>
          <w:tcPr>
            <w:tcW w:w="937"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83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7,5</w:t>
            </w:r>
          </w:p>
        </w:tc>
      </w:tr>
      <w:tr w:rsidR="002C38F8" w:rsidRPr="006D5068" w:rsidTr="00890421">
        <w:trPr>
          <w:trHeight w:hRule="exact" w:val="284"/>
        </w:trPr>
        <w:tc>
          <w:tcPr>
            <w:tcW w:w="18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rPr>
                <w:rFonts w:asciiTheme="minorHAnsi" w:hAnsiTheme="minorHAnsi" w:cstheme="minorHAnsi"/>
              </w:rPr>
            </w:pPr>
            <w:r w:rsidRPr="006D5068">
              <w:rPr>
                <w:rFonts w:asciiTheme="minorHAnsi" w:hAnsiTheme="minorHAnsi" w:cstheme="minorHAnsi"/>
              </w:rPr>
              <w:t xml:space="preserve">Panevėžys </w:t>
            </w:r>
          </w:p>
        </w:tc>
        <w:tc>
          <w:tcPr>
            <w:tcW w:w="937"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83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6,5</w:t>
            </w:r>
          </w:p>
        </w:tc>
      </w:tr>
      <w:tr w:rsidR="002C38F8" w:rsidRPr="006D5068" w:rsidTr="00890421">
        <w:trPr>
          <w:trHeight w:hRule="exact" w:val="284"/>
        </w:trPr>
        <w:tc>
          <w:tcPr>
            <w:tcW w:w="18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rPr>
                <w:rFonts w:asciiTheme="minorHAnsi" w:hAnsiTheme="minorHAnsi" w:cstheme="minorHAnsi"/>
              </w:rPr>
            </w:pPr>
            <w:r w:rsidRPr="006D5068">
              <w:rPr>
                <w:rFonts w:asciiTheme="minorHAnsi" w:hAnsiTheme="minorHAnsi" w:cstheme="minorHAnsi"/>
              </w:rPr>
              <w:t xml:space="preserve">Šiauliai </w:t>
            </w:r>
          </w:p>
        </w:tc>
        <w:tc>
          <w:tcPr>
            <w:tcW w:w="937"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c>
          <w:tcPr>
            <w:tcW w:w="83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5</w:t>
            </w:r>
          </w:p>
        </w:tc>
      </w:tr>
      <w:tr w:rsidR="002C38F8" w:rsidRPr="006D5068" w:rsidTr="00890421">
        <w:trPr>
          <w:trHeight w:hRule="exact" w:val="284"/>
        </w:trPr>
        <w:tc>
          <w:tcPr>
            <w:tcW w:w="18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rPr>
                <w:rFonts w:asciiTheme="minorHAnsi" w:hAnsiTheme="minorHAnsi" w:cstheme="minorHAnsi"/>
              </w:rPr>
            </w:pPr>
            <w:r w:rsidRPr="006D5068">
              <w:rPr>
                <w:rFonts w:asciiTheme="minorHAnsi" w:hAnsiTheme="minorHAnsi" w:cstheme="minorHAnsi"/>
              </w:rPr>
              <w:t xml:space="preserve">Tauragė </w:t>
            </w:r>
          </w:p>
        </w:tc>
        <w:tc>
          <w:tcPr>
            <w:tcW w:w="937"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c>
          <w:tcPr>
            <w:tcW w:w="83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10</w:t>
            </w:r>
          </w:p>
        </w:tc>
      </w:tr>
      <w:tr w:rsidR="002C38F8" w:rsidRPr="006D5068" w:rsidTr="00890421">
        <w:trPr>
          <w:trHeight w:hRule="exact" w:val="284"/>
        </w:trPr>
        <w:tc>
          <w:tcPr>
            <w:tcW w:w="18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rPr>
                <w:rFonts w:asciiTheme="minorHAnsi" w:hAnsiTheme="minorHAnsi" w:cstheme="minorHAnsi"/>
              </w:rPr>
            </w:pPr>
            <w:r w:rsidRPr="006D5068">
              <w:rPr>
                <w:rFonts w:asciiTheme="minorHAnsi" w:hAnsiTheme="minorHAnsi" w:cstheme="minorHAnsi"/>
              </w:rPr>
              <w:t xml:space="preserve">Telšiai </w:t>
            </w:r>
          </w:p>
        </w:tc>
        <w:tc>
          <w:tcPr>
            <w:tcW w:w="937"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c>
          <w:tcPr>
            <w:tcW w:w="83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4</w:t>
            </w:r>
          </w:p>
        </w:tc>
      </w:tr>
      <w:tr w:rsidR="002C38F8" w:rsidRPr="006D5068" w:rsidTr="00890421">
        <w:trPr>
          <w:trHeight w:hRule="exact" w:val="284"/>
        </w:trPr>
        <w:tc>
          <w:tcPr>
            <w:tcW w:w="18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rPr>
                <w:rFonts w:asciiTheme="minorHAnsi" w:hAnsiTheme="minorHAnsi" w:cstheme="minorHAnsi"/>
              </w:rPr>
            </w:pPr>
            <w:r w:rsidRPr="006D5068">
              <w:rPr>
                <w:rFonts w:asciiTheme="minorHAnsi" w:hAnsiTheme="minorHAnsi" w:cstheme="minorHAnsi"/>
              </w:rPr>
              <w:t xml:space="preserve">Utena </w:t>
            </w:r>
          </w:p>
        </w:tc>
        <w:tc>
          <w:tcPr>
            <w:tcW w:w="937"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7</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9</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6</w:t>
            </w:r>
          </w:p>
        </w:tc>
        <w:tc>
          <w:tcPr>
            <w:tcW w:w="83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8</w:t>
            </w:r>
          </w:p>
        </w:tc>
      </w:tr>
      <w:tr w:rsidR="002C38F8" w:rsidRPr="006D5068" w:rsidTr="00890421">
        <w:trPr>
          <w:trHeight w:hRule="exact" w:val="284"/>
        </w:trPr>
        <w:tc>
          <w:tcPr>
            <w:tcW w:w="1884"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rPr>
                <w:rFonts w:asciiTheme="minorHAnsi" w:hAnsiTheme="minorHAnsi" w:cstheme="minorHAnsi"/>
              </w:rPr>
            </w:pPr>
            <w:r w:rsidRPr="006D5068">
              <w:rPr>
                <w:rFonts w:asciiTheme="minorHAnsi" w:hAnsiTheme="minorHAnsi" w:cstheme="minorHAnsi"/>
              </w:rPr>
              <w:t xml:space="preserve">Vilnius </w:t>
            </w:r>
          </w:p>
        </w:tc>
        <w:tc>
          <w:tcPr>
            <w:tcW w:w="937"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939"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c>
          <w:tcPr>
            <w:tcW w:w="831" w:type="dxa"/>
            <w:tcBorders>
              <w:top w:val="single" w:sz="4" w:space="0" w:color="auto"/>
              <w:left w:val="single" w:sz="4" w:space="0" w:color="auto"/>
              <w:bottom w:val="single" w:sz="4" w:space="0" w:color="auto"/>
              <w:right w:val="single" w:sz="4" w:space="0" w:color="auto"/>
            </w:tcBorders>
            <w:hideMark/>
          </w:tcPr>
          <w:p w:rsidR="002C38F8" w:rsidRPr="006D5068" w:rsidRDefault="002C38F8" w:rsidP="00B2209E">
            <w:pPr>
              <w:keepNext/>
              <w:suppressLineNumbers/>
              <w:jc w:val="center"/>
              <w:rPr>
                <w:rFonts w:asciiTheme="minorHAnsi" w:hAnsiTheme="minorHAnsi" w:cstheme="minorHAnsi"/>
              </w:rPr>
            </w:pPr>
            <w:r w:rsidRPr="006D5068">
              <w:rPr>
                <w:rFonts w:asciiTheme="minorHAnsi" w:hAnsiTheme="minorHAnsi" w:cstheme="minorHAnsi"/>
              </w:rPr>
              <w:t>1</w:t>
            </w:r>
          </w:p>
        </w:tc>
      </w:tr>
    </w:tbl>
    <w:p w:rsidR="00E048D8" w:rsidRDefault="002C38F8" w:rsidP="00286F2F">
      <w:pPr>
        <w:keepNext/>
        <w:suppressLineNumbers/>
        <w:spacing w:after="0"/>
        <w:jc w:val="center"/>
        <w:rPr>
          <w:rFonts w:asciiTheme="minorHAnsi" w:eastAsia="Calibri" w:hAnsiTheme="minorHAnsi" w:cstheme="minorHAnsi"/>
          <w:i/>
        </w:rPr>
      </w:pPr>
      <w:r w:rsidRPr="006D5068">
        <w:rPr>
          <w:rFonts w:asciiTheme="minorHAnsi" w:hAnsiTheme="minorHAnsi" w:cstheme="minorHAnsi"/>
          <w:i/>
        </w:rPr>
        <w:t>Pramen:</w:t>
      </w:r>
      <w:r w:rsidR="00286F2F">
        <w:rPr>
          <w:rFonts w:asciiTheme="minorHAnsi" w:eastAsia="Calibri" w:hAnsiTheme="minorHAnsi" w:cstheme="minorHAnsi"/>
          <w:i/>
        </w:rPr>
        <w:t xml:space="preserve"> Snieška, Bruneckiene, 2009.</w:t>
      </w:r>
    </w:p>
    <w:p w:rsidR="00286F2F" w:rsidRPr="00286F2F" w:rsidRDefault="00286F2F" w:rsidP="00286F2F">
      <w:pPr>
        <w:keepNext/>
        <w:suppressLineNumbers/>
        <w:spacing w:after="0"/>
        <w:jc w:val="center"/>
        <w:rPr>
          <w:rFonts w:asciiTheme="minorHAnsi" w:eastAsia="Calibri" w:hAnsiTheme="minorHAnsi" w:cstheme="minorHAnsi"/>
          <w:i/>
        </w:rPr>
      </w:pPr>
    </w:p>
    <w:p w:rsidR="003E0D09" w:rsidRPr="00A70B0A" w:rsidRDefault="003E0D09" w:rsidP="004179AF">
      <w:pPr>
        <w:pStyle w:val="03-Nadpis3"/>
        <w:ind w:left="709" w:hanging="709"/>
      </w:pPr>
      <w:bookmarkStart w:id="142" w:name="_Toc382327216"/>
      <w:r w:rsidRPr="00A70B0A">
        <w:t>4.6.2. Multikriteriální hodnocení projektů výstavby expresní silniční infrastruktury</w:t>
      </w:r>
      <w:bookmarkEnd w:id="142"/>
      <w:r w:rsidRPr="00A70B0A">
        <w:t xml:space="preserve"> </w:t>
      </w:r>
    </w:p>
    <w:p w:rsidR="003E0D09" w:rsidRDefault="003E0D09" w:rsidP="00286F2F">
      <w:pPr>
        <w:keepNext/>
        <w:widowControl w:val="0"/>
        <w:spacing w:after="120"/>
        <w:ind w:firstLine="720"/>
        <w:jc w:val="both"/>
        <w:rPr>
          <w:sz w:val="24"/>
          <w:szCs w:val="24"/>
        </w:rPr>
      </w:pPr>
      <w:r w:rsidRPr="00AE7EC3">
        <w:rPr>
          <w:sz w:val="24"/>
          <w:szCs w:val="24"/>
        </w:rPr>
        <w:t>Hodnocení veřejných projektů je ve srovnání s hodnocením soukromých projektů z důvodu jejich zaměření na více cílových skupin potenciálních uživatelů (a obvykle i výrazně delšího časového horizontu) podstatně obtížnější záležitostí. V tomto</w:t>
      </w:r>
      <w:r w:rsidRPr="003E0D09">
        <w:rPr>
          <w:sz w:val="24"/>
          <w:szCs w:val="24"/>
        </w:rPr>
        <w:t xml:space="preserve"> kontextu se jako vhodný demonstrační příklad jeví hodnocení účelnosti projektů výstavby expresních silnic, představené pomocí případové studie dálnic a </w:t>
      </w:r>
      <w:r w:rsidR="00E048D8">
        <w:rPr>
          <w:sz w:val="24"/>
          <w:szCs w:val="24"/>
        </w:rPr>
        <w:t>rychlostních silnic (dále jen D+</w:t>
      </w:r>
      <w:r w:rsidRPr="003E0D09">
        <w:rPr>
          <w:sz w:val="24"/>
          <w:szCs w:val="24"/>
        </w:rPr>
        <w:t>R) plánovaných v České republice – k</w:t>
      </w:r>
      <w:r w:rsidRPr="003E0D09">
        <w:rPr>
          <w:bCs/>
          <w:sz w:val="24"/>
          <w:szCs w:val="24"/>
        </w:rPr>
        <w:t>onkrétně pak jde o následující trasy a úse</w:t>
      </w:r>
      <w:r w:rsidR="00A40197">
        <w:rPr>
          <w:bCs/>
          <w:sz w:val="24"/>
          <w:szCs w:val="24"/>
        </w:rPr>
        <w:t>ky o délce alespoň 50 km: D3, D11, R6, R</w:t>
      </w:r>
      <w:r w:rsidRPr="003E0D09">
        <w:rPr>
          <w:bCs/>
          <w:sz w:val="24"/>
          <w:szCs w:val="24"/>
        </w:rPr>
        <w:t>7</w:t>
      </w:r>
      <w:r w:rsidR="00A40197">
        <w:rPr>
          <w:bCs/>
          <w:sz w:val="24"/>
          <w:szCs w:val="24"/>
        </w:rPr>
        <w:t>, R35, R43, R49 a R</w:t>
      </w:r>
      <w:r w:rsidRPr="003E0D09">
        <w:rPr>
          <w:bCs/>
          <w:sz w:val="24"/>
          <w:szCs w:val="24"/>
        </w:rPr>
        <w:t>55.</w:t>
      </w:r>
      <w:r w:rsidRPr="003E0D09">
        <w:rPr>
          <w:sz w:val="24"/>
          <w:szCs w:val="24"/>
        </w:rPr>
        <w:t xml:space="preserve"> Užitá originální</w:t>
      </w:r>
      <w:r w:rsidRPr="003E0D09">
        <w:rPr>
          <w:bCs/>
          <w:sz w:val="24"/>
          <w:szCs w:val="24"/>
        </w:rPr>
        <w:t xml:space="preserve"> metodika multikriteriálního h</w:t>
      </w:r>
      <w:r w:rsidRPr="003E0D09">
        <w:rPr>
          <w:sz w:val="24"/>
          <w:szCs w:val="24"/>
        </w:rPr>
        <w:t xml:space="preserve">odnocení </w:t>
      </w:r>
      <w:r w:rsidRPr="003E0D09">
        <w:rPr>
          <w:bCs/>
          <w:sz w:val="24"/>
          <w:szCs w:val="24"/>
        </w:rPr>
        <w:t>(Viturka, Pařil, Tonev, 2012)</w:t>
      </w:r>
      <w:r w:rsidRPr="003E0D09">
        <w:rPr>
          <w:sz w:val="24"/>
          <w:szCs w:val="24"/>
        </w:rPr>
        <w:t xml:space="preserve"> systémově propojuje relevantní technické, ekonomické, politické, prostorové a environmentální faktory a v souladu s tím </w:t>
      </w:r>
      <w:r w:rsidRPr="003E0D09">
        <w:rPr>
          <w:bCs/>
          <w:sz w:val="24"/>
          <w:szCs w:val="24"/>
        </w:rPr>
        <w:t>vychází z pěti kritérií</w:t>
      </w:r>
      <w:r w:rsidRPr="003E0D09">
        <w:rPr>
          <w:sz w:val="24"/>
          <w:szCs w:val="24"/>
        </w:rPr>
        <w:t xml:space="preserve">: </w:t>
      </w:r>
    </w:p>
    <w:p w:rsidR="00286F2F" w:rsidRPr="003E0D09" w:rsidRDefault="00286F2F" w:rsidP="00286F2F">
      <w:pPr>
        <w:keepNext/>
        <w:widowControl w:val="0"/>
        <w:spacing w:after="120"/>
        <w:ind w:firstLine="720"/>
        <w:jc w:val="both"/>
        <w:rPr>
          <w:color w:val="0000FF"/>
          <w:sz w:val="24"/>
          <w:szCs w:val="24"/>
        </w:rPr>
      </w:pPr>
    </w:p>
    <w:p w:rsidR="003E0D09" w:rsidRPr="00E6724F" w:rsidRDefault="003E0D09" w:rsidP="00286F2F">
      <w:pPr>
        <w:keepNext/>
        <w:widowControl w:val="0"/>
        <w:numPr>
          <w:ilvl w:val="0"/>
          <w:numId w:val="23"/>
        </w:numPr>
        <w:suppressLineNumbers/>
        <w:spacing w:after="120"/>
        <w:ind w:left="284" w:hanging="284"/>
        <w:jc w:val="both"/>
        <w:rPr>
          <w:sz w:val="24"/>
          <w:szCs w:val="24"/>
        </w:rPr>
      </w:pPr>
      <w:r w:rsidRPr="00E6724F">
        <w:rPr>
          <w:sz w:val="24"/>
          <w:szCs w:val="24"/>
        </w:rPr>
        <w:lastRenderedPageBreak/>
        <w:t xml:space="preserve">kritérium relevance – zohledňuje intenzitu dopravy jako rozhodujícího faktoru technické potřebnosti výstavby </w:t>
      </w:r>
    </w:p>
    <w:p w:rsidR="003E0D09" w:rsidRPr="00E6724F" w:rsidRDefault="003E0D09" w:rsidP="00286F2F">
      <w:pPr>
        <w:keepNext/>
        <w:widowControl w:val="0"/>
        <w:numPr>
          <w:ilvl w:val="0"/>
          <w:numId w:val="23"/>
        </w:numPr>
        <w:suppressLineNumbers/>
        <w:spacing w:after="120"/>
        <w:ind w:left="284" w:hanging="284"/>
        <w:jc w:val="both"/>
        <w:rPr>
          <w:sz w:val="24"/>
          <w:szCs w:val="24"/>
        </w:rPr>
      </w:pPr>
      <w:r w:rsidRPr="00E6724F">
        <w:rPr>
          <w:sz w:val="24"/>
          <w:szCs w:val="24"/>
        </w:rPr>
        <w:t xml:space="preserve">kritérium užitku – zohledňuje úspory času generované výstavbou </w:t>
      </w:r>
    </w:p>
    <w:p w:rsidR="003E0D09" w:rsidRPr="00E6724F" w:rsidRDefault="003E0D09" w:rsidP="00286F2F">
      <w:pPr>
        <w:keepNext/>
        <w:widowControl w:val="0"/>
        <w:numPr>
          <w:ilvl w:val="0"/>
          <w:numId w:val="23"/>
        </w:numPr>
        <w:suppressLineNumbers/>
        <w:spacing w:after="120"/>
        <w:ind w:left="284" w:hanging="284"/>
        <w:jc w:val="both"/>
        <w:rPr>
          <w:sz w:val="24"/>
          <w:szCs w:val="24"/>
        </w:rPr>
      </w:pPr>
      <w:r w:rsidRPr="00E6724F">
        <w:rPr>
          <w:sz w:val="24"/>
          <w:szCs w:val="24"/>
        </w:rPr>
        <w:t xml:space="preserve">kritérium integrace – zohledňuje strategický význam projektů výstavby </w:t>
      </w:r>
    </w:p>
    <w:p w:rsidR="003E0D09" w:rsidRPr="00E6724F" w:rsidRDefault="003E0D09" w:rsidP="00286F2F">
      <w:pPr>
        <w:keepNext/>
        <w:widowControl w:val="0"/>
        <w:numPr>
          <w:ilvl w:val="0"/>
          <w:numId w:val="23"/>
        </w:numPr>
        <w:suppressLineNumbers/>
        <w:spacing w:after="120"/>
        <w:ind w:left="284" w:hanging="284"/>
        <w:jc w:val="both"/>
        <w:rPr>
          <w:sz w:val="24"/>
          <w:szCs w:val="24"/>
        </w:rPr>
      </w:pPr>
      <w:r w:rsidRPr="00E6724F">
        <w:rPr>
          <w:sz w:val="24"/>
          <w:szCs w:val="24"/>
        </w:rPr>
        <w:t xml:space="preserve">kritérium stimulace – zohledňuje potenciální dopady projektů výstavby na regionální kvalitu podnikatelského prostředí </w:t>
      </w:r>
    </w:p>
    <w:p w:rsidR="003E0D09" w:rsidRPr="003E0D09" w:rsidRDefault="003E0D09" w:rsidP="00286F2F">
      <w:pPr>
        <w:keepNext/>
        <w:widowControl w:val="0"/>
        <w:numPr>
          <w:ilvl w:val="0"/>
          <w:numId w:val="23"/>
        </w:numPr>
        <w:suppressLineNumbers/>
        <w:ind w:left="284" w:hanging="284"/>
        <w:jc w:val="both"/>
        <w:rPr>
          <w:sz w:val="24"/>
          <w:szCs w:val="24"/>
        </w:rPr>
      </w:pPr>
      <w:r w:rsidRPr="00E6724F">
        <w:rPr>
          <w:sz w:val="24"/>
          <w:szCs w:val="24"/>
        </w:rPr>
        <w:t>kritérium udržitelnosti</w:t>
      </w:r>
      <w:r w:rsidRPr="003E0D09">
        <w:rPr>
          <w:sz w:val="24"/>
          <w:szCs w:val="24"/>
        </w:rPr>
        <w:t xml:space="preserve"> – zohledňuje potenciální dopady projektů výstavby na regionální kvalitu životního prostředí. </w:t>
      </w:r>
    </w:p>
    <w:p w:rsidR="003E0D09" w:rsidRPr="003E0D09" w:rsidRDefault="003E0D09" w:rsidP="00423120">
      <w:pPr>
        <w:keepNext/>
        <w:widowControl w:val="0"/>
        <w:ind w:firstLine="720"/>
        <w:jc w:val="both"/>
        <w:rPr>
          <w:sz w:val="24"/>
          <w:szCs w:val="24"/>
        </w:rPr>
      </w:pPr>
      <w:r w:rsidRPr="003E0D09">
        <w:rPr>
          <w:sz w:val="24"/>
          <w:szCs w:val="24"/>
        </w:rPr>
        <w:t xml:space="preserve">V relativně stabilních podmínkách rozvinutých zemí lze vzájemné vazby těchto kritérií a poptávky týkající se výstavby expresních silnic vyjádřit pomocí následující časové posloupnosti: řešení dopravního přetížení silnic (vazby na kritérium relevance) </w:t>
      </w:r>
      <w:r w:rsidRPr="003E0D09">
        <w:rPr>
          <w:sz w:val="24"/>
          <w:szCs w:val="24"/>
        </w:rPr>
        <w:sym w:font="Symbol" w:char="F0AE"/>
      </w:r>
      <w:r w:rsidRPr="003E0D09">
        <w:rPr>
          <w:sz w:val="24"/>
          <w:szCs w:val="24"/>
        </w:rPr>
        <w:t xml:space="preserve"> zvýšení rychlosti silniční dopravy (vazby na kritérium užitku) </w:t>
      </w:r>
      <w:r w:rsidRPr="003E0D09">
        <w:rPr>
          <w:sz w:val="24"/>
          <w:szCs w:val="24"/>
        </w:rPr>
        <w:sym w:font="Symbol" w:char="F0AE"/>
      </w:r>
      <w:r w:rsidRPr="003E0D09">
        <w:rPr>
          <w:sz w:val="24"/>
          <w:szCs w:val="24"/>
        </w:rPr>
        <w:t xml:space="preserve"> posílení územní spolupráce (vazby na kritérium integrace) </w:t>
      </w:r>
      <w:r w:rsidRPr="003E0D09">
        <w:rPr>
          <w:sz w:val="24"/>
          <w:szCs w:val="24"/>
        </w:rPr>
        <w:sym w:font="Symbol" w:char="F0AE"/>
      </w:r>
      <w:r w:rsidRPr="003E0D09">
        <w:rPr>
          <w:sz w:val="24"/>
          <w:szCs w:val="24"/>
        </w:rPr>
        <w:t xml:space="preserve"> podpora ekonomického rozvoje regionů (vazby na kritérium stimulace) </w:t>
      </w:r>
      <w:r w:rsidRPr="003E0D09">
        <w:rPr>
          <w:sz w:val="24"/>
          <w:szCs w:val="24"/>
        </w:rPr>
        <w:sym w:font="Symbol" w:char="F0AE"/>
      </w:r>
      <w:r w:rsidRPr="003E0D09">
        <w:rPr>
          <w:sz w:val="24"/>
          <w:szCs w:val="24"/>
        </w:rPr>
        <w:t xml:space="preserve"> minimalizace negativních dopadů na životní prostředí (vazby na kritérium udržitelnosti). </w:t>
      </w:r>
    </w:p>
    <w:p w:rsidR="003E0D09" w:rsidRPr="003E0D09" w:rsidRDefault="003E0D09" w:rsidP="00423120">
      <w:pPr>
        <w:keepNext/>
        <w:widowControl w:val="0"/>
        <w:outlineLvl w:val="1"/>
        <w:rPr>
          <w:b/>
          <w:bCs/>
          <w:i/>
          <w:sz w:val="24"/>
          <w:szCs w:val="24"/>
        </w:rPr>
      </w:pPr>
      <w:r w:rsidRPr="003E0D09">
        <w:rPr>
          <w:b/>
          <w:bCs/>
          <w:i/>
          <w:sz w:val="24"/>
          <w:szCs w:val="24"/>
        </w:rPr>
        <w:t xml:space="preserve">Kritérium relevance </w:t>
      </w:r>
    </w:p>
    <w:p w:rsidR="003E0D09" w:rsidRPr="003E0D09" w:rsidRDefault="003E0D09" w:rsidP="00423120">
      <w:pPr>
        <w:keepNext/>
        <w:widowControl w:val="0"/>
        <w:ind w:firstLine="720"/>
        <w:jc w:val="both"/>
        <w:rPr>
          <w:sz w:val="24"/>
          <w:szCs w:val="24"/>
        </w:rPr>
      </w:pPr>
      <w:r w:rsidRPr="003E0D09">
        <w:rPr>
          <w:sz w:val="24"/>
          <w:szCs w:val="24"/>
        </w:rPr>
        <w:t>Kritérium je zaměřeno na vyhodnocení interakcí mezi  reálným dopravním významem silnic a jejich technickými parametry. V souladu s tím je hlavním indikátorem intenzita silniční dopravy, jejíž vývojové tendence determinují technickou potřebnost výstavby D+R. Vyčerpání kapacity silnice s negativními dopady na plynulost a bezpečnost dopravy je logickým argumentem pro její rozšíření (modernizaci) nebo výstavbu nové silnice vyšší kategorie. Za hraniční hodnotu, při jejímž dosažení je překro</w:t>
      </w:r>
      <w:r w:rsidR="007F79BC">
        <w:rPr>
          <w:sz w:val="24"/>
          <w:szCs w:val="24"/>
        </w:rPr>
        <w:t>čena rovnováha mezi kapacitou a </w:t>
      </w:r>
      <w:r w:rsidRPr="003E0D09">
        <w:rPr>
          <w:sz w:val="24"/>
          <w:szCs w:val="24"/>
        </w:rPr>
        <w:t xml:space="preserve">dopravním využitím silnice, je podle českého systému kategorizace silnic u dvoupruhových silnic I. třídy pokládána průměrná intenzita dopravního toku ve </w:t>
      </w:r>
      <w:r w:rsidR="007F79BC">
        <w:rPr>
          <w:sz w:val="24"/>
          <w:szCs w:val="24"/>
        </w:rPr>
        <w:t>výši 20 tis. vozidel/den. Podle </w:t>
      </w:r>
      <w:r w:rsidRPr="003E0D09">
        <w:rPr>
          <w:sz w:val="24"/>
          <w:szCs w:val="24"/>
        </w:rPr>
        <w:t xml:space="preserve">výsledků sčítání z roku 2010 intenzita dopravy na silnicích I. třídy nacházejících se v trase plánovaných D+R nikde trvale nepřesahuje stanovený obecný limit jejich denní kapacity. Nejvyšší průměrná intenzita 14,1 tis. vozidel/den byla </w:t>
      </w:r>
      <w:r w:rsidR="00491A0C">
        <w:rPr>
          <w:sz w:val="24"/>
          <w:szCs w:val="24"/>
        </w:rPr>
        <w:t>zaznamenána v trase plánované R35 (následované D3 a R</w:t>
      </w:r>
      <w:r w:rsidRPr="003E0D09">
        <w:rPr>
          <w:sz w:val="24"/>
          <w:szCs w:val="24"/>
        </w:rPr>
        <w:t xml:space="preserve">55) a naopak nejnižší průměrná intenzita 7,3 tis. </w:t>
      </w:r>
      <w:r w:rsidR="00491A0C">
        <w:rPr>
          <w:sz w:val="24"/>
          <w:szCs w:val="24"/>
        </w:rPr>
        <w:t>vozidel/den v trase plánované R</w:t>
      </w:r>
      <w:r w:rsidRPr="003E0D09">
        <w:rPr>
          <w:sz w:val="24"/>
          <w:szCs w:val="24"/>
        </w:rPr>
        <w:t>49. Pro srovnání uvádíme, že průměrná denní intenzita dopravy na českých dálnicích činila v roce 2010 27,6 tis. vozidel, na rychlostní</w:t>
      </w:r>
      <w:r w:rsidR="00491A0C">
        <w:rPr>
          <w:sz w:val="24"/>
          <w:szCs w:val="24"/>
        </w:rPr>
        <w:t xml:space="preserve">ch silnicích 21,5 tis. vozidel a </w:t>
      </w:r>
      <w:r w:rsidRPr="003E0D09">
        <w:rPr>
          <w:sz w:val="24"/>
          <w:szCs w:val="24"/>
        </w:rPr>
        <w:t>na silnicích I. třídy 7,6 tis. vozidel (podíl těžkých vozidel na dálnicích dosahující téměř 27 % výrazně převyšoval podíl vztahující se k běžným silnicím). Podle údajů ŘSD vzrostla v období 1990 až 2005 intenzita d</w:t>
      </w:r>
      <w:r w:rsidR="007F79BC">
        <w:rPr>
          <w:sz w:val="24"/>
          <w:szCs w:val="24"/>
        </w:rPr>
        <w:t>opravy na dálkových silnicích o </w:t>
      </w:r>
      <w:r w:rsidRPr="003E0D09">
        <w:rPr>
          <w:sz w:val="24"/>
          <w:szCs w:val="24"/>
        </w:rPr>
        <w:t>přibližně 90 %, avšak v mezidobí posledních sčítání v letech 2005 a 2010 již byla v rozporu s prognózou ŘSD zjištěna celková stagnace (ŘSD, 2005</w:t>
      </w:r>
      <w:r w:rsidRPr="003E0D09">
        <w:rPr>
          <w:sz w:val="24"/>
          <w:szCs w:val="24"/>
        </w:rPr>
        <w:sym w:font="Symbol" w:char="F03B"/>
      </w:r>
      <w:r w:rsidRPr="003E0D09">
        <w:rPr>
          <w:sz w:val="24"/>
          <w:szCs w:val="24"/>
        </w:rPr>
        <w:t xml:space="preserve"> 2010). Tato skutečnost, korespondující s nástupem globální recese v roce 2008, dokládá celkově nízkou spolehlivost doprav</w:t>
      </w:r>
      <w:r w:rsidR="003D024F">
        <w:rPr>
          <w:sz w:val="24"/>
          <w:szCs w:val="24"/>
        </w:rPr>
        <w:t>ních prognóz. K tomu lze</w:t>
      </w:r>
      <w:r w:rsidRPr="003E0D09">
        <w:rPr>
          <w:sz w:val="24"/>
          <w:szCs w:val="24"/>
        </w:rPr>
        <w:t xml:space="preserve"> poznamenat, že dopravní využití nových D+R je kromě dopravy přesměrované z původních silnic nižší kategorie ovlivňováno i dopravou indukovanou zvýšením kvality infrastruktury (Kurfürst, 2002). Koeficient pružnosti poptávky vyjadřující zvýšení objemu dopravy s jednotkovým zvýšením silniční kapacity </w:t>
      </w:r>
      <w:r w:rsidRPr="003E0D09">
        <w:rPr>
          <w:sz w:val="24"/>
          <w:szCs w:val="24"/>
        </w:rPr>
        <w:lastRenderedPageBreak/>
        <w:t>podle</w:t>
      </w:r>
      <w:r w:rsidR="007F79BC">
        <w:rPr>
          <w:sz w:val="24"/>
          <w:szCs w:val="24"/>
        </w:rPr>
        <w:t> </w:t>
      </w:r>
      <w:r w:rsidRPr="003E0D09">
        <w:rPr>
          <w:sz w:val="24"/>
          <w:szCs w:val="24"/>
        </w:rPr>
        <w:t>dostupných studií dosahuje až 1,0 (SACTRA, 1994). V našem případě lze s největším koeficientem pružnosti v rozmezí</w:t>
      </w:r>
      <w:r w:rsidR="00491A0C">
        <w:rPr>
          <w:sz w:val="24"/>
          <w:szCs w:val="24"/>
        </w:rPr>
        <w:t xml:space="preserve"> 0,5 až 0,6 počítat v případě R</w:t>
      </w:r>
      <w:r w:rsidRPr="003E0D09">
        <w:rPr>
          <w:sz w:val="24"/>
          <w:szCs w:val="24"/>
        </w:rPr>
        <w:t>35</w:t>
      </w:r>
      <w:r w:rsidR="003D024F">
        <w:rPr>
          <w:sz w:val="24"/>
          <w:szCs w:val="24"/>
        </w:rPr>
        <w:t xml:space="preserve">, která představuje </w:t>
      </w:r>
      <w:r w:rsidRPr="003E0D09">
        <w:rPr>
          <w:sz w:val="24"/>
          <w:szCs w:val="24"/>
        </w:rPr>
        <w:t>severní alternativu k</w:t>
      </w:r>
      <w:r w:rsidR="00491A0C">
        <w:rPr>
          <w:sz w:val="24"/>
          <w:szCs w:val="24"/>
        </w:rPr>
        <w:t xml:space="preserve"> nejzatíženější české dálnici D</w:t>
      </w:r>
      <w:r w:rsidRPr="003E0D09">
        <w:rPr>
          <w:sz w:val="24"/>
          <w:szCs w:val="24"/>
        </w:rPr>
        <w:t xml:space="preserve">1. </w:t>
      </w:r>
    </w:p>
    <w:p w:rsidR="003E0D09" w:rsidRPr="003E0D09" w:rsidRDefault="003E0D09" w:rsidP="00423120">
      <w:pPr>
        <w:keepNext/>
        <w:widowControl w:val="0"/>
        <w:outlineLvl w:val="1"/>
        <w:rPr>
          <w:b/>
          <w:bCs/>
          <w:i/>
          <w:sz w:val="24"/>
          <w:szCs w:val="24"/>
        </w:rPr>
      </w:pPr>
      <w:r w:rsidRPr="003E0D09">
        <w:rPr>
          <w:b/>
          <w:bCs/>
          <w:i/>
          <w:sz w:val="24"/>
          <w:szCs w:val="24"/>
        </w:rPr>
        <w:t>Kritérium užitku</w:t>
      </w:r>
    </w:p>
    <w:p w:rsidR="003E0D09" w:rsidRPr="003E0D09" w:rsidRDefault="003E0D09" w:rsidP="00423120">
      <w:pPr>
        <w:keepNext/>
        <w:widowControl w:val="0"/>
        <w:ind w:firstLine="720"/>
        <w:jc w:val="both"/>
        <w:rPr>
          <w:color w:val="FF0000"/>
          <w:sz w:val="24"/>
          <w:szCs w:val="24"/>
        </w:rPr>
      </w:pPr>
      <w:r w:rsidRPr="003E0D09">
        <w:rPr>
          <w:sz w:val="24"/>
          <w:szCs w:val="24"/>
        </w:rPr>
        <w:t xml:space="preserve">Kritérium užitku v duchu přijaté metodiky vyjadřuje potenciální úspory jízdního času v osobní i nákladní dopravě v %, které jsou v případě výstavby D+R generovány jejich lepšími technickými parametry ve srovnání s aktuálně nejrychlejším silničním spojením. Z důvodu zajištění vzájemné srovnatelnosti hodnocení projektů je účelné aplikaci kritéria založit na relativních hodnotách úspory času odvozených v prvním případě z poměru teoretické průměrné rychlosti (zjištěné z údajů mapových portálů zohledňujících vlivy reliéfu a dalších stabilních faktorů, avšak abstrahujících od vlivu epizodických faktorů jako je poškození vozovky) a průměrné návrhové rychlosti stanovené v projektech výstavby  </w:t>
      </w:r>
      <w:r w:rsidRPr="003E0D09">
        <w:rPr>
          <w:sz w:val="24"/>
          <w:szCs w:val="24"/>
          <w:vertAlign w:val="superscript"/>
        </w:rPr>
        <w:footnoteReference w:id="37"/>
      </w:r>
      <w:r w:rsidR="007F79BC">
        <w:rPr>
          <w:sz w:val="24"/>
          <w:szCs w:val="24"/>
        </w:rPr>
        <w:t>. Z </w:t>
      </w:r>
      <w:r w:rsidRPr="003E0D09">
        <w:rPr>
          <w:sz w:val="24"/>
          <w:szCs w:val="24"/>
        </w:rPr>
        <w:t>ekonomického pohledu mají úspory času pozitivní vliv na tzv. mezní míru mobility výrobních zdrojů a významně tak přispívají k dynamic</w:t>
      </w:r>
      <w:r w:rsidR="00E7689C">
        <w:rPr>
          <w:sz w:val="24"/>
          <w:szCs w:val="24"/>
        </w:rPr>
        <w:t>kému rozvoji územní dělby práce</w:t>
      </w:r>
      <w:r w:rsidRPr="003E0D09">
        <w:rPr>
          <w:sz w:val="24"/>
          <w:szCs w:val="24"/>
        </w:rPr>
        <w:t xml:space="preserve"> počínaje integrací pracovních trhů (viz část 2.4.). Aplikace kritéria poskytuje základní informace o potenciálních úsporách času generovaných výstavbou vybraných D</w:t>
      </w:r>
      <w:r w:rsidR="007F79BC">
        <w:rPr>
          <w:sz w:val="24"/>
          <w:szCs w:val="24"/>
        </w:rPr>
        <w:t>+R. Ze </w:t>
      </w:r>
      <w:r w:rsidRPr="003E0D09">
        <w:rPr>
          <w:sz w:val="24"/>
          <w:szCs w:val="24"/>
        </w:rPr>
        <w:t>srovnání současné jízdní doby (přičemž ve všech případech byla uvažována nejrychlejší spojení) a perspektivní jízdní doby na plánovaných D+R (při stanovených základních referenčních hodnotách průměrné rychlosti osobních automobilů 120 km/hod. pro dá</w:t>
      </w:r>
      <w:r w:rsidR="007F79BC">
        <w:rPr>
          <w:sz w:val="24"/>
          <w:szCs w:val="24"/>
        </w:rPr>
        <w:t>lnice a </w:t>
      </w:r>
      <w:r w:rsidRPr="003E0D09">
        <w:rPr>
          <w:sz w:val="24"/>
          <w:szCs w:val="24"/>
        </w:rPr>
        <w:t>115 km/hod. pro rychlostní silnice – viz Tecl, 2006) vyplývá, že nejvyšší úspory v rozsahu zhruba 45 až 46 % jízdního čas</w:t>
      </w:r>
      <w:r w:rsidR="00E7689C">
        <w:rPr>
          <w:sz w:val="24"/>
          <w:szCs w:val="24"/>
        </w:rPr>
        <w:t>u je možné očekávat v případě R49 a R</w:t>
      </w:r>
      <w:r w:rsidRPr="003E0D09">
        <w:rPr>
          <w:sz w:val="24"/>
          <w:szCs w:val="24"/>
        </w:rPr>
        <w:t>55 a naopak nejnižší úspory v rozsahu 21 až</w:t>
      </w:r>
      <w:r w:rsidR="00E7689C">
        <w:rPr>
          <w:sz w:val="24"/>
          <w:szCs w:val="24"/>
        </w:rPr>
        <w:t xml:space="preserve"> 26 % jízdního času v případě R7 a R</w:t>
      </w:r>
      <w:r w:rsidRPr="003E0D09">
        <w:rPr>
          <w:sz w:val="24"/>
          <w:szCs w:val="24"/>
        </w:rPr>
        <w:t>6 (zjištěné rozdíly v relativních úsporách času mezi osobní a nákladní dopravou lze obecně považovat za nepříliš významné). Průměrná úspora času se pohybuje těsně pod hranicí 31 % (pro informaci ještě uvádíme, že nejvyšší celkové absolutní úspory ve výši cca 50 minut u osobní a 80 minut u ná</w:t>
      </w:r>
      <w:r w:rsidR="00E7689C">
        <w:rPr>
          <w:sz w:val="24"/>
          <w:szCs w:val="24"/>
        </w:rPr>
        <w:t>kladní dopravy lze očekávat u D</w:t>
      </w:r>
      <w:r w:rsidRPr="003E0D09">
        <w:rPr>
          <w:sz w:val="24"/>
          <w:szCs w:val="24"/>
        </w:rPr>
        <w:t>3 a nejnižší absolutní úspor</w:t>
      </w:r>
      <w:r w:rsidR="00E7689C">
        <w:rPr>
          <w:sz w:val="24"/>
          <w:szCs w:val="24"/>
        </w:rPr>
        <w:t>y ve výši 12</w:t>
      </w:r>
      <w:r w:rsidR="00BA6F21">
        <w:rPr>
          <w:sz w:val="24"/>
          <w:szCs w:val="24"/>
        </w:rPr>
        <w:t>,</w:t>
      </w:r>
      <w:r w:rsidR="00E7689C">
        <w:rPr>
          <w:sz w:val="24"/>
          <w:szCs w:val="24"/>
        </w:rPr>
        <w:t xml:space="preserve"> resp. 20 minut u R</w:t>
      </w:r>
      <w:r w:rsidRPr="003E0D09">
        <w:rPr>
          <w:sz w:val="24"/>
          <w:szCs w:val="24"/>
        </w:rPr>
        <w:t>7</w:t>
      </w:r>
      <w:r w:rsidRPr="003E0D09">
        <w:rPr>
          <w:sz w:val="24"/>
          <w:szCs w:val="24"/>
        </w:rPr>
        <w:sym w:font="Symbol" w:char="F03B"/>
      </w:r>
      <w:r w:rsidRPr="003E0D09">
        <w:rPr>
          <w:sz w:val="24"/>
          <w:szCs w:val="24"/>
        </w:rPr>
        <w:t xml:space="preserve"> předpokládaná průměrná rychlost se pak pohybuje od 120</w:t>
      </w:r>
      <w:r w:rsidR="00BA6F21">
        <w:rPr>
          <w:sz w:val="24"/>
          <w:szCs w:val="24"/>
        </w:rPr>
        <w:t>,</w:t>
      </w:r>
      <w:r w:rsidRPr="003E0D09">
        <w:rPr>
          <w:sz w:val="24"/>
          <w:szCs w:val="24"/>
        </w:rPr>
        <w:t xml:space="preserve"> resp. 7</w:t>
      </w:r>
      <w:r w:rsidR="00E7689C">
        <w:rPr>
          <w:sz w:val="24"/>
          <w:szCs w:val="24"/>
        </w:rPr>
        <w:t>5 km/hod. u D3 po 107</w:t>
      </w:r>
      <w:r w:rsidR="00BA6F21">
        <w:rPr>
          <w:sz w:val="24"/>
          <w:szCs w:val="24"/>
        </w:rPr>
        <w:t>,</w:t>
      </w:r>
      <w:r w:rsidR="00E7689C">
        <w:rPr>
          <w:sz w:val="24"/>
          <w:szCs w:val="24"/>
        </w:rPr>
        <w:t xml:space="preserve"> resp. 67 km/hod u R</w:t>
      </w:r>
      <w:r w:rsidRPr="003E0D09">
        <w:rPr>
          <w:sz w:val="24"/>
          <w:szCs w:val="24"/>
        </w:rPr>
        <w:t xml:space="preserve">7). </w:t>
      </w:r>
    </w:p>
    <w:p w:rsidR="003E0D09" w:rsidRPr="003E0D09" w:rsidRDefault="003E0D09" w:rsidP="00423120">
      <w:pPr>
        <w:keepNext/>
        <w:widowControl w:val="0"/>
        <w:jc w:val="both"/>
        <w:outlineLvl w:val="1"/>
        <w:rPr>
          <w:b/>
          <w:bCs/>
          <w:i/>
          <w:sz w:val="24"/>
          <w:szCs w:val="24"/>
        </w:rPr>
      </w:pPr>
      <w:r w:rsidRPr="003E0D09">
        <w:rPr>
          <w:b/>
          <w:bCs/>
          <w:i/>
          <w:sz w:val="24"/>
          <w:szCs w:val="24"/>
        </w:rPr>
        <w:t xml:space="preserve">Kritérium integrace </w:t>
      </w:r>
    </w:p>
    <w:p w:rsidR="003E0D09" w:rsidRPr="003E0D09" w:rsidRDefault="003E0D09" w:rsidP="00423120">
      <w:pPr>
        <w:keepNext/>
        <w:widowControl w:val="0"/>
        <w:ind w:firstLine="720"/>
        <w:jc w:val="both"/>
        <w:rPr>
          <w:color w:val="FF0000"/>
          <w:sz w:val="24"/>
          <w:szCs w:val="24"/>
        </w:rPr>
      </w:pPr>
      <w:r w:rsidRPr="003E0D09">
        <w:rPr>
          <w:sz w:val="24"/>
          <w:szCs w:val="24"/>
        </w:rPr>
        <w:t>Kritérium integrace je orientováno na vyhodnocení strategického významu plánovaných investic do výstavby D+R, které lze považovat za nejdůleži</w:t>
      </w:r>
      <w:r w:rsidR="00E7689C">
        <w:rPr>
          <w:sz w:val="24"/>
          <w:szCs w:val="24"/>
        </w:rPr>
        <w:t>tější článek dopravního systému</w:t>
      </w:r>
      <w:r w:rsidRPr="003E0D09">
        <w:rPr>
          <w:sz w:val="24"/>
          <w:szCs w:val="24"/>
        </w:rPr>
        <w:t xml:space="preserve"> pro prostorovou integraci státu. Zařazení tohoto kritéria respektuje skutečnost, že doprava je nezbytnou součástí územní dělby práce a v tomto kontextu představuje integrující faktor socioekonomického rozvoje (spojovací funkce dopravy). Potenciální přínosy D+R  jsou logicky hodnoceny jak z hl</w:t>
      </w:r>
      <w:r w:rsidR="007F79BC">
        <w:rPr>
          <w:sz w:val="24"/>
          <w:szCs w:val="24"/>
        </w:rPr>
        <w:t>ediska vnitřní integrace, tak z </w:t>
      </w:r>
      <w:r w:rsidRPr="003E0D09">
        <w:rPr>
          <w:sz w:val="24"/>
          <w:szCs w:val="24"/>
        </w:rPr>
        <w:t xml:space="preserve">hlediska vnější integrace. V prvním případě jsou odpovídající přínosy posuzovány z pohledu zabezpečení kvalitního dopravního propojení sídelních center národního významu (póly </w:t>
      </w:r>
      <w:r w:rsidRPr="003E0D09">
        <w:rPr>
          <w:sz w:val="24"/>
          <w:szCs w:val="24"/>
        </w:rPr>
        <w:lastRenderedPageBreak/>
        <w:t>rozvoje) a ve druhém případě pak z pohledu zabezpečení kva</w:t>
      </w:r>
      <w:r w:rsidR="007F79BC">
        <w:rPr>
          <w:sz w:val="24"/>
          <w:szCs w:val="24"/>
        </w:rPr>
        <w:t>litního dopravního propojení se </w:t>
      </w:r>
      <w:r w:rsidRPr="003E0D09">
        <w:rPr>
          <w:sz w:val="24"/>
          <w:szCs w:val="24"/>
        </w:rPr>
        <w:t>sousedními zeměmi. V obou případech je třeba respektovat reálnou významovou pozici těchto sídelních center s důrazem na hlavní typy integračních procesů, kterou lze účelně vyhodnotit na základě analýzy jejich role v rámci  vytvořen</w:t>
      </w:r>
      <w:r w:rsidR="007F79BC">
        <w:rPr>
          <w:sz w:val="24"/>
          <w:szCs w:val="24"/>
        </w:rPr>
        <w:t>ých prostorových systémů pólů a </w:t>
      </w:r>
      <w:r w:rsidRPr="003E0D09">
        <w:rPr>
          <w:sz w:val="24"/>
          <w:szCs w:val="24"/>
        </w:rPr>
        <w:t>os rozvoje a dále v rámci organizace pracovních trhů. Z hlediska vnitřní</w:t>
      </w:r>
      <w:r w:rsidR="00BA6F21">
        <w:rPr>
          <w:sz w:val="24"/>
          <w:szCs w:val="24"/>
        </w:rPr>
        <w:t>,</w:t>
      </w:r>
      <w:r w:rsidRPr="003E0D09">
        <w:rPr>
          <w:sz w:val="24"/>
          <w:szCs w:val="24"/>
        </w:rPr>
        <w:t xml:space="preserve"> resp. vnitrostátní integrace byla jako nejvýzn</w:t>
      </w:r>
      <w:r w:rsidR="00E7689C">
        <w:rPr>
          <w:sz w:val="24"/>
          <w:szCs w:val="24"/>
        </w:rPr>
        <w:t>amnější vyhodnocena plánovaná R</w:t>
      </w:r>
      <w:r w:rsidRPr="003E0D09">
        <w:rPr>
          <w:sz w:val="24"/>
          <w:szCs w:val="24"/>
        </w:rPr>
        <w:t>35 (zlepšující propojení sídelní aglomerace H. Králové/Pardubice s dalšími regionálními metropolemi Olom</w:t>
      </w:r>
      <w:r w:rsidR="00E7689C">
        <w:rPr>
          <w:sz w:val="24"/>
          <w:szCs w:val="24"/>
        </w:rPr>
        <w:t>oucí a Libercem), následovaná D3 a R</w:t>
      </w:r>
      <w:r w:rsidRPr="003E0D09">
        <w:rPr>
          <w:sz w:val="24"/>
          <w:szCs w:val="24"/>
        </w:rPr>
        <w:t>6 (zlepšujících propojení Prahy s Č. Budějovicemi a K. Vary). Z pohledu vnější</w:t>
      </w:r>
      <w:r w:rsidR="00BA6F21">
        <w:rPr>
          <w:sz w:val="24"/>
          <w:szCs w:val="24"/>
        </w:rPr>
        <w:t>,</w:t>
      </w:r>
      <w:r w:rsidRPr="003E0D09">
        <w:rPr>
          <w:sz w:val="24"/>
          <w:szCs w:val="24"/>
        </w:rPr>
        <w:t xml:space="preserve"> resp. nadnárodní integrace evropských zemí (podmíněné především integračními procesy realizovanými na bázi obchodních interakcí a stimulované vytvořením jednotného evropského hospodářského prostoru) by v souladu s ekonomickým významem jednotlivých dopravních směrů k odstranění nejzávažnějších deficitů mělo rozhodným způs</w:t>
      </w:r>
      <w:r w:rsidR="00E7689C">
        <w:rPr>
          <w:sz w:val="24"/>
          <w:szCs w:val="24"/>
        </w:rPr>
        <w:t>obem přispět vybudování D</w:t>
      </w:r>
      <w:r w:rsidRPr="003E0D09">
        <w:rPr>
          <w:sz w:val="24"/>
          <w:szCs w:val="24"/>
        </w:rPr>
        <w:t>3 ve směru na Linz. V rámci dalších směrů pak hrají v</w:t>
      </w:r>
      <w:r w:rsidR="00E7689C">
        <w:rPr>
          <w:sz w:val="24"/>
          <w:szCs w:val="24"/>
        </w:rPr>
        <w:t>ýznamnou roli plánované trasy D</w:t>
      </w:r>
      <w:r w:rsidRPr="003E0D09">
        <w:rPr>
          <w:sz w:val="24"/>
          <w:szCs w:val="24"/>
        </w:rPr>
        <w:t>11 (propojení s Polsk</w:t>
      </w:r>
      <w:r w:rsidR="00E7689C">
        <w:rPr>
          <w:sz w:val="24"/>
          <w:szCs w:val="24"/>
        </w:rPr>
        <w:t>em ve směru Legnica/Wrocław), R</w:t>
      </w:r>
      <w:r w:rsidRPr="003E0D09">
        <w:rPr>
          <w:sz w:val="24"/>
          <w:szCs w:val="24"/>
        </w:rPr>
        <w:t>6 spolu s R7 (propojení s Německem ve</w:t>
      </w:r>
      <w:r w:rsidR="00E7689C">
        <w:rPr>
          <w:sz w:val="24"/>
          <w:szCs w:val="24"/>
        </w:rPr>
        <w:t xml:space="preserve"> směru Bayreuth a Chemnitz) a D</w:t>
      </w:r>
      <w:r w:rsidRPr="003E0D09">
        <w:rPr>
          <w:sz w:val="24"/>
          <w:szCs w:val="24"/>
        </w:rPr>
        <w:t>49 (propojení se Slovenskem ve směru Púchov/Žilina). Ze syntézy výsledků hodnocení obou komponent pak vyplývá, že nejvýznamnější celkové postavení v rám</w:t>
      </w:r>
      <w:r w:rsidR="00E7689C">
        <w:rPr>
          <w:sz w:val="24"/>
          <w:szCs w:val="24"/>
        </w:rPr>
        <w:t>ci kritéria integrace zaujímá D3 následovaná R</w:t>
      </w:r>
      <w:r w:rsidR="007F79BC">
        <w:rPr>
          <w:sz w:val="24"/>
          <w:szCs w:val="24"/>
        </w:rPr>
        <w:t>6 a </w:t>
      </w:r>
      <w:r w:rsidRPr="003E0D09">
        <w:rPr>
          <w:sz w:val="24"/>
          <w:szCs w:val="24"/>
        </w:rPr>
        <w:t>naop</w:t>
      </w:r>
      <w:r w:rsidR="00E7689C">
        <w:rPr>
          <w:sz w:val="24"/>
          <w:szCs w:val="24"/>
        </w:rPr>
        <w:t>ak nejméně významné postavení R43 následovaná R</w:t>
      </w:r>
      <w:r w:rsidRPr="003E0D09">
        <w:rPr>
          <w:sz w:val="24"/>
          <w:szCs w:val="24"/>
        </w:rPr>
        <w:t xml:space="preserve">49. </w:t>
      </w:r>
    </w:p>
    <w:p w:rsidR="003E0D09" w:rsidRPr="003E0D09" w:rsidRDefault="003E0D09" w:rsidP="00423120">
      <w:pPr>
        <w:keepNext/>
        <w:widowControl w:val="0"/>
        <w:jc w:val="both"/>
        <w:outlineLvl w:val="1"/>
        <w:rPr>
          <w:b/>
          <w:bCs/>
          <w:i/>
          <w:sz w:val="24"/>
          <w:szCs w:val="24"/>
        </w:rPr>
      </w:pPr>
      <w:r w:rsidRPr="003E0D09">
        <w:rPr>
          <w:b/>
          <w:bCs/>
          <w:i/>
          <w:sz w:val="24"/>
          <w:szCs w:val="24"/>
        </w:rPr>
        <w:t xml:space="preserve">Kritérium stimulace </w:t>
      </w:r>
    </w:p>
    <w:p w:rsidR="003E0D09" w:rsidRPr="003E0D09" w:rsidRDefault="003E0D09" w:rsidP="00423120">
      <w:pPr>
        <w:keepNext/>
        <w:widowControl w:val="0"/>
        <w:ind w:firstLine="720"/>
        <w:jc w:val="both"/>
        <w:rPr>
          <w:color w:val="0000FF"/>
          <w:sz w:val="24"/>
          <w:szCs w:val="24"/>
        </w:rPr>
      </w:pPr>
      <w:r w:rsidRPr="003E0D09">
        <w:rPr>
          <w:sz w:val="24"/>
          <w:szCs w:val="24"/>
        </w:rPr>
        <w:t>Na popsaná kritéria navazují dvě kritéria zaměř</w:t>
      </w:r>
      <w:r w:rsidR="007F79BC">
        <w:rPr>
          <w:sz w:val="24"/>
          <w:szCs w:val="24"/>
        </w:rPr>
        <w:t>ená na hodnocení ekonomických a </w:t>
      </w:r>
      <w:r w:rsidRPr="003E0D09">
        <w:rPr>
          <w:sz w:val="24"/>
          <w:szCs w:val="24"/>
        </w:rPr>
        <w:t>environmentálních dopadů dopravních investic. První z</w:t>
      </w:r>
      <w:r w:rsidR="005862FC">
        <w:rPr>
          <w:sz w:val="24"/>
          <w:szCs w:val="24"/>
        </w:rPr>
        <w:t> </w:t>
      </w:r>
      <w:r w:rsidRPr="003E0D09">
        <w:rPr>
          <w:sz w:val="24"/>
          <w:szCs w:val="24"/>
        </w:rPr>
        <w:t>nich</w:t>
      </w:r>
      <w:r w:rsidR="005862FC">
        <w:rPr>
          <w:sz w:val="24"/>
          <w:szCs w:val="24"/>
        </w:rPr>
        <w:t>,</w:t>
      </w:r>
      <w:r w:rsidRPr="003E0D09">
        <w:rPr>
          <w:sz w:val="24"/>
          <w:szCs w:val="24"/>
        </w:rPr>
        <w:t xml:space="preserve"> tj. kritérium stimulace</w:t>
      </w:r>
      <w:r w:rsidR="005862FC">
        <w:rPr>
          <w:sz w:val="24"/>
          <w:szCs w:val="24"/>
        </w:rPr>
        <w:t>,</w:t>
      </w:r>
      <w:r w:rsidRPr="003E0D09">
        <w:rPr>
          <w:sz w:val="24"/>
          <w:szCs w:val="24"/>
        </w:rPr>
        <w:t xml:space="preserve"> poskytuje informace o potenciálních pozitivních ekonom</w:t>
      </w:r>
      <w:r w:rsidR="007F79BC">
        <w:rPr>
          <w:sz w:val="24"/>
          <w:szCs w:val="24"/>
        </w:rPr>
        <w:t>ických dopadech výstavby D+R na </w:t>
      </w:r>
      <w:r w:rsidRPr="003E0D09">
        <w:rPr>
          <w:sz w:val="24"/>
          <w:szCs w:val="24"/>
        </w:rPr>
        <w:t>regionální kvalitu podnikatelského prostředí. Její hodnocení vychází z  územně vázaných faktorů, jejichž výběr odráží investiční a rozvojové preference firem (viz část 2. 2.), přičemž relevantní dopady posuzovaných projektů jsou vztaženy k faktoru kvality silnic a železnic. Významová váha faktoru v rámci celého souboru faktorů kvality podnikatelského prostředí byla stanovena na 6 % (pro srovnání uvádíme, že podíl dopravy na nákladech u dopravně nejnáročnějších odvětví jen zřídka přesahuje 10 %). Před vlastním hodnocením je nezbytné zohlednit dělbu přepravní práce mezi silniční a železniční nákladní dopravou, která v České republice odpovídá poměru 4 : 1. Pokud jde o významovou pozici kategorií silnic, byly v souladu s jejich technickými a provozními parametry použity následující váhy: dálnice 1,0</w:t>
      </w:r>
      <w:r w:rsidRPr="003E0D09">
        <w:rPr>
          <w:sz w:val="24"/>
          <w:szCs w:val="24"/>
        </w:rPr>
        <w:sym w:font="Symbol" w:char="F03B"/>
      </w:r>
      <w:r w:rsidRPr="003E0D09">
        <w:rPr>
          <w:sz w:val="24"/>
          <w:szCs w:val="24"/>
        </w:rPr>
        <w:t xml:space="preserve"> rychlostní silnice 0,9</w:t>
      </w:r>
      <w:r w:rsidRPr="003E0D09">
        <w:rPr>
          <w:sz w:val="24"/>
          <w:szCs w:val="24"/>
        </w:rPr>
        <w:sym w:font="Symbol" w:char="F03B"/>
      </w:r>
      <w:r w:rsidRPr="003E0D09">
        <w:rPr>
          <w:sz w:val="24"/>
          <w:szCs w:val="24"/>
        </w:rPr>
        <w:t xml:space="preserve"> silnice 1. třídy s mezinárodním</w:t>
      </w:r>
      <w:r w:rsidR="007F79BC">
        <w:rPr>
          <w:sz w:val="24"/>
          <w:szCs w:val="24"/>
        </w:rPr>
        <w:t xml:space="preserve"> významem dle Evropské dohody o </w:t>
      </w:r>
      <w:r w:rsidRPr="003E0D09">
        <w:rPr>
          <w:sz w:val="24"/>
          <w:szCs w:val="24"/>
        </w:rPr>
        <w:t>hlavních silnicích 0,5 a ostatní silnice 1. třídy 0,375. Realizace všech vybraných projektů D+R by prostřednictvím zlepšení kvality podnikatelského prostředí stimulovala ekonomický rozvoj celkem 47 regionů ORP. S největším potenciálním zlepšením hodnot uvedeného faktoru vážených počtem obyvatel příslušných regi</w:t>
      </w:r>
      <w:r w:rsidR="00E7689C">
        <w:rPr>
          <w:sz w:val="24"/>
          <w:szCs w:val="24"/>
        </w:rPr>
        <w:t>onů ORP lze počítat v případě R55 a dále R35 a D</w:t>
      </w:r>
      <w:r w:rsidRPr="003E0D09">
        <w:rPr>
          <w:sz w:val="24"/>
          <w:szCs w:val="24"/>
        </w:rPr>
        <w:t>3. Z krajských center je pak možné počítat s  pozitivními vlivy zejména v případě Zlína a v menší míře i u Č. Budějovic a H. Králové. Na vyšší úrovni regionů NUTS 3 lze pozitivní vlivy o</w:t>
      </w:r>
      <w:r w:rsidR="00E7689C">
        <w:rPr>
          <w:sz w:val="24"/>
          <w:szCs w:val="24"/>
        </w:rPr>
        <w:t>čekávat především od výstavby R7, R35, R49 a R</w:t>
      </w:r>
      <w:r w:rsidRPr="003E0D09">
        <w:rPr>
          <w:sz w:val="24"/>
          <w:szCs w:val="24"/>
        </w:rPr>
        <w:t xml:space="preserve">55, jejichž plánované trasy procházejí regiony s podprůměrnou kvalitou podnikatelského prostředí – Ústecký, Olomoucký a Zlínský kraj. Tyto pozitivní vlivy mohou být dále posíleny synergickými efekty indukovanými směrovou korespondencí plánovaných tras D+R s rozvojovými osami </w:t>
      </w:r>
      <w:r w:rsidRPr="003E0D09">
        <w:rPr>
          <w:sz w:val="24"/>
          <w:szCs w:val="24"/>
        </w:rPr>
        <w:lastRenderedPageBreak/>
        <w:t>národního a v menší míře i regionálního významu (Viturka, Žítek, Klímová, Tonev, 2011). Příslušné efekty je možné</w:t>
      </w:r>
      <w:r w:rsidR="00E7689C">
        <w:rPr>
          <w:sz w:val="24"/>
          <w:szCs w:val="24"/>
        </w:rPr>
        <w:t xml:space="preserve"> očekávat především v případě R</w:t>
      </w:r>
      <w:r w:rsidRPr="003E0D09">
        <w:rPr>
          <w:sz w:val="24"/>
          <w:szCs w:val="24"/>
        </w:rPr>
        <w:t>35 v interakci s postupným konstituováním severní českomoravské rozvojové osy náro</w:t>
      </w:r>
      <w:r w:rsidR="008C7D62">
        <w:rPr>
          <w:sz w:val="24"/>
          <w:szCs w:val="24"/>
        </w:rPr>
        <w:t xml:space="preserve">dního významu v trase </w:t>
      </w:r>
      <w:proofErr w:type="gramStart"/>
      <w:r w:rsidR="008C7D62">
        <w:rPr>
          <w:sz w:val="24"/>
          <w:szCs w:val="24"/>
        </w:rPr>
        <w:t>Liberec</w:t>
      </w:r>
      <w:proofErr w:type="gramEnd"/>
      <w:r w:rsidR="008C7D62">
        <w:rPr>
          <w:sz w:val="24"/>
          <w:szCs w:val="24"/>
        </w:rPr>
        <w:t>–</w:t>
      </w:r>
      <w:proofErr w:type="gramStart"/>
      <w:r w:rsidR="008C7D62">
        <w:rPr>
          <w:sz w:val="24"/>
          <w:szCs w:val="24"/>
        </w:rPr>
        <w:t>H.</w:t>
      </w:r>
      <w:proofErr w:type="gramEnd"/>
      <w:r w:rsidR="008C7D62">
        <w:rPr>
          <w:sz w:val="24"/>
          <w:szCs w:val="24"/>
        </w:rPr>
        <w:t xml:space="preserve"> Králové/Pardubice–</w:t>
      </w:r>
      <w:r w:rsidRPr="003E0D09">
        <w:rPr>
          <w:sz w:val="24"/>
          <w:szCs w:val="24"/>
        </w:rPr>
        <w:t>Olomouc. </w:t>
      </w:r>
    </w:p>
    <w:p w:rsidR="003E0D09" w:rsidRPr="003E0D09" w:rsidRDefault="003E0D09" w:rsidP="00423120">
      <w:pPr>
        <w:keepNext/>
        <w:widowControl w:val="0"/>
        <w:jc w:val="both"/>
        <w:outlineLvl w:val="1"/>
        <w:rPr>
          <w:b/>
          <w:bCs/>
          <w:i/>
          <w:sz w:val="24"/>
          <w:szCs w:val="24"/>
        </w:rPr>
      </w:pPr>
      <w:r w:rsidRPr="003E0D09">
        <w:rPr>
          <w:b/>
          <w:bCs/>
          <w:i/>
          <w:sz w:val="24"/>
          <w:szCs w:val="24"/>
        </w:rPr>
        <w:t>Kritérium udržitelnosti</w:t>
      </w:r>
    </w:p>
    <w:p w:rsidR="003E0D09" w:rsidRPr="003E0D09" w:rsidRDefault="003E0D09" w:rsidP="00423120">
      <w:pPr>
        <w:keepNext/>
        <w:widowControl w:val="0"/>
        <w:ind w:firstLine="720"/>
        <w:jc w:val="both"/>
        <w:rPr>
          <w:color w:val="FF0000"/>
          <w:sz w:val="24"/>
          <w:szCs w:val="24"/>
        </w:rPr>
      </w:pPr>
      <w:r w:rsidRPr="003E0D09">
        <w:rPr>
          <w:sz w:val="24"/>
          <w:szCs w:val="24"/>
        </w:rPr>
        <w:t>Kritérium udržitelnosti je zaměřeno na hodnocení negativních dopadů projektů D+R na kvalitu životního prostředí. Jako nejvhodnější byl zvolen kombinovaný přístup vycházející z vyhodnocení environmentálních dopadů projektů na obytné pr</w:t>
      </w:r>
      <w:r w:rsidR="007F79BC">
        <w:rPr>
          <w:sz w:val="24"/>
          <w:szCs w:val="24"/>
        </w:rPr>
        <w:t>ostředí jimi dotčených sídel (s </w:t>
      </w:r>
      <w:r w:rsidRPr="003E0D09">
        <w:rPr>
          <w:sz w:val="24"/>
          <w:szCs w:val="24"/>
        </w:rPr>
        <w:t>důrazem na produkci hluku jako hlavního indikátoru – n</w:t>
      </w:r>
      <w:r w:rsidR="007F79BC">
        <w:rPr>
          <w:sz w:val="24"/>
          <w:szCs w:val="24"/>
          <w:lang w:eastAsia="en-US"/>
        </w:rPr>
        <w:t>oční přípustný limit hluku ve </w:t>
      </w:r>
      <w:r w:rsidRPr="003E0D09">
        <w:rPr>
          <w:sz w:val="24"/>
          <w:szCs w:val="24"/>
          <w:lang w:eastAsia="en-US"/>
        </w:rPr>
        <w:t>venkovním prostoru činí dle české legislativy 50 dB</w:t>
      </w:r>
      <w:r w:rsidRPr="003E0D09">
        <w:rPr>
          <w:sz w:val="24"/>
          <w:szCs w:val="24"/>
        </w:rPr>
        <w:t>) a dále z fragmentace a potenciálního poškození nejcennějších částí přírodního prostředí (s důrazem na narušení chráněných území přírody a významných vodních zdrojů). První kritérium bylo aplikováno v rámci vymezených kontaktních zón silničních komunikací s obytným prostředím (celkové environmentální dopady jsou ovlivňovány složitým působením řady dalších činitelů vyhodnocovaných v praxi pomocí studií EIA). Největší negativní dopady jsou s</w:t>
      </w:r>
      <w:r w:rsidR="007F79BC">
        <w:rPr>
          <w:sz w:val="24"/>
          <w:szCs w:val="24"/>
        </w:rPr>
        <w:t>pojeny  s trasami vedenými přes </w:t>
      </w:r>
      <w:r w:rsidRPr="003E0D09">
        <w:rPr>
          <w:sz w:val="24"/>
          <w:szCs w:val="24"/>
        </w:rPr>
        <w:t>centrální či sídelně význam</w:t>
      </w:r>
      <w:r w:rsidR="00680BC9">
        <w:rPr>
          <w:sz w:val="24"/>
          <w:szCs w:val="24"/>
        </w:rPr>
        <w:t>né části měst.  Jde zvláště o R</w:t>
      </w:r>
      <w:r w:rsidR="007F79BC">
        <w:rPr>
          <w:sz w:val="24"/>
          <w:szCs w:val="24"/>
        </w:rPr>
        <w:t>43 s navrhovanou trasou přes </w:t>
      </w:r>
      <w:r w:rsidRPr="003E0D09">
        <w:rPr>
          <w:sz w:val="24"/>
          <w:szCs w:val="24"/>
        </w:rPr>
        <w:t>městskou část Brno-Bystr</w:t>
      </w:r>
      <w:r w:rsidR="00680BC9">
        <w:rPr>
          <w:sz w:val="24"/>
          <w:szCs w:val="24"/>
        </w:rPr>
        <w:t>c, R</w:t>
      </w:r>
      <w:r w:rsidRPr="003E0D09">
        <w:rPr>
          <w:sz w:val="24"/>
          <w:szCs w:val="24"/>
        </w:rPr>
        <w:t>6 s v</w:t>
      </w:r>
      <w:r w:rsidR="00680BC9">
        <w:rPr>
          <w:sz w:val="24"/>
          <w:szCs w:val="24"/>
        </w:rPr>
        <w:t>ybudovaným průtahem K. Vary a R</w:t>
      </w:r>
      <w:r w:rsidRPr="003E0D09">
        <w:rPr>
          <w:sz w:val="24"/>
          <w:szCs w:val="24"/>
        </w:rPr>
        <w:t>35 s vybudovaným průtahem přes Turnov. Jako nejméně kontr</w:t>
      </w:r>
      <w:r w:rsidR="00680BC9">
        <w:rPr>
          <w:sz w:val="24"/>
          <w:szCs w:val="24"/>
        </w:rPr>
        <w:t>overzní se pak jeví plánované R49, D11 a R</w:t>
      </w:r>
      <w:r w:rsidR="007F79BC">
        <w:rPr>
          <w:sz w:val="24"/>
          <w:szCs w:val="24"/>
        </w:rPr>
        <w:t>7. V </w:t>
      </w:r>
      <w:r w:rsidRPr="003E0D09">
        <w:rPr>
          <w:sz w:val="24"/>
          <w:szCs w:val="24"/>
        </w:rPr>
        <w:t xml:space="preserve">otázce hodnocení dopadů na přírodní prostředí byla pozornost soustředěna na identifikaci konfliktních vztahů mezi plánovanými D+R a legislativně chráněnými lokalitami evropského a národního významu. Jde o kategorie: zvláště chráněná území (ZCHÚ) a evropsky významné lokality (EVL), nadregionální územní systémy ekologické stability krajiny (NÚSES), chráněné oblasti přirozené akumulace vod (CHOPAV) a ochranná pásma vodních zdrojů (OPVZ). U první kategorie byla respektována stanovená kontaktní zóna 500 m a u ostatních kategorií bylo sledováno překrývání trasy s danou lokalitou. U kategorií ZCHÚ a EVL bylo posuzováno, zda jde o přímý průnik trasy nebo pouze o narušení kontaktní zóny, dále zda jde o EVL, ptačí oblast, národní přírodní rezervaci či národní přírodní památku nebo o chráněnou krajinnou oblast, přírodní rezervaci či přírodní památku. U kategorie NÚSES byl zohledněn počet potenciálních kolizí plánovaných D+R a u kategorií CHOPAV a OPVZ pak délka kolizních úseků s chráněnými územími. Jako </w:t>
      </w:r>
      <w:r w:rsidR="00680BC9">
        <w:rPr>
          <w:sz w:val="24"/>
          <w:szCs w:val="24"/>
        </w:rPr>
        <w:t>nejméně problematická se jeví R</w:t>
      </w:r>
      <w:r w:rsidRPr="003E0D09">
        <w:rPr>
          <w:sz w:val="24"/>
          <w:szCs w:val="24"/>
        </w:rPr>
        <w:t>7</w:t>
      </w:r>
      <w:r w:rsidR="00680BC9">
        <w:rPr>
          <w:sz w:val="24"/>
          <w:szCs w:val="24"/>
        </w:rPr>
        <w:t xml:space="preserve"> a jako nejvíce problematická R</w:t>
      </w:r>
      <w:r w:rsidRPr="003E0D09">
        <w:rPr>
          <w:sz w:val="24"/>
          <w:szCs w:val="24"/>
        </w:rPr>
        <w:t xml:space="preserve">35. Z celkového pohledu pak byla nejlepší pozice </w:t>
      </w:r>
      <w:r w:rsidR="007F79BC">
        <w:rPr>
          <w:sz w:val="24"/>
          <w:szCs w:val="24"/>
        </w:rPr>
        <w:t>u daného kritéria zjištěna u </w:t>
      </w:r>
      <w:r w:rsidR="00680BC9">
        <w:rPr>
          <w:sz w:val="24"/>
          <w:szCs w:val="24"/>
        </w:rPr>
        <w:t>R49, R7 a D11 a nejhorší pozice u R35 a R</w:t>
      </w:r>
      <w:r w:rsidRPr="003E0D09">
        <w:rPr>
          <w:sz w:val="24"/>
          <w:szCs w:val="24"/>
        </w:rPr>
        <w:t xml:space="preserve">6. </w:t>
      </w:r>
    </w:p>
    <w:p w:rsidR="003E0D09" w:rsidRPr="003E0D09" w:rsidRDefault="003E0D09" w:rsidP="00423120">
      <w:pPr>
        <w:keepNext/>
        <w:widowControl w:val="0"/>
        <w:jc w:val="both"/>
        <w:rPr>
          <w:b/>
          <w:bCs/>
          <w:i/>
          <w:sz w:val="24"/>
          <w:szCs w:val="24"/>
        </w:rPr>
      </w:pPr>
      <w:r w:rsidRPr="003E0D09">
        <w:rPr>
          <w:b/>
          <w:bCs/>
          <w:i/>
          <w:sz w:val="24"/>
          <w:szCs w:val="24"/>
        </w:rPr>
        <w:t>Syntéza výsledků</w:t>
      </w:r>
    </w:p>
    <w:p w:rsidR="003E0D09" w:rsidRPr="003E0D09" w:rsidRDefault="003E0D09" w:rsidP="00286F2F">
      <w:pPr>
        <w:keepNext/>
        <w:widowControl w:val="0"/>
        <w:suppressLineNumbers/>
        <w:spacing w:after="120"/>
        <w:ind w:firstLine="720"/>
        <w:jc w:val="both"/>
        <w:rPr>
          <w:sz w:val="24"/>
          <w:szCs w:val="24"/>
        </w:rPr>
      </w:pPr>
      <w:r w:rsidRPr="003E0D09">
        <w:rPr>
          <w:sz w:val="24"/>
          <w:szCs w:val="24"/>
        </w:rPr>
        <w:t xml:space="preserve">Komplexní vyhodnocení projektů výstavby D+R je založeno na aplikaci jednoduché metody prostého součtu pořadí, kde celkové pořadí je stanoveno na základě nevážených agregací dílčích pořadí posuzovaných projektů (známé </w:t>
      </w:r>
      <w:r w:rsidRPr="003E0D09">
        <w:rPr>
          <w:sz w:val="24"/>
          <w:szCs w:val="24"/>
          <w:lang w:eastAsia="en-US"/>
        </w:rPr>
        <w:t xml:space="preserve">nevýhody této metody, např. ignorance rozdílů ve statistickém rozložení hodnot mezi užitými </w:t>
      </w:r>
      <w:r w:rsidR="00680BC9">
        <w:rPr>
          <w:sz w:val="24"/>
          <w:szCs w:val="24"/>
        </w:rPr>
        <w:t>kritérii</w:t>
      </w:r>
      <w:r w:rsidRPr="003E0D09">
        <w:rPr>
          <w:sz w:val="24"/>
          <w:szCs w:val="24"/>
          <w:lang w:eastAsia="en-US"/>
        </w:rPr>
        <w:t xml:space="preserve"> lze snížit testováním výsledků pomocí metody váženého součtu pořadí využívající expertní stanovení vah jednotlivých kritérií)</w:t>
      </w:r>
      <w:r w:rsidRPr="003E0D09">
        <w:rPr>
          <w:sz w:val="24"/>
          <w:szCs w:val="24"/>
        </w:rPr>
        <w:t>. Využití tohoto přístupu lze vedle snahy o co nejkomplexnější vyhodnocení projektů výstavby D+R považovat za významnou uživatelskou výhodu prezentované metodiky. Určení celkového pořadí P</w:t>
      </w:r>
      <w:r w:rsidRPr="003E0D09">
        <w:rPr>
          <w:sz w:val="24"/>
          <w:szCs w:val="24"/>
          <w:vertAlign w:val="subscript"/>
        </w:rPr>
        <w:t>c</w:t>
      </w:r>
      <w:r w:rsidRPr="003E0D09">
        <w:rPr>
          <w:sz w:val="24"/>
          <w:szCs w:val="24"/>
        </w:rPr>
        <w:t xml:space="preserve"> konkrétního projektu tak představuje </w:t>
      </w:r>
      <w:r w:rsidRPr="003E0D09">
        <w:rPr>
          <w:sz w:val="24"/>
          <w:szCs w:val="24"/>
        </w:rPr>
        <w:lastRenderedPageBreak/>
        <w:t>syntetickou informaci vycházející ze součtu dílčích pořadí p</w:t>
      </w:r>
      <w:r w:rsidRPr="003E0D09">
        <w:rPr>
          <w:sz w:val="24"/>
          <w:szCs w:val="24"/>
          <w:vertAlign w:val="subscript"/>
        </w:rPr>
        <w:t>d</w:t>
      </w:r>
      <w:r w:rsidR="007F79BC">
        <w:rPr>
          <w:sz w:val="24"/>
          <w:szCs w:val="24"/>
        </w:rPr>
        <w:t>, která je základem pro </w:t>
      </w:r>
      <w:r w:rsidRPr="003E0D09">
        <w:rPr>
          <w:sz w:val="24"/>
          <w:szCs w:val="24"/>
        </w:rPr>
        <w:t>kvalifikované posouzení společenské účelnosti jeho realizace. Popsaný postup lze zapsat následujícím způsobem:</w:t>
      </w:r>
    </w:p>
    <w:p w:rsidR="003E0D09" w:rsidRPr="003E0D09" w:rsidRDefault="003E0D09" w:rsidP="00AD2E70">
      <w:pPr>
        <w:keepNext/>
        <w:widowControl w:val="0"/>
        <w:suppressLineNumbers/>
        <w:spacing w:after="120"/>
        <w:jc w:val="center"/>
        <w:rPr>
          <w:color w:val="0000FF"/>
          <w:sz w:val="24"/>
          <w:szCs w:val="24"/>
          <w:vertAlign w:val="superscript"/>
        </w:rPr>
      </w:pPr>
      <w:r w:rsidRPr="003E0D09">
        <w:rPr>
          <w:color w:val="0000FF"/>
          <w:position w:val="-28"/>
          <w:sz w:val="24"/>
          <w:szCs w:val="24"/>
          <w:vertAlign w:val="subscript"/>
          <w:lang w:eastAsia="en-US"/>
        </w:rPr>
        <w:object w:dxaOrig="1060" w:dyaOrig="680">
          <v:shape id="_x0000_i1037" type="#_x0000_t75" style="width:45pt;height:33.75pt" o:ole="">
            <v:imagedata r:id="rId75" o:title=""/>
          </v:shape>
          <o:OLEObject Type="Embed" ProgID="Equation.3" ShapeID="_x0000_i1037" DrawAspect="Content" ObjectID="_1456295325" r:id="rId76"/>
        </w:object>
      </w:r>
    </w:p>
    <w:p w:rsidR="003E0D09" w:rsidRPr="003E0D09" w:rsidRDefault="003E0D09" w:rsidP="00286F2F">
      <w:pPr>
        <w:keepNext/>
        <w:widowControl w:val="0"/>
        <w:suppressLineNumbers/>
        <w:spacing w:after="120"/>
        <w:ind w:firstLine="720"/>
        <w:jc w:val="both"/>
        <w:rPr>
          <w:sz w:val="24"/>
          <w:szCs w:val="24"/>
        </w:rPr>
      </w:pPr>
      <w:r w:rsidRPr="003E0D09">
        <w:rPr>
          <w:sz w:val="24"/>
          <w:szCs w:val="24"/>
          <w:lang w:eastAsia="en-US"/>
        </w:rPr>
        <w:t xml:space="preserve">Zakomponování tohoto komparativního přístupu lze vedle snahy o co nejkomplexnější vyhodnocení projektů výstavby či rekonstrukce silnic považovat za významnou uživatelskou výhodu prezentované metodiky.  </w:t>
      </w:r>
      <w:r w:rsidRPr="003E0D09">
        <w:rPr>
          <w:sz w:val="24"/>
          <w:szCs w:val="24"/>
        </w:rPr>
        <w:t xml:space="preserve">Závěrečná syntéza pak byla provedena na základě agregací dílčích pořadí vybraných projektů výstavby D+R v rámci </w:t>
      </w:r>
      <w:r w:rsidR="00680BC9">
        <w:rPr>
          <w:sz w:val="24"/>
          <w:szCs w:val="24"/>
        </w:rPr>
        <w:t>definované soustavy pěti hodnoti</w:t>
      </w:r>
      <w:r w:rsidRPr="003E0D09">
        <w:rPr>
          <w:sz w:val="24"/>
          <w:szCs w:val="24"/>
        </w:rPr>
        <w:t>cích kritérií (realizace všech vybraných projektů s v</w:t>
      </w:r>
      <w:r w:rsidR="00680BC9">
        <w:rPr>
          <w:sz w:val="24"/>
          <w:szCs w:val="24"/>
        </w:rPr>
        <w:t>ýjimkou R</w:t>
      </w:r>
      <w:r w:rsidRPr="003E0D09">
        <w:rPr>
          <w:sz w:val="24"/>
          <w:szCs w:val="24"/>
        </w:rPr>
        <w:t>49 a R43 již byla zahájena, pokračo</w:t>
      </w:r>
      <w:r w:rsidR="000D5625">
        <w:rPr>
          <w:sz w:val="24"/>
          <w:szCs w:val="24"/>
        </w:rPr>
        <w:t>vání výstavby je však limitováno</w:t>
      </w:r>
      <w:r w:rsidRPr="003E0D09">
        <w:rPr>
          <w:sz w:val="24"/>
          <w:szCs w:val="24"/>
        </w:rPr>
        <w:t xml:space="preserve"> nedostatkem finančních zdrojů a chybějící strategií výstavby). Podle dosažených výsledků zaujímají v rámci celkem osmi hodnocenýc</w:t>
      </w:r>
      <w:r w:rsidR="000D5625">
        <w:rPr>
          <w:sz w:val="24"/>
          <w:szCs w:val="24"/>
        </w:rPr>
        <w:t>h projektů nejlepší postavení R55, D3 a R</w:t>
      </w:r>
      <w:r w:rsidRPr="003E0D09">
        <w:rPr>
          <w:sz w:val="24"/>
          <w:szCs w:val="24"/>
        </w:rPr>
        <w:t>35. V souladu s touto skutečností lze společenskou účelnost jejich výstavby považovat za stávajících podmínek za prokázanou (to ovšem neznamená, že jde o zcela b</w:t>
      </w:r>
      <w:r w:rsidR="000D5625">
        <w:rPr>
          <w:sz w:val="24"/>
          <w:szCs w:val="24"/>
        </w:rPr>
        <w:t>ezproblémové projekty – např. R</w:t>
      </w:r>
      <w:r w:rsidRPr="003E0D09">
        <w:rPr>
          <w:sz w:val="24"/>
          <w:szCs w:val="24"/>
        </w:rPr>
        <w:t>35 vykazuje vůbec nejhorší pořadí podle kritéria udržitelnosti rozvo</w:t>
      </w:r>
      <w:r w:rsidR="000D5625">
        <w:rPr>
          <w:sz w:val="24"/>
          <w:szCs w:val="24"/>
        </w:rPr>
        <w:t>je). Účelnost výstavby D11 a R</w:t>
      </w:r>
      <w:r w:rsidR="007F79BC">
        <w:rPr>
          <w:sz w:val="24"/>
          <w:szCs w:val="24"/>
        </w:rPr>
        <w:t>49 pak považujeme za </w:t>
      </w:r>
      <w:r w:rsidRPr="003E0D09">
        <w:rPr>
          <w:sz w:val="24"/>
          <w:szCs w:val="24"/>
        </w:rPr>
        <w:t>diskutabilní, tj. jejich potřebnost by měla být potvrzena na základě identifikace dalších (specifických) př</w:t>
      </w:r>
      <w:r w:rsidR="000D5625">
        <w:rPr>
          <w:sz w:val="24"/>
          <w:szCs w:val="24"/>
        </w:rPr>
        <w:t>ínosů. U zbývajících projektů R6, R7 a R</w:t>
      </w:r>
      <w:r w:rsidRPr="003E0D09">
        <w:rPr>
          <w:sz w:val="24"/>
          <w:szCs w:val="24"/>
        </w:rPr>
        <w:t>43 nebyla účelnost výstavby v dostatečné míře prokázána a jejich realizaci proto považu</w:t>
      </w:r>
      <w:r w:rsidR="007F79BC">
        <w:rPr>
          <w:sz w:val="24"/>
          <w:szCs w:val="24"/>
        </w:rPr>
        <w:t>jeme za stávajících podmínek za </w:t>
      </w:r>
      <w:r w:rsidRPr="003E0D09">
        <w:rPr>
          <w:sz w:val="24"/>
          <w:szCs w:val="24"/>
        </w:rPr>
        <w:t>společensky neúčelnou. Ze systémového pohledu je užitečné poznamenat, že celkové pořadí D+R vykazuje nejsilnější vazby (koeficient korelace 0,93) na kritérium stimulace rozvoje. Tato skutečnost koresponduje s racionální or</w:t>
      </w:r>
      <w:r w:rsidR="007F79BC">
        <w:rPr>
          <w:sz w:val="24"/>
          <w:szCs w:val="24"/>
        </w:rPr>
        <w:t>ientací vypracované metodiky na </w:t>
      </w:r>
      <w:r w:rsidRPr="003E0D09">
        <w:rPr>
          <w:sz w:val="24"/>
          <w:szCs w:val="24"/>
        </w:rPr>
        <w:t xml:space="preserve">identifikaci (percepci) nejúčelnějších projektů generujících nejvyšší potenciální společenské přínosy. Naopak nejslabší, a sice záporné vazby se pak vcelku logicky vztahují ke kritériu udržitelnosti rozvoje.  </w:t>
      </w:r>
    </w:p>
    <w:p w:rsidR="003E0D09" w:rsidRPr="006B61FE" w:rsidRDefault="003E0D09" w:rsidP="00286F2F">
      <w:pPr>
        <w:pStyle w:val="0T-Titulek"/>
      </w:pPr>
      <w:bookmarkStart w:id="143" w:name="_Toc382326468"/>
      <w:r w:rsidRPr="006B61FE">
        <w:t>Tabulka</w:t>
      </w:r>
      <w:r w:rsidR="00B655D9" w:rsidRPr="006B61FE">
        <w:t xml:space="preserve"> 41</w:t>
      </w:r>
      <w:r w:rsidRPr="006B61FE">
        <w:t>: Syntéza účelnosti výstavby vybraných dálnic a rychlostních silnic</w:t>
      </w:r>
      <w:bookmarkEnd w:id="143"/>
      <w:r w:rsidRPr="006B61FE">
        <w:t xml:space="preserve"> </w:t>
      </w:r>
    </w:p>
    <w:tbl>
      <w:tblPr>
        <w:tblW w:w="9148"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1E0" w:firstRow="1" w:lastRow="1" w:firstColumn="1" w:lastColumn="1" w:noHBand="0" w:noVBand="0"/>
      </w:tblPr>
      <w:tblGrid>
        <w:gridCol w:w="1115"/>
        <w:gridCol w:w="1097"/>
        <w:gridCol w:w="1156"/>
        <w:gridCol w:w="1156"/>
        <w:gridCol w:w="1156"/>
        <w:gridCol w:w="1156"/>
        <w:gridCol w:w="1156"/>
        <w:gridCol w:w="1156"/>
      </w:tblGrid>
      <w:tr w:rsidR="003E0D09" w:rsidRPr="003E0D09" w:rsidTr="00286F2F">
        <w:trPr>
          <w:trHeight w:hRule="exact" w:val="840"/>
          <w:jc w:val="center"/>
        </w:trPr>
        <w:tc>
          <w:tcPr>
            <w:tcW w:w="1115" w:type="dxa"/>
            <w:vAlign w:val="center"/>
          </w:tcPr>
          <w:p w:rsidR="003E0D09" w:rsidRPr="003E0D09" w:rsidRDefault="00286F2F" w:rsidP="00286F2F">
            <w:pPr>
              <w:keepNext/>
              <w:widowControl w:val="0"/>
              <w:suppressLineNumbers/>
              <w:spacing w:line="240" w:lineRule="auto"/>
              <w:ind w:left="113"/>
              <w:rPr>
                <w:rFonts w:asciiTheme="minorHAnsi" w:hAnsiTheme="minorHAnsi" w:cstheme="minorHAnsi"/>
                <w:b/>
              </w:rPr>
            </w:pPr>
            <w:r>
              <w:rPr>
                <w:rFonts w:asciiTheme="minorHAnsi" w:hAnsiTheme="minorHAnsi" w:cstheme="minorHAnsi"/>
                <w:b/>
              </w:rPr>
              <w:t>vybrané D a R silnice</w:t>
            </w:r>
          </w:p>
        </w:tc>
        <w:tc>
          <w:tcPr>
            <w:tcW w:w="1097" w:type="dxa"/>
            <w:vAlign w:val="center"/>
          </w:tcPr>
          <w:p w:rsidR="003E0D09" w:rsidRPr="003E0D09" w:rsidRDefault="003E0D09" w:rsidP="00286F2F">
            <w:pPr>
              <w:keepNext/>
              <w:widowControl w:val="0"/>
              <w:suppressLineNumbers/>
              <w:spacing w:line="240" w:lineRule="auto"/>
              <w:ind w:left="-57" w:right="-57"/>
              <w:jc w:val="center"/>
              <w:rPr>
                <w:rFonts w:asciiTheme="minorHAnsi" w:hAnsiTheme="minorHAnsi" w:cstheme="minorHAnsi"/>
                <w:b/>
              </w:rPr>
            </w:pPr>
            <w:r w:rsidRPr="003E0D09">
              <w:rPr>
                <w:rFonts w:asciiTheme="minorHAnsi" w:hAnsiTheme="minorHAnsi" w:cstheme="minorHAnsi"/>
                <w:b/>
              </w:rPr>
              <w:t>relevance</w:t>
            </w:r>
          </w:p>
        </w:tc>
        <w:tc>
          <w:tcPr>
            <w:tcW w:w="1156" w:type="dxa"/>
            <w:vAlign w:val="center"/>
          </w:tcPr>
          <w:p w:rsidR="003E0D09" w:rsidRPr="003E0D09" w:rsidRDefault="003E0D09" w:rsidP="00286F2F">
            <w:pPr>
              <w:keepNext/>
              <w:widowControl w:val="0"/>
              <w:suppressLineNumbers/>
              <w:spacing w:line="240" w:lineRule="auto"/>
              <w:ind w:left="-57" w:right="-57"/>
              <w:jc w:val="center"/>
              <w:rPr>
                <w:rFonts w:asciiTheme="minorHAnsi" w:hAnsiTheme="minorHAnsi" w:cstheme="minorHAnsi"/>
                <w:b/>
              </w:rPr>
            </w:pPr>
            <w:r w:rsidRPr="003E0D09">
              <w:rPr>
                <w:rFonts w:asciiTheme="minorHAnsi" w:hAnsiTheme="minorHAnsi" w:cstheme="minorHAnsi"/>
                <w:b/>
              </w:rPr>
              <w:t>užitečnost</w:t>
            </w:r>
          </w:p>
        </w:tc>
        <w:tc>
          <w:tcPr>
            <w:tcW w:w="1156" w:type="dxa"/>
            <w:vAlign w:val="center"/>
          </w:tcPr>
          <w:p w:rsidR="003E0D09" w:rsidRPr="003E0D09" w:rsidRDefault="003E0D09" w:rsidP="00286F2F">
            <w:pPr>
              <w:keepNext/>
              <w:widowControl w:val="0"/>
              <w:suppressLineNumbers/>
              <w:spacing w:line="240" w:lineRule="auto"/>
              <w:ind w:left="-57" w:right="-57"/>
              <w:jc w:val="center"/>
              <w:rPr>
                <w:rFonts w:asciiTheme="minorHAnsi" w:hAnsiTheme="minorHAnsi" w:cstheme="minorHAnsi"/>
                <w:b/>
              </w:rPr>
            </w:pPr>
            <w:r w:rsidRPr="003E0D09">
              <w:rPr>
                <w:rFonts w:asciiTheme="minorHAnsi" w:hAnsiTheme="minorHAnsi" w:cstheme="minorHAnsi"/>
                <w:b/>
              </w:rPr>
              <w:t>integrace</w:t>
            </w:r>
          </w:p>
        </w:tc>
        <w:tc>
          <w:tcPr>
            <w:tcW w:w="1156" w:type="dxa"/>
            <w:vAlign w:val="center"/>
          </w:tcPr>
          <w:p w:rsidR="003E0D09" w:rsidRPr="003E0D09" w:rsidRDefault="003E0D09" w:rsidP="00286F2F">
            <w:pPr>
              <w:keepNext/>
              <w:widowControl w:val="0"/>
              <w:suppressLineNumbers/>
              <w:spacing w:line="240" w:lineRule="auto"/>
              <w:ind w:left="-57" w:right="-57"/>
              <w:jc w:val="center"/>
              <w:rPr>
                <w:rFonts w:asciiTheme="minorHAnsi" w:hAnsiTheme="minorHAnsi" w:cstheme="minorHAnsi"/>
                <w:b/>
              </w:rPr>
            </w:pPr>
            <w:r w:rsidRPr="003E0D09">
              <w:rPr>
                <w:rFonts w:asciiTheme="minorHAnsi" w:hAnsiTheme="minorHAnsi" w:cstheme="minorHAnsi"/>
                <w:b/>
              </w:rPr>
              <w:t xml:space="preserve">stimulace </w:t>
            </w:r>
          </w:p>
        </w:tc>
        <w:tc>
          <w:tcPr>
            <w:tcW w:w="1156" w:type="dxa"/>
            <w:vAlign w:val="center"/>
          </w:tcPr>
          <w:p w:rsidR="003E0D09" w:rsidRPr="003E0D09" w:rsidRDefault="003E0D09" w:rsidP="00286F2F">
            <w:pPr>
              <w:keepNext/>
              <w:widowControl w:val="0"/>
              <w:suppressLineNumbers/>
              <w:spacing w:line="240" w:lineRule="auto"/>
              <w:ind w:left="-113" w:right="-113"/>
              <w:jc w:val="center"/>
              <w:rPr>
                <w:rFonts w:asciiTheme="minorHAnsi" w:hAnsiTheme="minorHAnsi" w:cstheme="minorHAnsi"/>
                <w:b/>
              </w:rPr>
            </w:pPr>
            <w:r w:rsidRPr="003E0D09">
              <w:rPr>
                <w:rFonts w:asciiTheme="minorHAnsi" w:hAnsiTheme="minorHAnsi" w:cstheme="minorHAnsi"/>
                <w:b/>
              </w:rPr>
              <w:t xml:space="preserve">udržitelnost </w:t>
            </w:r>
          </w:p>
        </w:tc>
        <w:tc>
          <w:tcPr>
            <w:tcW w:w="1156" w:type="dxa"/>
            <w:vAlign w:val="center"/>
          </w:tcPr>
          <w:p w:rsidR="003E0D09" w:rsidRPr="003E0D09" w:rsidRDefault="003E0D09" w:rsidP="00286F2F">
            <w:pPr>
              <w:keepNext/>
              <w:widowControl w:val="0"/>
              <w:suppressLineNumbers/>
              <w:spacing w:line="240" w:lineRule="auto"/>
              <w:ind w:left="-57" w:right="-57"/>
              <w:jc w:val="center"/>
              <w:rPr>
                <w:rFonts w:asciiTheme="minorHAnsi" w:hAnsiTheme="minorHAnsi" w:cstheme="minorHAnsi"/>
                <w:b/>
              </w:rPr>
            </w:pPr>
            <w:r w:rsidRPr="003E0D09">
              <w:rPr>
                <w:rFonts w:asciiTheme="minorHAnsi" w:hAnsiTheme="minorHAnsi" w:cstheme="minorHAnsi"/>
                <w:b/>
              </w:rPr>
              <w:t>součet pořadí</w:t>
            </w:r>
          </w:p>
        </w:tc>
        <w:tc>
          <w:tcPr>
            <w:tcW w:w="1156" w:type="dxa"/>
            <w:vAlign w:val="center"/>
          </w:tcPr>
          <w:p w:rsidR="003E0D09" w:rsidRPr="003E0D09" w:rsidRDefault="003E0D09" w:rsidP="00286F2F">
            <w:pPr>
              <w:keepNext/>
              <w:widowControl w:val="0"/>
              <w:suppressLineNumbers/>
              <w:spacing w:line="240" w:lineRule="auto"/>
              <w:ind w:left="-57" w:right="-57"/>
              <w:jc w:val="center"/>
              <w:rPr>
                <w:rFonts w:asciiTheme="minorHAnsi" w:hAnsiTheme="minorHAnsi" w:cstheme="minorHAnsi"/>
                <w:b/>
              </w:rPr>
            </w:pPr>
            <w:r w:rsidRPr="003E0D09">
              <w:rPr>
                <w:rFonts w:asciiTheme="minorHAnsi" w:hAnsiTheme="minorHAnsi" w:cstheme="minorHAnsi"/>
                <w:b/>
              </w:rPr>
              <w:t>celkové pořadí</w:t>
            </w:r>
          </w:p>
        </w:tc>
      </w:tr>
      <w:tr w:rsidR="003E0D09" w:rsidRPr="003E0D09" w:rsidTr="00286F2F">
        <w:trPr>
          <w:trHeight w:hRule="exact" w:val="266"/>
          <w:jc w:val="center"/>
        </w:trPr>
        <w:tc>
          <w:tcPr>
            <w:tcW w:w="1115" w:type="dxa"/>
            <w:vAlign w:val="center"/>
          </w:tcPr>
          <w:p w:rsidR="003E0D09" w:rsidRPr="003E0D09" w:rsidRDefault="000D5625" w:rsidP="00423120">
            <w:pPr>
              <w:keepNext/>
              <w:widowControl w:val="0"/>
              <w:suppressLineNumbers/>
              <w:ind w:left="113"/>
              <w:rPr>
                <w:rFonts w:asciiTheme="minorHAnsi" w:hAnsiTheme="minorHAnsi" w:cstheme="minorHAnsi"/>
                <w:b/>
              </w:rPr>
            </w:pPr>
            <w:r>
              <w:rPr>
                <w:rFonts w:asciiTheme="minorHAnsi" w:hAnsiTheme="minorHAnsi" w:cstheme="minorHAnsi"/>
                <w:b/>
              </w:rPr>
              <w:t>R</w:t>
            </w:r>
            <w:r w:rsidR="003E0D09" w:rsidRPr="003E0D09">
              <w:rPr>
                <w:rFonts w:asciiTheme="minorHAnsi" w:hAnsiTheme="minorHAnsi" w:cstheme="minorHAnsi"/>
                <w:b/>
              </w:rPr>
              <w:t>55</w:t>
            </w:r>
          </w:p>
        </w:tc>
        <w:tc>
          <w:tcPr>
            <w:tcW w:w="1097"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3</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1</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5</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1</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4</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14</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 xml:space="preserve">1 </w:t>
            </w:r>
          </w:p>
        </w:tc>
      </w:tr>
      <w:tr w:rsidR="003E0D09" w:rsidRPr="003E0D09" w:rsidTr="00286F2F">
        <w:trPr>
          <w:trHeight w:hRule="exact" w:val="266"/>
          <w:jc w:val="center"/>
        </w:trPr>
        <w:tc>
          <w:tcPr>
            <w:tcW w:w="1115" w:type="dxa"/>
            <w:vAlign w:val="center"/>
          </w:tcPr>
          <w:p w:rsidR="003E0D09" w:rsidRPr="003E0D09" w:rsidRDefault="000D5625" w:rsidP="00423120">
            <w:pPr>
              <w:keepNext/>
              <w:widowControl w:val="0"/>
              <w:suppressLineNumbers/>
              <w:ind w:left="113"/>
              <w:rPr>
                <w:rFonts w:asciiTheme="minorHAnsi" w:hAnsiTheme="minorHAnsi" w:cstheme="minorHAnsi"/>
                <w:b/>
              </w:rPr>
            </w:pPr>
            <w:r>
              <w:rPr>
                <w:rFonts w:asciiTheme="minorHAnsi" w:hAnsiTheme="minorHAnsi" w:cstheme="minorHAnsi"/>
                <w:b/>
              </w:rPr>
              <w:t>D</w:t>
            </w:r>
            <w:r w:rsidR="003E0D09" w:rsidRPr="003E0D09">
              <w:rPr>
                <w:rFonts w:asciiTheme="minorHAnsi" w:hAnsiTheme="minorHAnsi" w:cstheme="minorHAnsi"/>
                <w:b/>
              </w:rPr>
              <w:t>3</w:t>
            </w:r>
          </w:p>
        </w:tc>
        <w:tc>
          <w:tcPr>
            <w:tcW w:w="1097"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2</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5</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1</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3</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5</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16</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2</w:t>
            </w:r>
          </w:p>
        </w:tc>
      </w:tr>
      <w:tr w:rsidR="003E0D09" w:rsidRPr="003E0D09" w:rsidTr="00286F2F">
        <w:trPr>
          <w:trHeight w:hRule="exact" w:val="266"/>
          <w:jc w:val="center"/>
        </w:trPr>
        <w:tc>
          <w:tcPr>
            <w:tcW w:w="1115" w:type="dxa"/>
            <w:vAlign w:val="center"/>
          </w:tcPr>
          <w:p w:rsidR="003E0D09" w:rsidRPr="003E0D09" w:rsidRDefault="000D5625" w:rsidP="00423120">
            <w:pPr>
              <w:keepNext/>
              <w:widowControl w:val="0"/>
              <w:suppressLineNumbers/>
              <w:ind w:left="113"/>
              <w:rPr>
                <w:rFonts w:asciiTheme="minorHAnsi" w:hAnsiTheme="minorHAnsi" w:cstheme="minorHAnsi"/>
                <w:b/>
              </w:rPr>
            </w:pPr>
            <w:r>
              <w:rPr>
                <w:rFonts w:asciiTheme="minorHAnsi" w:hAnsiTheme="minorHAnsi" w:cstheme="minorHAnsi"/>
                <w:b/>
              </w:rPr>
              <w:t>R</w:t>
            </w:r>
            <w:r w:rsidR="003E0D09" w:rsidRPr="003E0D09">
              <w:rPr>
                <w:rFonts w:asciiTheme="minorHAnsi" w:hAnsiTheme="minorHAnsi" w:cstheme="minorHAnsi"/>
                <w:b/>
              </w:rPr>
              <w:t>35</w:t>
            </w:r>
          </w:p>
        </w:tc>
        <w:tc>
          <w:tcPr>
            <w:tcW w:w="1097"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1</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4</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4</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2</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8</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19</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3</w:t>
            </w:r>
          </w:p>
        </w:tc>
      </w:tr>
      <w:tr w:rsidR="003E0D09" w:rsidRPr="003E0D09" w:rsidTr="00286F2F">
        <w:trPr>
          <w:trHeight w:hRule="exact" w:val="266"/>
          <w:jc w:val="center"/>
        </w:trPr>
        <w:tc>
          <w:tcPr>
            <w:tcW w:w="1115" w:type="dxa"/>
            <w:vAlign w:val="center"/>
          </w:tcPr>
          <w:p w:rsidR="003E0D09" w:rsidRPr="003E0D09" w:rsidRDefault="000D5625" w:rsidP="00423120">
            <w:pPr>
              <w:keepNext/>
              <w:widowControl w:val="0"/>
              <w:suppressLineNumbers/>
              <w:ind w:left="113"/>
              <w:rPr>
                <w:rFonts w:asciiTheme="minorHAnsi" w:hAnsiTheme="minorHAnsi" w:cstheme="minorHAnsi"/>
                <w:b/>
              </w:rPr>
            </w:pPr>
            <w:r>
              <w:rPr>
                <w:rFonts w:asciiTheme="minorHAnsi" w:hAnsiTheme="minorHAnsi" w:cstheme="minorHAnsi"/>
                <w:b/>
              </w:rPr>
              <w:t>D</w:t>
            </w:r>
            <w:r w:rsidR="003E0D09" w:rsidRPr="003E0D09">
              <w:rPr>
                <w:rFonts w:asciiTheme="minorHAnsi" w:hAnsiTheme="minorHAnsi" w:cstheme="minorHAnsi"/>
                <w:b/>
              </w:rPr>
              <w:t xml:space="preserve">11 </w:t>
            </w:r>
          </w:p>
        </w:tc>
        <w:tc>
          <w:tcPr>
            <w:tcW w:w="1097"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5</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6</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3</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6</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3</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23</w:t>
            </w:r>
          </w:p>
        </w:tc>
        <w:tc>
          <w:tcPr>
            <w:tcW w:w="1156" w:type="dxa"/>
            <w:vAlign w:val="center"/>
          </w:tcPr>
          <w:p w:rsidR="003E0D09" w:rsidRPr="003E0D09" w:rsidRDefault="00923F83" w:rsidP="00423120">
            <w:pPr>
              <w:keepNext/>
              <w:widowControl w:val="0"/>
              <w:suppressLineNumbers/>
              <w:jc w:val="center"/>
              <w:rPr>
                <w:rFonts w:asciiTheme="minorHAnsi" w:hAnsiTheme="minorHAnsi" w:cstheme="minorHAnsi"/>
              </w:rPr>
            </w:pPr>
            <w:r>
              <w:rPr>
                <w:rFonts w:asciiTheme="minorHAnsi" w:hAnsiTheme="minorHAnsi" w:cstheme="minorHAnsi"/>
              </w:rPr>
              <w:t>4–</w:t>
            </w:r>
            <w:r w:rsidR="003E0D09" w:rsidRPr="003E0D09">
              <w:rPr>
                <w:rFonts w:asciiTheme="minorHAnsi" w:hAnsiTheme="minorHAnsi" w:cstheme="minorHAnsi"/>
              </w:rPr>
              <w:t>5</w:t>
            </w:r>
          </w:p>
        </w:tc>
      </w:tr>
      <w:tr w:rsidR="003E0D09" w:rsidRPr="003E0D09" w:rsidTr="00286F2F">
        <w:trPr>
          <w:trHeight w:hRule="exact" w:val="266"/>
          <w:jc w:val="center"/>
        </w:trPr>
        <w:tc>
          <w:tcPr>
            <w:tcW w:w="1115" w:type="dxa"/>
            <w:vAlign w:val="center"/>
          </w:tcPr>
          <w:p w:rsidR="003E0D09" w:rsidRPr="003E0D09" w:rsidRDefault="000D5625" w:rsidP="00423120">
            <w:pPr>
              <w:keepNext/>
              <w:widowControl w:val="0"/>
              <w:suppressLineNumbers/>
              <w:ind w:left="113"/>
              <w:rPr>
                <w:rFonts w:asciiTheme="minorHAnsi" w:hAnsiTheme="minorHAnsi" w:cstheme="minorHAnsi"/>
                <w:b/>
              </w:rPr>
            </w:pPr>
            <w:r>
              <w:rPr>
                <w:rFonts w:asciiTheme="minorHAnsi" w:hAnsiTheme="minorHAnsi" w:cstheme="minorHAnsi"/>
                <w:b/>
              </w:rPr>
              <w:t>R</w:t>
            </w:r>
            <w:r w:rsidR="003E0D09" w:rsidRPr="003E0D09">
              <w:rPr>
                <w:rFonts w:asciiTheme="minorHAnsi" w:hAnsiTheme="minorHAnsi" w:cstheme="minorHAnsi"/>
                <w:b/>
              </w:rPr>
              <w:t>49</w:t>
            </w:r>
          </w:p>
        </w:tc>
        <w:tc>
          <w:tcPr>
            <w:tcW w:w="1097"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8</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2</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7</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5</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1</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23</w:t>
            </w:r>
          </w:p>
        </w:tc>
        <w:tc>
          <w:tcPr>
            <w:tcW w:w="1156" w:type="dxa"/>
            <w:vAlign w:val="center"/>
          </w:tcPr>
          <w:p w:rsidR="003E0D09" w:rsidRPr="003E0D09" w:rsidRDefault="00923F83" w:rsidP="00423120">
            <w:pPr>
              <w:keepNext/>
              <w:widowControl w:val="0"/>
              <w:suppressLineNumbers/>
              <w:jc w:val="center"/>
              <w:rPr>
                <w:rFonts w:asciiTheme="minorHAnsi" w:hAnsiTheme="minorHAnsi" w:cstheme="minorHAnsi"/>
              </w:rPr>
            </w:pPr>
            <w:r>
              <w:rPr>
                <w:rFonts w:asciiTheme="minorHAnsi" w:hAnsiTheme="minorHAnsi" w:cstheme="minorHAnsi"/>
              </w:rPr>
              <w:t>4–</w:t>
            </w:r>
            <w:r w:rsidR="003E0D09" w:rsidRPr="003E0D09">
              <w:rPr>
                <w:rFonts w:asciiTheme="minorHAnsi" w:hAnsiTheme="minorHAnsi" w:cstheme="minorHAnsi"/>
              </w:rPr>
              <w:t>5</w:t>
            </w:r>
          </w:p>
        </w:tc>
      </w:tr>
      <w:tr w:rsidR="003E0D09" w:rsidRPr="003E0D09" w:rsidTr="00286F2F">
        <w:trPr>
          <w:trHeight w:hRule="exact" w:val="266"/>
          <w:jc w:val="center"/>
        </w:trPr>
        <w:tc>
          <w:tcPr>
            <w:tcW w:w="1115" w:type="dxa"/>
            <w:vAlign w:val="center"/>
          </w:tcPr>
          <w:p w:rsidR="003E0D09" w:rsidRPr="003E0D09" w:rsidRDefault="000D5625" w:rsidP="00423120">
            <w:pPr>
              <w:keepNext/>
              <w:widowControl w:val="0"/>
              <w:suppressLineNumbers/>
              <w:ind w:left="113"/>
              <w:rPr>
                <w:rFonts w:asciiTheme="minorHAnsi" w:hAnsiTheme="minorHAnsi" w:cstheme="minorHAnsi"/>
                <w:b/>
              </w:rPr>
            </w:pPr>
            <w:r>
              <w:rPr>
                <w:rFonts w:asciiTheme="minorHAnsi" w:hAnsiTheme="minorHAnsi" w:cstheme="minorHAnsi"/>
                <w:b/>
              </w:rPr>
              <w:t>R</w:t>
            </w:r>
            <w:r w:rsidR="003E0D09" w:rsidRPr="003E0D09">
              <w:rPr>
                <w:rFonts w:asciiTheme="minorHAnsi" w:hAnsiTheme="minorHAnsi" w:cstheme="minorHAnsi"/>
                <w:b/>
              </w:rPr>
              <w:t>6</w:t>
            </w:r>
          </w:p>
        </w:tc>
        <w:tc>
          <w:tcPr>
            <w:tcW w:w="1097"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7</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7</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2</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4</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7</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27</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6</w:t>
            </w:r>
          </w:p>
        </w:tc>
      </w:tr>
      <w:tr w:rsidR="003E0D09" w:rsidRPr="003E0D09" w:rsidTr="00286F2F">
        <w:trPr>
          <w:trHeight w:hRule="exact" w:val="266"/>
          <w:jc w:val="center"/>
        </w:trPr>
        <w:tc>
          <w:tcPr>
            <w:tcW w:w="1115" w:type="dxa"/>
            <w:vAlign w:val="center"/>
          </w:tcPr>
          <w:p w:rsidR="003E0D09" w:rsidRPr="003E0D09" w:rsidRDefault="000D5625" w:rsidP="00423120">
            <w:pPr>
              <w:keepNext/>
              <w:widowControl w:val="0"/>
              <w:suppressLineNumbers/>
              <w:ind w:left="113"/>
              <w:rPr>
                <w:rFonts w:asciiTheme="minorHAnsi" w:hAnsiTheme="minorHAnsi" w:cstheme="minorHAnsi"/>
                <w:b/>
              </w:rPr>
            </w:pPr>
            <w:r>
              <w:rPr>
                <w:rFonts w:asciiTheme="minorHAnsi" w:hAnsiTheme="minorHAnsi" w:cstheme="minorHAnsi"/>
                <w:b/>
              </w:rPr>
              <w:t>R</w:t>
            </w:r>
            <w:r w:rsidR="003E0D09" w:rsidRPr="003E0D09">
              <w:rPr>
                <w:rFonts w:asciiTheme="minorHAnsi" w:hAnsiTheme="minorHAnsi" w:cstheme="minorHAnsi"/>
                <w:b/>
              </w:rPr>
              <w:t>7</w:t>
            </w:r>
          </w:p>
        </w:tc>
        <w:tc>
          <w:tcPr>
            <w:tcW w:w="1097"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4</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8</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6</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8</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2</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28</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7</w:t>
            </w:r>
          </w:p>
        </w:tc>
      </w:tr>
      <w:tr w:rsidR="003E0D09" w:rsidRPr="003E0D09" w:rsidTr="00286F2F">
        <w:trPr>
          <w:trHeight w:hRule="exact" w:val="266"/>
          <w:jc w:val="center"/>
        </w:trPr>
        <w:tc>
          <w:tcPr>
            <w:tcW w:w="1115" w:type="dxa"/>
            <w:vAlign w:val="center"/>
          </w:tcPr>
          <w:p w:rsidR="003E0D09" w:rsidRPr="003E0D09" w:rsidRDefault="000D5625" w:rsidP="00423120">
            <w:pPr>
              <w:keepNext/>
              <w:widowControl w:val="0"/>
              <w:suppressLineNumbers/>
              <w:ind w:left="113"/>
              <w:rPr>
                <w:rFonts w:asciiTheme="minorHAnsi" w:hAnsiTheme="minorHAnsi" w:cstheme="minorHAnsi"/>
                <w:b/>
              </w:rPr>
            </w:pPr>
            <w:r>
              <w:rPr>
                <w:rFonts w:asciiTheme="minorHAnsi" w:hAnsiTheme="minorHAnsi" w:cstheme="minorHAnsi"/>
                <w:b/>
              </w:rPr>
              <w:t>R</w:t>
            </w:r>
            <w:r w:rsidR="003E0D09" w:rsidRPr="003E0D09">
              <w:rPr>
                <w:rFonts w:asciiTheme="minorHAnsi" w:hAnsiTheme="minorHAnsi" w:cstheme="minorHAnsi"/>
                <w:b/>
              </w:rPr>
              <w:t>43</w:t>
            </w:r>
          </w:p>
        </w:tc>
        <w:tc>
          <w:tcPr>
            <w:tcW w:w="1097"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6</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3</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8</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7</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6</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30</w:t>
            </w:r>
          </w:p>
        </w:tc>
        <w:tc>
          <w:tcPr>
            <w:tcW w:w="1156" w:type="dxa"/>
            <w:vAlign w:val="center"/>
          </w:tcPr>
          <w:p w:rsidR="003E0D09" w:rsidRPr="003E0D09" w:rsidRDefault="003E0D09" w:rsidP="00423120">
            <w:pPr>
              <w:keepNext/>
              <w:widowControl w:val="0"/>
              <w:suppressLineNumbers/>
              <w:jc w:val="center"/>
              <w:rPr>
                <w:rFonts w:asciiTheme="minorHAnsi" w:hAnsiTheme="minorHAnsi" w:cstheme="minorHAnsi"/>
              </w:rPr>
            </w:pPr>
            <w:r w:rsidRPr="003E0D09">
              <w:rPr>
                <w:rFonts w:asciiTheme="minorHAnsi" w:hAnsiTheme="minorHAnsi" w:cstheme="minorHAnsi"/>
              </w:rPr>
              <w:t>8</w:t>
            </w:r>
          </w:p>
        </w:tc>
      </w:tr>
    </w:tbl>
    <w:p w:rsidR="003E0D09" w:rsidRPr="003E0D09" w:rsidRDefault="00F1759C" w:rsidP="00F1759C">
      <w:pPr>
        <w:keepNext/>
        <w:widowControl w:val="0"/>
        <w:suppressLineNumbers/>
        <w:jc w:val="center"/>
        <w:rPr>
          <w:rFonts w:asciiTheme="minorHAnsi" w:hAnsiTheme="minorHAnsi" w:cstheme="minorHAnsi"/>
          <w:i/>
        </w:rPr>
      </w:pPr>
      <w:r>
        <w:rPr>
          <w:rFonts w:asciiTheme="minorHAnsi" w:hAnsiTheme="minorHAnsi" w:cstheme="minorHAnsi"/>
          <w:i/>
        </w:rPr>
        <w:t>Pramen</w:t>
      </w:r>
      <w:r w:rsidR="003E0D09" w:rsidRPr="003E0D09">
        <w:rPr>
          <w:rFonts w:asciiTheme="minorHAnsi" w:hAnsiTheme="minorHAnsi" w:cstheme="minorHAnsi"/>
          <w:i/>
        </w:rPr>
        <w:t>: vlastní výzkum.</w:t>
      </w:r>
    </w:p>
    <w:p w:rsidR="003E0D09" w:rsidRPr="000D5625" w:rsidRDefault="003E0D09" w:rsidP="00423120">
      <w:pPr>
        <w:keepNext/>
        <w:widowControl w:val="0"/>
        <w:suppressLineNumbers/>
        <w:autoSpaceDE w:val="0"/>
        <w:autoSpaceDN w:val="0"/>
        <w:adjustRightInd w:val="0"/>
        <w:ind w:firstLine="720"/>
        <w:jc w:val="both"/>
        <w:rPr>
          <w:sz w:val="24"/>
          <w:szCs w:val="24"/>
        </w:rPr>
      </w:pPr>
      <w:r w:rsidRPr="003E0D09">
        <w:rPr>
          <w:sz w:val="24"/>
          <w:szCs w:val="24"/>
        </w:rPr>
        <w:t xml:space="preserve">Závěrem lze konstatovat, že realizace velkých a finančně vysoce náročných investičních projektů v oblasti dopravní infrastruktury je v řadě zemí včetně České republiky obvykle ospravedlňována obecným poukazem na jejich široké ekonomické přínosy, které však často nejsou blíže specifikovány (viz např. Vickerman, R., In Atalik, Fischer, 2002). Často používaným argumentem je i předpokládaný vysoký multiplikační účinků investičních </w:t>
      </w:r>
      <w:r w:rsidRPr="003E0D09">
        <w:rPr>
          <w:sz w:val="24"/>
          <w:szCs w:val="24"/>
        </w:rPr>
        <w:lastRenderedPageBreak/>
        <w:t>výdajů do výstavby expresních silnic (korespondující s všeobecně nadprůměrným podílem meziproduktu ve stavebnictví, srovnatelným se zpracovatelským průmyslem), jejichž rozvojový význam umocňují potenciálně nízké úniky finančních efektů mimo daný region či stát. Výše naznačené argumenty však, podle našeho názoru, zastírají nedostatečnou pozornost věnovanou komplexnímu hodnocení potenciálních společenských přínosů výstavby dopravní infrastruktury, které by vycházelo z empiricky verifikovaných metodických postupů. Tento deficit (i přes řadu zjednodušujících předpokladů) do značné míry snižuje vypracovaná metoda multikriteriálního komparativního hodnocení účelnosti plánovaných projektů rozvoje silniční infrastruktury</w:t>
      </w:r>
      <w:r w:rsidRPr="000D5625">
        <w:rPr>
          <w:sz w:val="24"/>
          <w:szCs w:val="24"/>
        </w:rPr>
        <w:t xml:space="preserve">. Prezentovaná aplikace této metody umožnila získat potřebné informace o společenské účelnosti realizace nejvýznamnějších projektů výstavby silniční infrastruktury v České republice, které lze účelně využít pro zodpovědné stanovení hlavních priorit dalšího rozvoje expresní silniční infrastruktury s pozitivními dopady na jeho racionalitu (významnou překážkou dosažení žádoucí racionality je ovšem řada specifických faktorů, ze kterých je potřebné uvést zejména dosavadní „pragmatický“ přístup, který vedle zájmů stavebních společností jednoznačně preferuje územní připravenost staveb před účelností vlastní výstavby). </w:t>
      </w:r>
    </w:p>
    <w:p w:rsidR="003E0D09" w:rsidRPr="003E0D09" w:rsidRDefault="003E0D09" w:rsidP="00423120">
      <w:pPr>
        <w:keepNext/>
        <w:widowControl w:val="0"/>
        <w:suppressLineNumbers/>
        <w:autoSpaceDE w:val="0"/>
        <w:autoSpaceDN w:val="0"/>
        <w:adjustRightInd w:val="0"/>
        <w:jc w:val="both"/>
        <w:rPr>
          <w:rFonts w:asciiTheme="majorHAnsi" w:hAnsiTheme="majorHAnsi" w:cs="TimesNewRomanPSMT"/>
          <w:b/>
          <w:color w:val="0000FF"/>
          <w:sz w:val="28"/>
          <w:szCs w:val="28"/>
        </w:rPr>
      </w:pPr>
      <w:r w:rsidRPr="003E0D09">
        <w:rPr>
          <w:rFonts w:asciiTheme="majorHAnsi" w:hAnsiTheme="majorHAnsi" w:cs="TimesNewRomanPSMT"/>
          <w:b/>
          <w:noProof/>
          <w:color w:val="0000FF"/>
          <w:sz w:val="28"/>
          <w:szCs w:val="28"/>
          <w:lang w:val="en-GB" w:eastAsia="en-GB"/>
        </w:rPr>
        <w:drawing>
          <wp:inline distT="0" distB="0" distL="0" distR="0" wp14:anchorId="33814AFD" wp14:editId="02268E60">
            <wp:extent cx="5760720" cy="4074255"/>
            <wp:effectExtent l="0" t="0" r="0" b="2540"/>
            <wp:docPr id="153" name="Obrázek 153" descr="C:\Users\viturka\Documents\Documents\skripta+publik+výuka\Doprava_U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turka\Documents\Documents\skripta+publik+výuka\Doprava_UUR.t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720" cy="4074255"/>
                    </a:xfrm>
                    <a:prstGeom prst="rect">
                      <a:avLst/>
                    </a:prstGeom>
                    <a:noFill/>
                    <a:ln>
                      <a:noFill/>
                    </a:ln>
                  </pic:spPr>
                </pic:pic>
              </a:graphicData>
            </a:graphic>
          </wp:inline>
        </w:drawing>
      </w:r>
    </w:p>
    <w:p w:rsidR="003E0D09" w:rsidRPr="003E0D09" w:rsidRDefault="003E0D09" w:rsidP="00E808B4">
      <w:pPr>
        <w:pStyle w:val="0G-Titulek"/>
        <w:rPr>
          <w:rFonts w:eastAsia="Calibri"/>
        </w:rPr>
      </w:pPr>
      <w:bookmarkStart w:id="144" w:name="_Toc382326832"/>
      <w:r w:rsidRPr="00E808B4">
        <w:rPr>
          <w:rFonts w:eastAsia="Calibri"/>
        </w:rPr>
        <w:t>Obrázek</w:t>
      </w:r>
      <w:r w:rsidR="00E808B4" w:rsidRPr="00E808B4">
        <w:rPr>
          <w:rFonts w:eastAsia="Calibri"/>
        </w:rPr>
        <w:t xml:space="preserve"> 27</w:t>
      </w:r>
      <w:r w:rsidRPr="003E0D09">
        <w:rPr>
          <w:rFonts w:eastAsia="Calibri"/>
        </w:rPr>
        <w:t>: Účelnost výstavby plánovaných dálnic a rychlostních silnic v České republice</w:t>
      </w:r>
      <w:bookmarkEnd w:id="144"/>
    </w:p>
    <w:p w:rsidR="003E0D09" w:rsidRPr="000D5625" w:rsidRDefault="003E0D09" w:rsidP="00423120">
      <w:pPr>
        <w:keepNext/>
        <w:keepLines/>
        <w:suppressLineNumbers/>
        <w:jc w:val="center"/>
        <w:rPr>
          <w:rFonts w:asciiTheme="minorHAnsi" w:eastAsia="Calibri" w:hAnsiTheme="minorHAnsi" w:cstheme="minorHAnsi"/>
          <w:b/>
          <w:color w:val="FF0000"/>
          <w:lang w:eastAsia="en-US"/>
        </w:rPr>
      </w:pPr>
      <w:r w:rsidRPr="000D5625">
        <w:rPr>
          <w:rFonts w:ascii="Calibri" w:hAnsi="Calibri" w:cs="Calibri"/>
          <w:i/>
          <w:lang w:eastAsia="en-US"/>
        </w:rPr>
        <w:t>Pramen: vlastní výzkum</w:t>
      </w:r>
      <w:r w:rsidRPr="000D5625">
        <w:rPr>
          <w:rFonts w:asciiTheme="minorHAnsi" w:eastAsia="Calibri" w:hAnsiTheme="minorHAnsi" w:cstheme="minorHAnsi"/>
          <w:i/>
          <w:lang w:eastAsia="en-US"/>
        </w:rPr>
        <w:t>.</w:t>
      </w:r>
      <w:r w:rsidRPr="000D5625">
        <w:rPr>
          <w:rFonts w:asciiTheme="minorHAnsi" w:eastAsia="Calibri" w:hAnsiTheme="minorHAnsi" w:cstheme="minorHAnsi"/>
          <w:b/>
          <w:color w:val="FF0000"/>
          <w:lang w:eastAsia="en-US"/>
        </w:rPr>
        <w:t xml:space="preserve"> </w:t>
      </w:r>
    </w:p>
    <w:p w:rsidR="00286F2F" w:rsidRDefault="00286F2F">
      <w:pPr>
        <w:spacing w:after="0" w:line="240" w:lineRule="auto"/>
        <w:rPr>
          <w:rFonts w:ascii="Cambria" w:hAnsi="Cambria"/>
          <w:b/>
          <w:bCs/>
          <w:color w:val="0070C0"/>
          <w:sz w:val="28"/>
          <w:szCs w:val="28"/>
        </w:rPr>
      </w:pPr>
      <w:r>
        <w:br w:type="page"/>
      </w:r>
    </w:p>
    <w:p w:rsidR="000D5625" w:rsidRPr="00A70B0A" w:rsidRDefault="003E0D09" w:rsidP="00A70B0A">
      <w:pPr>
        <w:pStyle w:val="02-Nadpis2"/>
      </w:pPr>
      <w:bookmarkStart w:id="145" w:name="_Toc382327217"/>
      <w:r w:rsidRPr="00A70B0A">
        <w:lastRenderedPageBreak/>
        <w:t>Použitá literatura</w:t>
      </w:r>
      <w:bookmarkEnd w:id="145"/>
    </w:p>
    <w:p w:rsidR="000D5625" w:rsidRPr="000D5625" w:rsidRDefault="000D5625" w:rsidP="00890421">
      <w:pPr>
        <w:keepNext/>
        <w:widowControl w:val="0"/>
        <w:suppressLineNumbers/>
        <w:spacing w:after="100" w:line="240" w:lineRule="auto"/>
        <w:jc w:val="both"/>
        <w:rPr>
          <w:rFonts w:eastAsia="Calibri"/>
          <w:sz w:val="24"/>
          <w:szCs w:val="24"/>
          <w:lang w:eastAsia="en-US"/>
        </w:rPr>
      </w:pPr>
      <w:r w:rsidRPr="000D5625">
        <w:rPr>
          <w:rFonts w:eastAsia="Calibri"/>
          <w:caps/>
          <w:sz w:val="24"/>
          <w:szCs w:val="24"/>
          <w:lang w:eastAsia="en-US"/>
        </w:rPr>
        <w:t>Adámek, P., Csank, P., Žížalová</w:t>
      </w:r>
      <w:r w:rsidRPr="000D5625">
        <w:rPr>
          <w:rFonts w:eastAsia="Calibri"/>
          <w:sz w:val="24"/>
          <w:szCs w:val="24"/>
          <w:lang w:eastAsia="en-US"/>
        </w:rPr>
        <w:t xml:space="preserve">, P. (2007): Regionální inovační systémy a jejich veřejná podpora. Working paper č. 7, CES VŠEM. </w:t>
      </w:r>
    </w:p>
    <w:p w:rsidR="000D5625" w:rsidRPr="000D5625" w:rsidRDefault="000D5625" w:rsidP="00890421">
      <w:pPr>
        <w:keepNext/>
        <w:widowControl w:val="0"/>
        <w:suppressLineNumbers/>
        <w:spacing w:after="100" w:line="240" w:lineRule="auto"/>
        <w:jc w:val="both"/>
        <w:rPr>
          <w:sz w:val="24"/>
          <w:szCs w:val="24"/>
        </w:rPr>
      </w:pPr>
      <w:r w:rsidRPr="000D5625">
        <w:rPr>
          <w:sz w:val="24"/>
          <w:szCs w:val="24"/>
        </w:rPr>
        <w:t>ATALIK, G., FISCHER, M. (eds., 2</w:t>
      </w:r>
      <w:r w:rsidRPr="000D5625">
        <w:rPr>
          <w:rFonts w:cs="Arial"/>
          <w:bCs/>
          <w:sz w:val="24"/>
          <w:szCs w:val="24"/>
        </w:rPr>
        <w:t xml:space="preserve">002: </w:t>
      </w:r>
      <w:r w:rsidRPr="000D5625">
        <w:rPr>
          <w:sz w:val="24"/>
          <w:szCs w:val="24"/>
        </w:rPr>
        <w:t xml:space="preserve">Regional Development Reconsidered. Berlin: Springer. </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Barna, K</w:t>
      </w:r>
      <w:r w:rsidRPr="000D5625">
        <w:rPr>
          <w:rFonts w:eastAsia="Calibri"/>
          <w:sz w:val="24"/>
          <w:szCs w:val="24"/>
          <w:lang w:eastAsia="en-US"/>
        </w:rPr>
        <w:t xml:space="preserve">. (2007): Measuring regional competitiveness. Journal of Central </w:t>
      </w:r>
      <w:r w:rsidR="00923F83">
        <w:rPr>
          <w:rFonts w:eastAsia="Calibri"/>
          <w:sz w:val="24"/>
          <w:szCs w:val="24"/>
          <w:lang w:eastAsia="en-US"/>
        </w:rPr>
        <w:t>European Agriculture, 3, s. 343–</w:t>
      </w:r>
      <w:r w:rsidRPr="000D5625">
        <w:rPr>
          <w:rFonts w:eastAsia="Calibri"/>
          <w:sz w:val="24"/>
          <w:szCs w:val="24"/>
          <w:lang w:eastAsia="en-US"/>
        </w:rPr>
        <w:t xml:space="preserve">356.  </w:t>
      </w:r>
    </w:p>
    <w:p w:rsidR="000D5625" w:rsidRPr="000D5625" w:rsidRDefault="000D5625" w:rsidP="00890421">
      <w:pPr>
        <w:keepNext/>
        <w:widowControl w:val="0"/>
        <w:suppressLineNumbers/>
        <w:autoSpaceDE w:val="0"/>
        <w:autoSpaceDN w:val="0"/>
        <w:adjustRightInd w:val="0"/>
        <w:spacing w:after="100" w:line="240" w:lineRule="auto"/>
        <w:jc w:val="both"/>
        <w:rPr>
          <w:rFonts w:cs="TimesNewRomanPSMT"/>
          <w:sz w:val="24"/>
          <w:szCs w:val="24"/>
        </w:rPr>
      </w:pPr>
      <w:r w:rsidRPr="000D5625">
        <w:rPr>
          <w:rFonts w:cs="TimesNewRomanPSMT"/>
          <w:caps/>
          <w:sz w:val="24"/>
          <w:szCs w:val="24"/>
        </w:rPr>
        <w:t>Berger, G Steurer,</w:t>
      </w:r>
      <w:r w:rsidRPr="000D5625">
        <w:rPr>
          <w:rFonts w:cs="TimesNewRomanPSMT"/>
          <w:sz w:val="24"/>
          <w:szCs w:val="24"/>
        </w:rPr>
        <w:t xml:space="preserve"> R. (2009): Horizontal policy integration and sustainable development: conceptual remarks and governance examples. ESDN Quarterly Re</w:t>
      </w:r>
      <w:r w:rsidR="00923F83">
        <w:rPr>
          <w:rFonts w:cs="TimesNewRomanPSMT"/>
          <w:sz w:val="24"/>
          <w:szCs w:val="24"/>
        </w:rPr>
        <w:t>ports, June, pp. 1–</w:t>
      </w:r>
      <w:r w:rsidRPr="000D5625">
        <w:rPr>
          <w:rFonts w:cs="TimesNewRomanPSMT"/>
          <w:sz w:val="24"/>
          <w:szCs w:val="24"/>
        </w:rPr>
        <w:t xml:space="preserve">18. </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Blažek, J., Uhlíř., D.</w:t>
      </w:r>
      <w:r w:rsidRPr="000D5625">
        <w:rPr>
          <w:rFonts w:eastAsia="Calibri"/>
          <w:sz w:val="24"/>
          <w:szCs w:val="24"/>
          <w:lang w:eastAsia="en-US"/>
        </w:rPr>
        <w:t xml:space="preserve"> (2011) Teorie regionálního rozvoje – nástin, kritika, implikace. Praha: Nakladatelství Karolinum.</w:t>
      </w:r>
    </w:p>
    <w:p w:rsidR="000D5625" w:rsidRPr="000D5625" w:rsidRDefault="000D5625" w:rsidP="00890421">
      <w:pPr>
        <w:keepNext/>
        <w:suppressLineNumbers/>
        <w:spacing w:after="100" w:line="240" w:lineRule="auto"/>
        <w:jc w:val="both"/>
        <w:rPr>
          <w:rFonts w:eastAsia="Calibri"/>
          <w:color w:val="FF0000"/>
          <w:sz w:val="24"/>
          <w:szCs w:val="24"/>
          <w:lang w:eastAsia="en-US"/>
        </w:rPr>
      </w:pPr>
      <w:r w:rsidRPr="000D5625">
        <w:rPr>
          <w:rFonts w:eastAsia="Calibri"/>
          <w:caps/>
          <w:sz w:val="24"/>
          <w:szCs w:val="24"/>
          <w:lang w:eastAsia="en-US"/>
        </w:rPr>
        <w:t>Bronisz, U., Heijman, W., Miszczuk, A</w:t>
      </w:r>
      <w:r w:rsidRPr="000D5625">
        <w:rPr>
          <w:rFonts w:eastAsia="Calibri"/>
          <w:sz w:val="24"/>
          <w:szCs w:val="24"/>
          <w:lang w:eastAsia="en-US"/>
        </w:rPr>
        <w:t xml:space="preserve">. (2008): Regional competitiveness in Poland: Creating and index. Jahrbuch für </w:t>
      </w:r>
      <w:r w:rsidR="00923F83">
        <w:rPr>
          <w:rFonts w:eastAsia="Calibri"/>
          <w:sz w:val="24"/>
          <w:szCs w:val="24"/>
          <w:lang w:eastAsia="en-US"/>
        </w:rPr>
        <w:t>Regionalwissenschaft, 2, s. 133–</w:t>
      </w:r>
      <w:r w:rsidRPr="000D5625">
        <w:rPr>
          <w:rFonts w:eastAsia="Calibri"/>
          <w:sz w:val="24"/>
          <w:szCs w:val="24"/>
          <w:lang w:eastAsia="en-US"/>
        </w:rPr>
        <w:t xml:space="preserve">143. </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Etzkowitz,</w:t>
      </w:r>
      <w:r w:rsidRPr="000D5625">
        <w:rPr>
          <w:rFonts w:eastAsia="Calibri"/>
          <w:sz w:val="24"/>
          <w:szCs w:val="24"/>
          <w:lang w:eastAsia="en-US"/>
        </w:rPr>
        <w:t xml:space="preserve"> H. (2002): The Triple Helix of University-Industry-Government. Implications for policy and evaluation (Working paper), Stockholm: Sister. </w:t>
      </w:r>
    </w:p>
    <w:p w:rsidR="000D5625" w:rsidRPr="000D5625" w:rsidRDefault="000D5625" w:rsidP="00890421">
      <w:pPr>
        <w:keepNext/>
        <w:suppressLineNumbers/>
        <w:spacing w:after="100" w:line="240" w:lineRule="auto"/>
        <w:jc w:val="both"/>
        <w:rPr>
          <w:rFonts w:cs="TimesNewRomanPSMT"/>
          <w:sz w:val="24"/>
          <w:szCs w:val="24"/>
        </w:rPr>
      </w:pPr>
      <w:r w:rsidRPr="000D5625">
        <w:rPr>
          <w:rFonts w:cs="TimesNewRomanPSMT"/>
          <w:caps/>
          <w:sz w:val="24"/>
          <w:szCs w:val="24"/>
        </w:rPr>
        <w:t>Holl</w:t>
      </w:r>
      <w:r w:rsidRPr="000D5625">
        <w:rPr>
          <w:caps/>
          <w:sz w:val="24"/>
          <w:szCs w:val="24"/>
        </w:rPr>
        <w:t>ä</w:t>
      </w:r>
      <w:r w:rsidRPr="000D5625">
        <w:rPr>
          <w:rFonts w:cs="TimesNewRomanPSMT"/>
          <w:caps/>
          <w:sz w:val="24"/>
          <w:szCs w:val="24"/>
        </w:rPr>
        <w:t>nder, P</w:t>
      </w:r>
      <w:r w:rsidRPr="000D5625">
        <w:rPr>
          <w:rFonts w:cs="TimesNewRomanPSMT"/>
          <w:sz w:val="24"/>
          <w:szCs w:val="24"/>
        </w:rPr>
        <w:t>. (1995): Základy všeobecné státovědy. Praha: Všehrd.</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Holman,</w:t>
      </w:r>
      <w:r w:rsidRPr="000D5625">
        <w:rPr>
          <w:rFonts w:eastAsia="Calibri"/>
          <w:sz w:val="24"/>
          <w:szCs w:val="24"/>
          <w:lang w:eastAsia="en-US"/>
        </w:rPr>
        <w:t xml:space="preserve"> R. (2000): Joseph Alois Schumpeter – teorie podnikatele a hospodářského cyklu. Seminář J. A.</w:t>
      </w:r>
      <w:r w:rsidRPr="000D5625">
        <w:rPr>
          <w:rFonts w:eastAsia="Calibri"/>
          <w:caps/>
          <w:sz w:val="24"/>
          <w:szCs w:val="24"/>
          <w:lang w:eastAsia="en-US"/>
        </w:rPr>
        <w:t xml:space="preserve"> Schumpeter</w:t>
      </w:r>
      <w:r w:rsidRPr="000D5625">
        <w:rPr>
          <w:rFonts w:eastAsia="Calibri"/>
          <w:sz w:val="24"/>
          <w:szCs w:val="24"/>
          <w:lang w:eastAsia="en-US"/>
        </w:rPr>
        <w:t xml:space="preserve"> – ekonom a politik demokracie. Jihlava (</w:t>
      </w:r>
      <w:r w:rsidRPr="000D5625">
        <w:rPr>
          <w:sz w:val="24"/>
          <w:szCs w:val="24"/>
        </w:rPr>
        <w:t xml:space="preserve">available on </w:t>
      </w:r>
      <w:hyperlink r:id="rId78" w:history="1">
        <w:r w:rsidRPr="000D5625">
          <w:rPr>
            <w:rFonts w:eastAsia="Calibri"/>
            <w:sz w:val="24"/>
            <w:szCs w:val="24"/>
            <w:lang w:eastAsia="en-US"/>
          </w:rPr>
          <w:t>http://cepin.cz/cze/prednaska</w:t>
        </w:r>
      </w:hyperlink>
      <w:r w:rsidRPr="000D5625">
        <w:rPr>
          <w:rFonts w:eastAsia="Calibri"/>
          <w:sz w:val="24"/>
          <w:szCs w:val="24"/>
          <w:lang w:eastAsia="en-US"/>
        </w:rPr>
        <w:t>. php?ID=143).</w:t>
      </w:r>
    </w:p>
    <w:p w:rsidR="000D5625" w:rsidRPr="000D5625" w:rsidRDefault="000D5625" w:rsidP="00890421">
      <w:pPr>
        <w:keepNext/>
        <w:widowControl w:val="0"/>
        <w:suppressLineNumbers/>
        <w:autoSpaceDE w:val="0"/>
        <w:autoSpaceDN w:val="0"/>
        <w:adjustRightInd w:val="0"/>
        <w:spacing w:after="100" w:line="240" w:lineRule="auto"/>
        <w:jc w:val="both"/>
        <w:rPr>
          <w:rFonts w:cs="TimesNewRomanPSMT"/>
          <w:sz w:val="24"/>
          <w:szCs w:val="24"/>
        </w:rPr>
      </w:pPr>
      <w:r w:rsidRPr="000D5625">
        <w:rPr>
          <w:rFonts w:eastAsia="Calibri"/>
          <w:caps/>
          <w:sz w:val="24"/>
          <w:szCs w:val="24"/>
          <w:lang w:eastAsia="en-US"/>
        </w:rPr>
        <w:t>Holman, R. a kol.</w:t>
      </w:r>
      <w:r w:rsidRPr="000D5625">
        <w:rPr>
          <w:rFonts w:eastAsia="Calibri"/>
          <w:sz w:val="24"/>
          <w:szCs w:val="24"/>
          <w:lang w:eastAsia="en-US"/>
        </w:rPr>
        <w:t xml:space="preserve"> (2005) Dějiny ekonomického myšlení. Praha: C. H. Beck. </w:t>
      </w:r>
    </w:p>
    <w:p w:rsidR="000D5625" w:rsidRPr="000D5625" w:rsidRDefault="000D5625" w:rsidP="00890421">
      <w:pPr>
        <w:keepNext/>
        <w:widowControl w:val="0"/>
        <w:suppressLineNumbers/>
        <w:autoSpaceDE w:val="0"/>
        <w:autoSpaceDN w:val="0"/>
        <w:adjustRightInd w:val="0"/>
        <w:spacing w:after="100" w:line="240" w:lineRule="auto"/>
        <w:jc w:val="both"/>
        <w:rPr>
          <w:sz w:val="24"/>
          <w:szCs w:val="24"/>
          <w:lang w:eastAsia="en-US"/>
        </w:rPr>
      </w:pPr>
      <w:r w:rsidRPr="000D5625">
        <w:rPr>
          <w:sz w:val="24"/>
          <w:szCs w:val="24"/>
          <w:lang w:eastAsia="en-US"/>
        </w:rPr>
        <w:t xml:space="preserve">HRABALOVÁ, S., KLÍMOVÁ, V., NUNVÁŘOVÁ, S. (2005): </w:t>
      </w:r>
      <w:r w:rsidRPr="000D5625">
        <w:rPr>
          <w:iCs/>
          <w:sz w:val="24"/>
          <w:szCs w:val="24"/>
          <w:lang w:eastAsia="en-US"/>
        </w:rPr>
        <w:t>Metody a nástroje řízení ve veřejné správě.</w:t>
      </w:r>
      <w:r w:rsidRPr="000D5625">
        <w:rPr>
          <w:i/>
          <w:sz w:val="24"/>
          <w:szCs w:val="24"/>
          <w:lang w:eastAsia="en-US"/>
        </w:rPr>
        <w:t xml:space="preserve"> </w:t>
      </w:r>
      <w:r w:rsidRPr="000D5625">
        <w:rPr>
          <w:sz w:val="24"/>
          <w:szCs w:val="24"/>
          <w:lang w:eastAsia="en-US"/>
        </w:rPr>
        <w:t xml:space="preserve">Brno: Masarykova univerzita. </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Huggins, R.</w:t>
      </w:r>
      <w:r w:rsidRPr="000D5625">
        <w:rPr>
          <w:rFonts w:eastAsia="Calibri"/>
          <w:sz w:val="24"/>
          <w:szCs w:val="24"/>
          <w:lang w:eastAsia="en-US"/>
        </w:rPr>
        <w:t xml:space="preserve"> (2003): Creating a UK Competitiveness Index: Regional and Local Benchmarki</w:t>
      </w:r>
      <w:r w:rsidR="00923F83">
        <w:rPr>
          <w:rFonts w:eastAsia="Calibri"/>
          <w:sz w:val="24"/>
          <w:szCs w:val="24"/>
          <w:lang w:eastAsia="en-US"/>
        </w:rPr>
        <w:t>ng. Regional Studies. 1, pp. 89–</w:t>
      </w:r>
      <w:r w:rsidRPr="000D5625">
        <w:rPr>
          <w:rFonts w:eastAsia="Calibri"/>
          <w:sz w:val="24"/>
          <w:szCs w:val="24"/>
          <w:lang w:eastAsia="en-US"/>
        </w:rPr>
        <w:t xml:space="preserve">96. </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Huggins, R., Thompson, P</w:t>
      </w:r>
      <w:r w:rsidRPr="000D5625">
        <w:rPr>
          <w:rFonts w:eastAsia="Calibri"/>
          <w:sz w:val="24"/>
          <w:szCs w:val="24"/>
          <w:lang w:eastAsia="en-US"/>
        </w:rPr>
        <w:t>. (2010): UK Competitiveness Index Cardiff: University of Wales Institute.</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Huggins, R., Thompson, P. (</w:t>
      </w:r>
      <w:r w:rsidRPr="000D5625">
        <w:rPr>
          <w:rFonts w:eastAsia="Calibri"/>
          <w:sz w:val="24"/>
          <w:szCs w:val="24"/>
          <w:lang w:eastAsia="en-US"/>
        </w:rPr>
        <w:t xml:space="preserve">2013): UK Competitiveness Index. Cardiff: Cardiff University. </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 xml:space="preserve">Jensen, M., Johnson, B., Lorenz, E., Lundvall, B. </w:t>
      </w:r>
      <w:r w:rsidRPr="000D5625">
        <w:rPr>
          <w:rFonts w:eastAsia="Calibri"/>
          <w:sz w:val="24"/>
          <w:szCs w:val="24"/>
          <w:lang w:eastAsia="en-US"/>
        </w:rPr>
        <w:t>(2007): Forms of knowledge and modes of innovation. Research Policy, 5, pp. 680–693.</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Laranja, M.  Uyarra, E. Flanagan</w:t>
      </w:r>
      <w:r w:rsidRPr="000D5625">
        <w:rPr>
          <w:rFonts w:eastAsia="Calibri"/>
          <w:sz w:val="24"/>
          <w:szCs w:val="24"/>
          <w:lang w:eastAsia="en-US"/>
        </w:rPr>
        <w:t xml:space="preserve">, K. (2008): </w:t>
      </w:r>
      <w:hyperlink r:id="rId79" w:history="1">
        <w:r w:rsidRPr="000D5625">
          <w:rPr>
            <w:rFonts w:eastAsia="Calibri"/>
            <w:sz w:val="24"/>
            <w:szCs w:val="24"/>
            <w:lang w:eastAsia="en-US"/>
          </w:rPr>
          <w:t>Policies for science, technology and innovation: Translating rationales into regional policies in a multi-level setting</w:t>
        </w:r>
      </w:hyperlink>
      <w:r w:rsidR="00923F83">
        <w:rPr>
          <w:rFonts w:eastAsia="Calibri"/>
          <w:sz w:val="24"/>
          <w:szCs w:val="24"/>
          <w:lang w:eastAsia="en-US"/>
        </w:rPr>
        <w:t>. Research Policy, 5, pp. 823–</w:t>
      </w:r>
      <w:r w:rsidRPr="000D5625">
        <w:rPr>
          <w:rFonts w:eastAsia="Calibri"/>
          <w:sz w:val="24"/>
          <w:szCs w:val="24"/>
          <w:lang w:eastAsia="en-US"/>
        </w:rPr>
        <w:t>835.</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Lundvall, B., Johnson</w:t>
      </w:r>
      <w:r w:rsidRPr="000D5625">
        <w:rPr>
          <w:rFonts w:eastAsia="Calibri"/>
          <w:sz w:val="24"/>
          <w:szCs w:val="24"/>
          <w:lang w:eastAsia="en-US"/>
        </w:rPr>
        <w:t>, B. (1994): The Learning Economy. Journal</w:t>
      </w:r>
      <w:r w:rsidR="00923F83">
        <w:rPr>
          <w:rFonts w:eastAsia="Calibri"/>
          <w:sz w:val="24"/>
          <w:szCs w:val="24"/>
          <w:lang w:eastAsia="en-US"/>
        </w:rPr>
        <w:t xml:space="preserve"> of Industry Studies, 2, pp. 23–</w:t>
      </w:r>
      <w:r w:rsidRPr="000D5625">
        <w:rPr>
          <w:rFonts w:eastAsia="Calibri"/>
          <w:sz w:val="24"/>
          <w:szCs w:val="24"/>
          <w:lang w:eastAsia="en-US"/>
        </w:rPr>
        <w:t>42.</w:t>
      </w:r>
    </w:p>
    <w:p w:rsidR="000D5625" w:rsidRPr="000D5625" w:rsidRDefault="000D5625" w:rsidP="00890421">
      <w:pPr>
        <w:keepNext/>
        <w:widowControl w:val="0"/>
        <w:suppressLineNumbers/>
        <w:autoSpaceDE w:val="0"/>
        <w:autoSpaceDN w:val="0"/>
        <w:adjustRightInd w:val="0"/>
        <w:spacing w:after="100" w:line="240" w:lineRule="auto"/>
        <w:jc w:val="both"/>
        <w:rPr>
          <w:rFonts w:cs="TimesNewRomanPSMT"/>
          <w:sz w:val="24"/>
          <w:szCs w:val="24"/>
        </w:rPr>
      </w:pPr>
      <w:r w:rsidRPr="000D5625">
        <w:rPr>
          <w:rFonts w:cs="TimesNewRomanPSMT"/>
          <w:sz w:val="24"/>
          <w:szCs w:val="24"/>
        </w:rPr>
        <w:t xml:space="preserve">KAPLAN, R., NORTON, D. (2006): Alignment – systémové vyladění organizace. Praha: Management Press. </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Kliková, Ch., Kotlán, I. a kol</w:t>
      </w:r>
      <w:r w:rsidRPr="000D5625">
        <w:rPr>
          <w:rFonts w:eastAsia="Calibri"/>
          <w:sz w:val="24"/>
          <w:szCs w:val="24"/>
          <w:lang w:eastAsia="en-US"/>
        </w:rPr>
        <w:t xml:space="preserve">. (2012) Hospodářská politika. Ostrava: Sokrates. </w:t>
      </w:r>
    </w:p>
    <w:p w:rsidR="000D5625" w:rsidRPr="000D5625" w:rsidRDefault="000D5625" w:rsidP="00890421">
      <w:pPr>
        <w:keepNext/>
        <w:keepLines/>
        <w:suppressLineNumbers/>
        <w:autoSpaceDE w:val="0"/>
        <w:autoSpaceDN w:val="0"/>
        <w:adjustRightInd w:val="0"/>
        <w:spacing w:after="100" w:line="240" w:lineRule="auto"/>
        <w:jc w:val="both"/>
        <w:rPr>
          <w:rFonts w:cs="TimesNewRomanPSMT"/>
          <w:sz w:val="24"/>
          <w:szCs w:val="24"/>
        </w:rPr>
      </w:pPr>
      <w:r w:rsidRPr="000D5625">
        <w:rPr>
          <w:rFonts w:cs="TimesNewRomanPSMT"/>
          <w:caps/>
          <w:sz w:val="24"/>
          <w:szCs w:val="24"/>
        </w:rPr>
        <w:t>Knill,</w:t>
      </w:r>
      <w:r w:rsidRPr="000D5625">
        <w:rPr>
          <w:rFonts w:cs="TimesNewRomanPSMT"/>
          <w:sz w:val="24"/>
          <w:szCs w:val="24"/>
        </w:rPr>
        <w:t xml:space="preserve"> C. (2004): Modes of governance and their evaluation. Journal of the Humanities </w:t>
      </w:r>
      <w:r w:rsidR="00923F83">
        <w:rPr>
          <w:rFonts w:cs="TimesNewRomanPSMT"/>
          <w:sz w:val="24"/>
          <w:szCs w:val="24"/>
        </w:rPr>
        <w:t>and Social Sciences, 4, pp. 352–</w:t>
      </w:r>
      <w:r w:rsidRPr="000D5625">
        <w:rPr>
          <w:rFonts w:cs="TimesNewRomanPSMT"/>
          <w:sz w:val="24"/>
          <w:szCs w:val="24"/>
        </w:rPr>
        <w:t>371.</w:t>
      </w:r>
    </w:p>
    <w:p w:rsidR="000D5625" w:rsidRPr="000D5625" w:rsidRDefault="000D5625" w:rsidP="00890421">
      <w:pPr>
        <w:keepNext/>
        <w:keepLines/>
        <w:suppressLineNumbers/>
        <w:autoSpaceDE w:val="0"/>
        <w:autoSpaceDN w:val="0"/>
        <w:adjustRightInd w:val="0"/>
        <w:spacing w:after="100" w:line="240" w:lineRule="auto"/>
        <w:jc w:val="both"/>
        <w:rPr>
          <w:rFonts w:cs="TimesNewRomanPSMT"/>
          <w:sz w:val="24"/>
          <w:szCs w:val="24"/>
        </w:rPr>
      </w:pPr>
      <w:r w:rsidRPr="000D5625">
        <w:rPr>
          <w:rFonts w:cs="TimesNewRomanPSMT"/>
          <w:caps/>
          <w:sz w:val="24"/>
          <w:szCs w:val="24"/>
        </w:rPr>
        <w:t>Koontz, H., Weihrich,</w:t>
      </w:r>
      <w:r w:rsidRPr="000D5625">
        <w:rPr>
          <w:rFonts w:cs="TimesNewRomanPSMT"/>
          <w:sz w:val="24"/>
          <w:szCs w:val="24"/>
        </w:rPr>
        <w:t xml:space="preserve"> H. (1993): Management. Praha: Victoria Publishing.</w:t>
      </w:r>
    </w:p>
    <w:p w:rsidR="000D5625" w:rsidRPr="000D5625" w:rsidRDefault="000D5625" w:rsidP="00890421">
      <w:pPr>
        <w:keepNext/>
        <w:keepLines/>
        <w:suppressLineNumbers/>
        <w:autoSpaceDE w:val="0"/>
        <w:autoSpaceDN w:val="0"/>
        <w:adjustRightInd w:val="0"/>
        <w:spacing w:after="100" w:line="240" w:lineRule="auto"/>
        <w:jc w:val="both"/>
        <w:rPr>
          <w:rFonts w:cs="TimesNewRomanPSMT"/>
          <w:sz w:val="24"/>
          <w:szCs w:val="24"/>
        </w:rPr>
      </w:pPr>
      <w:r w:rsidRPr="000D5625">
        <w:rPr>
          <w:rFonts w:cs="TimesNewRomanPSMT"/>
          <w:caps/>
          <w:sz w:val="24"/>
          <w:szCs w:val="24"/>
        </w:rPr>
        <w:lastRenderedPageBreak/>
        <w:t>Kuba, J.</w:t>
      </w:r>
      <w:r w:rsidRPr="000D5625">
        <w:rPr>
          <w:rFonts w:cs="TimesNewRomanPSMT"/>
          <w:sz w:val="24"/>
          <w:szCs w:val="24"/>
        </w:rPr>
        <w:t xml:space="preserve"> (2008): Veřejná správa v ČR a její aktuální probl</w:t>
      </w:r>
      <w:r w:rsidR="00923F83">
        <w:rPr>
          <w:rFonts w:cs="TimesNewRomanPSMT"/>
          <w:sz w:val="24"/>
          <w:szCs w:val="24"/>
        </w:rPr>
        <w:t>émy. Aplikované právo, 1, s. 53–</w:t>
      </w:r>
      <w:r w:rsidRPr="000D5625">
        <w:rPr>
          <w:rFonts w:cs="TimesNewRomanPSMT"/>
          <w:sz w:val="24"/>
          <w:szCs w:val="24"/>
        </w:rPr>
        <w:t>67.</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Liška, V., Sluková, K., Volejníková, J.</w:t>
      </w:r>
      <w:r w:rsidRPr="000D5625">
        <w:rPr>
          <w:rFonts w:eastAsia="Calibri"/>
          <w:sz w:val="24"/>
          <w:szCs w:val="24"/>
          <w:lang w:eastAsia="en-US"/>
        </w:rPr>
        <w:t xml:space="preserve"> (2011) Institucionální ekonomie. Praha: Kamil Mařík – Professional Publishing. </w:t>
      </w:r>
    </w:p>
    <w:p w:rsidR="000D5625" w:rsidRPr="000D5625" w:rsidRDefault="000D5625" w:rsidP="00890421">
      <w:pPr>
        <w:keepNext/>
        <w:widowControl w:val="0"/>
        <w:suppressLineNumbers/>
        <w:spacing w:after="100" w:line="240" w:lineRule="auto"/>
        <w:jc w:val="both"/>
        <w:rPr>
          <w:sz w:val="24"/>
          <w:szCs w:val="24"/>
        </w:rPr>
      </w:pPr>
      <w:r w:rsidRPr="000D5625">
        <w:rPr>
          <w:sz w:val="24"/>
          <w:szCs w:val="24"/>
        </w:rPr>
        <w:t>K</w:t>
      </w:r>
      <w:r w:rsidRPr="000D5625">
        <w:rPr>
          <w:caps/>
          <w:sz w:val="24"/>
          <w:szCs w:val="24"/>
        </w:rPr>
        <w:t>URFürst, P. (</w:t>
      </w:r>
      <w:r w:rsidRPr="000D5625">
        <w:rPr>
          <w:sz w:val="24"/>
          <w:szCs w:val="24"/>
        </w:rPr>
        <w:t xml:space="preserve">2002): Řízení poptávky po dopravě jako nástroj ekologicky šetrné dopravní politiky. Praha: Centrum pro dopravu a energetiku, 113 p.  </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Mlčoch, M. (2005</w:t>
      </w:r>
      <w:r w:rsidRPr="000D5625">
        <w:rPr>
          <w:rFonts w:eastAsia="Calibri"/>
          <w:sz w:val="24"/>
          <w:szCs w:val="24"/>
          <w:lang w:eastAsia="en-US"/>
        </w:rPr>
        <w:t>)</w:t>
      </w:r>
      <w:r w:rsidRPr="000D5625">
        <w:rPr>
          <w:rFonts w:ascii="Calibri" w:eastAsia="Calibri" w:hAnsi="Calibri"/>
          <w:sz w:val="24"/>
          <w:szCs w:val="24"/>
          <w:lang w:eastAsia="en-US"/>
        </w:rPr>
        <w:t xml:space="preserve"> </w:t>
      </w:r>
      <w:r w:rsidRPr="000D5625">
        <w:rPr>
          <w:rFonts w:eastAsia="Calibri"/>
          <w:sz w:val="24"/>
          <w:szCs w:val="24"/>
          <w:lang w:eastAsia="en-US"/>
        </w:rPr>
        <w:t xml:space="preserve">Institucionální ekonomie. Praha: Nakladatelství Karolinum. </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Moulaert, F.,  Sekia</w:t>
      </w:r>
      <w:r w:rsidRPr="000D5625">
        <w:rPr>
          <w:rFonts w:eastAsia="Calibri"/>
          <w:sz w:val="24"/>
          <w:szCs w:val="24"/>
          <w:lang w:eastAsia="en-US"/>
        </w:rPr>
        <w:t>, F. (2003): Territorial Innovation Models: A Critical Surve</w:t>
      </w:r>
      <w:r w:rsidR="00923F83">
        <w:rPr>
          <w:rFonts w:eastAsia="Calibri"/>
          <w:sz w:val="24"/>
          <w:szCs w:val="24"/>
          <w:lang w:eastAsia="en-US"/>
        </w:rPr>
        <w:t>y. Regional Studies, 3, pp. 289–</w:t>
      </w:r>
      <w:r w:rsidRPr="000D5625">
        <w:rPr>
          <w:rFonts w:eastAsia="Calibri"/>
          <w:sz w:val="24"/>
          <w:szCs w:val="24"/>
          <w:lang w:eastAsia="en-US"/>
        </w:rPr>
        <w:t xml:space="preserve">302. </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sz w:val="24"/>
          <w:szCs w:val="24"/>
          <w:lang w:eastAsia="en-US"/>
        </w:rPr>
        <w:t>OECD/European Communities (2005): Oslo Manual. Guidelines for Collecting and Interpreting Innovation Data. Third Edition.</w:t>
      </w:r>
    </w:p>
    <w:p w:rsidR="000D5625" w:rsidRPr="000D5625" w:rsidRDefault="000D5625" w:rsidP="00890421">
      <w:pPr>
        <w:keepNext/>
        <w:widowControl w:val="0"/>
        <w:suppressLineNumbers/>
        <w:spacing w:after="100" w:line="240" w:lineRule="auto"/>
        <w:jc w:val="both"/>
        <w:rPr>
          <w:sz w:val="24"/>
          <w:szCs w:val="24"/>
        </w:rPr>
      </w:pPr>
      <w:r w:rsidRPr="000D5625">
        <w:rPr>
          <w:sz w:val="24"/>
          <w:szCs w:val="24"/>
        </w:rPr>
        <w:t xml:space="preserve">ŘSD. Celostátní sčítání dopravy 2005, online 2006 (available on </w:t>
      </w:r>
      <w:hyperlink r:id="rId80" w:history="1">
        <w:r w:rsidRPr="000D5625">
          <w:rPr>
            <w:sz w:val="24"/>
            <w:szCs w:val="24"/>
          </w:rPr>
          <w:t>http://www</w:t>
        </w:r>
      </w:hyperlink>
      <w:r w:rsidRPr="000D5625">
        <w:rPr>
          <w:sz w:val="24"/>
          <w:szCs w:val="24"/>
        </w:rPr>
        <w:t>. Scitani 2005. rsd.cz/start.htm).</w:t>
      </w:r>
    </w:p>
    <w:p w:rsidR="000D5625" w:rsidRPr="000D5625" w:rsidRDefault="000D5625" w:rsidP="00890421">
      <w:pPr>
        <w:keepNext/>
        <w:widowControl w:val="0"/>
        <w:suppressLineNumbers/>
        <w:spacing w:after="100" w:line="240" w:lineRule="auto"/>
        <w:jc w:val="both"/>
        <w:rPr>
          <w:caps/>
          <w:sz w:val="24"/>
          <w:szCs w:val="24"/>
        </w:rPr>
      </w:pPr>
      <w:r w:rsidRPr="000D5625">
        <w:rPr>
          <w:sz w:val="24"/>
          <w:szCs w:val="24"/>
        </w:rPr>
        <w:t xml:space="preserve">ŘSD. Celostátní sčítání dopravy 2010, online 2011 (available on </w:t>
      </w:r>
      <w:hyperlink r:id="rId81" w:history="1">
        <w:r w:rsidRPr="000D5625">
          <w:rPr>
            <w:sz w:val="24"/>
            <w:szCs w:val="24"/>
          </w:rPr>
          <w:t>http://scita</w:t>
        </w:r>
      </w:hyperlink>
      <w:r w:rsidRPr="000D5625">
        <w:rPr>
          <w:sz w:val="24"/>
          <w:szCs w:val="24"/>
        </w:rPr>
        <w:t>ni2010.rsd.cz/ pages/informations/ default.aspx).</w:t>
      </w:r>
      <w:r w:rsidRPr="000D5625">
        <w:rPr>
          <w:caps/>
          <w:sz w:val="24"/>
          <w:szCs w:val="24"/>
        </w:rPr>
        <w:t xml:space="preserve"> </w:t>
      </w:r>
    </w:p>
    <w:p w:rsidR="000D5625" w:rsidRPr="000D5625" w:rsidRDefault="000D5625" w:rsidP="00890421">
      <w:pPr>
        <w:keepNext/>
        <w:widowControl w:val="0"/>
        <w:suppressLineNumbers/>
        <w:spacing w:after="100" w:line="240" w:lineRule="auto"/>
        <w:jc w:val="both"/>
        <w:rPr>
          <w:sz w:val="24"/>
          <w:szCs w:val="24"/>
        </w:rPr>
      </w:pPr>
      <w:r w:rsidRPr="000D5625">
        <w:rPr>
          <w:sz w:val="24"/>
          <w:szCs w:val="24"/>
        </w:rPr>
        <w:t>SACTRA: Trunk roads and the generation of traffic, London: HMSO, 1994, 264 p.</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sz w:val="24"/>
          <w:szCs w:val="24"/>
          <w:lang w:eastAsia="en-US"/>
        </w:rPr>
        <w:t xml:space="preserve">SCHUMPETER, J. (1987): Teória hospodárskeho vývoja: analýza podnikateĺského zisku, kapitálu, úveru, úroku a kapitalistického cyklu. Bratislava: Pravda. </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sz w:val="24"/>
          <w:szCs w:val="24"/>
          <w:lang w:eastAsia="en-US"/>
        </w:rPr>
        <w:t>S</w:t>
      </w:r>
      <w:r w:rsidRPr="000D5625">
        <w:rPr>
          <w:rFonts w:eastAsia="Calibri"/>
          <w:caps/>
          <w:sz w:val="24"/>
          <w:szCs w:val="24"/>
          <w:lang w:eastAsia="en-US"/>
        </w:rPr>
        <w:t>irůček</w:t>
      </w:r>
      <w:r w:rsidRPr="000D5625">
        <w:rPr>
          <w:rFonts w:eastAsia="Calibri"/>
          <w:sz w:val="24"/>
          <w:szCs w:val="24"/>
          <w:lang w:eastAsia="en-US"/>
        </w:rPr>
        <w:t xml:space="preserve">, P. (2004): Inovace, dlouhé vlny a tzv. nová ekonomika v globalizované kapitalistické realitě anebo od Schumpetera k Valentovi. Marathon, 51. </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Skokan</w:t>
      </w:r>
      <w:r w:rsidRPr="000D5625">
        <w:rPr>
          <w:rFonts w:eastAsia="Calibri"/>
          <w:sz w:val="24"/>
          <w:szCs w:val="24"/>
          <w:lang w:eastAsia="en-US"/>
        </w:rPr>
        <w:t>, K. (2005): Systémy inovací v regionálním rozvoji.</w:t>
      </w:r>
      <w:r w:rsidR="00923F83">
        <w:rPr>
          <w:rFonts w:eastAsia="Calibri"/>
          <w:sz w:val="24"/>
          <w:szCs w:val="24"/>
          <w:lang w:eastAsia="en-US"/>
        </w:rPr>
        <w:t xml:space="preserve"> Ekonomická revue, 4, s. 12–</w:t>
      </w:r>
      <w:r w:rsidRPr="000D5625">
        <w:rPr>
          <w:rFonts w:eastAsia="Calibri"/>
          <w:sz w:val="24"/>
          <w:szCs w:val="24"/>
          <w:lang w:eastAsia="en-US"/>
        </w:rPr>
        <w:t>25.</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Snieška, V., Bruneckiene, J.</w:t>
      </w:r>
      <w:r w:rsidRPr="000D5625">
        <w:rPr>
          <w:rFonts w:eastAsia="Calibri"/>
          <w:sz w:val="24"/>
          <w:szCs w:val="24"/>
          <w:lang w:eastAsia="en-US"/>
        </w:rPr>
        <w:t xml:space="preserve"> (2009): Measurement of Lithuanian regions by Regional competitiveness index. En</w:t>
      </w:r>
      <w:r w:rsidR="00923F83">
        <w:rPr>
          <w:rFonts w:eastAsia="Calibri"/>
          <w:sz w:val="24"/>
          <w:szCs w:val="24"/>
          <w:lang w:eastAsia="en-US"/>
        </w:rPr>
        <w:t>gineering Economics., 1, pp. 45–</w:t>
      </w:r>
      <w:r w:rsidRPr="000D5625">
        <w:rPr>
          <w:rFonts w:eastAsia="Calibri"/>
          <w:sz w:val="24"/>
          <w:szCs w:val="24"/>
          <w:lang w:eastAsia="en-US"/>
        </w:rPr>
        <w:t xml:space="preserve">57. </w:t>
      </w:r>
    </w:p>
    <w:p w:rsidR="000D5625" w:rsidRPr="000D5625" w:rsidRDefault="000D5625" w:rsidP="00890421">
      <w:pPr>
        <w:keepNext/>
        <w:suppressLineNumbers/>
        <w:spacing w:after="100" w:line="240" w:lineRule="auto"/>
        <w:jc w:val="both"/>
        <w:rPr>
          <w:sz w:val="24"/>
          <w:szCs w:val="24"/>
        </w:rPr>
      </w:pPr>
      <w:r w:rsidRPr="000D5625">
        <w:rPr>
          <w:rFonts w:eastAsia="Calibri"/>
          <w:caps/>
          <w:sz w:val="24"/>
          <w:szCs w:val="24"/>
          <w:lang w:eastAsia="en-US"/>
        </w:rPr>
        <w:t>Šipikal, M., Parízková</w:t>
      </w:r>
      <w:r w:rsidRPr="000D5625">
        <w:rPr>
          <w:rFonts w:eastAsia="Calibri"/>
          <w:sz w:val="24"/>
          <w:szCs w:val="24"/>
          <w:lang w:eastAsia="en-US"/>
        </w:rPr>
        <w:t>, J. (2009): Učiace sa regióny. Bratislava: Ekonóm. (</w:t>
      </w:r>
      <w:r w:rsidRPr="000D5625">
        <w:rPr>
          <w:sz w:val="24"/>
          <w:szCs w:val="24"/>
        </w:rPr>
        <w:t>available on http://www.czrso.cz/index.php?id=339).</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caps/>
          <w:sz w:val="24"/>
          <w:szCs w:val="24"/>
        </w:rPr>
        <w:t xml:space="preserve">TEcl, j.: </w:t>
      </w:r>
      <w:r w:rsidRPr="000D5625">
        <w:rPr>
          <w:sz w:val="24"/>
          <w:szCs w:val="24"/>
        </w:rPr>
        <w:t>Mezinárodní zkušenosti v  oblasti nepřiměřených rychlostí, CDV, 2006, Brno</w:t>
      </w:r>
      <w:r w:rsidRPr="000D5625">
        <w:rPr>
          <w:caps/>
          <w:sz w:val="24"/>
          <w:szCs w:val="24"/>
        </w:rPr>
        <w:t xml:space="preserve"> </w:t>
      </w:r>
      <w:r w:rsidRPr="000D5625">
        <w:rPr>
          <w:rFonts w:eastAsia="Calibri"/>
          <w:caps/>
          <w:sz w:val="24"/>
          <w:szCs w:val="24"/>
          <w:lang w:eastAsia="en-US"/>
        </w:rPr>
        <w:t>Tödtling, F.</w:t>
      </w:r>
      <w:r w:rsidR="008C7D62">
        <w:rPr>
          <w:rFonts w:eastAsia="Calibri"/>
          <w:caps/>
          <w:sz w:val="24"/>
          <w:szCs w:val="24"/>
          <w:lang w:eastAsia="en-US"/>
        </w:rPr>
        <w:t>,</w:t>
      </w:r>
      <w:r w:rsidRPr="000D5625">
        <w:rPr>
          <w:rFonts w:eastAsia="Calibri"/>
          <w:caps/>
          <w:sz w:val="24"/>
          <w:szCs w:val="24"/>
          <w:lang w:eastAsia="en-US"/>
        </w:rPr>
        <w:t xml:space="preserve"> Trippl</w:t>
      </w:r>
      <w:r w:rsidRPr="000D5625">
        <w:rPr>
          <w:rFonts w:eastAsia="Calibri"/>
          <w:sz w:val="24"/>
          <w:szCs w:val="24"/>
          <w:lang w:eastAsia="en-US"/>
        </w:rPr>
        <w:t>, M. (2005): One size fits all? Towards a differentiated regional innovation policy approach. Research P</w:t>
      </w:r>
      <w:r w:rsidR="00923F83">
        <w:rPr>
          <w:rFonts w:eastAsia="Calibri"/>
          <w:sz w:val="24"/>
          <w:szCs w:val="24"/>
          <w:lang w:eastAsia="en-US"/>
        </w:rPr>
        <w:t>olicy, 8, pp. 1203–</w:t>
      </w:r>
      <w:r w:rsidRPr="000D5625">
        <w:rPr>
          <w:rFonts w:eastAsia="Calibri"/>
          <w:sz w:val="24"/>
          <w:szCs w:val="24"/>
          <w:lang w:eastAsia="en-US"/>
        </w:rPr>
        <w:t xml:space="preserve">1219. </w:t>
      </w:r>
    </w:p>
    <w:p w:rsidR="000D5625" w:rsidRPr="000D5625" w:rsidRDefault="000D5625" w:rsidP="00890421">
      <w:pPr>
        <w:keepNext/>
        <w:widowControl w:val="0"/>
        <w:suppressLineNumbers/>
        <w:spacing w:after="100" w:line="240" w:lineRule="auto"/>
        <w:jc w:val="both"/>
        <w:rPr>
          <w:sz w:val="24"/>
          <w:szCs w:val="24"/>
        </w:rPr>
      </w:pPr>
      <w:r w:rsidRPr="000D5625">
        <w:rPr>
          <w:sz w:val="24"/>
          <w:szCs w:val="24"/>
        </w:rPr>
        <w:t>VICKERMAN, R. Restructuring of Transportation Networks. In Atalik</w:t>
      </w:r>
      <w:r w:rsidRPr="000D5625">
        <w:rPr>
          <w:caps/>
          <w:sz w:val="24"/>
          <w:szCs w:val="24"/>
        </w:rPr>
        <w:t>, G.,</w:t>
      </w:r>
      <w:r w:rsidRPr="000D5625">
        <w:rPr>
          <w:sz w:val="24"/>
          <w:szCs w:val="24"/>
        </w:rPr>
        <w:t xml:space="preserve"> Fischer M., Regional Development Reconsidered, </w:t>
      </w:r>
      <w:r w:rsidR="00923F83">
        <w:rPr>
          <w:sz w:val="24"/>
          <w:szCs w:val="24"/>
        </w:rPr>
        <w:t>Berlin: Springer, 2002, pp. 137–</w:t>
      </w:r>
      <w:r w:rsidRPr="000D5625">
        <w:rPr>
          <w:sz w:val="24"/>
          <w:szCs w:val="24"/>
        </w:rPr>
        <w:t>147.</w:t>
      </w:r>
    </w:p>
    <w:p w:rsidR="000D5625" w:rsidRPr="000D5625" w:rsidRDefault="000D5625" w:rsidP="00890421">
      <w:pPr>
        <w:keepNext/>
        <w:widowControl w:val="0"/>
        <w:suppressLineNumbers/>
        <w:spacing w:after="100" w:line="240" w:lineRule="auto"/>
        <w:jc w:val="both"/>
        <w:rPr>
          <w:sz w:val="24"/>
          <w:szCs w:val="24"/>
        </w:rPr>
      </w:pPr>
      <w:r w:rsidRPr="000D5625">
        <w:rPr>
          <w:sz w:val="24"/>
          <w:szCs w:val="24"/>
        </w:rPr>
        <w:t>VITURKA, M. a kol. Kvalita podnikatelského prostředí, regionální konkurenceschopnost a strategie regionálního rozvoje České republiky. Praha: Grada, 2010, 232 p.</w:t>
      </w:r>
    </w:p>
    <w:p w:rsidR="000D5625" w:rsidRPr="000D5625" w:rsidRDefault="008C7D62" w:rsidP="00890421">
      <w:pPr>
        <w:keepNext/>
        <w:widowControl w:val="0"/>
        <w:suppressLineNumbers/>
        <w:spacing w:after="100" w:line="240" w:lineRule="auto"/>
        <w:jc w:val="both"/>
        <w:rPr>
          <w:sz w:val="24"/>
          <w:szCs w:val="24"/>
        </w:rPr>
      </w:pPr>
      <w:r>
        <w:rPr>
          <w:sz w:val="24"/>
          <w:szCs w:val="24"/>
        </w:rPr>
        <w:t xml:space="preserve">VITURKA, M., ŽÍTEK, V., KLÍMOVÁ, V., </w:t>
      </w:r>
      <w:r w:rsidR="000D5625" w:rsidRPr="000D5625">
        <w:rPr>
          <w:sz w:val="24"/>
          <w:szCs w:val="24"/>
        </w:rPr>
        <w:t>TONEV, P. Application of Microeconomic and Macroeconomic Approach to Evaluating Disparities in the Regional development. Ekonomický časopis, 2011 (7), pp. 655–668.</w:t>
      </w:r>
    </w:p>
    <w:p w:rsidR="000D5625" w:rsidRPr="000D5625" w:rsidRDefault="008C7D62" w:rsidP="00890421">
      <w:pPr>
        <w:keepNext/>
        <w:widowControl w:val="0"/>
        <w:suppressLineNumbers/>
        <w:spacing w:after="100" w:line="240" w:lineRule="auto"/>
        <w:jc w:val="both"/>
        <w:rPr>
          <w:sz w:val="24"/>
          <w:szCs w:val="24"/>
        </w:rPr>
      </w:pPr>
      <w:r>
        <w:rPr>
          <w:sz w:val="24"/>
          <w:szCs w:val="24"/>
        </w:rPr>
        <w:t xml:space="preserve">VITURKA, M., PAŘIL, V., </w:t>
      </w:r>
      <w:r w:rsidR="000D5625" w:rsidRPr="000D5625">
        <w:rPr>
          <w:sz w:val="24"/>
          <w:szCs w:val="24"/>
        </w:rPr>
        <w:t>TONEV, P. Nová metoda komparativního hodnocení účelnosti projektů výstavby dopravní infrastruktury (případová studie dálnic a rychlostních silnic v České republice). Urbanismus a územní rozvoj, 2</w:t>
      </w:r>
      <w:r w:rsidR="00923F83">
        <w:rPr>
          <w:sz w:val="24"/>
          <w:szCs w:val="24"/>
        </w:rPr>
        <w:t>012 (2), pp. 28–</w:t>
      </w:r>
      <w:r w:rsidR="000D5625" w:rsidRPr="000D5625">
        <w:rPr>
          <w:sz w:val="24"/>
          <w:szCs w:val="24"/>
        </w:rPr>
        <w:t xml:space="preserve">34. </w:t>
      </w:r>
    </w:p>
    <w:p w:rsidR="000D5625" w:rsidRPr="000D5625" w:rsidRDefault="000D5625" w:rsidP="00890421">
      <w:pPr>
        <w:keepNext/>
        <w:suppressLineNumbers/>
        <w:spacing w:after="100" w:line="240" w:lineRule="auto"/>
        <w:jc w:val="both"/>
        <w:rPr>
          <w:rFonts w:eastAsia="Calibri"/>
          <w:sz w:val="24"/>
          <w:szCs w:val="24"/>
          <w:lang w:eastAsia="en-US"/>
        </w:rPr>
      </w:pPr>
      <w:r w:rsidRPr="000D5625">
        <w:rPr>
          <w:rFonts w:eastAsia="Calibri"/>
          <w:caps/>
          <w:sz w:val="24"/>
          <w:szCs w:val="24"/>
          <w:lang w:eastAsia="en-US"/>
        </w:rPr>
        <w:t>Voigt, S.</w:t>
      </w:r>
      <w:r w:rsidRPr="000D5625">
        <w:rPr>
          <w:rFonts w:eastAsia="Calibri"/>
          <w:sz w:val="24"/>
          <w:szCs w:val="24"/>
          <w:lang w:eastAsia="en-US"/>
        </w:rPr>
        <w:t xml:space="preserve"> (2008): Institucionální ekonomie. Praha: Alfa Nakladatelství. </w:t>
      </w:r>
    </w:p>
    <w:p w:rsidR="00DA34BB" w:rsidRDefault="000D5625" w:rsidP="00890421">
      <w:pPr>
        <w:keepNext/>
        <w:widowControl w:val="0"/>
        <w:suppressLineNumbers/>
        <w:spacing w:after="100" w:line="240" w:lineRule="auto"/>
        <w:jc w:val="both"/>
        <w:rPr>
          <w:rFonts w:eastAsia="Calibri"/>
          <w:sz w:val="24"/>
          <w:szCs w:val="24"/>
          <w:lang w:eastAsia="en-US"/>
        </w:rPr>
      </w:pPr>
      <w:r w:rsidRPr="000D5625">
        <w:rPr>
          <w:rFonts w:eastAsia="Calibri"/>
          <w:caps/>
          <w:sz w:val="24"/>
          <w:szCs w:val="24"/>
          <w:lang w:eastAsia="en-US"/>
        </w:rPr>
        <w:t>Volejníková, J</w:t>
      </w:r>
      <w:r w:rsidRPr="000D5625">
        <w:rPr>
          <w:rFonts w:eastAsia="Calibri"/>
          <w:sz w:val="24"/>
          <w:szCs w:val="24"/>
          <w:lang w:eastAsia="en-US"/>
        </w:rPr>
        <w:t xml:space="preserve">. (2005): Moderní kompendium ekonomických teorií. Praha: ProfessConsulting. </w:t>
      </w:r>
    </w:p>
    <w:p w:rsidR="00A40AF8" w:rsidRPr="000D5625" w:rsidRDefault="00A40AF8" w:rsidP="00890421">
      <w:pPr>
        <w:keepNext/>
        <w:widowControl w:val="0"/>
        <w:suppressLineNumbers/>
        <w:spacing w:after="100" w:line="240" w:lineRule="auto"/>
        <w:jc w:val="both"/>
        <w:rPr>
          <w:rFonts w:eastAsia="Calibri"/>
          <w:sz w:val="24"/>
          <w:szCs w:val="24"/>
          <w:lang w:eastAsia="en-US"/>
        </w:rPr>
      </w:pPr>
    </w:p>
    <w:p w:rsidR="008146BD" w:rsidRPr="00A91347" w:rsidRDefault="00D84BEB" w:rsidP="00890421">
      <w:pPr>
        <w:pStyle w:val="01-Nadpis1"/>
      </w:pPr>
      <w:bookmarkStart w:id="146" w:name="_Toc382327218"/>
      <w:r w:rsidRPr="00A91347">
        <w:lastRenderedPageBreak/>
        <w:t>5. Globální (evropská) úroveň</w:t>
      </w:r>
      <w:bookmarkEnd w:id="146"/>
    </w:p>
    <w:p w:rsidR="00D84BEB" w:rsidRDefault="00D84BEB" w:rsidP="00890421">
      <w:pPr>
        <w:pStyle w:val="02-Nadpis2"/>
      </w:pPr>
      <w:bookmarkStart w:id="147" w:name="_Toc382327219"/>
      <w:r w:rsidRPr="00A91347">
        <w:t>5.1. Úvodní poznámky</w:t>
      </w:r>
      <w:bookmarkEnd w:id="147"/>
    </w:p>
    <w:p w:rsidR="008146BD" w:rsidRPr="006D1DC7" w:rsidRDefault="008146BD" w:rsidP="00286F2F">
      <w:pPr>
        <w:keepNext/>
        <w:autoSpaceDE w:val="0"/>
        <w:autoSpaceDN w:val="0"/>
        <w:adjustRightInd w:val="0"/>
        <w:spacing w:after="120"/>
        <w:ind w:firstLine="720"/>
        <w:jc w:val="both"/>
        <w:rPr>
          <w:color w:val="FF0000"/>
          <w:sz w:val="24"/>
          <w:szCs w:val="24"/>
        </w:rPr>
      </w:pPr>
      <w:r w:rsidRPr="006D1DC7">
        <w:rPr>
          <w:rFonts w:cs="TimesNewRomanPSMT"/>
          <w:sz w:val="24"/>
          <w:szCs w:val="24"/>
        </w:rPr>
        <w:t xml:space="preserve">Globální </w:t>
      </w:r>
      <w:r w:rsidRPr="006D1DC7">
        <w:rPr>
          <w:sz w:val="24"/>
          <w:szCs w:val="24"/>
        </w:rPr>
        <w:t>úroveň je v podstatě synonymem pro c</w:t>
      </w:r>
      <w:r w:rsidR="007F79BC">
        <w:rPr>
          <w:sz w:val="24"/>
          <w:szCs w:val="24"/>
        </w:rPr>
        <w:t>elosvětovou úroveň (v souladu s </w:t>
      </w:r>
      <w:r w:rsidRPr="006D1DC7">
        <w:rPr>
          <w:sz w:val="24"/>
          <w:szCs w:val="24"/>
        </w:rPr>
        <w:t>geografickou polohou České republiky je v kapitol</w:t>
      </w:r>
      <w:r>
        <w:rPr>
          <w:sz w:val="24"/>
          <w:szCs w:val="24"/>
        </w:rPr>
        <w:t>e</w:t>
      </w:r>
      <w:r w:rsidRPr="006D1DC7">
        <w:rPr>
          <w:sz w:val="24"/>
          <w:szCs w:val="24"/>
        </w:rPr>
        <w:t xml:space="preserve"> věnována specifická pozornost Evropě).</w:t>
      </w:r>
      <w:r w:rsidRPr="006D1DC7">
        <w:rPr>
          <w:rFonts w:cs="TimesNewRomanPSMT"/>
          <w:sz w:val="24"/>
          <w:szCs w:val="24"/>
        </w:rPr>
        <w:t xml:space="preserve"> S touto úrovní spojený proces globalizace je však značně abstraktním pojmem, jehož definice tudíž není jednoznačná. Obecně je globalizace chápána jako propojování svět</w:t>
      </w:r>
      <w:r w:rsidR="007F79BC">
        <w:rPr>
          <w:rFonts w:cs="TimesNewRomanPSMT"/>
          <w:sz w:val="24"/>
          <w:szCs w:val="24"/>
        </w:rPr>
        <w:t>a, který je v </w:t>
      </w:r>
      <w:r w:rsidRPr="006D1DC7">
        <w:rPr>
          <w:rFonts w:cs="TimesNewRomanPSMT"/>
          <w:sz w:val="24"/>
          <w:szCs w:val="24"/>
        </w:rPr>
        <w:t>nadsázce označován jako „globální vesnice“.</w:t>
      </w:r>
      <w:r w:rsidRPr="006D1DC7">
        <w:rPr>
          <w:sz w:val="24"/>
          <w:szCs w:val="24"/>
        </w:rPr>
        <w:t xml:space="preserve"> Z regionalistického pohledu je jejím typickým rysem koncentrace nejvýznamnějších funkcí s celosvětovými dopady (např. obchodní, politické a kulturní funkce) do pólů rozvoje globálního významu, které integrují svět především na bázi obchodních interakcí. Globalizace samozřejmě není zcela novým procesem a v tomto směru je možné definovat následující vlny globalizace (upraveno podle Therborna): </w:t>
      </w:r>
    </w:p>
    <w:p w:rsidR="008146BD" w:rsidRPr="006D1DC7" w:rsidRDefault="008146BD" w:rsidP="00286F2F">
      <w:pPr>
        <w:keepNext/>
        <w:numPr>
          <w:ilvl w:val="0"/>
          <w:numId w:val="32"/>
        </w:numPr>
        <w:autoSpaceDE w:val="0"/>
        <w:autoSpaceDN w:val="0"/>
        <w:adjustRightInd w:val="0"/>
        <w:spacing w:after="120"/>
        <w:ind w:left="357" w:hanging="357"/>
        <w:contextualSpacing/>
        <w:jc w:val="both"/>
        <w:rPr>
          <w:sz w:val="24"/>
          <w:szCs w:val="24"/>
        </w:rPr>
      </w:pPr>
      <w:r w:rsidRPr="006D1DC7">
        <w:rPr>
          <w:sz w:val="24"/>
          <w:szCs w:val="24"/>
        </w:rPr>
        <w:t>první vlna – šíření nejvýznamnějších náboženství (archaická</w:t>
      </w:r>
      <w:r w:rsidR="00C37718">
        <w:rPr>
          <w:sz w:val="24"/>
          <w:szCs w:val="24"/>
        </w:rPr>
        <w:t>,</w:t>
      </w:r>
      <w:r w:rsidRPr="006D1DC7">
        <w:rPr>
          <w:sz w:val="24"/>
          <w:szCs w:val="24"/>
        </w:rPr>
        <w:t xml:space="preserve"> resp. kulturní globalizace)</w:t>
      </w:r>
      <w:r w:rsidR="00C5024B">
        <w:rPr>
          <w:sz w:val="24"/>
          <w:szCs w:val="24"/>
        </w:rPr>
        <w:t>,</w:t>
      </w:r>
    </w:p>
    <w:p w:rsidR="008146BD" w:rsidRPr="006D1DC7" w:rsidRDefault="008146BD" w:rsidP="00286F2F">
      <w:pPr>
        <w:keepNext/>
        <w:numPr>
          <w:ilvl w:val="0"/>
          <w:numId w:val="32"/>
        </w:numPr>
        <w:autoSpaceDE w:val="0"/>
        <w:autoSpaceDN w:val="0"/>
        <w:adjustRightInd w:val="0"/>
        <w:spacing w:after="120"/>
        <w:ind w:left="357" w:hanging="357"/>
        <w:contextualSpacing/>
        <w:jc w:val="both"/>
        <w:rPr>
          <w:sz w:val="24"/>
          <w:szCs w:val="24"/>
        </w:rPr>
      </w:pPr>
      <w:r w:rsidRPr="006D1DC7">
        <w:rPr>
          <w:sz w:val="24"/>
          <w:szCs w:val="24"/>
        </w:rPr>
        <w:t>druhá vlna – velké geografické objevy a nástup kolonizace v 16. století vedený Evropou (začátek období tzv. proto-globalizace)</w:t>
      </w:r>
      <w:r w:rsidR="00C5024B">
        <w:rPr>
          <w:sz w:val="24"/>
          <w:szCs w:val="24"/>
        </w:rPr>
        <w:t>,</w:t>
      </w:r>
    </w:p>
    <w:p w:rsidR="008146BD" w:rsidRPr="006D1DC7" w:rsidRDefault="008146BD" w:rsidP="00286F2F">
      <w:pPr>
        <w:keepNext/>
        <w:numPr>
          <w:ilvl w:val="0"/>
          <w:numId w:val="32"/>
        </w:numPr>
        <w:autoSpaceDE w:val="0"/>
        <w:autoSpaceDN w:val="0"/>
        <w:adjustRightInd w:val="0"/>
        <w:spacing w:after="120"/>
        <w:ind w:left="357" w:hanging="357"/>
        <w:contextualSpacing/>
        <w:jc w:val="both"/>
        <w:rPr>
          <w:sz w:val="24"/>
          <w:szCs w:val="24"/>
        </w:rPr>
      </w:pPr>
      <w:r w:rsidRPr="006D1DC7">
        <w:rPr>
          <w:sz w:val="24"/>
          <w:szCs w:val="24"/>
        </w:rPr>
        <w:t>třetí vlna – spojená s velmocenskými ozbrojenými konflikty v Evropě, které se postupně rozšířily i do dalších kontinentů</w:t>
      </w:r>
      <w:r w:rsidR="00C5024B">
        <w:rPr>
          <w:sz w:val="24"/>
          <w:szCs w:val="24"/>
        </w:rPr>
        <w:t>,</w:t>
      </w:r>
      <w:r w:rsidRPr="006D1DC7">
        <w:rPr>
          <w:sz w:val="24"/>
          <w:szCs w:val="24"/>
        </w:rPr>
        <w:t xml:space="preserve"> </w:t>
      </w:r>
    </w:p>
    <w:p w:rsidR="008146BD" w:rsidRPr="006D1DC7" w:rsidRDefault="008146BD" w:rsidP="00286F2F">
      <w:pPr>
        <w:keepNext/>
        <w:numPr>
          <w:ilvl w:val="0"/>
          <w:numId w:val="32"/>
        </w:numPr>
        <w:autoSpaceDE w:val="0"/>
        <w:autoSpaceDN w:val="0"/>
        <w:adjustRightInd w:val="0"/>
        <w:spacing w:after="120"/>
        <w:ind w:left="357" w:hanging="357"/>
        <w:contextualSpacing/>
        <w:jc w:val="both"/>
        <w:rPr>
          <w:sz w:val="24"/>
          <w:szCs w:val="24"/>
        </w:rPr>
      </w:pPr>
      <w:r w:rsidRPr="006D1DC7">
        <w:rPr>
          <w:sz w:val="24"/>
          <w:szCs w:val="24"/>
        </w:rPr>
        <w:t>čtvrtá vlna – vrchol evropského imperialismu v 19. století, spojený se vznikem světového trhu a rozvojem dopravy (nástup moderní globalizace)</w:t>
      </w:r>
      <w:r w:rsidR="00C5024B">
        <w:rPr>
          <w:sz w:val="24"/>
          <w:szCs w:val="24"/>
        </w:rPr>
        <w:t>,</w:t>
      </w:r>
    </w:p>
    <w:p w:rsidR="008146BD" w:rsidRPr="006D1DC7" w:rsidRDefault="008146BD" w:rsidP="00286F2F">
      <w:pPr>
        <w:keepNext/>
        <w:numPr>
          <w:ilvl w:val="0"/>
          <w:numId w:val="32"/>
        </w:numPr>
        <w:autoSpaceDE w:val="0"/>
        <w:autoSpaceDN w:val="0"/>
        <w:adjustRightInd w:val="0"/>
        <w:spacing w:after="120"/>
        <w:ind w:left="357" w:hanging="357"/>
        <w:contextualSpacing/>
        <w:jc w:val="both"/>
        <w:rPr>
          <w:sz w:val="24"/>
          <w:szCs w:val="24"/>
        </w:rPr>
      </w:pPr>
      <w:r w:rsidRPr="006D1DC7">
        <w:rPr>
          <w:sz w:val="24"/>
          <w:szCs w:val="24"/>
        </w:rPr>
        <w:t>pátá vlna – 2. světová válka a vznik bipolárního světa ja</w:t>
      </w:r>
      <w:r w:rsidR="00C5024B">
        <w:rPr>
          <w:sz w:val="24"/>
          <w:szCs w:val="24"/>
        </w:rPr>
        <w:t>ko specifického globálního řádu,</w:t>
      </w:r>
    </w:p>
    <w:p w:rsidR="008146BD" w:rsidRDefault="008146BD" w:rsidP="00286F2F">
      <w:pPr>
        <w:keepNext/>
        <w:numPr>
          <w:ilvl w:val="0"/>
          <w:numId w:val="32"/>
        </w:numPr>
        <w:autoSpaceDE w:val="0"/>
        <w:autoSpaceDN w:val="0"/>
        <w:adjustRightInd w:val="0"/>
        <w:spacing w:after="120"/>
        <w:ind w:left="357" w:hanging="357"/>
        <w:contextualSpacing/>
        <w:jc w:val="both"/>
        <w:rPr>
          <w:sz w:val="24"/>
          <w:szCs w:val="24"/>
        </w:rPr>
      </w:pPr>
      <w:r w:rsidRPr="006D1DC7">
        <w:rPr>
          <w:sz w:val="24"/>
          <w:szCs w:val="24"/>
        </w:rPr>
        <w:t>šestá vlna – reorganizace globálního řádu indukova</w:t>
      </w:r>
      <w:r w:rsidR="007F79BC">
        <w:rPr>
          <w:sz w:val="24"/>
          <w:szCs w:val="24"/>
        </w:rPr>
        <w:t>ná rozpadem bipolárního světa a </w:t>
      </w:r>
      <w:r w:rsidRPr="006D1DC7">
        <w:rPr>
          <w:sz w:val="24"/>
          <w:szCs w:val="24"/>
        </w:rPr>
        <w:t xml:space="preserve">rozvojem globální komunikace. </w:t>
      </w:r>
    </w:p>
    <w:p w:rsidR="008146BD" w:rsidRPr="008146BD" w:rsidRDefault="008146BD" w:rsidP="008146BD">
      <w:pPr>
        <w:keepNext/>
        <w:autoSpaceDE w:val="0"/>
        <w:autoSpaceDN w:val="0"/>
        <w:adjustRightInd w:val="0"/>
        <w:spacing w:after="0"/>
        <w:ind w:left="357"/>
        <w:contextualSpacing/>
        <w:jc w:val="both"/>
        <w:rPr>
          <w:sz w:val="24"/>
          <w:szCs w:val="24"/>
        </w:rPr>
      </w:pPr>
    </w:p>
    <w:p w:rsidR="00D84BEB" w:rsidRDefault="00D84BEB" w:rsidP="00890421">
      <w:pPr>
        <w:pStyle w:val="02-Nadpis2"/>
      </w:pPr>
      <w:bookmarkStart w:id="148" w:name="_Toc382327220"/>
      <w:r w:rsidRPr="00A91347">
        <w:t>5.2. Mezinárodní obchod</w:t>
      </w:r>
      <w:bookmarkEnd w:id="148"/>
    </w:p>
    <w:p w:rsidR="008146BD" w:rsidRPr="00E63699" w:rsidRDefault="008146BD" w:rsidP="008146BD">
      <w:pPr>
        <w:keepNext/>
        <w:autoSpaceDE w:val="0"/>
        <w:autoSpaceDN w:val="0"/>
        <w:adjustRightInd w:val="0"/>
        <w:spacing w:after="0"/>
        <w:ind w:firstLine="720"/>
        <w:jc w:val="both"/>
        <w:rPr>
          <w:sz w:val="24"/>
          <w:szCs w:val="24"/>
        </w:rPr>
      </w:pPr>
      <w:r w:rsidRPr="00E63699">
        <w:rPr>
          <w:sz w:val="24"/>
          <w:szCs w:val="24"/>
        </w:rPr>
        <w:t>Integrační a samozřejmě i opačné</w:t>
      </w:r>
      <w:r w:rsidR="00C5024B">
        <w:rPr>
          <w:sz w:val="24"/>
          <w:szCs w:val="24"/>
        </w:rPr>
        <w:t>,</w:t>
      </w:r>
      <w:r w:rsidRPr="00E63699">
        <w:rPr>
          <w:sz w:val="24"/>
          <w:szCs w:val="24"/>
        </w:rPr>
        <w:t xml:space="preserve"> tj. desintegrační</w:t>
      </w:r>
      <w:r w:rsidR="00C5024B">
        <w:rPr>
          <w:sz w:val="24"/>
          <w:szCs w:val="24"/>
        </w:rPr>
        <w:t>,</w:t>
      </w:r>
      <w:r w:rsidRPr="00E63699">
        <w:rPr>
          <w:sz w:val="24"/>
          <w:szCs w:val="24"/>
        </w:rPr>
        <w:t xml:space="preserve"> procesy pobíhaly již v dávné historii – patrně nejznámějším příkladem je Římská říše (jejímž faktickým následníkem se stala Svatá říše římská) či novověké koloniální říše (např. býv</w:t>
      </w:r>
      <w:r w:rsidR="007F79BC">
        <w:rPr>
          <w:sz w:val="24"/>
          <w:szCs w:val="24"/>
        </w:rPr>
        <w:t>alá španělská koloniální říše v </w:t>
      </w:r>
      <w:r w:rsidRPr="00E63699">
        <w:rPr>
          <w:sz w:val="24"/>
          <w:szCs w:val="24"/>
        </w:rPr>
        <w:t>Latinské Americe či tzv. Britské impérium). Z dalších příkladů je potom možné uvést Rakousko-Uhersko či Sovětský svaz. Z neúspěšných pokusů o integraci je potom užitečné zmínit snahu o vytvoření Panevropské unie po 1. světové válce, jehož hlavní osobností byl rakouský šlechtic Coudenhove-Kalergi (protiválečný motiv nicméně již trvale zůstal jedním ze základních argumentů ve prospěch integrace). V současnosti pod pojmem integrace obvykle, na rozdíl od dřívějšího pojetí, rozumíme nadnárodní asociaci suverénních politických celků (Pavlík, 2000), jej</w:t>
      </w:r>
      <w:r>
        <w:rPr>
          <w:sz w:val="24"/>
          <w:szCs w:val="24"/>
        </w:rPr>
        <w:t xml:space="preserve">ímž </w:t>
      </w:r>
      <w:r w:rsidRPr="00E63699">
        <w:rPr>
          <w:sz w:val="24"/>
          <w:szCs w:val="24"/>
        </w:rPr>
        <w:t>ilustrativním příkladem je Evropská unie. Dalším významným rozdílem je vznik silných nadnárodních institucí, vykonávajících především koordinační roli. Na obecné úrovni je obvykle rozlišována neformální a formální integrace. V prvním případě jde o výsledek spontánních integračních procesů vycházejících nejčastěji z</w:t>
      </w:r>
      <w:r w:rsidR="007F79BC">
        <w:rPr>
          <w:sz w:val="24"/>
          <w:szCs w:val="24"/>
        </w:rPr>
        <w:t> </w:t>
      </w:r>
      <w:r w:rsidRPr="00E63699">
        <w:rPr>
          <w:sz w:val="24"/>
          <w:szCs w:val="24"/>
        </w:rPr>
        <w:t>ekonomických motivů, ve druhém případě pak o výsl</w:t>
      </w:r>
      <w:r w:rsidR="007F79BC">
        <w:rPr>
          <w:sz w:val="24"/>
          <w:szCs w:val="24"/>
        </w:rPr>
        <w:t>edek politických rozhodnutí. Za </w:t>
      </w:r>
      <w:r w:rsidRPr="00E63699">
        <w:rPr>
          <w:sz w:val="24"/>
          <w:szCs w:val="24"/>
        </w:rPr>
        <w:t xml:space="preserve">účelem vysvětlení integračních procesů postupně vznikla celá řada teorií, jejichž vývoj byl výrazně stimulován evropskou integrací. Tyto teorie lze podle jejich charakteristických rysů členit do různých skupin. V tomto kontextu je dále podrobněji představeno Schmitterovo členění (2005) na federalistické, funkcionalistické, realistické a regulatorní integrační teorie. </w:t>
      </w:r>
      <w:r w:rsidRPr="00E63699">
        <w:rPr>
          <w:sz w:val="24"/>
          <w:szCs w:val="24"/>
        </w:rPr>
        <w:lastRenderedPageBreak/>
        <w:t xml:space="preserve">Za nejvýznamnější jsou pokládány první tři skupiny, které jsou proto dále podrobněji specifikovány. </w:t>
      </w:r>
    </w:p>
    <w:p w:rsidR="008146BD" w:rsidRPr="00E63699" w:rsidRDefault="008146BD" w:rsidP="008146BD">
      <w:pPr>
        <w:keepNext/>
        <w:autoSpaceDE w:val="0"/>
        <w:autoSpaceDN w:val="0"/>
        <w:adjustRightInd w:val="0"/>
        <w:spacing w:after="0"/>
        <w:jc w:val="center"/>
      </w:pPr>
      <w:bookmarkStart w:id="149" w:name="_Toc293489745"/>
      <w:bookmarkStart w:id="150" w:name="_Toc293490469"/>
      <w:r w:rsidRPr="00E63699">
        <w:rPr>
          <w:rFonts w:eastAsia="Batang"/>
          <w:bCs/>
          <w:noProof/>
          <w:kern w:val="32"/>
          <w:sz w:val="24"/>
          <w:szCs w:val="24"/>
          <w:lang w:val="en-GB" w:eastAsia="en-GB"/>
        </w:rPr>
        <w:drawing>
          <wp:inline distT="0" distB="0" distL="0" distR="0" wp14:anchorId="1C30B0C6" wp14:editId="12FA62BE">
            <wp:extent cx="6016526" cy="5467350"/>
            <wp:effectExtent l="0" t="0" r="0" b="0"/>
            <wp:docPr id="30" name="Obrázek 30" descr="schm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itter"/>
                    <pic:cNvPicPr>
                      <a:picLocks noChangeAspect="1" noChangeArrowheads="1"/>
                    </pic:cNvPicPr>
                  </pic:nvPicPr>
                  <pic:blipFill>
                    <a:blip r:embed="rId82">
                      <a:lum bright="-12000" contrast="54000"/>
                      <a:grayscl/>
                      <a:extLst>
                        <a:ext uri="{28A0092B-C50C-407E-A947-70E740481C1C}">
                          <a14:useLocalDpi xmlns:a14="http://schemas.microsoft.com/office/drawing/2010/main" val="0"/>
                        </a:ext>
                      </a:extLst>
                    </a:blip>
                    <a:srcRect/>
                    <a:stretch>
                      <a:fillRect/>
                    </a:stretch>
                  </pic:blipFill>
                  <pic:spPr bwMode="auto">
                    <a:xfrm>
                      <a:off x="0" y="0"/>
                      <a:ext cx="6020019" cy="5470524"/>
                    </a:xfrm>
                    <a:prstGeom prst="rect">
                      <a:avLst/>
                    </a:prstGeom>
                    <a:noFill/>
                    <a:ln>
                      <a:noFill/>
                    </a:ln>
                  </pic:spPr>
                </pic:pic>
              </a:graphicData>
            </a:graphic>
          </wp:inline>
        </w:drawing>
      </w:r>
      <w:bookmarkEnd w:id="149"/>
      <w:bookmarkEnd w:id="150"/>
    </w:p>
    <w:p w:rsidR="008146BD" w:rsidRPr="00E63699" w:rsidRDefault="006B61FE" w:rsidP="007F79BC">
      <w:pPr>
        <w:pStyle w:val="0G-Titulek"/>
        <w:ind w:firstLine="0"/>
        <w:rPr>
          <w:rFonts w:eastAsia="Batang"/>
        </w:rPr>
      </w:pPr>
      <w:bookmarkStart w:id="151" w:name="_Toc293489744"/>
      <w:bookmarkStart w:id="152" w:name="_Toc293490468"/>
      <w:bookmarkStart w:id="153" w:name="_Toc382326833"/>
      <w:r>
        <w:rPr>
          <w:rFonts w:eastAsia="Batang"/>
        </w:rPr>
        <w:t>Obrázek 28</w:t>
      </w:r>
      <w:r w:rsidR="008146BD" w:rsidRPr="009C7583">
        <w:rPr>
          <w:rFonts w:eastAsia="Batang"/>
        </w:rPr>
        <w:t xml:space="preserve">: </w:t>
      </w:r>
      <w:r w:rsidR="008146BD" w:rsidRPr="00E63699">
        <w:rPr>
          <w:rFonts w:eastAsia="Batang"/>
        </w:rPr>
        <w:t>Teorie</w:t>
      </w:r>
      <w:bookmarkEnd w:id="151"/>
      <w:bookmarkEnd w:id="152"/>
      <w:r w:rsidR="008146BD" w:rsidRPr="00E63699">
        <w:rPr>
          <w:rFonts w:eastAsia="Batang"/>
        </w:rPr>
        <w:t xml:space="preserve"> integrace</w:t>
      </w:r>
      <w:bookmarkEnd w:id="153"/>
    </w:p>
    <w:p w:rsidR="008146BD" w:rsidRPr="00A33E45" w:rsidRDefault="008146BD" w:rsidP="007F79BC">
      <w:pPr>
        <w:keepNext/>
        <w:suppressAutoHyphens/>
        <w:jc w:val="center"/>
        <w:outlineLvl w:val="0"/>
        <w:rPr>
          <w:rFonts w:asciiTheme="minorHAnsi" w:eastAsia="Batang" w:hAnsiTheme="minorHAnsi" w:cstheme="minorHAnsi"/>
          <w:b/>
          <w:bCs/>
          <w:kern w:val="32"/>
          <w:lang w:eastAsia="ar-SA"/>
        </w:rPr>
      </w:pPr>
      <w:r w:rsidRPr="00A33E45">
        <w:rPr>
          <w:rFonts w:ascii="Calibri" w:hAnsi="Calibri" w:cs="Calibri"/>
          <w:i/>
        </w:rPr>
        <w:t xml:space="preserve">Pramen: </w:t>
      </w:r>
      <w:r w:rsidRPr="00A33E45">
        <w:rPr>
          <w:rFonts w:asciiTheme="minorHAnsi" w:eastAsia="Batang" w:hAnsiTheme="minorHAnsi" w:cstheme="minorHAnsi"/>
          <w:bCs/>
          <w:i/>
          <w:kern w:val="32"/>
          <w:lang w:eastAsia="ar-SA"/>
        </w:rPr>
        <w:t>Schmitter 2005.</w:t>
      </w:r>
    </w:p>
    <w:p w:rsidR="008146BD" w:rsidRPr="00E63699" w:rsidRDefault="008146BD" w:rsidP="008146BD">
      <w:pPr>
        <w:keepNext/>
        <w:autoSpaceDE w:val="0"/>
        <w:autoSpaceDN w:val="0"/>
        <w:adjustRightInd w:val="0"/>
        <w:ind w:firstLine="720"/>
        <w:jc w:val="both"/>
        <w:rPr>
          <w:color w:val="0000FF"/>
          <w:sz w:val="24"/>
          <w:szCs w:val="24"/>
        </w:rPr>
      </w:pPr>
      <w:r w:rsidRPr="00E63699">
        <w:rPr>
          <w:sz w:val="24"/>
          <w:szCs w:val="24"/>
        </w:rPr>
        <w:t>Za nejstarší skupinu jsou pokládány federalistické teorie, které spolu s funkcionalistickými teoriemi (a dále v interakci s transnacionalistickým konceptem) patří mezi liberálně orientované směry. Tyto směry klad</w:t>
      </w:r>
      <w:r w:rsidR="007F79BC">
        <w:rPr>
          <w:sz w:val="24"/>
          <w:szCs w:val="24"/>
        </w:rPr>
        <w:t>ou důraz na nadstátní dimenzi a </w:t>
      </w:r>
      <w:r w:rsidRPr="00E63699">
        <w:rPr>
          <w:sz w:val="24"/>
          <w:szCs w:val="24"/>
        </w:rPr>
        <w:t xml:space="preserve">rozhodující roli institucí a jsou přesvědčeny o možnosti zajištění trvalého míru (za hlavní příčinu válek označují národní státy a s nimi spojený nacionalismus). Hlavním cílem těchto teorií, </w:t>
      </w:r>
      <w:r>
        <w:rPr>
          <w:sz w:val="24"/>
          <w:szCs w:val="24"/>
        </w:rPr>
        <w:t xml:space="preserve">nejen </w:t>
      </w:r>
      <w:r w:rsidRPr="00E63699">
        <w:rPr>
          <w:sz w:val="24"/>
          <w:szCs w:val="24"/>
        </w:rPr>
        <w:t xml:space="preserve">v případě Evropy značně kontroverzním, je pochopitelně zavedení federativního uspořádání. K tomuto cíli lze v zásadě dospět dvěma cestami (viz Pavlík, 2000). První z nich považuje za prvotní vytvoření konstitucionálního právního rámce (ústavy), za kterým by bezprostředně následoval vznik evropské federace, druhá realističtější cesta pak preferuje budování federace postupnými kroky. Federace je obecně pokládána za vyspělou formu politické organizace, pro kterou je typická dělba moci mezi federálními institucemi vykonávajícími dohodnuté kompetence (např. v obranné, zahraniční, obchodní, monetární či </w:t>
      </w:r>
      <w:r w:rsidRPr="00E63699">
        <w:rPr>
          <w:sz w:val="24"/>
          <w:szCs w:val="24"/>
        </w:rPr>
        <w:lastRenderedPageBreak/>
        <w:t xml:space="preserve">imigrační politice) a členskými státy (disponujícími </w:t>
      </w:r>
      <w:r w:rsidR="007F79BC">
        <w:rPr>
          <w:sz w:val="24"/>
          <w:szCs w:val="24"/>
        </w:rPr>
        <w:t>jasně deklarovanou autonomií ve </w:t>
      </w:r>
      <w:r w:rsidRPr="00E63699">
        <w:rPr>
          <w:sz w:val="24"/>
          <w:szCs w:val="24"/>
        </w:rPr>
        <w:t>zbývajících oblastech). Největší úspěchy tento směr zaznamenal v 50. letech, kdy byl v západní Evropě uskutečněn projekt společného trhu s uhlím a ocelí J. Moneta.</w:t>
      </w:r>
    </w:p>
    <w:p w:rsidR="008146BD" w:rsidRPr="006D1DC7" w:rsidRDefault="008146BD" w:rsidP="008146BD">
      <w:pPr>
        <w:keepNext/>
        <w:autoSpaceDE w:val="0"/>
        <w:autoSpaceDN w:val="0"/>
        <w:adjustRightInd w:val="0"/>
        <w:ind w:firstLine="720"/>
        <w:jc w:val="both"/>
        <w:rPr>
          <w:rFonts w:cs="TimesNewRomanPSMT"/>
          <w:color w:val="0000FF"/>
          <w:sz w:val="24"/>
          <w:szCs w:val="24"/>
        </w:rPr>
      </w:pPr>
      <w:r w:rsidRPr="006D1DC7">
        <w:rPr>
          <w:sz w:val="24"/>
          <w:szCs w:val="24"/>
        </w:rPr>
        <w:t>Za zakladatele funkcionalistické teorie rozvinuté po 2</w:t>
      </w:r>
      <w:r w:rsidR="007F79BC">
        <w:rPr>
          <w:sz w:val="24"/>
          <w:szCs w:val="24"/>
        </w:rPr>
        <w:t>. světové válce je považován D. </w:t>
      </w:r>
      <w:r w:rsidRPr="006D1DC7">
        <w:rPr>
          <w:sz w:val="24"/>
          <w:szCs w:val="24"/>
        </w:rPr>
        <w:t xml:space="preserve">Mitrany, který za klíč k trvalému míru pokládal postupné propojování států </w:t>
      </w:r>
      <w:r>
        <w:rPr>
          <w:sz w:val="24"/>
          <w:szCs w:val="24"/>
        </w:rPr>
        <w:t xml:space="preserve">spíše </w:t>
      </w:r>
      <w:r w:rsidR="007F79BC">
        <w:rPr>
          <w:sz w:val="24"/>
          <w:szCs w:val="24"/>
        </w:rPr>
        <w:t>na </w:t>
      </w:r>
      <w:r w:rsidRPr="006D1DC7">
        <w:rPr>
          <w:sz w:val="24"/>
          <w:szCs w:val="24"/>
        </w:rPr>
        <w:t xml:space="preserve">základě spolupráce v konkrétních </w:t>
      </w:r>
      <w:r>
        <w:rPr>
          <w:sz w:val="24"/>
          <w:szCs w:val="24"/>
        </w:rPr>
        <w:t xml:space="preserve">praktických </w:t>
      </w:r>
      <w:r w:rsidRPr="006D1DC7">
        <w:rPr>
          <w:sz w:val="24"/>
          <w:szCs w:val="24"/>
        </w:rPr>
        <w:t xml:space="preserve">otázkách, přičemž jejich řešení by mělo zůstat v rukou odborníků (Stančíková, 2011).  </w:t>
      </w:r>
      <w:r>
        <w:rPr>
          <w:sz w:val="24"/>
          <w:szCs w:val="24"/>
        </w:rPr>
        <w:t>Její p</w:t>
      </w:r>
      <w:r w:rsidRPr="006D1DC7">
        <w:rPr>
          <w:sz w:val="24"/>
          <w:szCs w:val="24"/>
        </w:rPr>
        <w:t xml:space="preserve">rotagonisté počítali s  postupným rozšiřováním </w:t>
      </w:r>
      <w:r>
        <w:rPr>
          <w:sz w:val="24"/>
          <w:szCs w:val="24"/>
        </w:rPr>
        <w:t xml:space="preserve">této </w:t>
      </w:r>
      <w:r w:rsidRPr="006D1DC7">
        <w:rPr>
          <w:sz w:val="24"/>
          <w:szCs w:val="24"/>
        </w:rPr>
        <w:t>spolupráce jako hnacího motoru integrace, stimulované i rozvojem přelévacích efektů (spill-over effects). Zvyšování vzájemné závislosti (interdependence) pak podle této teorie učiní ozbrojené konflikty zcela iracionálními. Kritika teorie se týkala zejména přílišné preference technokratických přístupů. Odpovědí na tuto kritiku se stal tzv. neofunkcionalismus, který položil větší důraz na politické zájmy, zejména na vytvoření ústřední autority spojené s následným omezením suverenity členských zemí (v tomto bodě se tedy neofunkcionalisté dostali na podobnou pozici s federalisty). Vývoj evropské integrace v 70. letech však ukázal, že tento teoretický směr př</w:t>
      </w:r>
      <w:r w:rsidR="007F79BC">
        <w:rPr>
          <w:sz w:val="24"/>
          <w:szCs w:val="24"/>
        </w:rPr>
        <w:t>eceňuje úlohu vnitřních vazeb a </w:t>
      </w:r>
      <w:r w:rsidRPr="006D1DC7">
        <w:rPr>
          <w:sz w:val="24"/>
          <w:szCs w:val="24"/>
        </w:rPr>
        <w:t xml:space="preserve">podceňuje zájmové vlivy zúčastněných zemí. V souladu s tímto poznáním a dynamickým rozvojem realistických směrů funkcionalistické teorie ztratily svoji atraktivitu a následně ustoupily do pozadí. </w:t>
      </w:r>
    </w:p>
    <w:p w:rsidR="008146BD" w:rsidRPr="006D1DC7" w:rsidRDefault="008146BD" w:rsidP="00C83203">
      <w:pPr>
        <w:keepNext/>
        <w:autoSpaceDE w:val="0"/>
        <w:autoSpaceDN w:val="0"/>
        <w:adjustRightInd w:val="0"/>
        <w:spacing w:before="200"/>
        <w:ind w:firstLine="720"/>
        <w:jc w:val="both"/>
        <w:rPr>
          <w:sz w:val="24"/>
          <w:szCs w:val="24"/>
        </w:rPr>
      </w:pPr>
      <w:r w:rsidRPr="006D1DC7">
        <w:rPr>
          <w:sz w:val="24"/>
          <w:szCs w:val="24"/>
        </w:rPr>
        <w:t>V rámci realistických směrů, stojících v opozici vůči liberálním směrům, je potřebné zmínit především tzv. intergovernmentalistické</w:t>
      </w:r>
      <w:r w:rsidR="00C5024B">
        <w:rPr>
          <w:sz w:val="24"/>
          <w:szCs w:val="24"/>
        </w:rPr>
        <w:t>,</w:t>
      </w:r>
      <w:r w:rsidR="00C83203">
        <w:rPr>
          <w:sz w:val="24"/>
          <w:szCs w:val="24"/>
        </w:rPr>
        <w:t xml:space="preserve"> </w:t>
      </w:r>
      <w:r w:rsidRPr="006D1DC7">
        <w:rPr>
          <w:sz w:val="24"/>
          <w:szCs w:val="24"/>
        </w:rPr>
        <w:t xml:space="preserve">resp. mezivládní teorie. Realistický směr podle Morgenthaua (1993) odráží </w:t>
      </w:r>
      <w:r w:rsidRPr="006D1DC7">
        <w:rPr>
          <w:iCs/>
          <w:sz w:val="24"/>
          <w:szCs w:val="24"/>
        </w:rPr>
        <w:t>objektivní společenské zákony vycházející z lidské přirozenosti a</w:t>
      </w:r>
      <w:r w:rsidRPr="006D1DC7">
        <w:rPr>
          <w:sz w:val="24"/>
          <w:szCs w:val="24"/>
        </w:rPr>
        <w:t xml:space="preserve"> moc je tedy primárním cílem, o který státy jako relevantní aktéři mezinárodní politiky usilují. V souladu s tím příslušné teorie zdůrazňují mezivládní pohled </w:t>
      </w:r>
      <w:r w:rsidR="007F79BC">
        <w:rPr>
          <w:sz w:val="24"/>
          <w:szCs w:val="24"/>
        </w:rPr>
        <w:t>a za </w:t>
      </w:r>
      <w:r w:rsidRPr="006D1DC7">
        <w:rPr>
          <w:sz w:val="24"/>
          <w:szCs w:val="24"/>
        </w:rPr>
        <w:t>nejvýznamnější aktéry tedy pokládají (národní) státy. Jako protiváha neofunkcionalismu se od poloviny 60. let rozvíjel realistický intergovernmentalismus, který zcela odmítal nadstátní princip (včetně konceptu přelévacích efektů). V 90. letech pak na pomezí realistického směru vznikla silně vyhraněná Moravcsikova teorie liberálního intergovernmentalismu, která se od realistického poj</w:t>
      </w:r>
      <w:r w:rsidR="007F79BC">
        <w:rPr>
          <w:sz w:val="24"/>
          <w:szCs w:val="24"/>
        </w:rPr>
        <w:t>etí odlišuje zejména důrazem na </w:t>
      </w:r>
      <w:r w:rsidRPr="006D1DC7">
        <w:rPr>
          <w:sz w:val="24"/>
          <w:szCs w:val="24"/>
        </w:rPr>
        <w:t xml:space="preserve">ekonomické otázky pokládané za hlavní faktory mezinárodní spolupráce. Zastánci této teorie však akceptují skutečnost, že v určitých případech jsou státy ochotny přesunout některé své pravomoci na mezinárodní instituce. Za základní úlohu těchto institucí pak vedle koordinační role pokládají sbližování preferencí jednotlivých států a z toho vyvozují, že nadnárodní integrace nemusí podrývat státní suverenitu (tato téze výrazně zvyšuje popularitu této teorie). </w:t>
      </w:r>
    </w:p>
    <w:p w:rsidR="008146BD" w:rsidRPr="006D1DC7" w:rsidRDefault="008146BD" w:rsidP="008146BD">
      <w:pPr>
        <w:keepNext/>
        <w:autoSpaceDE w:val="0"/>
        <w:autoSpaceDN w:val="0"/>
        <w:adjustRightInd w:val="0"/>
        <w:spacing w:before="200"/>
        <w:ind w:firstLine="720"/>
        <w:jc w:val="both"/>
        <w:rPr>
          <w:rFonts w:cs="TimesNewRomanPSMT"/>
          <w:sz w:val="24"/>
          <w:szCs w:val="24"/>
        </w:rPr>
      </w:pPr>
      <w:r w:rsidRPr="006D1DC7">
        <w:rPr>
          <w:sz w:val="24"/>
          <w:szCs w:val="24"/>
        </w:rPr>
        <w:t>Pokud jde o zbývající teorie či teoretické koncepty (viz obrázek), regulatorní teorie obecně zdůrazňují postupné usměrňování integračních pro</w:t>
      </w:r>
      <w:r w:rsidR="007F79BC">
        <w:rPr>
          <w:sz w:val="24"/>
          <w:szCs w:val="24"/>
        </w:rPr>
        <w:t>cesů budováním sítí národních a </w:t>
      </w:r>
      <w:r w:rsidRPr="006D1DC7">
        <w:rPr>
          <w:sz w:val="24"/>
          <w:szCs w:val="24"/>
        </w:rPr>
        <w:t xml:space="preserve">nadnárodních regulačních institucí umožňujících předcházet krizovým stavům. Koncept transnacionalismu pak klade důraz na procesy přesahující státní hranice, které podporují rozvoj polycentrické globální společnosti integrované obchodními a dalšími interakcemi. K tomu je účelné poznamenat, že z pohledu regionálního rozvoje hraje klíčovou roli intenzita interakcí mezi </w:t>
      </w:r>
      <w:r w:rsidRPr="006D1DC7">
        <w:rPr>
          <w:rFonts w:cs="TimesNewRomanPSMT"/>
          <w:sz w:val="24"/>
          <w:szCs w:val="24"/>
        </w:rPr>
        <w:t xml:space="preserve">póly rozvoje globálního významu a podřízenými makroregiony (tato podřízenost se projevuje zvláště u mezinárodně obchodovatelných finančních služeb). </w:t>
      </w:r>
    </w:p>
    <w:p w:rsidR="008146BD" w:rsidRPr="006D1DC7" w:rsidRDefault="008146BD" w:rsidP="008146BD">
      <w:pPr>
        <w:keepNext/>
        <w:autoSpaceDE w:val="0"/>
        <w:autoSpaceDN w:val="0"/>
        <w:adjustRightInd w:val="0"/>
        <w:ind w:firstLine="720"/>
        <w:jc w:val="both"/>
        <w:rPr>
          <w:rFonts w:cs="TimesNewRomanPSMT"/>
          <w:sz w:val="24"/>
          <w:szCs w:val="24"/>
        </w:rPr>
      </w:pPr>
      <w:r w:rsidRPr="006D1DC7">
        <w:rPr>
          <w:rFonts w:cs="TimesNewRomanPSMT"/>
          <w:sz w:val="24"/>
          <w:szCs w:val="24"/>
        </w:rPr>
        <w:lastRenderedPageBreak/>
        <w:t>Z dalších teorií je potřebné zmínit „pragmatickou“</w:t>
      </w:r>
      <w:r w:rsidR="00260C22">
        <w:rPr>
          <w:rFonts w:cs="TimesNewRomanPSMT"/>
          <w:sz w:val="24"/>
          <w:szCs w:val="24"/>
        </w:rPr>
        <w:t xml:space="preserve"> teorii víceúrovňového vládnutí (</w:t>
      </w:r>
      <w:r w:rsidRPr="006D1DC7">
        <w:rPr>
          <w:rFonts w:cs="TimesNewRomanPSMT"/>
          <w:sz w:val="24"/>
          <w:szCs w:val="24"/>
        </w:rPr>
        <w:t>multi-level governance</w:t>
      </w:r>
      <w:r w:rsidR="00260C22">
        <w:rPr>
          <w:rFonts w:cs="TimesNewRomanPSMT"/>
          <w:sz w:val="24"/>
          <w:szCs w:val="24"/>
        </w:rPr>
        <w:t>)</w:t>
      </w:r>
      <w:r w:rsidRPr="006D1DC7">
        <w:rPr>
          <w:rFonts w:cs="TimesNewRomanPSMT"/>
          <w:sz w:val="24"/>
          <w:szCs w:val="24"/>
        </w:rPr>
        <w:t xml:space="preserve">, teorii optimální měnové oblasti a koncept Evropy regionů. Teorie víceúrovňového vládnutí stojí na pomezí nadnárodního a mezivládního paradigmatu a v tomto </w:t>
      </w:r>
      <w:r>
        <w:rPr>
          <w:rFonts w:cs="TimesNewRomanPSMT"/>
          <w:sz w:val="24"/>
          <w:szCs w:val="24"/>
        </w:rPr>
        <w:t xml:space="preserve">poněkud </w:t>
      </w:r>
      <w:r w:rsidRPr="006D1DC7">
        <w:rPr>
          <w:rFonts w:cs="TimesNewRomanPSMT"/>
          <w:sz w:val="24"/>
          <w:szCs w:val="24"/>
        </w:rPr>
        <w:t>obtížně uchopitelném kontextu zohledňuje existující tendence k</w:t>
      </w:r>
      <w:r>
        <w:rPr>
          <w:rFonts w:cs="TimesNewRomanPSMT"/>
          <w:sz w:val="24"/>
          <w:szCs w:val="24"/>
        </w:rPr>
        <w:t xml:space="preserve"> postupné </w:t>
      </w:r>
      <w:r w:rsidRPr="006D1DC7">
        <w:rPr>
          <w:rFonts w:cs="TimesNewRomanPSMT"/>
          <w:sz w:val="24"/>
          <w:szCs w:val="24"/>
        </w:rPr>
        <w:t xml:space="preserve">decentralizaci a regionalizaci Evropy. Za její hlavní znaky je možné považovat zejména velké množství aktérů, převažující technokratický charakter rozhodování a neformální vztahy. Teorie optimálních měnových oblastí </w:t>
      </w:r>
      <w:r w:rsidRPr="006D1DC7">
        <w:rPr>
          <w:sz w:val="24"/>
          <w:szCs w:val="24"/>
          <w:lang w:eastAsia="en-GB"/>
        </w:rPr>
        <w:t xml:space="preserve">zkoumá podmínky umožňující efektivní fungování společné měny. Rozhodující roli v tomto směru hrají otevřenost ekonomiky, mobilita výrobních faktorů, podobnost výrobních struktur, cyklická sladěnost, společná měnová politika a </w:t>
      </w:r>
      <w:r>
        <w:rPr>
          <w:sz w:val="24"/>
          <w:szCs w:val="24"/>
          <w:lang w:eastAsia="en-GB"/>
        </w:rPr>
        <w:t xml:space="preserve">rovněž </w:t>
      </w:r>
      <w:r w:rsidRPr="006D1DC7">
        <w:rPr>
          <w:sz w:val="24"/>
          <w:szCs w:val="24"/>
          <w:lang w:eastAsia="en-GB"/>
        </w:rPr>
        <w:t xml:space="preserve">fiskální transfery jako ochrana před měnovými šoky. </w:t>
      </w:r>
      <w:r w:rsidRPr="006D1DC7">
        <w:rPr>
          <w:rFonts w:cs="TimesNewRomanPSMT"/>
          <w:sz w:val="24"/>
          <w:szCs w:val="24"/>
        </w:rPr>
        <w:t xml:space="preserve">Koncept Evropy regionů je pak v podstatě vizí </w:t>
      </w:r>
      <w:r w:rsidRPr="006D1DC7">
        <w:rPr>
          <w:sz w:val="24"/>
          <w:szCs w:val="24"/>
        </w:rPr>
        <w:t>postupného oslabování států a posilování role regionů jako rozhodujících subjektů budoucího rozvoje Evropy, disponujících silnou historickou identitou</w:t>
      </w:r>
      <w:r>
        <w:rPr>
          <w:sz w:val="24"/>
          <w:szCs w:val="24"/>
        </w:rPr>
        <w:t>,</w:t>
      </w:r>
      <w:r w:rsidRPr="006D1DC7">
        <w:rPr>
          <w:sz w:val="24"/>
          <w:szCs w:val="24"/>
        </w:rPr>
        <w:t xml:space="preserve"> posilovanou důsledným naplňováním všeobecně akceptovaného </w:t>
      </w:r>
      <w:r w:rsidRPr="006D1DC7">
        <w:rPr>
          <w:rFonts w:cs="TimesNewRomanPSMT"/>
          <w:sz w:val="24"/>
          <w:szCs w:val="24"/>
        </w:rPr>
        <w:t>principu subsidiarity</w:t>
      </w:r>
      <w:r w:rsidRPr="006D1DC7">
        <w:rPr>
          <w:sz w:val="24"/>
          <w:szCs w:val="24"/>
        </w:rPr>
        <w:t xml:space="preserve">. </w:t>
      </w:r>
    </w:p>
    <w:p w:rsidR="008146BD" w:rsidRPr="006D1DC7" w:rsidRDefault="008146BD" w:rsidP="008146BD">
      <w:pPr>
        <w:keepNext/>
        <w:ind w:firstLine="720"/>
        <w:jc w:val="both"/>
        <w:rPr>
          <w:rFonts w:eastAsia="Calibri"/>
          <w:sz w:val="24"/>
          <w:szCs w:val="24"/>
        </w:rPr>
      </w:pPr>
      <w:r w:rsidRPr="006D1DC7">
        <w:rPr>
          <w:rFonts w:eastAsia="Calibri"/>
          <w:sz w:val="24"/>
          <w:szCs w:val="24"/>
        </w:rPr>
        <w:t xml:space="preserve">Viditelným projevem integračních procesů je vznik a činnost mezinárodních organizací vesměs s právní subjektivitou, které lze členit na mezivládní (IGO) a nevládní organizace (INGO). IGO je obvykle definována jako smluvně podložená dohoda </w:t>
      </w:r>
      <w:r>
        <w:rPr>
          <w:rFonts w:eastAsia="Calibri"/>
          <w:sz w:val="24"/>
          <w:szCs w:val="24"/>
        </w:rPr>
        <w:t xml:space="preserve">alespoň </w:t>
      </w:r>
      <w:r w:rsidRPr="006D1DC7">
        <w:rPr>
          <w:rFonts w:eastAsia="Calibri"/>
          <w:sz w:val="24"/>
          <w:szCs w:val="24"/>
        </w:rPr>
        <w:t>tří států trvalého (např. OSN) nebo dočasného (např. I</w:t>
      </w:r>
      <w:r w:rsidR="007F79BC">
        <w:rPr>
          <w:rFonts w:eastAsia="Calibri"/>
          <w:sz w:val="24"/>
          <w:szCs w:val="24"/>
        </w:rPr>
        <w:t>RO – Mezinárodní organizace pro </w:t>
      </w:r>
      <w:r w:rsidRPr="006D1DC7">
        <w:rPr>
          <w:rFonts w:eastAsia="Calibri"/>
          <w:sz w:val="24"/>
          <w:szCs w:val="24"/>
        </w:rPr>
        <w:t>uprchlíky) charakteru. Nevládní organizace pak jsou fyzické, či právnické osoby nebo instituce a sdružení s veřejným nebo soukromým charakterem</w:t>
      </w:r>
      <w:r>
        <w:rPr>
          <w:rFonts w:eastAsia="Calibri"/>
          <w:sz w:val="24"/>
          <w:szCs w:val="24"/>
        </w:rPr>
        <w:t xml:space="preserve">, </w:t>
      </w:r>
      <w:r w:rsidRPr="006D1DC7">
        <w:rPr>
          <w:rFonts w:eastAsia="Calibri"/>
          <w:sz w:val="24"/>
          <w:szCs w:val="24"/>
        </w:rPr>
        <w:t>např. Mezinárodní Červený kříž</w:t>
      </w:r>
      <w:r>
        <w:rPr>
          <w:rFonts w:eastAsia="Calibri"/>
          <w:sz w:val="24"/>
          <w:szCs w:val="24"/>
        </w:rPr>
        <w:t xml:space="preserve"> (Lněnička, 2014)</w:t>
      </w:r>
      <w:r w:rsidRPr="006D1DC7">
        <w:rPr>
          <w:rFonts w:eastAsia="Calibri"/>
          <w:sz w:val="24"/>
          <w:szCs w:val="24"/>
        </w:rPr>
        <w:t>. Z hlediska svého zaměření bý</w:t>
      </w:r>
      <w:r w:rsidR="007F79BC">
        <w:rPr>
          <w:rFonts w:eastAsia="Calibri"/>
          <w:sz w:val="24"/>
          <w:szCs w:val="24"/>
        </w:rPr>
        <w:t>vají tyto organizace členěny do </w:t>
      </w:r>
      <w:r w:rsidRPr="006D1DC7">
        <w:rPr>
          <w:rFonts w:eastAsia="Calibri"/>
          <w:sz w:val="24"/>
          <w:szCs w:val="24"/>
        </w:rPr>
        <w:t>nejrůznějších kategorií, zejména jsou rozlišovány orga</w:t>
      </w:r>
      <w:r w:rsidR="007F79BC">
        <w:rPr>
          <w:rFonts w:eastAsia="Calibri"/>
          <w:sz w:val="24"/>
          <w:szCs w:val="24"/>
        </w:rPr>
        <w:t>nizace politické, hospodářské a </w:t>
      </w:r>
      <w:r w:rsidRPr="006D1DC7">
        <w:rPr>
          <w:rFonts w:eastAsia="Calibri"/>
          <w:sz w:val="24"/>
          <w:szCs w:val="24"/>
        </w:rPr>
        <w:t>vojenské. V současnosti působí ve světě přes 300 IGO, z nichž asi pětinu představují světové organizace (</w:t>
      </w:r>
      <w:r w:rsidRPr="006D1DC7">
        <w:rPr>
          <w:sz w:val="24"/>
          <w:szCs w:val="24"/>
        </w:rPr>
        <w:t>Hitzgerová, 2000</w:t>
      </w:r>
      <w:r>
        <w:rPr>
          <w:sz w:val="24"/>
          <w:szCs w:val="24"/>
        </w:rPr>
        <w:t>)</w:t>
      </w:r>
      <w:r w:rsidRPr="006D1DC7">
        <w:rPr>
          <w:sz w:val="24"/>
          <w:szCs w:val="24"/>
        </w:rPr>
        <w:t>.</w:t>
      </w:r>
      <w:r w:rsidRPr="006D1DC7">
        <w:rPr>
          <w:rFonts w:eastAsia="Calibri"/>
          <w:sz w:val="24"/>
          <w:szCs w:val="24"/>
        </w:rPr>
        <w:t xml:space="preserve"> Vybrané mezivlád</w:t>
      </w:r>
      <w:r w:rsidR="007F79BC">
        <w:rPr>
          <w:rFonts w:eastAsia="Calibri"/>
          <w:sz w:val="24"/>
          <w:szCs w:val="24"/>
        </w:rPr>
        <w:t>ní organizace – OSN, OECD, EU a </w:t>
      </w:r>
      <w:r w:rsidRPr="006D1DC7">
        <w:rPr>
          <w:rFonts w:eastAsia="Calibri"/>
          <w:sz w:val="24"/>
          <w:szCs w:val="24"/>
        </w:rPr>
        <w:t xml:space="preserve">NATO jsou dále v textu stručně přestaveny. </w:t>
      </w:r>
    </w:p>
    <w:p w:rsidR="008146BD" w:rsidRPr="006D1DC7" w:rsidRDefault="008146BD" w:rsidP="008146BD">
      <w:pPr>
        <w:keepNext/>
        <w:widowControl w:val="0"/>
        <w:spacing w:after="0"/>
        <w:ind w:firstLine="720"/>
        <w:jc w:val="both"/>
        <w:rPr>
          <w:rFonts w:eastAsia="Calibri"/>
          <w:sz w:val="24"/>
          <w:szCs w:val="24"/>
        </w:rPr>
      </w:pPr>
      <w:r w:rsidRPr="006D1DC7">
        <w:rPr>
          <w:rFonts w:eastAsia="Calibri"/>
          <w:sz w:val="24"/>
          <w:szCs w:val="24"/>
        </w:rPr>
        <w:t>Organizace spojených národů (OSN/UN) je mezinárodní organizace založená v roce 1945 s cílem zachování mezinárodního míru a bezpečnosti, rozvoje přátelských vztahů mezi národy, podpory sociálního pokroku, lepších životních podmínek a lidských práv – aktuální počet člen</w:t>
      </w:r>
      <w:r>
        <w:rPr>
          <w:rFonts w:eastAsia="Calibri"/>
          <w:sz w:val="24"/>
          <w:szCs w:val="24"/>
        </w:rPr>
        <w:t xml:space="preserve">ů činí </w:t>
      </w:r>
      <w:r w:rsidRPr="006D1DC7">
        <w:rPr>
          <w:rFonts w:eastAsia="Calibri"/>
          <w:sz w:val="24"/>
          <w:szCs w:val="24"/>
        </w:rPr>
        <w:t>193</w:t>
      </w:r>
      <w:r>
        <w:rPr>
          <w:rFonts w:eastAsia="Calibri"/>
          <w:sz w:val="24"/>
          <w:szCs w:val="24"/>
        </w:rPr>
        <w:t xml:space="preserve">. </w:t>
      </w:r>
      <w:r w:rsidRPr="009A48AC">
        <w:rPr>
          <w:sz w:val="24"/>
          <w:szCs w:val="24"/>
        </w:rPr>
        <w:t>Organizace působí prakticky po celém světě</w:t>
      </w:r>
      <w:r>
        <w:rPr>
          <w:sz w:val="24"/>
          <w:szCs w:val="24"/>
        </w:rPr>
        <w:t xml:space="preserve"> a její h</w:t>
      </w:r>
      <w:r w:rsidRPr="006D1DC7">
        <w:rPr>
          <w:rFonts w:eastAsia="Calibri"/>
          <w:sz w:val="24"/>
          <w:szCs w:val="24"/>
        </w:rPr>
        <w:t xml:space="preserve">lavní administrativní centra jsou umístěny v New Yorku a dále v Ženevě a Vídni. V rámci OSN funguje mnoho dalších samostatných organizací, </w:t>
      </w:r>
      <w:r>
        <w:rPr>
          <w:rFonts w:eastAsia="Calibri"/>
          <w:sz w:val="24"/>
          <w:szCs w:val="24"/>
        </w:rPr>
        <w:t>zejména</w:t>
      </w:r>
      <w:r w:rsidRPr="006D1DC7">
        <w:rPr>
          <w:rFonts w:eastAsia="Calibri"/>
          <w:sz w:val="24"/>
          <w:szCs w:val="24"/>
        </w:rPr>
        <w:t xml:space="preserve"> UNESCO (Organizace OSN pro v</w:t>
      </w:r>
      <w:r w:rsidR="007F79BC">
        <w:rPr>
          <w:rFonts w:eastAsia="Calibri"/>
          <w:sz w:val="24"/>
          <w:szCs w:val="24"/>
        </w:rPr>
        <w:t xml:space="preserve">ýchovu, vědu </w:t>
      </w:r>
      <w:r w:rsidR="007F79BC" w:rsidRPr="007F79BC">
        <w:rPr>
          <w:rFonts w:eastAsia="Calibri"/>
        </w:rPr>
        <w:t>a</w:t>
      </w:r>
      <w:r w:rsidR="007F79BC">
        <w:rPr>
          <w:rFonts w:eastAsia="Calibri"/>
        </w:rPr>
        <w:t> </w:t>
      </w:r>
      <w:r w:rsidRPr="007F79BC">
        <w:rPr>
          <w:rFonts w:eastAsia="Calibri"/>
        </w:rPr>
        <w:t>kulturu</w:t>
      </w:r>
      <w:r w:rsidRPr="006D1DC7">
        <w:rPr>
          <w:rFonts w:eastAsia="Calibri"/>
          <w:sz w:val="24"/>
          <w:szCs w:val="24"/>
        </w:rPr>
        <w:t xml:space="preserve">), WHO (Světová zdravotnická organizace), WB Group (skupina Světové banky), IMF (Mezinárodní měnový fond) a UNIDO (Organizace OSN pro průmyslový rozvoj). K přidruženým organizacím </w:t>
      </w:r>
      <w:r>
        <w:rPr>
          <w:rFonts w:eastAsia="Calibri"/>
          <w:sz w:val="24"/>
          <w:szCs w:val="24"/>
        </w:rPr>
        <w:t xml:space="preserve">pak </w:t>
      </w:r>
      <w:r w:rsidRPr="006D1DC7">
        <w:rPr>
          <w:rFonts w:eastAsia="Calibri"/>
          <w:sz w:val="24"/>
          <w:szCs w:val="24"/>
        </w:rPr>
        <w:t xml:space="preserve">patří např. WTO (Světové obchodní organizace). </w:t>
      </w:r>
    </w:p>
    <w:p w:rsidR="008146BD" w:rsidRPr="006D1DC7" w:rsidRDefault="008146BD" w:rsidP="008146BD">
      <w:pPr>
        <w:keepNext/>
        <w:widowControl w:val="0"/>
        <w:spacing w:after="0"/>
        <w:jc w:val="both"/>
        <w:rPr>
          <w:rFonts w:eastAsia="Calibri"/>
          <w:sz w:val="24"/>
          <w:szCs w:val="24"/>
        </w:rPr>
      </w:pPr>
    </w:p>
    <w:p w:rsidR="008146BD" w:rsidRPr="006D1DC7" w:rsidRDefault="008146BD" w:rsidP="008146BD">
      <w:pPr>
        <w:keepNext/>
        <w:widowControl w:val="0"/>
        <w:suppressLineNumbers/>
        <w:ind w:firstLine="720"/>
        <w:jc w:val="both"/>
        <w:rPr>
          <w:rFonts w:eastAsia="Calibri"/>
          <w:sz w:val="24"/>
          <w:szCs w:val="24"/>
        </w:rPr>
      </w:pPr>
      <w:r w:rsidRPr="006D1DC7">
        <w:rPr>
          <w:rFonts w:eastAsia="Calibri"/>
          <w:sz w:val="24"/>
          <w:szCs w:val="24"/>
        </w:rPr>
        <w:t>Evropská unie (EU) je hospodářské a politické</w:t>
      </w:r>
      <w:r w:rsidR="007F79BC">
        <w:rPr>
          <w:rFonts w:eastAsia="Calibri"/>
          <w:sz w:val="24"/>
          <w:szCs w:val="24"/>
        </w:rPr>
        <w:t xml:space="preserve"> společenství zahrnující již 28 </w:t>
      </w:r>
      <w:r w:rsidRPr="006D1DC7">
        <w:rPr>
          <w:rFonts w:eastAsia="Calibri"/>
          <w:sz w:val="24"/>
          <w:szCs w:val="24"/>
        </w:rPr>
        <w:t xml:space="preserve">evropských zemí. Její základy byly položeny jen několik let po konci druhé světové války, přičemž se vycházelo z předpokladu, že intenzivní ekonomická propojenost zemí omezuje možnosti vzniku ozbrojeného konfliktu. Na základě tzv. Římských smluv z roku 1957 </w:t>
      </w:r>
      <w:r>
        <w:rPr>
          <w:rFonts w:eastAsia="Calibri"/>
          <w:sz w:val="24"/>
          <w:szCs w:val="24"/>
        </w:rPr>
        <w:t xml:space="preserve">pak </w:t>
      </w:r>
      <w:r w:rsidRPr="006D1DC7">
        <w:rPr>
          <w:rFonts w:eastAsia="Calibri"/>
          <w:sz w:val="24"/>
          <w:szCs w:val="24"/>
        </w:rPr>
        <w:t xml:space="preserve">v následujícím roce vzniklo Evropské hospodářské společenství (EHS), které zpočátku rozvíjelo hospodářskou spolupráci šesti zemí: Belgie, Francie, Itálie, Lucemburska, Německa a Nizozemska. Od té doby došlo </w:t>
      </w:r>
      <w:r>
        <w:rPr>
          <w:rFonts w:eastAsia="Calibri"/>
          <w:sz w:val="24"/>
          <w:szCs w:val="24"/>
        </w:rPr>
        <w:t xml:space="preserve">především </w:t>
      </w:r>
      <w:r w:rsidRPr="006D1DC7">
        <w:rPr>
          <w:rFonts w:eastAsia="Calibri"/>
          <w:sz w:val="24"/>
          <w:szCs w:val="24"/>
        </w:rPr>
        <w:t xml:space="preserve">k vytvoření neustále se rozvíjejícího rozsáhlého jednotného trhu. Z počáteční čistě hospodářsky orientované spolupráce se </w:t>
      </w:r>
      <w:r>
        <w:rPr>
          <w:rFonts w:eastAsia="Calibri"/>
          <w:sz w:val="24"/>
          <w:szCs w:val="24"/>
        </w:rPr>
        <w:t xml:space="preserve">postupně </w:t>
      </w:r>
      <w:r w:rsidRPr="006D1DC7">
        <w:rPr>
          <w:rFonts w:eastAsia="Calibri"/>
          <w:sz w:val="24"/>
          <w:szCs w:val="24"/>
        </w:rPr>
        <w:t xml:space="preserve">zrodilo </w:t>
      </w:r>
      <w:r w:rsidRPr="006D1DC7">
        <w:rPr>
          <w:rFonts w:eastAsia="Calibri"/>
          <w:sz w:val="24"/>
          <w:szCs w:val="24"/>
        </w:rPr>
        <w:lastRenderedPageBreak/>
        <w:t>společenství, které spolupracuje i v celé řadě politických oblastí – od ro</w:t>
      </w:r>
      <w:r w:rsidR="007F79BC">
        <w:rPr>
          <w:rFonts w:eastAsia="Calibri"/>
          <w:sz w:val="24"/>
          <w:szCs w:val="24"/>
        </w:rPr>
        <w:t>zvojové pomoci po </w:t>
      </w:r>
      <w:r w:rsidRPr="006D1DC7">
        <w:rPr>
          <w:rFonts w:eastAsia="Calibri"/>
          <w:sz w:val="24"/>
          <w:szCs w:val="24"/>
        </w:rPr>
        <w:t>ochranu životního prostředí. Tuto proměnu odráží i změna názvu z EHS na Evropskou unii v roce 1993 (Portál Evropa, 2014).</w:t>
      </w:r>
    </w:p>
    <w:p w:rsidR="008146BD" w:rsidRPr="006D1DC7" w:rsidRDefault="008146BD" w:rsidP="008146BD">
      <w:pPr>
        <w:keepNext/>
        <w:widowControl w:val="0"/>
        <w:suppressLineNumbers/>
        <w:spacing w:after="0"/>
        <w:ind w:firstLine="720"/>
        <w:jc w:val="both"/>
        <w:rPr>
          <w:rFonts w:eastAsia="Calibri"/>
          <w:color w:val="3333FF"/>
          <w:sz w:val="24"/>
          <w:szCs w:val="24"/>
        </w:rPr>
      </w:pPr>
      <w:r w:rsidRPr="006D1DC7">
        <w:rPr>
          <w:rFonts w:eastAsia="Calibri"/>
          <w:sz w:val="24"/>
          <w:szCs w:val="24"/>
        </w:rPr>
        <w:t>Organizace pro ekonomickou spolupráci a rozvoj (OECD) je mezinárodní vládní organizací se sídlem v Paříži. Vznikla v roce 1961, kdy vešel v platnost její zakládající dokument Konvence o OECD, která jako hlavní cíl uvádí koordinaci politik za účelem dlouhodobého ekonomického rozvoje členských i neč</w:t>
      </w:r>
      <w:r w:rsidR="007F79BC">
        <w:rPr>
          <w:rFonts w:eastAsia="Calibri"/>
          <w:sz w:val="24"/>
          <w:szCs w:val="24"/>
        </w:rPr>
        <w:t>lenských zemí. OECD sdružuje 34 </w:t>
      </w:r>
      <w:r w:rsidRPr="006D1DC7">
        <w:rPr>
          <w:rFonts w:eastAsia="Calibri"/>
          <w:sz w:val="24"/>
          <w:szCs w:val="24"/>
        </w:rPr>
        <w:t>ekonomicky nejvýznamnější</w:t>
      </w:r>
      <w:r w:rsidR="00260C22">
        <w:rPr>
          <w:rFonts w:eastAsia="Calibri"/>
          <w:sz w:val="24"/>
          <w:szCs w:val="24"/>
        </w:rPr>
        <w:t>ch zemá</w:t>
      </w:r>
      <w:r w:rsidRPr="006D1DC7">
        <w:rPr>
          <w:rFonts w:eastAsia="Calibri"/>
          <w:sz w:val="24"/>
          <w:szCs w:val="24"/>
        </w:rPr>
        <w:t xml:space="preserve"> světa (produkujících více než dvě třetiny světového HDP) a hraje tak výraznou úlohu při rozvoji mezi</w:t>
      </w:r>
      <w:r w:rsidR="007F79BC">
        <w:rPr>
          <w:rFonts w:eastAsia="Calibri"/>
          <w:sz w:val="24"/>
          <w:szCs w:val="24"/>
        </w:rPr>
        <w:t>národních ekonomických vztahů a </w:t>
      </w:r>
      <w:r w:rsidRPr="006D1DC7">
        <w:rPr>
          <w:rFonts w:eastAsia="Calibri"/>
          <w:sz w:val="24"/>
          <w:szCs w:val="24"/>
        </w:rPr>
        <w:t>mezinárodního obchodu. J</w:t>
      </w:r>
      <w:r w:rsidR="00881523">
        <w:rPr>
          <w:rFonts w:eastAsia="Calibri"/>
          <w:sz w:val="24"/>
          <w:szCs w:val="24"/>
        </w:rPr>
        <w:t>e unikátní formou</w:t>
      </w:r>
      <w:r w:rsidRPr="006D1DC7">
        <w:rPr>
          <w:rFonts w:eastAsia="Calibri"/>
          <w:sz w:val="24"/>
          <w:szCs w:val="24"/>
        </w:rPr>
        <w:t xml:space="preserve">, kde nejvyspělejší země světa slaďují své postupy v celé řadě oblastí (ekonomika, finance, obchod, vzdělávání, věda a technika, veřejná správa, zemědělství, životní prostředí a další). OECD je svým rozsahem globální, nikoliv však univerzální organizací. Členství v ní je výběrové, a aby se některá země mohla stát jejím členem, musí splnit náročné politické, ekonomické a legislativní podmínky. </w:t>
      </w:r>
    </w:p>
    <w:p w:rsidR="008146BD" w:rsidRPr="006D1DC7" w:rsidRDefault="008146BD" w:rsidP="008146BD">
      <w:pPr>
        <w:keepNext/>
        <w:widowControl w:val="0"/>
        <w:suppressLineNumbers/>
        <w:spacing w:after="0"/>
        <w:ind w:firstLine="720"/>
        <w:jc w:val="both"/>
        <w:rPr>
          <w:rFonts w:eastAsia="Calibri"/>
          <w:color w:val="3333FF"/>
          <w:sz w:val="24"/>
          <w:szCs w:val="24"/>
        </w:rPr>
      </w:pPr>
    </w:p>
    <w:p w:rsidR="008146BD" w:rsidRDefault="008146BD" w:rsidP="008146BD">
      <w:pPr>
        <w:keepNext/>
        <w:widowControl w:val="0"/>
        <w:suppressLineNumbers/>
        <w:spacing w:after="0"/>
        <w:ind w:firstLine="720"/>
        <w:jc w:val="both"/>
        <w:rPr>
          <w:rFonts w:eastAsia="Calibri"/>
          <w:sz w:val="24"/>
          <w:szCs w:val="24"/>
        </w:rPr>
      </w:pPr>
      <w:r w:rsidRPr="006D1DC7">
        <w:rPr>
          <w:rFonts w:eastAsia="Calibri"/>
          <w:sz w:val="24"/>
          <w:szCs w:val="24"/>
        </w:rPr>
        <w:t xml:space="preserve">Organizace Severoatlantické smlouvy </w:t>
      </w:r>
      <w:r>
        <w:rPr>
          <w:rFonts w:eastAsia="Calibri"/>
          <w:sz w:val="24"/>
          <w:szCs w:val="24"/>
        </w:rPr>
        <w:t>resp.</w:t>
      </w:r>
      <w:r w:rsidRPr="006D1DC7">
        <w:rPr>
          <w:rFonts w:eastAsia="Calibri"/>
          <w:sz w:val="24"/>
          <w:szCs w:val="24"/>
        </w:rPr>
        <w:t xml:space="preserve"> aliance (NATO) je politicko-vojenskou aliancí založenou v roce 1949. </w:t>
      </w:r>
      <w:r>
        <w:rPr>
          <w:rFonts w:eastAsia="Calibri"/>
          <w:sz w:val="24"/>
          <w:szCs w:val="24"/>
        </w:rPr>
        <w:t>Jejím z</w:t>
      </w:r>
      <w:r w:rsidRPr="006D1DC7">
        <w:rPr>
          <w:rFonts w:eastAsia="Calibri"/>
          <w:sz w:val="24"/>
          <w:szCs w:val="24"/>
        </w:rPr>
        <w:t xml:space="preserve">ákladním dokumentem je Severoatlantická smlouva, která mj. obsahuje klíčový článek 5, na jehož základě smluvní strany považují ozbrojený útok proti jedné nebo několika z nich za útok proti všem a zavazují </w:t>
      </w:r>
      <w:r w:rsidR="007F79BC">
        <w:rPr>
          <w:rFonts w:eastAsia="Calibri"/>
          <w:sz w:val="24"/>
          <w:szCs w:val="24"/>
        </w:rPr>
        <w:t>se v takovém případě přispět na </w:t>
      </w:r>
      <w:r w:rsidRPr="006D1DC7">
        <w:rPr>
          <w:rFonts w:eastAsia="Calibri"/>
          <w:sz w:val="24"/>
          <w:szCs w:val="24"/>
        </w:rPr>
        <w:t>pomoc napadeným členům</w:t>
      </w:r>
      <w:r w:rsidRPr="006D6F6D">
        <w:rPr>
          <w:sz w:val="24"/>
          <w:szCs w:val="24"/>
        </w:rPr>
        <w:t xml:space="preserve"> </w:t>
      </w:r>
      <w:r>
        <w:rPr>
          <w:sz w:val="24"/>
          <w:szCs w:val="24"/>
        </w:rPr>
        <w:t>(</w:t>
      </w:r>
      <w:r w:rsidRPr="00E50911">
        <w:rPr>
          <w:sz w:val="24"/>
          <w:szCs w:val="24"/>
        </w:rPr>
        <w:t>MZV ČR</w:t>
      </w:r>
      <w:r>
        <w:rPr>
          <w:sz w:val="24"/>
          <w:szCs w:val="24"/>
        </w:rPr>
        <w:t xml:space="preserve">, </w:t>
      </w:r>
      <w:r w:rsidRPr="00E50911">
        <w:rPr>
          <w:sz w:val="24"/>
          <w:szCs w:val="24"/>
        </w:rPr>
        <w:t>2014)</w:t>
      </w:r>
      <w:r w:rsidRPr="006D1DC7">
        <w:rPr>
          <w:rFonts w:eastAsia="Calibri"/>
          <w:sz w:val="24"/>
          <w:szCs w:val="24"/>
        </w:rPr>
        <w:t>. NATO má v současné době celkem 28 členů (Česká republika se stala jejím členem v roce 1999). Současné aktivity NATO lze obecně rozčlenit do tří rozhodujících pilířů: kolektivní obrana, kooper</w:t>
      </w:r>
      <w:r w:rsidR="007F79BC">
        <w:rPr>
          <w:rFonts w:eastAsia="Calibri"/>
          <w:sz w:val="24"/>
          <w:szCs w:val="24"/>
        </w:rPr>
        <w:t>ativní bezpečnost (spolupráce s </w:t>
      </w:r>
      <w:r w:rsidRPr="006D1DC7">
        <w:rPr>
          <w:rFonts w:eastAsia="Calibri"/>
          <w:sz w:val="24"/>
          <w:szCs w:val="24"/>
        </w:rPr>
        <w:t xml:space="preserve">partnery) a zvládání krizí (operace a mise). Evropští spojenci, USA a Kanada vzájemně spolupracují a konzultují otázky týkající se bezpečnosti a obrany. Tím je vytvářena jedinečná transatlantická vazba, která je klíčovým faktorem i pro zajištění bezpečnosti Evropy. </w:t>
      </w:r>
    </w:p>
    <w:p w:rsidR="008146BD" w:rsidRPr="008146BD" w:rsidRDefault="008146BD" w:rsidP="008146BD">
      <w:pPr>
        <w:keepNext/>
        <w:widowControl w:val="0"/>
        <w:suppressLineNumbers/>
        <w:spacing w:after="0"/>
        <w:ind w:firstLine="720"/>
        <w:jc w:val="both"/>
        <w:rPr>
          <w:rFonts w:eastAsia="Calibri"/>
          <w:color w:val="3333FF"/>
          <w:sz w:val="24"/>
          <w:szCs w:val="24"/>
        </w:rPr>
      </w:pPr>
    </w:p>
    <w:p w:rsidR="00D84BEB" w:rsidRDefault="00D84BEB" w:rsidP="00890421">
      <w:pPr>
        <w:pStyle w:val="02-Nadpis2"/>
      </w:pPr>
      <w:bookmarkStart w:id="154" w:name="_Toc382327221"/>
      <w:r w:rsidRPr="00A91347">
        <w:t xml:space="preserve">5.3. </w:t>
      </w:r>
      <w:r w:rsidR="00B44694" w:rsidRPr="00A91347">
        <w:t xml:space="preserve">Integrační procesy </w:t>
      </w:r>
      <w:r w:rsidR="004E27D3" w:rsidRPr="00A91347">
        <w:t>na bázi</w:t>
      </w:r>
      <w:r w:rsidR="00B44694" w:rsidRPr="00A91347">
        <w:t xml:space="preserve"> obchodní</w:t>
      </w:r>
      <w:r w:rsidR="004E27D3" w:rsidRPr="00A91347">
        <w:t>ch</w:t>
      </w:r>
      <w:r w:rsidR="00B44694" w:rsidRPr="00A91347">
        <w:t xml:space="preserve"> interakc</w:t>
      </w:r>
      <w:r w:rsidR="004E27D3" w:rsidRPr="00A91347">
        <w:t>í</w:t>
      </w:r>
      <w:bookmarkEnd w:id="154"/>
      <w:r w:rsidR="00B44694" w:rsidRPr="00A91347">
        <w:t xml:space="preserve"> </w:t>
      </w:r>
    </w:p>
    <w:p w:rsidR="008146BD" w:rsidRPr="00D059B5" w:rsidRDefault="008146BD" w:rsidP="008146BD">
      <w:pPr>
        <w:ind w:firstLine="720"/>
        <w:jc w:val="both"/>
        <w:rPr>
          <w:rFonts w:eastAsia="SimSun"/>
          <w:kern w:val="2"/>
          <w:sz w:val="24"/>
          <w:szCs w:val="24"/>
          <w:lang w:eastAsia="ar-SA"/>
        </w:rPr>
      </w:pPr>
      <w:r w:rsidRPr="00F9670D">
        <w:rPr>
          <w:rFonts w:eastAsia="Calibri"/>
          <w:sz w:val="24"/>
        </w:rPr>
        <w:t>Význam mezinárodního obchodu spočívá zejména v tom, že zvyšuje spotřební možnosti země. Umožňuje tedy spotřebovávat více statků</w:t>
      </w:r>
      <w:r w:rsidR="00881523">
        <w:rPr>
          <w:rFonts w:eastAsia="Calibri"/>
          <w:sz w:val="24"/>
        </w:rPr>
        <w:t xml:space="preserve"> než</w:t>
      </w:r>
      <w:r w:rsidRPr="00F9670D">
        <w:rPr>
          <w:rFonts w:eastAsia="Calibri"/>
          <w:sz w:val="24"/>
        </w:rPr>
        <w:t xml:space="preserve"> v případě uzavřené ekonomiky, která by nebyla zapojena do žádných obdobných vztahů. Specializace ve výrobě na odvětví s vyšší </w:t>
      </w:r>
      <w:r>
        <w:rPr>
          <w:rFonts w:eastAsia="Calibri"/>
          <w:sz w:val="24"/>
        </w:rPr>
        <w:t>produktivitou</w:t>
      </w:r>
      <w:r w:rsidRPr="00F9670D">
        <w:rPr>
          <w:rFonts w:eastAsia="Calibri"/>
          <w:sz w:val="24"/>
        </w:rPr>
        <w:t xml:space="preserve"> lze dosáhnout zvýšení</w:t>
      </w:r>
      <w:r w:rsidR="00260C22">
        <w:rPr>
          <w:rFonts w:eastAsia="Calibri"/>
          <w:sz w:val="24"/>
        </w:rPr>
        <w:t>m</w:t>
      </w:r>
      <w:r w:rsidRPr="00F9670D">
        <w:rPr>
          <w:rFonts w:eastAsia="Calibri"/>
          <w:sz w:val="24"/>
        </w:rPr>
        <w:t xml:space="preserve"> celkové produktivity </w:t>
      </w:r>
      <w:r>
        <w:rPr>
          <w:rFonts w:eastAsia="Calibri"/>
          <w:sz w:val="24"/>
        </w:rPr>
        <w:t xml:space="preserve">dané </w:t>
      </w:r>
      <w:r w:rsidRPr="00F9670D">
        <w:rPr>
          <w:rFonts w:eastAsia="Calibri"/>
          <w:sz w:val="24"/>
        </w:rPr>
        <w:t>země</w:t>
      </w:r>
      <w:r w:rsidR="00D06328">
        <w:rPr>
          <w:rFonts w:eastAsia="Calibri"/>
          <w:sz w:val="24"/>
        </w:rPr>
        <w:t>,</w:t>
      </w:r>
      <w:r w:rsidRPr="00F9670D">
        <w:rPr>
          <w:rFonts w:eastAsia="Calibri"/>
          <w:sz w:val="24"/>
        </w:rPr>
        <w:t xml:space="preserve"> a tím také zvýšení životní úrovně obyvatel. Tím, jak se jednotliv</w:t>
      </w:r>
      <w:r w:rsidR="007F79BC">
        <w:rPr>
          <w:rFonts w:eastAsia="Calibri"/>
          <w:sz w:val="24"/>
        </w:rPr>
        <w:t>é státy více a více zapojují do </w:t>
      </w:r>
      <w:r w:rsidRPr="00F9670D">
        <w:rPr>
          <w:rFonts w:eastAsia="Calibri"/>
          <w:sz w:val="24"/>
        </w:rPr>
        <w:t>mezinárodního obchodu, se může světová ekonomika přibližovat k hranici produkčních možností</w:t>
      </w:r>
      <w:r>
        <w:rPr>
          <w:rFonts w:eastAsia="Calibri"/>
          <w:sz w:val="24"/>
        </w:rPr>
        <w:t xml:space="preserve"> </w:t>
      </w:r>
      <w:r w:rsidRPr="00F9670D">
        <w:rPr>
          <w:rFonts w:eastAsia="Calibri"/>
          <w:sz w:val="24"/>
        </w:rPr>
        <w:t>(</w:t>
      </w:r>
      <w:r w:rsidRPr="00F9670D">
        <w:rPr>
          <w:rFonts w:eastAsia="Calibri"/>
          <w:sz w:val="24"/>
          <w:szCs w:val="24"/>
        </w:rPr>
        <w:t>Samuelson, Nordhaus, 1991)</w:t>
      </w:r>
      <w:r>
        <w:rPr>
          <w:rFonts w:eastAsia="Calibri"/>
          <w:sz w:val="24"/>
          <w:szCs w:val="24"/>
        </w:rPr>
        <w:t xml:space="preserve">. </w:t>
      </w:r>
      <w:r w:rsidRPr="00D059B5">
        <w:rPr>
          <w:rFonts w:eastAsia="SimSun"/>
          <w:kern w:val="2"/>
          <w:sz w:val="24"/>
          <w:szCs w:val="24"/>
          <w:lang w:eastAsia="ar-SA"/>
        </w:rPr>
        <w:t>Základy teorie mezinárodního obchodu byly položeny již v 18. století, kdy se jimi zabývala klasická ekonomická teorie, a to především v dílech Adama Smithe a Davida Ricarda. Připomeňme, že těmto teoretikům byla již věnována pozornost v částech 2.3 a 3.2, kde lze najít jistá východiska vedoucí k vysvětlení závěrů teorie mezinárodního obchodu.</w:t>
      </w:r>
    </w:p>
    <w:p w:rsidR="008146BD" w:rsidRPr="00D059B5" w:rsidRDefault="00D06328" w:rsidP="008146BD">
      <w:pPr>
        <w:ind w:firstLine="720"/>
        <w:jc w:val="both"/>
        <w:rPr>
          <w:rFonts w:eastAsia="SimSun"/>
          <w:kern w:val="2"/>
          <w:sz w:val="24"/>
          <w:szCs w:val="24"/>
          <w:lang w:eastAsia="ar-SA"/>
        </w:rPr>
      </w:pPr>
      <w:r>
        <w:rPr>
          <w:rFonts w:eastAsia="SimSun"/>
          <w:kern w:val="2"/>
          <w:sz w:val="24"/>
          <w:szCs w:val="24"/>
          <w:lang w:eastAsia="ar-SA"/>
        </w:rPr>
        <w:t>Adam Smith postavil svou teorii</w:t>
      </w:r>
      <w:r w:rsidR="008146BD" w:rsidRPr="00D059B5">
        <w:rPr>
          <w:rFonts w:eastAsia="SimSun"/>
          <w:kern w:val="2"/>
          <w:sz w:val="24"/>
          <w:szCs w:val="24"/>
          <w:lang w:eastAsia="ar-SA"/>
        </w:rPr>
        <w:t xml:space="preserve"> na vztahu mezi prací a národním bohatstvím, kdy zdrojem růstu bohatství je dělba práce. Právě tak lze totiž dosáhnout vyšší produktivity, tedy určitého výstupu s nižšími náklady</w:t>
      </w:r>
      <w:r w:rsidR="008146BD">
        <w:rPr>
          <w:rFonts w:eastAsia="SimSun"/>
          <w:kern w:val="2"/>
          <w:sz w:val="24"/>
          <w:szCs w:val="24"/>
          <w:lang w:eastAsia="ar-SA"/>
        </w:rPr>
        <w:t xml:space="preserve"> </w:t>
      </w:r>
      <w:r w:rsidR="008146BD" w:rsidRPr="00D059B5">
        <w:rPr>
          <w:rFonts w:eastAsia="SimSun"/>
          <w:kern w:val="2"/>
          <w:sz w:val="24"/>
          <w:szCs w:val="24"/>
          <w:lang w:eastAsia="ar-SA"/>
        </w:rPr>
        <w:t>(Smith, 2001)</w:t>
      </w:r>
      <w:r w:rsidR="008146BD">
        <w:rPr>
          <w:rFonts w:eastAsia="SimSun"/>
          <w:kern w:val="2"/>
          <w:sz w:val="24"/>
          <w:szCs w:val="24"/>
          <w:lang w:eastAsia="ar-SA"/>
        </w:rPr>
        <w:t>.</w:t>
      </w:r>
      <w:r w:rsidR="008146BD" w:rsidRPr="00D059B5">
        <w:rPr>
          <w:rFonts w:eastAsia="SimSun"/>
          <w:kern w:val="2"/>
          <w:sz w:val="24"/>
          <w:szCs w:val="24"/>
          <w:lang w:eastAsia="ar-SA"/>
        </w:rPr>
        <w:t xml:space="preserve"> Za důležitější než dělbu práce uvnitř </w:t>
      </w:r>
      <w:r w:rsidR="008146BD">
        <w:rPr>
          <w:rFonts w:eastAsia="SimSun"/>
          <w:kern w:val="2"/>
          <w:sz w:val="24"/>
          <w:szCs w:val="24"/>
          <w:lang w:eastAsia="ar-SA"/>
        </w:rPr>
        <w:t>firem</w:t>
      </w:r>
      <w:r w:rsidR="008146BD" w:rsidRPr="00D059B5">
        <w:rPr>
          <w:rFonts w:eastAsia="SimSun"/>
          <w:kern w:val="2"/>
          <w:sz w:val="24"/>
          <w:szCs w:val="24"/>
          <w:lang w:eastAsia="ar-SA"/>
        </w:rPr>
        <w:t xml:space="preserve">, kde jsou produkční možnosti limitované, považuje společenskou dělbu práce. Její hranice </w:t>
      </w:r>
      <w:r w:rsidR="008146BD">
        <w:rPr>
          <w:rFonts w:eastAsia="SimSun"/>
          <w:kern w:val="2"/>
          <w:sz w:val="24"/>
          <w:szCs w:val="24"/>
          <w:lang w:eastAsia="ar-SA"/>
        </w:rPr>
        <w:t xml:space="preserve">pak </w:t>
      </w:r>
      <w:r w:rsidR="008146BD" w:rsidRPr="00D059B5">
        <w:rPr>
          <w:rFonts w:eastAsia="SimSun"/>
          <w:kern w:val="2"/>
          <w:sz w:val="24"/>
          <w:szCs w:val="24"/>
          <w:lang w:eastAsia="ar-SA"/>
        </w:rPr>
        <w:lastRenderedPageBreak/>
        <w:t>spatřoval ve velikosti trhu. To jej vedlo k závěru, že bohatší jsou ty národy, které dokázaly prolomit hranice regionálního trhu a vytvořily trh národní. Ještě větší možnosti pak logicky spatřoval v možnostech mezinárodního trhu. Mezinárodní dělba práce zvyšuje bohatství všech národů, které se do ní zapojí (Holman</w:t>
      </w:r>
      <w:r w:rsidR="008146BD">
        <w:rPr>
          <w:rFonts w:eastAsia="SimSun"/>
          <w:kern w:val="2"/>
          <w:sz w:val="24"/>
          <w:szCs w:val="24"/>
          <w:lang w:eastAsia="ar-SA"/>
        </w:rPr>
        <w:t>,</w:t>
      </w:r>
      <w:r w:rsidR="008146BD" w:rsidRPr="00D059B5">
        <w:rPr>
          <w:rFonts w:eastAsia="SimSun"/>
          <w:kern w:val="2"/>
          <w:sz w:val="24"/>
          <w:szCs w:val="24"/>
          <w:lang w:eastAsia="ar-SA"/>
        </w:rPr>
        <w:t xml:space="preserve"> 2005)</w:t>
      </w:r>
      <w:r w:rsidR="008146BD">
        <w:rPr>
          <w:rFonts w:eastAsia="SimSun"/>
          <w:kern w:val="2"/>
          <w:sz w:val="24"/>
          <w:szCs w:val="24"/>
          <w:lang w:eastAsia="ar-SA"/>
        </w:rPr>
        <w:t xml:space="preserve">. </w:t>
      </w:r>
      <w:r w:rsidR="008146BD" w:rsidRPr="00D059B5">
        <w:rPr>
          <w:rFonts w:eastAsia="SimSun"/>
          <w:kern w:val="2"/>
          <w:sz w:val="24"/>
          <w:szCs w:val="24"/>
          <w:lang w:eastAsia="ar-SA"/>
        </w:rPr>
        <w:t>Smith jako první nahlíží na obchod</w:t>
      </w:r>
      <w:r w:rsidR="008146BD">
        <w:rPr>
          <w:rFonts w:eastAsia="SimSun"/>
          <w:kern w:val="2"/>
          <w:sz w:val="24"/>
          <w:szCs w:val="24"/>
          <w:lang w:eastAsia="ar-SA"/>
        </w:rPr>
        <w:t xml:space="preserve"> </w:t>
      </w:r>
      <w:r w:rsidR="007F79BC">
        <w:rPr>
          <w:rFonts w:eastAsia="SimSun"/>
          <w:kern w:val="2"/>
          <w:sz w:val="24"/>
          <w:szCs w:val="24"/>
          <w:lang w:eastAsia="ar-SA"/>
        </w:rPr>
        <w:t>jako na </w:t>
      </w:r>
      <w:r w:rsidR="008146BD" w:rsidRPr="00D059B5">
        <w:rPr>
          <w:rFonts w:eastAsia="SimSun"/>
          <w:kern w:val="2"/>
          <w:sz w:val="24"/>
          <w:szCs w:val="24"/>
          <w:lang w:eastAsia="ar-SA"/>
        </w:rPr>
        <w:t xml:space="preserve">ekonomickou bilanci s pozitivním výsledkem. Pokud Anglie vyrábí ocel levněji (tedy s menším počtem jednotek práce) než Francie a současně </w:t>
      </w:r>
      <w:r w:rsidR="007F79BC">
        <w:rPr>
          <w:rFonts w:eastAsia="SimSun"/>
          <w:kern w:val="2"/>
          <w:sz w:val="24"/>
          <w:szCs w:val="24"/>
          <w:lang w:eastAsia="ar-SA"/>
        </w:rPr>
        <w:t>Francie vyrábí levněji víno než </w:t>
      </w:r>
      <w:r w:rsidR="008146BD" w:rsidRPr="00D059B5">
        <w:rPr>
          <w:rFonts w:eastAsia="SimSun"/>
          <w:kern w:val="2"/>
          <w:sz w:val="24"/>
          <w:szCs w:val="24"/>
          <w:lang w:eastAsia="ar-SA"/>
        </w:rPr>
        <w:t>Anglie, přenechá Anglie veškerou výrobu vína Francii a naopak Francie přenechá veškerou výrobu oceli Anglii. Završením procesu specializace (dělby práce) ve výrobě bude vzájemný obchod, tedy výměna oceli za víno, která bude pro obě země přínosem a zvýší jejich národní bohatství. Tento mechanismus je označován jako absolutní výhoda a stal se základem klasické teorie mezinárodního obchodu (Volejníková</w:t>
      </w:r>
      <w:r w:rsidR="008146BD">
        <w:rPr>
          <w:rFonts w:eastAsia="SimSun"/>
          <w:kern w:val="2"/>
          <w:sz w:val="24"/>
          <w:szCs w:val="24"/>
          <w:lang w:eastAsia="ar-SA"/>
        </w:rPr>
        <w:t>,</w:t>
      </w:r>
      <w:r w:rsidR="008146BD" w:rsidRPr="00D059B5">
        <w:rPr>
          <w:rFonts w:eastAsia="SimSun"/>
          <w:kern w:val="2"/>
          <w:sz w:val="24"/>
          <w:szCs w:val="24"/>
          <w:lang w:eastAsia="ar-SA"/>
        </w:rPr>
        <w:t xml:space="preserve"> 2005)</w:t>
      </w:r>
      <w:r w:rsidR="008146BD">
        <w:rPr>
          <w:rFonts w:eastAsia="SimSun"/>
          <w:kern w:val="2"/>
          <w:sz w:val="24"/>
          <w:szCs w:val="24"/>
          <w:lang w:eastAsia="ar-SA"/>
        </w:rPr>
        <w:t>.</w:t>
      </w:r>
    </w:p>
    <w:p w:rsidR="008146BD" w:rsidRPr="00D059B5" w:rsidRDefault="008146BD" w:rsidP="008146BD">
      <w:pPr>
        <w:ind w:firstLine="720"/>
        <w:jc w:val="both"/>
        <w:rPr>
          <w:rFonts w:eastAsia="SimSun"/>
          <w:kern w:val="2"/>
          <w:sz w:val="24"/>
          <w:szCs w:val="24"/>
          <w:lang w:eastAsia="ar-SA"/>
        </w:rPr>
      </w:pPr>
      <w:r w:rsidRPr="00D059B5">
        <w:rPr>
          <w:rFonts w:eastAsia="SimSun"/>
          <w:kern w:val="2"/>
          <w:sz w:val="24"/>
          <w:szCs w:val="24"/>
          <w:lang w:eastAsia="ar-SA"/>
        </w:rPr>
        <w:t xml:space="preserve">Smithovu teorii následně rozpracoval David Ricardo. </w:t>
      </w:r>
      <w:r>
        <w:rPr>
          <w:rFonts w:eastAsia="SimSun"/>
          <w:kern w:val="2"/>
          <w:sz w:val="24"/>
          <w:szCs w:val="24"/>
          <w:lang w:eastAsia="ar-SA"/>
        </w:rPr>
        <w:t>Jeho</w:t>
      </w:r>
      <w:r w:rsidRPr="00D059B5">
        <w:rPr>
          <w:rFonts w:eastAsia="SimSun"/>
          <w:kern w:val="2"/>
          <w:sz w:val="24"/>
          <w:szCs w:val="24"/>
          <w:lang w:eastAsia="ar-SA"/>
        </w:rPr>
        <w:t xml:space="preserve"> teorie vysvětluje výhodnost zapojení do mezinárodního obchodu i v případě zemí, které nevykazují žádnou absolutní výhodu. Objevil totiž zákon komparativních výhod, který předp</w:t>
      </w:r>
      <w:r w:rsidR="007F79BC">
        <w:rPr>
          <w:rFonts w:eastAsia="SimSun"/>
          <w:kern w:val="2"/>
          <w:sz w:val="24"/>
          <w:szCs w:val="24"/>
          <w:lang w:eastAsia="ar-SA"/>
        </w:rPr>
        <w:t>okládá existenci specializace a </w:t>
      </w:r>
      <w:r w:rsidRPr="00D059B5">
        <w:rPr>
          <w:rFonts w:eastAsia="SimSun"/>
          <w:kern w:val="2"/>
          <w:sz w:val="24"/>
          <w:szCs w:val="24"/>
          <w:lang w:eastAsia="ar-SA"/>
        </w:rPr>
        <w:t>výhodnost směny i v případě, kdy jedna ze zemí dokáže vyrábět všechno zboží s absolutně nižšími náklady než druhá. Uplatnění zákona komparat</w:t>
      </w:r>
      <w:r w:rsidR="007F79BC">
        <w:rPr>
          <w:rFonts w:eastAsia="SimSun"/>
          <w:kern w:val="2"/>
          <w:sz w:val="24"/>
          <w:szCs w:val="24"/>
          <w:lang w:eastAsia="ar-SA"/>
        </w:rPr>
        <w:t>ivních výhod ukazuje Ricardo na </w:t>
      </w:r>
      <w:r w:rsidRPr="00D059B5">
        <w:rPr>
          <w:rFonts w:eastAsia="SimSun"/>
          <w:kern w:val="2"/>
          <w:sz w:val="24"/>
          <w:szCs w:val="24"/>
          <w:lang w:eastAsia="ar-SA"/>
        </w:rPr>
        <w:t xml:space="preserve">následujícím příkladu (upraveno </w:t>
      </w:r>
      <w:r>
        <w:rPr>
          <w:rFonts w:eastAsia="SimSun"/>
          <w:kern w:val="2"/>
          <w:sz w:val="24"/>
          <w:szCs w:val="24"/>
          <w:lang w:eastAsia="ar-SA"/>
        </w:rPr>
        <w:t>po</w:t>
      </w:r>
      <w:r w:rsidRPr="00D059B5">
        <w:rPr>
          <w:rFonts w:eastAsia="SimSun"/>
          <w:kern w:val="2"/>
          <w:sz w:val="24"/>
          <w:szCs w:val="24"/>
          <w:lang w:eastAsia="ar-SA"/>
        </w:rPr>
        <w:t>dle Holmana</w:t>
      </w:r>
      <w:r>
        <w:rPr>
          <w:rFonts w:eastAsia="SimSun"/>
          <w:kern w:val="2"/>
          <w:sz w:val="24"/>
          <w:szCs w:val="24"/>
          <w:lang w:eastAsia="ar-SA"/>
        </w:rPr>
        <w:t>,</w:t>
      </w:r>
      <w:r w:rsidRPr="00D059B5">
        <w:rPr>
          <w:rFonts w:eastAsia="SimSun"/>
          <w:kern w:val="2"/>
          <w:sz w:val="24"/>
          <w:szCs w:val="24"/>
          <w:lang w:eastAsia="ar-SA"/>
        </w:rPr>
        <w:t xml:space="preserve"> 2005). Je-li k výrobě 100 yardů sukna potřeba v Anglii 100 dělníků a v Portugalsku 90 dělníků a současně k výrobě 100 litrů vína v Anglii 120 dělníků a v Portugalsku 80 dělníků</w:t>
      </w:r>
      <w:r w:rsidR="00D06328">
        <w:rPr>
          <w:rFonts w:eastAsia="SimSun"/>
          <w:kern w:val="2"/>
          <w:sz w:val="24"/>
          <w:szCs w:val="24"/>
          <w:lang w:eastAsia="ar-SA"/>
        </w:rPr>
        <w:t>,</w:t>
      </w:r>
      <w:r>
        <w:rPr>
          <w:rFonts w:eastAsia="SimSun"/>
          <w:kern w:val="2"/>
          <w:sz w:val="24"/>
          <w:szCs w:val="24"/>
          <w:lang w:eastAsia="ar-SA"/>
        </w:rPr>
        <w:t xml:space="preserve"> </w:t>
      </w:r>
      <w:r w:rsidRPr="00D059B5">
        <w:rPr>
          <w:rFonts w:eastAsia="SimSun"/>
          <w:kern w:val="2"/>
          <w:sz w:val="24"/>
          <w:szCs w:val="24"/>
          <w:lang w:eastAsia="ar-SA"/>
        </w:rPr>
        <w:t>je zřejmé, že Portugalsko má v případě obou zboží absolutní výhodu. Směnný poměr v jednotlivých zemích je následující: Anglie – 100 litrů vína za 120 yardů sukna (při 120 dělnících), Portugalsko – 100 litrů vína za 89 yardů sukna (při 80 dělnících). Portugalští obchodníci dostanou za 100 litrů vína v Portugalsku 89 yardů sukna, zatímco v Anglii 120 yardů. Začnou proto vy</w:t>
      </w:r>
      <w:r w:rsidR="007F79BC">
        <w:rPr>
          <w:rFonts w:eastAsia="SimSun"/>
          <w:kern w:val="2"/>
          <w:sz w:val="24"/>
          <w:szCs w:val="24"/>
          <w:lang w:eastAsia="ar-SA"/>
        </w:rPr>
        <w:t>vážet víno do Anglie výměnou za </w:t>
      </w:r>
      <w:r w:rsidRPr="00D059B5">
        <w:rPr>
          <w:rFonts w:eastAsia="SimSun"/>
          <w:kern w:val="2"/>
          <w:sz w:val="24"/>
          <w:szCs w:val="24"/>
          <w:lang w:eastAsia="ar-SA"/>
        </w:rPr>
        <w:t>sukno. V Portugalsku roste poptávka po vínu a klesá poptávka po (portugalském) suknu. To způsobí přesun kapitálu</w:t>
      </w:r>
      <w:r>
        <w:rPr>
          <w:rFonts w:eastAsia="SimSun"/>
          <w:kern w:val="2"/>
          <w:sz w:val="24"/>
          <w:szCs w:val="24"/>
          <w:lang w:eastAsia="ar-SA"/>
        </w:rPr>
        <w:t xml:space="preserve"> a</w:t>
      </w:r>
      <w:r w:rsidRPr="00D059B5">
        <w:rPr>
          <w:rFonts w:eastAsia="SimSun"/>
          <w:kern w:val="2"/>
          <w:sz w:val="24"/>
          <w:szCs w:val="24"/>
          <w:lang w:eastAsia="ar-SA"/>
        </w:rPr>
        <w:t xml:space="preserve"> Portugalsko přestane vyrábět su</w:t>
      </w:r>
      <w:r w:rsidR="007F79BC">
        <w:rPr>
          <w:rFonts w:eastAsia="SimSun"/>
          <w:kern w:val="2"/>
          <w:sz w:val="24"/>
          <w:szCs w:val="24"/>
          <w:lang w:eastAsia="ar-SA"/>
        </w:rPr>
        <w:t>kno a začne se specializovat na </w:t>
      </w:r>
      <w:r w:rsidRPr="00D059B5">
        <w:rPr>
          <w:rFonts w:eastAsia="SimSun"/>
          <w:kern w:val="2"/>
          <w:sz w:val="24"/>
          <w:szCs w:val="24"/>
          <w:lang w:eastAsia="ar-SA"/>
        </w:rPr>
        <w:t>víno</w:t>
      </w:r>
      <w:r>
        <w:rPr>
          <w:rFonts w:eastAsia="SimSun"/>
          <w:kern w:val="2"/>
          <w:sz w:val="24"/>
          <w:szCs w:val="24"/>
          <w:lang w:eastAsia="ar-SA"/>
        </w:rPr>
        <w:t xml:space="preserve"> a </w:t>
      </w:r>
      <w:r w:rsidRPr="00D059B5">
        <w:rPr>
          <w:rFonts w:eastAsia="SimSun"/>
          <w:kern w:val="2"/>
          <w:sz w:val="24"/>
          <w:szCs w:val="24"/>
          <w:lang w:eastAsia="ar-SA"/>
        </w:rPr>
        <w:t>Angli</w:t>
      </w:r>
      <w:r>
        <w:rPr>
          <w:rFonts w:eastAsia="SimSun"/>
          <w:kern w:val="2"/>
          <w:sz w:val="24"/>
          <w:szCs w:val="24"/>
          <w:lang w:eastAsia="ar-SA"/>
        </w:rPr>
        <w:t xml:space="preserve">e </w:t>
      </w:r>
      <w:r w:rsidRPr="00D059B5">
        <w:rPr>
          <w:rFonts w:eastAsia="SimSun"/>
          <w:kern w:val="2"/>
          <w:sz w:val="24"/>
          <w:szCs w:val="24"/>
          <w:lang w:eastAsia="ar-SA"/>
        </w:rPr>
        <w:t>na sukno. Ve výsledku tedy Anglie vyrobí o 120 yardů sukna více a o 100 litrů vína méně</w:t>
      </w:r>
      <w:r>
        <w:rPr>
          <w:rFonts w:eastAsia="SimSun"/>
          <w:kern w:val="2"/>
          <w:sz w:val="24"/>
          <w:szCs w:val="24"/>
          <w:lang w:eastAsia="ar-SA"/>
        </w:rPr>
        <w:t xml:space="preserve"> a</w:t>
      </w:r>
      <w:r w:rsidRPr="00D059B5">
        <w:rPr>
          <w:rFonts w:eastAsia="SimSun"/>
          <w:kern w:val="2"/>
          <w:sz w:val="24"/>
          <w:szCs w:val="24"/>
          <w:lang w:eastAsia="ar-SA"/>
        </w:rPr>
        <w:t xml:space="preserve"> Portugalsko vyrobí o 100 litrů vína více a o 89 yardů sukna méně. Zvýšený výstup v jedné zemi plně nahradil pokles ve druhé, současně se při stejné produkci vína (200 litrů) zvýšila produkce sukna o 31 yardů (120</w:t>
      </w:r>
      <w:r>
        <w:rPr>
          <w:rFonts w:eastAsia="SimSun"/>
          <w:kern w:val="2"/>
          <w:sz w:val="24"/>
          <w:szCs w:val="24"/>
          <w:lang w:eastAsia="ar-SA"/>
        </w:rPr>
        <w:t xml:space="preserve"> : </w:t>
      </w:r>
      <w:r w:rsidRPr="00D059B5">
        <w:rPr>
          <w:rFonts w:eastAsia="SimSun"/>
          <w:kern w:val="2"/>
          <w:sz w:val="24"/>
          <w:szCs w:val="24"/>
          <w:lang w:eastAsia="ar-SA"/>
        </w:rPr>
        <w:t>89). K tomuto efektu došlo pouhým přesunem kapitálu, nikoliv navýšením vstupů</w:t>
      </w:r>
      <w:r>
        <w:rPr>
          <w:rFonts w:eastAsia="SimSun"/>
          <w:kern w:val="2"/>
          <w:sz w:val="24"/>
          <w:szCs w:val="24"/>
          <w:lang w:eastAsia="ar-SA"/>
        </w:rPr>
        <w:t xml:space="preserve"> (</w:t>
      </w:r>
      <w:r w:rsidRPr="00D059B5">
        <w:rPr>
          <w:rFonts w:eastAsia="SimSun"/>
          <w:kern w:val="2"/>
          <w:sz w:val="24"/>
          <w:szCs w:val="24"/>
          <w:lang w:eastAsia="ar-SA"/>
        </w:rPr>
        <w:t>Ricardo ve svém konceptu předpokládal, že náklady jsou konstantní</w:t>
      </w:r>
      <w:r>
        <w:rPr>
          <w:rFonts w:eastAsia="SimSun"/>
          <w:kern w:val="2"/>
          <w:sz w:val="24"/>
          <w:szCs w:val="24"/>
          <w:lang w:eastAsia="ar-SA"/>
        </w:rPr>
        <w:t>)</w:t>
      </w:r>
      <w:r w:rsidRPr="00D059B5">
        <w:rPr>
          <w:rFonts w:eastAsia="SimSun"/>
          <w:kern w:val="2"/>
          <w:sz w:val="24"/>
          <w:szCs w:val="24"/>
          <w:lang w:eastAsia="ar-SA"/>
        </w:rPr>
        <w:t>. V takovém případě dochází k úplné specializaci zemí, v modelovém případě Anglie na sukno</w:t>
      </w:r>
      <w:r>
        <w:rPr>
          <w:rFonts w:eastAsia="SimSun"/>
          <w:kern w:val="2"/>
          <w:sz w:val="24"/>
          <w:szCs w:val="24"/>
          <w:lang w:eastAsia="ar-SA"/>
        </w:rPr>
        <w:t xml:space="preserve"> a</w:t>
      </w:r>
      <w:r w:rsidRPr="00D059B5">
        <w:rPr>
          <w:rFonts w:eastAsia="SimSun"/>
          <w:kern w:val="2"/>
          <w:sz w:val="24"/>
          <w:szCs w:val="24"/>
          <w:lang w:eastAsia="ar-SA"/>
        </w:rPr>
        <w:t xml:space="preserve"> Portugalska </w:t>
      </w:r>
      <w:r>
        <w:rPr>
          <w:rFonts w:eastAsia="SimSun"/>
          <w:kern w:val="2"/>
          <w:sz w:val="24"/>
          <w:szCs w:val="24"/>
          <w:lang w:eastAsia="ar-SA"/>
        </w:rPr>
        <w:t xml:space="preserve">pak </w:t>
      </w:r>
      <w:r w:rsidRPr="00D059B5">
        <w:rPr>
          <w:rFonts w:eastAsia="SimSun"/>
          <w:kern w:val="2"/>
          <w:sz w:val="24"/>
          <w:szCs w:val="24"/>
          <w:lang w:eastAsia="ar-SA"/>
        </w:rPr>
        <w:t>na víno. Později však představitel cambridgeské školy Alfred Marshall posunul teorii mezinárodního obchodu do podmínek rostoucích nákladů, kdy dochází k neúplné specializaci. To je zřejmě reali</w:t>
      </w:r>
      <w:r w:rsidR="003A53FB">
        <w:rPr>
          <w:rFonts w:eastAsia="SimSun"/>
          <w:kern w:val="2"/>
          <w:sz w:val="24"/>
          <w:szCs w:val="24"/>
          <w:lang w:eastAsia="ar-SA"/>
        </w:rPr>
        <w:t>stičtější situace</w:t>
      </w:r>
      <w:r>
        <w:rPr>
          <w:rFonts w:eastAsia="SimSun"/>
          <w:kern w:val="2"/>
          <w:sz w:val="24"/>
          <w:szCs w:val="24"/>
          <w:lang w:eastAsia="ar-SA"/>
        </w:rPr>
        <w:t>.</w:t>
      </w:r>
    </w:p>
    <w:p w:rsidR="008146BD" w:rsidRPr="00D059B5" w:rsidRDefault="008146BD" w:rsidP="008146BD">
      <w:pPr>
        <w:ind w:firstLine="720"/>
        <w:jc w:val="both"/>
        <w:rPr>
          <w:rFonts w:eastAsia="SimSun"/>
          <w:kern w:val="2"/>
          <w:sz w:val="24"/>
          <w:szCs w:val="24"/>
          <w:lang w:eastAsia="ar-SA"/>
        </w:rPr>
      </w:pPr>
      <w:r w:rsidRPr="00D059B5">
        <w:rPr>
          <w:rFonts w:eastAsia="SimSun"/>
          <w:kern w:val="2"/>
          <w:sz w:val="24"/>
          <w:szCs w:val="24"/>
          <w:lang w:eastAsia="ar-SA"/>
        </w:rPr>
        <w:t>Neoklasická teorie mezinárodního obchodu představuje podstatný posun v uvažování, neboť odmítá teorii pracovní hodnoty jako podstaty ceny zboží. Ta je podle neoklasiků dána alternativními náklady. Autorem teorie alternativních nákladů je rakouský</w:t>
      </w:r>
      <w:r w:rsidR="00D06328">
        <w:rPr>
          <w:rFonts w:eastAsia="SimSun"/>
          <w:kern w:val="2"/>
          <w:sz w:val="24"/>
          <w:szCs w:val="24"/>
          <w:lang w:eastAsia="ar-SA"/>
        </w:rPr>
        <w:t xml:space="preserve"> ekonom Gotfried Haberler (1901–</w:t>
      </w:r>
      <w:r w:rsidRPr="00D059B5">
        <w:rPr>
          <w:rFonts w:eastAsia="SimSun"/>
          <w:kern w:val="2"/>
          <w:sz w:val="24"/>
          <w:szCs w:val="24"/>
          <w:lang w:eastAsia="ar-SA"/>
        </w:rPr>
        <w:t>1995). Jeho přístup je graficky znázorněn křivkami hranice produkčních možností (PPF) vyjadřují</w:t>
      </w:r>
      <w:r>
        <w:rPr>
          <w:rFonts w:eastAsia="SimSun"/>
          <w:kern w:val="2"/>
          <w:sz w:val="24"/>
          <w:szCs w:val="24"/>
          <w:lang w:eastAsia="ar-SA"/>
        </w:rPr>
        <w:t>cí</w:t>
      </w:r>
      <w:r w:rsidRPr="00D059B5">
        <w:rPr>
          <w:rFonts w:eastAsia="SimSun"/>
          <w:kern w:val="2"/>
          <w:sz w:val="24"/>
          <w:szCs w:val="24"/>
          <w:lang w:eastAsia="ar-SA"/>
        </w:rPr>
        <w:t xml:space="preserve"> možné kombinace produkce dvou statků. Přitom platí, že zapojí-li se země do mezinárodního obchodu, alternativní náklady </w:t>
      </w:r>
      <w:r w:rsidR="007F79BC">
        <w:rPr>
          <w:rFonts w:eastAsia="SimSun"/>
          <w:kern w:val="2"/>
          <w:sz w:val="24"/>
          <w:szCs w:val="24"/>
          <w:lang w:eastAsia="ar-SA"/>
        </w:rPr>
        <w:t>statku A (sukno) představují to </w:t>
      </w:r>
      <w:r w:rsidRPr="00D059B5">
        <w:rPr>
          <w:rFonts w:eastAsia="SimSun"/>
          <w:kern w:val="2"/>
          <w:sz w:val="24"/>
          <w:szCs w:val="24"/>
          <w:lang w:eastAsia="ar-SA"/>
        </w:rPr>
        <w:t xml:space="preserve">množství statku B (pšenice), kterého se musí země vzdát, chce-li získat statek A. Přínosem </w:t>
      </w:r>
      <w:r w:rsidRPr="00D059B5">
        <w:rPr>
          <w:rFonts w:eastAsia="SimSun"/>
          <w:kern w:val="2"/>
          <w:sz w:val="24"/>
          <w:szCs w:val="24"/>
          <w:lang w:eastAsia="ar-SA"/>
        </w:rPr>
        <w:lastRenderedPageBreak/>
        <w:t>je zvýšení spotřebních možností dané země, rozšíření produkc</w:t>
      </w:r>
      <w:r w:rsidR="007F79BC">
        <w:rPr>
          <w:rFonts w:eastAsia="SimSun"/>
          <w:kern w:val="2"/>
          <w:sz w:val="24"/>
          <w:szCs w:val="24"/>
          <w:lang w:eastAsia="ar-SA"/>
        </w:rPr>
        <w:t>e, zvýšení produktivity práce a </w:t>
      </w:r>
      <w:r w:rsidRPr="00D059B5">
        <w:rPr>
          <w:rFonts w:eastAsia="SimSun"/>
          <w:kern w:val="2"/>
          <w:sz w:val="24"/>
          <w:szCs w:val="24"/>
          <w:lang w:eastAsia="ar-SA"/>
        </w:rPr>
        <w:t>životní úrovně</w:t>
      </w:r>
      <w:r>
        <w:rPr>
          <w:rFonts w:eastAsia="SimSun"/>
          <w:kern w:val="2"/>
          <w:sz w:val="24"/>
          <w:szCs w:val="24"/>
          <w:lang w:eastAsia="ar-SA"/>
        </w:rPr>
        <w:t xml:space="preserve"> při</w:t>
      </w:r>
      <w:r w:rsidRPr="00D059B5">
        <w:rPr>
          <w:rFonts w:eastAsia="SimSun"/>
          <w:kern w:val="2"/>
          <w:sz w:val="24"/>
          <w:szCs w:val="24"/>
          <w:lang w:eastAsia="ar-SA"/>
        </w:rPr>
        <w:t xml:space="preserve"> rostoucí</w:t>
      </w:r>
      <w:r>
        <w:rPr>
          <w:rFonts w:eastAsia="SimSun"/>
          <w:kern w:val="2"/>
          <w:sz w:val="24"/>
          <w:szCs w:val="24"/>
          <w:lang w:eastAsia="ar-SA"/>
        </w:rPr>
        <w:t>ch</w:t>
      </w:r>
      <w:r w:rsidRPr="00D059B5">
        <w:rPr>
          <w:rFonts w:eastAsia="SimSun"/>
          <w:kern w:val="2"/>
          <w:sz w:val="24"/>
          <w:szCs w:val="24"/>
          <w:lang w:eastAsia="ar-SA"/>
        </w:rPr>
        <w:t xml:space="preserve"> úspor</w:t>
      </w:r>
      <w:r>
        <w:rPr>
          <w:rFonts w:eastAsia="SimSun"/>
          <w:kern w:val="2"/>
          <w:sz w:val="24"/>
          <w:szCs w:val="24"/>
          <w:lang w:eastAsia="ar-SA"/>
        </w:rPr>
        <w:t>ách</w:t>
      </w:r>
      <w:r w:rsidRPr="00D059B5">
        <w:rPr>
          <w:rFonts w:eastAsia="SimSun"/>
          <w:kern w:val="2"/>
          <w:sz w:val="24"/>
          <w:szCs w:val="24"/>
          <w:lang w:eastAsia="ar-SA"/>
        </w:rPr>
        <w:t xml:space="preserve"> z rozsahu.</w:t>
      </w:r>
      <w:r w:rsidRPr="00D059B5">
        <w:rPr>
          <w:rFonts w:eastAsia="Calibri"/>
          <w:sz w:val="24"/>
          <w:szCs w:val="24"/>
        </w:rPr>
        <w:t xml:space="preserve"> (</w:t>
      </w:r>
      <w:r w:rsidRPr="00D059B5">
        <w:rPr>
          <w:rFonts w:eastAsia="SimSun"/>
          <w:kern w:val="2"/>
          <w:sz w:val="24"/>
          <w:szCs w:val="24"/>
          <w:lang w:eastAsia="ar-SA"/>
        </w:rPr>
        <w:t>Lebiedzik, Nezval, Majerová, 2006)</w:t>
      </w:r>
    </w:p>
    <w:p w:rsidR="008146BD" w:rsidRPr="00D059B5" w:rsidRDefault="008146BD" w:rsidP="008146BD">
      <w:pPr>
        <w:ind w:firstLine="720"/>
        <w:jc w:val="both"/>
        <w:rPr>
          <w:rFonts w:eastAsia="SimSun"/>
          <w:kern w:val="2"/>
          <w:sz w:val="24"/>
          <w:szCs w:val="24"/>
          <w:lang w:eastAsia="ar-SA"/>
        </w:rPr>
      </w:pPr>
      <w:r w:rsidRPr="003F791F">
        <w:rPr>
          <w:rFonts w:eastAsia="SimSun"/>
          <w:kern w:val="2"/>
          <w:sz w:val="24"/>
          <w:szCs w:val="24"/>
          <w:lang w:eastAsia="ar-SA"/>
        </w:rPr>
        <w:t>Švédšt</w:t>
      </w:r>
      <w:r w:rsidR="00D06328">
        <w:rPr>
          <w:rFonts w:eastAsia="SimSun"/>
          <w:kern w:val="2"/>
          <w:sz w:val="24"/>
          <w:szCs w:val="24"/>
          <w:lang w:eastAsia="ar-SA"/>
        </w:rPr>
        <w:t>í ekonomové Eli Heckscher (1879–1952) a Bertil Ohlin (1899–</w:t>
      </w:r>
      <w:r w:rsidRPr="003F791F">
        <w:rPr>
          <w:rFonts w:eastAsia="SimSun"/>
          <w:kern w:val="2"/>
          <w:sz w:val="24"/>
          <w:szCs w:val="24"/>
          <w:lang w:eastAsia="ar-SA"/>
        </w:rPr>
        <w:t>1979) vytvořili</w:t>
      </w:r>
      <w:r w:rsidRPr="00D059B5">
        <w:rPr>
          <w:rFonts w:eastAsia="SimSun"/>
          <w:kern w:val="2"/>
          <w:sz w:val="24"/>
          <w:szCs w:val="24"/>
          <w:lang w:eastAsia="ar-SA"/>
        </w:rPr>
        <w:t xml:space="preserve"> neoklasickou teorii vybavenosti výrobními faktory</w:t>
      </w:r>
      <w:r w:rsidR="007F79BC">
        <w:rPr>
          <w:rFonts w:eastAsia="SimSun"/>
          <w:kern w:val="2"/>
          <w:sz w:val="24"/>
          <w:szCs w:val="24"/>
          <w:lang w:eastAsia="ar-SA"/>
        </w:rPr>
        <w:t>. Za základ specializace zemí a </w:t>
      </w:r>
      <w:r w:rsidRPr="00D059B5">
        <w:rPr>
          <w:rFonts w:eastAsia="SimSun"/>
          <w:kern w:val="2"/>
          <w:sz w:val="24"/>
          <w:szCs w:val="24"/>
          <w:lang w:eastAsia="ar-SA"/>
        </w:rPr>
        <w:t>mezinárodního obchodu považují rozdíly ve vybavenosti výrobními faktory. Cena faktoru, jehož má země dostatek</w:t>
      </w:r>
      <w:r w:rsidR="00D06328">
        <w:rPr>
          <w:rFonts w:eastAsia="SimSun"/>
          <w:kern w:val="2"/>
          <w:sz w:val="24"/>
          <w:szCs w:val="24"/>
          <w:lang w:eastAsia="ar-SA"/>
        </w:rPr>
        <w:t>,</w:t>
      </w:r>
      <w:r w:rsidRPr="00D059B5">
        <w:rPr>
          <w:rFonts w:eastAsia="SimSun"/>
          <w:kern w:val="2"/>
          <w:sz w:val="24"/>
          <w:szCs w:val="24"/>
          <w:lang w:eastAsia="ar-SA"/>
        </w:rPr>
        <w:t xml:space="preserve"> je nízká, cena nedostatkového faktoru je naopak vysoká. Je-li například v nějaké zemi dostatek půdy, produkuje zemědělskou produkci levněji</w:t>
      </w:r>
      <w:r w:rsidR="00D06328">
        <w:rPr>
          <w:rFonts w:eastAsia="SimSun"/>
          <w:kern w:val="2"/>
          <w:sz w:val="24"/>
          <w:szCs w:val="24"/>
          <w:lang w:eastAsia="ar-SA"/>
        </w:rPr>
        <w:t>,</w:t>
      </w:r>
      <w:r w:rsidRPr="00D059B5">
        <w:rPr>
          <w:rFonts w:eastAsia="SimSun"/>
          <w:kern w:val="2"/>
          <w:sz w:val="24"/>
          <w:szCs w:val="24"/>
          <w:lang w:eastAsia="ar-SA"/>
        </w:rPr>
        <w:t xml:space="preserve"> a proto je pro ni výhodnější, aby si ji vyráběla sama a průmyslové výrobky náročné na jiné faktory dovážela. V jejich modelu (factor endowment model) se před</w:t>
      </w:r>
      <w:r w:rsidR="007F79BC">
        <w:rPr>
          <w:rFonts w:eastAsia="SimSun"/>
          <w:kern w:val="2"/>
          <w:sz w:val="24"/>
          <w:szCs w:val="24"/>
          <w:lang w:eastAsia="ar-SA"/>
        </w:rPr>
        <w:t>pokládá, že existují dvě země a </w:t>
      </w:r>
      <w:r w:rsidRPr="00D059B5">
        <w:rPr>
          <w:rFonts w:eastAsia="SimSun"/>
          <w:kern w:val="2"/>
          <w:sz w:val="24"/>
          <w:szCs w:val="24"/>
          <w:lang w:eastAsia="ar-SA"/>
        </w:rPr>
        <w:t>jsou produkovány dva statky různě náročné na práci a kapitál. Závěr je ten, že jedna země se specializuje na statek náročný na práci (rýže), která je v dané ekonomice levnější a druhá země na statek náročný na kapitál (ocel), který je naopak levnější v této ekonomice. Teorie předpokládá dokonalou konkurenci a neuvažuje existenci dopravních nákladů. Teorie se stala z celé řady důvodů předmětem kritiky, jako problematický se jeví především předpoklad shodných technologických postupů a úrovně techniky v různých zemích. V neposlední řadě je teorie vzdálena realitě faktickým dopadem aplikace, který znamená udržování rozdílů v ekonomické úrovni zemí</w:t>
      </w:r>
      <w:r w:rsidRPr="00D059B5">
        <w:rPr>
          <w:rFonts w:eastAsia="Calibri"/>
          <w:sz w:val="24"/>
          <w:szCs w:val="24"/>
        </w:rPr>
        <w:t xml:space="preserve"> (</w:t>
      </w:r>
      <w:r w:rsidRPr="00D059B5">
        <w:rPr>
          <w:rFonts w:eastAsia="SimSun"/>
          <w:kern w:val="2"/>
          <w:sz w:val="24"/>
          <w:szCs w:val="24"/>
          <w:lang w:eastAsia="ar-SA"/>
        </w:rPr>
        <w:t>Pipek a kol., 1996)</w:t>
      </w:r>
      <w:r>
        <w:rPr>
          <w:rFonts w:eastAsia="SimSun"/>
          <w:kern w:val="2"/>
          <w:sz w:val="24"/>
          <w:szCs w:val="24"/>
          <w:lang w:eastAsia="ar-SA"/>
        </w:rPr>
        <w:t>.</w:t>
      </w:r>
    </w:p>
    <w:p w:rsidR="008146BD" w:rsidRPr="00D059B5" w:rsidRDefault="008146BD" w:rsidP="008146BD">
      <w:pPr>
        <w:spacing w:after="100"/>
        <w:ind w:firstLine="720"/>
        <w:jc w:val="both"/>
        <w:rPr>
          <w:rFonts w:eastAsia="SimSun"/>
          <w:kern w:val="2"/>
          <w:sz w:val="24"/>
          <w:szCs w:val="24"/>
          <w:lang w:eastAsia="ar-SA"/>
        </w:rPr>
      </w:pPr>
      <w:r w:rsidRPr="00D059B5">
        <w:rPr>
          <w:rFonts w:eastAsia="SimSun"/>
          <w:kern w:val="2"/>
          <w:sz w:val="24"/>
          <w:szCs w:val="24"/>
          <w:lang w:eastAsia="ar-SA"/>
        </w:rPr>
        <w:t>K zevšeobecnění neoklasické teorie mezinárodního obchodu přistoupil americký ekonom Paul Krugman. Jeho standardní teorie mezinárodního obchodu je založena na analýze křivek nabídky a poptávky a jejich vztahu k PPF. Vychází z předpokladu, kdy dvě země produkují dva statky (pivo a sýr). Potom platí, že (Lebiedzik, Nezval, Majerová, 2006):</w:t>
      </w:r>
    </w:p>
    <w:p w:rsidR="008146BD" w:rsidRPr="00D059B5" w:rsidRDefault="008146BD" w:rsidP="008146BD">
      <w:pPr>
        <w:numPr>
          <w:ilvl w:val="0"/>
          <w:numId w:val="37"/>
        </w:numPr>
        <w:ind w:left="357" w:hanging="357"/>
        <w:contextualSpacing/>
        <w:jc w:val="both"/>
        <w:rPr>
          <w:rFonts w:eastAsia="SimSun"/>
          <w:kern w:val="2"/>
          <w:sz w:val="24"/>
          <w:szCs w:val="24"/>
          <w:lang w:eastAsia="ar-SA"/>
        </w:rPr>
      </w:pPr>
      <w:r w:rsidRPr="00D059B5">
        <w:rPr>
          <w:rFonts w:eastAsia="SimSun"/>
          <w:kern w:val="2"/>
          <w:sz w:val="24"/>
          <w:szCs w:val="24"/>
          <w:lang w:eastAsia="ar-SA"/>
        </w:rPr>
        <w:t>existuje souvislost mezi PPF a křivkou relativní nabídky</w:t>
      </w:r>
      <w:r>
        <w:rPr>
          <w:rFonts w:eastAsia="SimSun"/>
          <w:kern w:val="2"/>
          <w:sz w:val="24"/>
          <w:szCs w:val="24"/>
          <w:lang w:eastAsia="ar-SA"/>
        </w:rPr>
        <w:t xml:space="preserve"> </w:t>
      </w:r>
      <w:r w:rsidRPr="00D059B5">
        <w:rPr>
          <w:rFonts w:eastAsia="SimSun"/>
          <w:kern w:val="2"/>
          <w:sz w:val="24"/>
          <w:szCs w:val="24"/>
          <w:lang w:eastAsia="ar-SA"/>
        </w:rPr>
        <w:t>–</w:t>
      </w:r>
      <w:r>
        <w:rPr>
          <w:rFonts w:eastAsia="SimSun"/>
          <w:kern w:val="2"/>
          <w:sz w:val="24"/>
          <w:szCs w:val="24"/>
          <w:lang w:eastAsia="ar-SA"/>
        </w:rPr>
        <w:t xml:space="preserve"> </w:t>
      </w:r>
      <w:r w:rsidR="007F79BC">
        <w:rPr>
          <w:rFonts w:eastAsia="SimSun"/>
          <w:kern w:val="2"/>
          <w:sz w:val="24"/>
          <w:szCs w:val="24"/>
          <w:lang w:eastAsia="ar-SA"/>
        </w:rPr>
        <w:t>roste-li relativní cena piva (a </w:t>
      </w:r>
      <w:r w:rsidRPr="00D059B5">
        <w:rPr>
          <w:rFonts w:eastAsia="SimSun"/>
          <w:kern w:val="2"/>
          <w:sz w:val="24"/>
          <w:szCs w:val="24"/>
          <w:lang w:eastAsia="ar-SA"/>
        </w:rPr>
        <w:t>jeho relativní množstv</w:t>
      </w:r>
      <w:r w:rsidR="00D06328">
        <w:rPr>
          <w:rFonts w:eastAsia="SimSun"/>
          <w:kern w:val="2"/>
          <w:sz w:val="24"/>
          <w:szCs w:val="24"/>
          <w:lang w:eastAsia="ar-SA"/>
        </w:rPr>
        <w:t>í), sníží se nabídka a cena sýru</w:t>
      </w:r>
      <w:r w:rsidRPr="00D059B5">
        <w:rPr>
          <w:rFonts w:eastAsia="SimSun"/>
          <w:kern w:val="2"/>
          <w:sz w:val="24"/>
          <w:szCs w:val="24"/>
          <w:lang w:eastAsia="ar-SA"/>
        </w:rPr>
        <w:t xml:space="preserve">, </w:t>
      </w:r>
    </w:p>
    <w:p w:rsidR="008146BD" w:rsidRPr="00D059B5" w:rsidRDefault="008146BD" w:rsidP="008146BD">
      <w:pPr>
        <w:numPr>
          <w:ilvl w:val="0"/>
          <w:numId w:val="37"/>
        </w:numPr>
        <w:ind w:left="357" w:hanging="357"/>
        <w:contextualSpacing/>
        <w:jc w:val="both"/>
        <w:rPr>
          <w:rFonts w:eastAsia="SimSun"/>
          <w:kern w:val="2"/>
          <w:sz w:val="24"/>
          <w:szCs w:val="24"/>
          <w:lang w:eastAsia="ar-SA"/>
        </w:rPr>
      </w:pPr>
      <w:r w:rsidRPr="00D059B5">
        <w:rPr>
          <w:rFonts w:eastAsia="SimSun"/>
          <w:kern w:val="2"/>
          <w:sz w:val="24"/>
          <w:szCs w:val="24"/>
          <w:lang w:eastAsia="ar-SA"/>
        </w:rPr>
        <w:t>existuje souvislost mezi relativními cenami a relativní poptávkou – v případě, že relativní cena piva stoupne z důvodu vstupu do mezinárodního obchodu, zvýší se produkované mn</w:t>
      </w:r>
      <w:r w:rsidR="00D06328">
        <w:rPr>
          <w:rFonts w:eastAsia="SimSun"/>
          <w:kern w:val="2"/>
          <w:sz w:val="24"/>
          <w:szCs w:val="24"/>
          <w:lang w:eastAsia="ar-SA"/>
        </w:rPr>
        <w:t>ožství a poptávka po dovozu sýru</w:t>
      </w:r>
      <w:r w:rsidRPr="00D059B5">
        <w:rPr>
          <w:rFonts w:eastAsia="SimSun"/>
          <w:kern w:val="2"/>
          <w:sz w:val="24"/>
          <w:szCs w:val="24"/>
          <w:lang w:eastAsia="ar-SA"/>
        </w:rPr>
        <w:t>; efekt zvýšení relativní ceny znamená růst blahobytu,</w:t>
      </w:r>
    </w:p>
    <w:p w:rsidR="008146BD" w:rsidRPr="00D059B5" w:rsidRDefault="008146BD" w:rsidP="008146BD">
      <w:pPr>
        <w:numPr>
          <w:ilvl w:val="0"/>
          <w:numId w:val="37"/>
        </w:numPr>
        <w:ind w:left="357" w:hanging="357"/>
        <w:contextualSpacing/>
        <w:jc w:val="both"/>
        <w:rPr>
          <w:rFonts w:eastAsia="SimSun"/>
          <w:kern w:val="2"/>
          <w:sz w:val="24"/>
          <w:szCs w:val="24"/>
          <w:lang w:eastAsia="ar-SA"/>
        </w:rPr>
      </w:pPr>
      <w:r w:rsidRPr="00D059B5">
        <w:rPr>
          <w:rFonts w:eastAsia="SimSun"/>
          <w:kern w:val="2"/>
          <w:sz w:val="24"/>
          <w:szCs w:val="24"/>
          <w:lang w:eastAsia="ar-SA"/>
        </w:rPr>
        <w:t>světová rovnováha se stanoví prostřednictvím relativní nabídky a poptávky,</w:t>
      </w:r>
    </w:p>
    <w:p w:rsidR="008146BD" w:rsidRPr="00D059B5" w:rsidRDefault="008146BD" w:rsidP="008146BD">
      <w:pPr>
        <w:numPr>
          <w:ilvl w:val="0"/>
          <w:numId w:val="37"/>
        </w:numPr>
        <w:spacing w:after="0"/>
        <w:ind w:left="357" w:hanging="357"/>
        <w:contextualSpacing/>
        <w:jc w:val="both"/>
        <w:rPr>
          <w:rFonts w:eastAsia="SimSun"/>
          <w:kern w:val="2"/>
          <w:sz w:val="24"/>
          <w:szCs w:val="24"/>
          <w:lang w:eastAsia="ar-SA"/>
        </w:rPr>
      </w:pPr>
      <w:r w:rsidRPr="00D059B5">
        <w:rPr>
          <w:rFonts w:eastAsia="SimSun"/>
          <w:kern w:val="2"/>
          <w:sz w:val="24"/>
          <w:szCs w:val="24"/>
          <w:lang w:eastAsia="ar-SA"/>
        </w:rPr>
        <w:t xml:space="preserve">existuje také vliv směnných relací na národní blahobyt. </w:t>
      </w:r>
    </w:p>
    <w:p w:rsidR="008146BD" w:rsidRPr="00D059B5" w:rsidRDefault="008146BD" w:rsidP="008146BD">
      <w:pPr>
        <w:spacing w:before="200"/>
        <w:ind w:firstLine="720"/>
        <w:jc w:val="both"/>
        <w:rPr>
          <w:rFonts w:eastAsia="SimSun"/>
          <w:kern w:val="2"/>
          <w:sz w:val="24"/>
          <w:szCs w:val="24"/>
          <w:lang w:eastAsia="ar-SA"/>
        </w:rPr>
      </w:pPr>
      <w:r w:rsidRPr="00D059B5">
        <w:rPr>
          <w:rFonts w:eastAsia="SimSun"/>
          <w:kern w:val="2"/>
          <w:sz w:val="24"/>
          <w:szCs w:val="24"/>
          <w:lang w:eastAsia="ar-SA"/>
        </w:rPr>
        <w:t>Čím více jsou vzájemně ekonomicky provázané jednotlivé ekonomiky, tím jsou celkové vztahy těchto zemí stabilnější. Mezinárodní obchod tedy směřuje nejen ke zvyšování růstu a blahobytu, jak předpokládá ekonomická teorie, současně také přispívá k mírové spolupráci a eliminuje rizika potenciálních konfliktů. V neposlední řádě také významně přispívá ke zvyšování vzdělanosti</w:t>
      </w:r>
      <w:r>
        <w:rPr>
          <w:rFonts w:eastAsia="SimSun"/>
          <w:kern w:val="2"/>
          <w:sz w:val="24"/>
          <w:szCs w:val="24"/>
          <w:lang w:eastAsia="ar-SA"/>
        </w:rPr>
        <w:t>,</w:t>
      </w:r>
      <w:r w:rsidRPr="00D059B5">
        <w:rPr>
          <w:rFonts w:eastAsia="SimSun"/>
          <w:kern w:val="2"/>
          <w:sz w:val="24"/>
          <w:szCs w:val="24"/>
          <w:lang w:eastAsia="ar-SA"/>
        </w:rPr>
        <w:t xml:space="preserve"> ať už jde o studium jazyků</w:t>
      </w:r>
      <w:r>
        <w:rPr>
          <w:rFonts w:eastAsia="SimSun"/>
          <w:kern w:val="2"/>
          <w:sz w:val="24"/>
          <w:szCs w:val="24"/>
          <w:lang w:eastAsia="ar-SA"/>
        </w:rPr>
        <w:t xml:space="preserve"> a</w:t>
      </w:r>
      <w:r w:rsidRPr="00D059B5">
        <w:rPr>
          <w:rFonts w:eastAsia="SimSun"/>
          <w:kern w:val="2"/>
          <w:sz w:val="24"/>
          <w:szCs w:val="24"/>
          <w:lang w:eastAsia="ar-SA"/>
        </w:rPr>
        <w:t xml:space="preserve"> technických informací či diplomatických pravidel (Beneš a kol., 2004)</w:t>
      </w:r>
      <w:r>
        <w:rPr>
          <w:rFonts w:eastAsia="SimSun"/>
          <w:kern w:val="2"/>
          <w:sz w:val="24"/>
          <w:szCs w:val="24"/>
          <w:lang w:eastAsia="ar-SA"/>
        </w:rPr>
        <w:t>.</w:t>
      </w:r>
    </w:p>
    <w:p w:rsidR="008146BD" w:rsidRPr="00D059B5" w:rsidRDefault="008146BD" w:rsidP="008146BD">
      <w:pPr>
        <w:spacing w:after="100"/>
        <w:ind w:firstLine="720"/>
        <w:jc w:val="both"/>
        <w:rPr>
          <w:rFonts w:eastAsia="SimSun"/>
          <w:kern w:val="2"/>
          <w:sz w:val="24"/>
          <w:szCs w:val="24"/>
          <w:lang w:eastAsia="ar-SA"/>
        </w:rPr>
      </w:pPr>
      <w:r w:rsidRPr="00D059B5">
        <w:rPr>
          <w:rFonts w:eastAsia="SimSun"/>
          <w:kern w:val="2"/>
          <w:sz w:val="24"/>
          <w:szCs w:val="24"/>
          <w:lang w:eastAsia="ar-SA"/>
        </w:rPr>
        <w:t>Přístup každé země k mezinárodnímu obchodu vychází ze dvou koncepcí</w:t>
      </w:r>
      <w:r w:rsidR="00D06328">
        <w:rPr>
          <w:rFonts w:eastAsia="SimSun"/>
          <w:kern w:val="2"/>
          <w:sz w:val="24"/>
          <w:szCs w:val="24"/>
          <w:lang w:eastAsia="ar-SA"/>
        </w:rPr>
        <w:t>,</w:t>
      </w:r>
      <w:r w:rsidRPr="00D059B5">
        <w:rPr>
          <w:rFonts w:eastAsia="SimSun"/>
          <w:kern w:val="2"/>
          <w:sz w:val="24"/>
          <w:szCs w:val="24"/>
          <w:lang w:eastAsia="ar-SA"/>
        </w:rPr>
        <w:t xml:space="preserve"> a to liberalismu a protekcionismu. V současné ekonomice převládá jednoznačné směrování obchodních vztahů k liberálnímu (volnému) pojetí, jehož cílem je minimalizovat omezení obchodu a odstraňovat nástroje protekcionismu zejména progresivního typ</w:t>
      </w:r>
      <w:r w:rsidR="007F79BC">
        <w:rPr>
          <w:rFonts w:eastAsia="SimSun"/>
          <w:kern w:val="2"/>
          <w:sz w:val="24"/>
          <w:szCs w:val="24"/>
          <w:lang w:eastAsia="ar-SA"/>
        </w:rPr>
        <w:t>u, jako jsou cla a </w:t>
      </w:r>
      <w:r w:rsidRPr="00D059B5">
        <w:rPr>
          <w:rFonts w:eastAsia="SimSun"/>
          <w:kern w:val="2"/>
          <w:sz w:val="24"/>
          <w:szCs w:val="24"/>
          <w:lang w:eastAsia="ar-SA"/>
        </w:rPr>
        <w:t xml:space="preserve">kvóty. Určitý význam je však nadále přikládán degresivní formě protekcionismu, zaměřené na zachování pracovních míst v určitých odvětvích (zejména upadajících). Jinou formou protekcionismu je subvencování exportu, které je považováno za spíše krátkodobé opatření </w:t>
      </w:r>
      <w:r w:rsidRPr="00D059B5">
        <w:rPr>
          <w:rFonts w:eastAsia="SimSun"/>
          <w:kern w:val="2"/>
          <w:sz w:val="24"/>
          <w:szCs w:val="24"/>
          <w:lang w:eastAsia="ar-SA"/>
        </w:rPr>
        <w:lastRenderedPageBreak/>
        <w:t>(fakticky se zde ztrácí výhody z mezinárodního obchodu). V rámci odstraňování překážek mezinárodního obchodu a postupného sbližování či provázání ekonomik jednotlivých zemí lze v čase sledovat posun na určitý stupeň ekonomické integrace, který je buď záležitostí bilaterální dohody, nebo je předmětem smluv více zemí. Z hlediska světové ekonomiky došlo k nejdůležitějším integračním procesům ve druhé polovině 20. století. Stupně ekonomické integrace jsou popsány v celé řadě publikací (Beneš a kol., 200</w:t>
      </w:r>
      <w:r w:rsidR="007F79BC">
        <w:rPr>
          <w:rFonts w:eastAsia="SimSun"/>
          <w:kern w:val="2"/>
          <w:sz w:val="24"/>
          <w:szCs w:val="24"/>
          <w:lang w:eastAsia="ar-SA"/>
        </w:rPr>
        <w:t>4; Zlý, 2006; Kliková, Kotlán a </w:t>
      </w:r>
      <w:r w:rsidRPr="00D059B5">
        <w:rPr>
          <w:rFonts w:eastAsia="SimSun"/>
          <w:kern w:val="2"/>
          <w:sz w:val="24"/>
          <w:szCs w:val="24"/>
          <w:lang w:eastAsia="ar-SA"/>
        </w:rPr>
        <w:t>kol., 2012), přičemž dle jejich síly (intenzity) lze vymezit:</w:t>
      </w:r>
    </w:p>
    <w:p w:rsidR="008146BD" w:rsidRDefault="008146BD" w:rsidP="008146BD">
      <w:pPr>
        <w:numPr>
          <w:ilvl w:val="0"/>
          <w:numId w:val="38"/>
        </w:numPr>
        <w:ind w:left="357" w:hanging="357"/>
        <w:contextualSpacing/>
        <w:jc w:val="both"/>
        <w:rPr>
          <w:rFonts w:eastAsia="SimSun"/>
          <w:kern w:val="2"/>
          <w:sz w:val="24"/>
          <w:szCs w:val="24"/>
          <w:lang w:eastAsia="ar-SA"/>
        </w:rPr>
      </w:pPr>
      <w:r w:rsidRPr="00D53B52">
        <w:rPr>
          <w:rFonts w:eastAsia="SimSun"/>
          <w:b/>
          <w:kern w:val="2"/>
          <w:sz w:val="24"/>
          <w:szCs w:val="24"/>
          <w:lang w:eastAsia="ar-SA"/>
        </w:rPr>
        <w:t>Účelová úmluva</w:t>
      </w:r>
      <w:r w:rsidRPr="00D059B5">
        <w:rPr>
          <w:rFonts w:eastAsia="SimSun"/>
          <w:kern w:val="2"/>
          <w:sz w:val="24"/>
          <w:szCs w:val="24"/>
          <w:lang w:eastAsia="ar-SA"/>
        </w:rPr>
        <w:t xml:space="preserve"> – je určitý předstupeň ekonomické integrace. Její podstatou je řešení určitého problému nebo úkolu. Příkladem je Nordická rada, založená už v roce 1952, jejímiž členy jsou Dánsko, Finsko, Švédsko, Island a Norsko. Předmětem jejího zájmu jsou otázky v oblasti hospodářské, sociální, kulturní a právní</w:t>
      </w:r>
      <w:r>
        <w:rPr>
          <w:rFonts w:eastAsia="SimSun"/>
          <w:kern w:val="2"/>
          <w:sz w:val="24"/>
          <w:szCs w:val="24"/>
          <w:lang w:eastAsia="ar-SA"/>
        </w:rPr>
        <w:t xml:space="preserve"> </w:t>
      </w:r>
      <w:r w:rsidRPr="00D059B5">
        <w:rPr>
          <w:rFonts w:eastAsia="SimSun"/>
          <w:kern w:val="2"/>
          <w:sz w:val="24"/>
          <w:szCs w:val="24"/>
          <w:lang w:eastAsia="ar-SA"/>
        </w:rPr>
        <w:t>(viz Nordic Council, 2014)</w:t>
      </w:r>
      <w:r>
        <w:rPr>
          <w:rFonts w:eastAsia="SimSun"/>
          <w:kern w:val="2"/>
          <w:sz w:val="24"/>
          <w:szCs w:val="24"/>
          <w:lang w:eastAsia="ar-SA"/>
        </w:rPr>
        <w:t>.</w:t>
      </w:r>
    </w:p>
    <w:p w:rsidR="00BE09E0" w:rsidRPr="00D059B5" w:rsidRDefault="00BE09E0" w:rsidP="00BE09E0">
      <w:pPr>
        <w:ind w:left="357"/>
        <w:contextualSpacing/>
        <w:jc w:val="both"/>
        <w:rPr>
          <w:rFonts w:eastAsia="SimSun"/>
          <w:kern w:val="2"/>
          <w:sz w:val="24"/>
          <w:szCs w:val="24"/>
          <w:lang w:eastAsia="ar-SA"/>
        </w:rPr>
      </w:pPr>
    </w:p>
    <w:p w:rsidR="008146BD" w:rsidRDefault="008146BD" w:rsidP="008146BD">
      <w:pPr>
        <w:numPr>
          <w:ilvl w:val="0"/>
          <w:numId w:val="38"/>
        </w:numPr>
        <w:ind w:left="357" w:hanging="357"/>
        <w:contextualSpacing/>
        <w:jc w:val="both"/>
        <w:rPr>
          <w:rFonts w:eastAsia="SimSun"/>
          <w:kern w:val="2"/>
          <w:sz w:val="24"/>
          <w:szCs w:val="24"/>
          <w:lang w:eastAsia="ar-SA"/>
        </w:rPr>
      </w:pPr>
      <w:r w:rsidRPr="00D53B52">
        <w:rPr>
          <w:rFonts w:eastAsia="SimSun"/>
          <w:b/>
          <w:kern w:val="2"/>
          <w:sz w:val="24"/>
          <w:szCs w:val="24"/>
          <w:lang w:eastAsia="ar-SA"/>
        </w:rPr>
        <w:t>Pásmo volného obchodu</w:t>
      </w:r>
      <w:r w:rsidRPr="00D059B5">
        <w:rPr>
          <w:rFonts w:eastAsia="SimSun"/>
          <w:kern w:val="2"/>
          <w:sz w:val="24"/>
          <w:szCs w:val="24"/>
          <w:lang w:eastAsia="ar-SA"/>
        </w:rPr>
        <w:t xml:space="preserve"> – výchozí stupeň ekonomické integrace charakt</w:t>
      </w:r>
      <w:r w:rsidR="00D53B52">
        <w:rPr>
          <w:rFonts w:eastAsia="SimSun"/>
          <w:kern w:val="2"/>
          <w:sz w:val="24"/>
          <w:szCs w:val="24"/>
          <w:lang w:eastAsia="ar-SA"/>
        </w:rPr>
        <w:t>eristický odstraněním cel, kvót</w:t>
      </w:r>
      <w:r w:rsidRPr="00D059B5">
        <w:rPr>
          <w:rFonts w:eastAsia="SimSun"/>
          <w:kern w:val="2"/>
          <w:sz w:val="24"/>
          <w:szCs w:val="24"/>
          <w:lang w:eastAsia="ar-SA"/>
        </w:rPr>
        <w:t xml:space="preserve"> a jiných překážek ve vzájemném obchodě. Současně však členské země samostatně realizují obchodní vztahy vůči třetím zemím. Tímto uskupení</w:t>
      </w:r>
      <w:r w:rsidR="00D53B52">
        <w:rPr>
          <w:rFonts w:eastAsia="SimSun"/>
          <w:kern w:val="2"/>
          <w:sz w:val="24"/>
          <w:szCs w:val="24"/>
          <w:lang w:eastAsia="ar-SA"/>
        </w:rPr>
        <w:t>m</w:t>
      </w:r>
      <w:r w:rsidRPr="00D059B5">
        <w:rPr>
          <w:rFonts w:eastAsia="SimSun"/>
          <w:kern w:val="2"/>
          <w:sz w:val="24"/>
          <w:szCs w:val="24"/>
          <w:lang w:eastAsia="ar-SA"/>
        </w:rPr>
        <w:t xml:space="preserve"> bylo zejména Evropské společenství volného obchodu (ESVO/EFTA), které bylo založeno v roce 1960 </w:t>
      </w:r>
      <w:r>
        <w:rPr>
          <w:rFonts w:eastAsia="SimSun"/>
          <w:kern w:val="2"/>
          <w:sz w:val="24"/>
          <w:szCs w:val="24"/>
          <w:lang w:eastAsia="ar-SA"/>
        </w:rPr>
        <w:t xml:space="preserve">následujícími </w:t>
      </w:r>
      <w:r w:rsidRPr="00D059B5">
        <w:rPr>
          <w:rFonts w:eastAsia="SimSun"/>
          <w:kern w:val="2"/>
          <w:sz w:val="24"/>
          <w:szCs w:val="24"/>
          <w:lang w:eastAsia="ar-SA"/>
        </w:rPr>
        <w:t>zeměmi: Rakousko, Dánsko, Norsko, Portugalsko, Švédsko, Švýcarsko a Spojené království. Další země průběžně přistupovaly, ale také ukončovaly své členství v souvislosti se vstupem do ES/EU. Dnes je členem ESVO Island, Lichtenštejnsko, Norsko a Švýcarsko (viz European Free Trade Association, 2014)</w:t>
      </w:r>
      <w:r>
        <w:rPr>
          <w:rFonts w:eastAsia="SimSun"/>
          <w:kern w:val="2"/>
          <w:sz w:val="24"/>
          <w:szCs w:val="24"/>
          <w:lang w:eastAsia="ar-SA"/>
        </w:rPr>
        <w:t>.</w:t>
      </w:r>
    </w:p>
    <w:p w:rsidR="00BE09E0" w:rsidRPr="00D059B5" w:rsidRDefault="00BE09E0" w:rsidP="00BE09E0">
      <w:pPr>
        <w:contextualSpacing/>
        <w:jc w:val="both"/>
        <w:rPr>
          <w:rFonts w:eastAsia="SimSun"/>
          <w:kern w:val="2"/>
          <w:sz w:val="24"/>
          <w:szCs w:val="24"/>
          <w:lang w:eastAsia="ar-SA"/>
        </w:rPr>
      </w:pPr>
    </w:p>
    <w:p w:rsidR="008146BD" w:rsidRDefault="008146BD" w:rsidP="008146BD">
      <w:pPr>
        <w:numPr>
          <w:ilvl w:val="0"/>
          <w:numId w:val="38"/>
        </w:numPr>
        <w:ind w:left="357" w:hanging="357"/>
        <w:contextualSpacing/>
        <w:jc w:val="both"/>
        <w:rPr>
          <w:rFonts w:eastAsia="SimSun"/>
          <w:kern w:val="2"/>
          <w:sz w:val="24"/>
          <w:szCs w:val="24"/>
          <w:lang w:eastAsia="ar-SA"/>
        </w:rPr>
      </w:pPr>
      <w:r w:rsidRPr="00D53B52">
        <w:rPr>
          <w:rFonts w:eastAsia="SimSun"/>
          <w:b/>
          <w:kern w:val="2"/>
          <w:sz w:val="24"/>
          <w:szCs w:val="24"/>
          <w:lang w:eastAsia="ar-SA"/>
        </w:rPr>
        <w:t>Celní unie</w:t>
      </w:r>
      <w:r w:rsidRPr="00D059B5">
        <w:rPr>
          <w:rFonts w:eastAsia="SimSun"/>
          <w:kern w:val="2"/>
          <w:sz w:val="24"/>
          <w:szCs w:val="24"/>
          <w:lang w:eastAsia="ar-SA"/>
        </w:rPr>
        <w:t xml:space="preserve"> – navíc obsahuje i jednotnou celní politiku vůči nečlenským zemím. Za první existující celní unii lze považovat Benelux, který vznikl v roce 1948 (Belgie, Nizozemí, Lucembursko). Celní unií bylo ještě v 80. letech 20. století také ES.</w:t>
      </w:r>
    </w:p>
    <w:p w:rsidR="00BE09E0" w:rsidRPr="00D059B5" w:rsidRDefault="00BE09E0" w:rsidP="00BE09E0">
      <w:pPr>
        <w:contextualSpacing/>
        <w:jc w:val="both"/>
        <w:rPr>
          <w:rFonts w:eastAsia="SimSun"/>
          <w:kern w:val="2"/>
          <w:sz w:val="24"/>
          <w:szCs w:val="24"/>
          <w:lang w:eastAsia="ar-SA"/>
        </w:rPr>
      </w:pPr>
    </w:p>
    <w:p w:rsidR="008146BD" w:rsidRDefault="008146BD" w:rsidP="008146BD">
      <w:pPr>
        <w:numPr>
          <w:ilvl w:val="0"/>
          <w:numId w:val="38"/>
        </w:numPr>
        <w:ind w:left="357" w:hanging="357"/>
        <w:contextualSpacing/>
        <w:jc w:val="both"/>
        <w:rPr>
          <w:rFonts w:eastAsia="SimSun"/>
          <w:kern w:val="2"/>
          <w:sz w:val="24"/>
          <w:szCs w:val="24"/>
          <w:lang w:eastAsia="ar-SA"/>
        </w:rPr>
      </w:pPr>
      <w:r w:rsidRPr="00D53B52">
        <w:rPr>
          <w:rFonts w:eastAsia="SimSun"/>
          <w:b/>
          <w:kern w:val="2"/>
          <w:sz w:val="24"/>
          <w:szCs w:val="24"/>
          <w:lang w:eastAsia="ar-SA"/>
        </w:rPr>
        <w:t>Společný trh</w:t>
      </w:r>
      <w:r w:rsidRPr="00D059B5">
        <w:rPr>
          <w:rFonts w:eastAsia="SimSun"/>
          <w:kern w:val="2"/>
          <w:sz w:val="24"/>
          <w:szCs w:val="24"/>
          <w:lang w:eastAsia="ar-SA"/>
        </w:rPr>
        <w:t xml:space="preserve"> – znamená rozšíření volného pohybu zboží a služeb i pro výrobní faktory práci a kapitál. Společný (jednotný) vnitřní trh je vytvořen a stále rozšiřován zejména Evropskou unií.</w:t>
      </w:r>
    </w:p>
    <w:p w:rsidR="00BE09E0" w:rsidRPr="00D059B5" w:rsidRDefault="00BE09E0" w:rsidP="00BE09E0">
      <w:pPr>
        <w:contextualSpacing/>
        <w:jc w:val="both"/>
        <w:rPr>
          <w:rFonts w:eastAsia="SimSun"/>
          <w:kern w:val="2"/>
          <w:sz w:val="24"/>
          <w:szCs w:val="24"/>
          <w:lang w:eastAsia="ar-SA"/>
        </w:rPr>
      </w:pPr>
    </w:p>
    <w:p w:rsidR="008146BD" w:rsidRDefault="008146BD" w:rsidP="008146BD">
      <w:pPr>
        <w:numPr>
          <w:ilvl w:val="0"/>
          <w:numId w:val="38"/>
        </w:numPr>
        <w:ind w:left="357" w:hanging="357"/>
        <w:contextualSpacing/>
        <w:jc w:val="both"/>
        <w:rPr>
          <w:rFonts w:eastAsia="SimSun"/>
          <w:kern w:val="2"/>
          <w:sz w:val="24"/>
          <w:szCs w:val="24"/>
          <w:lang w:eastAsia="ar-SA"/>
        </w:rPr>
      </w:pPr>
      <w:r w:rsidRPr="00D53B52">
        <w:rPr>
          <w:rFonts w:eastAsia="SimSun"/>
          <w:b/>
          <w:kern w:val="2"/>
          <w:sz w:val="24"/>
          <w:szCs w:val="24"/>
          <w:lang w:eastAsia="ar-SA"/>
        </w:rPr>
        <w:t>Hospodářská a měnová unie</w:t>
      </w:r>
      <w:r w:rsidRPr="00D059B5">
        <w:rPr>
          <w:rFonts w:eastAsia="SimSun"/>
          <w:kern w:val="2"/>
          <w:sz w:val="24"/>
          <w:szCs w:val="24"/>
          <w:lang w:eastAsia="ar-SA"/>
        </w:rPr>
        <w:t xml:space="preserve"> – skutečný přechod k nadstátní formě integrace, sjednocení jednotlivých částí hospodářské politiky, přesun pravomocí na nadstátní orgány znamená realizaci jednotné hospodářské politiky a měnovou unii. Příkladem je Evropská unie, která realizuje společné politiky (obchodní, dopravní, zemědělská a měnová), kde je přesun pravomocí absolutní a dále komunitární politik</w:t>
      </w:r>
      <w:r>
        <w:rPr>
          <w:rFonts w:eastAsia="SimSun"/>
          <w:kern w:val="2"/>
          <w:sz w:val="24"/>
          <w:szCs w:val="24"/>
          <w:lang w:eastAsia="ar-SA"/>
        </w:rPr>
        <w:t>y</w:t>
      </w:r>
      <w:r w:rsidRPr="00D059B5">
        <w:rPr>
          <w:rFonts w:eastAsia="SimSun"/>
          <w:kern w:val="2"/>
          <w:sz w:val="24"/>
          <w:szCs w:val="24"/>
          <w:lang w:eastAsia="ar-SA"/>
        </w:rPr>
        <w:t xml:space="preserve"> v</w:t>
      </w:r>
      <w:r>
        <w:rPr>
          <w:rFonts w:eastAsia="SimSun"/>
          <w:kern w:val="2"/>
          <w:sz w:val="24"/>
          <w:szCs w:val="24"/>
          <w:lang w:eastAsia="ar-SA"/>
        </w:rPr>
        <w:t xml:space="preserve"> </w:t>
      </w:r>
      <w:r w:rsidRPr="00D059B5">
        <w:rPr>
          <w:rFonts w:eastAsia="SimSun"/>
          <w:kern w:val="2"/>
          <w:sz w:val="24"/>
          <w:szCs w:val="24"/>
          <w:lang w:eastAsia="ar-SA"/>
        </w:rPr>
        <w:t xml:space="preserve">oblastech, ve kterých </w:t>
      </w:r>
      <w:r>
        <w:rPr>
          <w:rFonts w:eastAsia="SimSun"/>
          <w:kern w:val="2"/>
          <w:sz w:val="24"/>
          <w:szCs w:val="24"/>
          <w:lang w:eastAsia="ar-SA"/>
        </w:rPr>
        <w:t xml:space="preserve">jsou členskými zeměmi odsouhlasena </w:t>
      </w:r>
      <w:r w:rsidRPr="00D059B5">
        <w:rPr>
          <w:rFonts w:eastAsia="SimSun"/>
          <w:kern w:val="2"/>
          <w:sz w:val="24"/>
          <w:szCs w:val="24"/>
          <w:lang w:eastAsia="ar-SA"/>
        </w:rPr>
        <w:t>základní pravidla. Členem Hospodářské a měnové unie je všech 28 členských zemí, přičemž 18 z nich tvoří eurozónu (</w:t>
      </w:r>
      <w:r>
        <w:rPr>
          <w:rFonts w:eastAsia="SimSun"/>
          <w:kern w:val="2"/>
          <w:sz w:val="24"/>
          <w:szCs w:val="24"/>
          <w:lang w:eastAsia="ar-SA"/>
        </w:rPr>
        <w:t xml:space="preserve">se </w:t>
      </w:r>
      <w:r w:rsidRPr="00D059B5">
        <w:rPr>
          <w:rFonts w:eastAsia="SimSun"/>
          <w:kern w:val="2"/>
          <w:sz w:val="24"/>
          <w:szCs w:val="24"/>
          <w:lang w:eastAsia="ar-SA"/>
        </w:rPr>
        <w:t>společnou měn</w:t>
      </w:r>
      <w:r>
        <w:rPr>
          <w:rFonts w:eastAsia="SimSun"/>
          <w:kern w:val="2"/>
          <w:sz w:val="24"/>
          <w:szCs w:val="24"/>
          <w:lang w:eastAsia="ar-SA"/>
        </w:rPr>
        <w:t>ou</w:t>
      </w:r>
      <w:r w:rsidRPr="00D059B5">
        <w:rPr>
          <w:rFonts w:eastAsia="SimSun"/>
          <w:kern w:val="2"/>
          <w:sz w:val="24"/>
          <w:szCs w:val="24"/>
          <w:lang w:eastAsia="ar-SA"/>
        </w:rPr>
        <w:t xml:space="preserve"> Euro).</w:t>
      </w:r>
    </w:p>
    <w:p w:rsidR="00BE09E0" w:rsidRPr="00D059B5" w:rsidRDefault="00BE09E0" w:rsidP="00BE09E0">
      <w:pPr>
        <w:contextualSpacing/>
        <w:jc w:val="both"/>
        <w:rPr>
          <w:rFonts w:eastAsia="SimSun"/>
          <w:kern w:val="2"/>
          <w:sz w:val="24"/>
          <w:szCs w:val="24"/>
          <w:lang w:eastAsia="ar-SA"/>
        </w:rPr>
      </w:pPr>
    </w:p>
    <w:p w:rsidR="008146BD" w:rsidRDefault="008146BD" w:rsidP="008146BD">
      <w:pPr>
        <w:numPr>
          <w:ilvl w:val="0"/>
          <w:numId w:val="38"/>
        </w:numPr>
        <w:spacing w:before="200" w:after="0"/>
        <w:ind w:left="357" w:hanging="357"/>
        <w:contextualSpacing/>
        <w:jc w:val="both"/>
        <w:rPr>
          <w:rFonts w:eastAsia="SimSun"/>
          <w:kern w:val="2"/>
          <w:sz w:val="24"/>
          <w:szCs w:val="24"/>
          <w:lang w:eastAsia="ar-SA"/>
        </w:rPr>
      </w:pPr>
      <w:r w:rsidRPr="00D53B52">
        <w:rPr>
          <w:rFonts w:eastAsia="SimSun"/>
          <w:b/>
          <w:kern w:val="2"/>
          <w:sz w:val="24"/>
          <w:szCs w:val="24"/>
          <w:lang w:eastAsia="ar-SA"/>
        </w:rPr>
        <w:t>Politická unie</w:t>
      </w:r>
      <w:r w:rsidRPr="00D059B5">
        <w:rPr>
          <w:rFonts w:eastAsia="SimSun"/>
          <w:kern w:val="2"/>
          <w:sz w:val="24"/>
          <w:szCs w:val="24"/>
          <w:lang w:eastAsia="ar-SA"/>
        </w:rPr>
        <w:t xml:space="preserve"> – je vyústěním integračních procesů, členské země se </w:t>
      </w:r>
      <w:r>
        <w:rPr>
          <w:rFonts w:eastAsia="SimSun"/>
          <w:kern w:val="2"/>
          <w:sz w:val="24"/>
          <w:szCs w:val="24"/>
          <w:lang w:eastAsia="ar-SA"/>
        </w:rPr>
        <w:t xml:space="preserve">zde </w:t>
      </w:r>
      <w:r w:rsidRPr="00D059B5">
        <w:rPr>
          <w:rFonts w:eastAsia="SimSun"/>
          <w:kern w:val="2"/>
          <w:sz w:val="24"/>
          <w:szCs w:val="24"/>
          <w:lang w:eastAsia="ar-SA"/>
        </w:rPr>
        <w:t>zcela zříkají své suverenity nejen v oblasti hospodářské, ale také politické. Fakticky znamená vytvoření nového státu, například na principu federálního uspořádání.</w:t>
      </w:r>
    </w:p>
    <w:p w:rsidR="008146BD" w:rsidRPr="00D059B5" w:rsidRDefault="00D53B52" w:rsidP="008146BD">
      <w:pPr>
        <w:spacing w:before="200"/>
        <w:ind w:firstLine="720"/>
        <w:jc w:val="both"/>
        <w:rPr>
          <w:rFonts w:eastAsia="SimSun"/>
          <w:kern w:val="2"/>
          <w:sz w:val="24"/>
          <w:szCs w:val="24"/>
          <w:lang w:eastAsia="ar-SA"/>
        </w:rPr>
      </w:pPr>
      <w:r>
        <w:rPr>
          <w:rFonts w:eastAsia="SimSun"/>
          <w:kern w:val="2"/>
          <w:sz w:val="24"/>
          <w:szCs w:val="24"/>
          <w:lang w:eastAsia="ar-SA"/>
        </w:rPr>
        <w:t>Kromě</w:t>
      </w:r>
      <w:r w:rsidR="008146BD" w:rsidRPr="00D059B5">
        <w:rPr>
          <w:rFonts w:eastAsia="SimSun"/>
          <w:kern w:val="2"/>
          <w:sz w:val="24"/>
          <w:szCs w:val="24"/>
          <w:lang w:eastAsia="ar-SA"/>
        </w:rPr>
        <w:t xml:space="preserve"> institucí představujících různý stupeň ekonomické integrace existují také organizace, které chrání zájmy členských zemí v oblasti mezinárodního obchodu. Některým již byla věnována pozornost v předchozí části (OSN, EU, OECD). Pro lepší pochopení </w:t>
      </w:r>
      <w:r w:rsidR="008146BD" w:rsidRPr="00D059B5">
        <w:rPr>
          <w:rFonts w:eastAsia="SimSun"/>
          <w:kern w:val="2"/>
          <w:sz w:val="24"/>
          <w:szCs w:val="24"/>
          <w:lang w:eastAsia="ar-SA"/>
        </w:rPr>
        <w:lastRenderedPageBreak/>
        <w:t>problematiky protekcionismu a liberalismu v mezinárodním obchodě je důležité podrobněji zmínit Světovou obchodní organizaci (WTO)</w:t>
      </w:r>
      <w:r w:rsidR="008146BD">
        <w:rPr>
          <w:rFonts w:eastAsia="SimSun"/>
          <w:kern w:val="2"/>
          <w:sz w:val="24"/>
          <w:szCs w:val="24"/>
          <w:lang w:eastAsia="ar-SA"/>
        </w:rPr>
        <w:t xml:space="preserve"> včetně </w:t>
      </w:r>
      <w:r w:rsidR="008146BD" w:rsidRPr="00D059B5">
        <w:rPr>
          <w:rFonts w:eastAsia="SimSun"/>
          <w:kern w:val="2"/>
          <w:sz w:val="24"/>
          <w:szCs w:val="24"/>
          <w:lang w:eastAsia="ar-SA"/>
        </w:rPr>
        <w:t>její předchůdkyn</w:t>
      </w:r>
      <w:r w:rsidR="008146BD">
        <w:rPr>
          <w:rFonts w:eastAsia="SimSun"/>
          <w:kern w:val="2"/>
          <w:sz w:val="24"/>
          <w:szCs w:val="24"/>
          <w:lang w:eastAsia="ar-SA"/>
        </w:rPr>
        <w:t>ě</w:t>
      </w:r>
      <w:r w:rsidR="008146BD" w:rsidRPr="00D059B5">
        <w:rPr>
          <w:rFonts w:eastAsia="SimSun"/>
          <w:kern w:val="2"/>
          <w:sz w:val="24"/>
          <w:szCs w:val="24"/>
          <w:lang w:eastAsia="ar-SA"/>
        </w:rPr>
        <w:t xml:space="preserve"> Všeobecn</w:t>
      </w:r>
      <w:r w:rsidR="008146BD">
        <w:rPr>
          <w:rFonts w:eastAsia="SimSun"/>
          <w:kern w:val="2"/>
          <w:sz w:val="24"/>
          <w:szCs w:val="24"/>
          <w:lang w:eastAsia="ar-SA"/>
        </w:rPr>
        <w:t>é</w:t>
      </w:r>
      <w:r w:rsidR="008146BD" w:rsidRPr="00D059B5">
        <w:rPr>
          <w:rFonts w:eastAsia="SimSun"/>
          <w:kern w:val="2"/>
          <w:sz w:val="24"/>
          <w:szCs w:val="24"/>
          <w:lang w:eastAsia="ar-SA"/>
        </w:rPr>
        <w:t xml:space="preserve"> dohod</w:t>
      </w:r>
      <w:r w:rsidR="008146BD">
        <w:rPr>
          <w:rFonts w:eastAsia="SimSun"/>
          <w:kern w:val="2"/>
          <w:sz w:val="24"/>
          <w:szCs w:val="24"/>
          <w:lang w:eastAsia="ar-SA"/>
        </w:rPr>
        <w:t>y</w:t>
      </w:r>
      <w:r w:rsidR="007F79BC">
        <w:rPr>
          <w:rFonts w:eastAsia="SimSun"/>
          <w:kern w:val="2"/>
          <w:sz w:val="24"/>
          <w:szCs w:val="24"/>
          <w:lang w:eastAsia="ar-SA"/>
        </w:rPr>
        <w:t xml:space="preserve"> o </w:t>
      </w:r>
      <w:r w:rsidR="008146BD" w:rsidRPr="00D059B5">
        <w:rPr>
          <w:rFonts w:eastAsia="SimSun"/>
          <w:kern w:val="2"/>
          <w:sz w:val="24"/>
          <w:szCs w:val="24"/>
          <w:lang w:eastAsia="ar-SA"/>
        </w:rPr>
        <w:t>clech a obchodu (GATT), ale také Organizaci zemí vyvážejících ropu (OPEC). Právě tyto organizace zásadním způsobem ovlivňují vývoj mezinárodního obchodu.</w:t>
      </w:r>
    </w:p>
    <w:p w:rsidR="008146BD" w:rsidRPr="00D059B5" w:rsidRDefault="008146BD" w:rsidP="008146BD">
      <w:pPr>
        <w:keepNext/>
        <w:ind w:firstLine="720"/>
        <w:jc w:val="both"/>
        <w:rPr>
          <w:rFonts w:eastAsia="SimSun"/>
          <w:kern w:val="2"/>
          <w:sz w:val="24"/>
          <w:szCs w:val="24"/>
          <w:lang w:eastAsia="ar-SA"/>
        </w:rPr>
      </w:pPr>
      <w:r w:rsidRPr="00D059B5">
        <w:rPr>
          <w:rFonts w:eastAsia="SimSun"/>
          <w:kern w:val="2"/>
          <w:sz w:val="24"/>
          <w:szCs w:val="24"/>
          <w:lang w:eastAsia="ar-SA"/>
        </w:rPr>
        <w:t>Na základě tzv. Brettonwoodské dohody (1944) měl</w:t>
      </w:r>
      <w:r w:rsidR="007F79BC">
        <w:rPr>
          <w:rFonts w:eastAsia="SimSun"/>
          <w:kern w:val="2"/>
          <w:sz w:val="24"/>
          <w:szCs w:val="24"/>
          <w:lang w:eastAsia="ar-SA"/>
        </w:rPr>
        <w:t>y vzniknout Stabilizační fond a </w:t>
      </w:r>
      <w:r w:rsidRPr="00D059B5">
        <w:rPr>
          <w:rFonts w:eastAsia="SimSun"/>
          <w:kern w:val="2"/>
          <w:sz w:val="24"/>
          <w:szCs w:val="24"/>
          <w:lang w:eastAsia="ar-SA"/>
        </w:rPr>
        <w:t xml:space="preserve">Mezinárodní banka pro obnovu a rozvoj. Zatímco fond vznikl v roce 1945 (Mezinárodní měnový fond), ke vzniku banky nedošlo z důvodu nesouhlasu USA. </w:t>
      </w:r>
      <w:r>
        <w:rPr>
          <w:rFonts w:eastAsia="SimSun"/>
          <w:kern w:val="2"/>
          <w:sz w:val="24"/>
          <w:szCs w:val="24"/>
          <w:lang w:eastAsia="ar-SA"/>
        </w:rPr>
        <w:t>V</w:t>
      </w:r>
      <w:r w:rsidRPr="00D059B5">
        <w:rPr>
          <w:rFonts w:eastAsia="SimSun"/>
          <w:kern w:val="2"/>
          <w:sz w:val="24"/>
          <w:szCs w:val="24"/>
          <w:lang w:eastAsia="ar-SA"/>
        </w:rPr>
        <w:t xml:space="preserve"> roce 1946 </w:t>
      </w:r>
      <w:r>
        <w:rPr>
          <w:rFonts w:eastAsia="SimSun"/>
          <w:kern w:val="2"/>
          <w:sz w:val="24"/>
          <w:szCs w:val="24"/>
          <w:lang w:eastAsia="ar-SA"/>
        </w:rPr>
        <w:t>b</w:t>
      </w:r>
      <w:r w:rsidRPr="00D059B5">
        <w:rPr>
          <w:rFonts w:eastAsia="SimSun"/>
          <w:kern w:val="2"/>
          <w:sz w:val="24"/>
          <w:szCs w:val="24"/>
          <w:lang w:eastAsia="ar-SA"/>
        </w:rPr>
        <w:t>yla podepsána pouze Všeobecná dohoda o clech a obchodu (GATT). Jednání probíhala v tzv. kolech, kterých bylo celkem sedm, první v roce 1947 v Ženevě, poslední 1986 v Punta del Este (známé jako Uruguayské kolo, kterého se účastnilo již 128 zemí). Nejprve bylo obsahem dohod postupné odstraňování tar</w:t>
      </w:r>
      <w:r w:rsidR="00D53B52">
        <w:rPr>
          <w:rFonts w:eastAsia="SimSun"/>
          <w:kern w:val="2"/>
          <w:sz w:val="24"/>
          <w:szCs w:val="24"/>
          <w:lang w:eastAsia="ar-SA"/>
        </w:rPr>
        <w:t>ifních bariér (snižování cel), p</w:t>
      </w:r>
      <w:r w:rsidRPr="00D059B5">
        <w:rPr>
          <w:rFonts w:eastAsia="SimSun"/>
          <w:kern w:val="2"/>
          <w:sz w:val="24"/>
          <w:szCs w:val="24"/>
          <w:lang w:eastAsia="ar-SA"/>
        </w:rPr>
        <w:t>ozději došlo k odstranění dalších netarifních bariér mezinárodního obchodu</w:t>
      </w:r>
      <w:r w:rsidR="00D53B52">
        <w:rPr>
          <w:rFonts w:eastAsia="SimSun"/>
          <w:kern w:val="2"/>
          <w:sz w:val="24"/>
          <w:szCs w:val="24"/>
          <w:lang w:eastAsia="ar-SA"/>
        </w:rPr>
        <w:t>,</w:t>
      </w:r>
      <w:r w:rsidRPr="00D059B5">
        <w:rPr>
          <w:rFonts w:eastAsia="SimSun"/>
          <w:kern w:val="2"/>
          <w:sz w:val="24"/>
          <w:szCs w:val="24"/>
          <w:lang w:eastAsia="ar-SA"/>
        </w:rPr>
        <w:t xml:space="preserve"> resp. k podpoře liberalizace obchodních vztahů </w:t>
      </w:r>
      <w:r>
        <w:rPr>
          <w:rFonts w:eastAsia="SimSun"/>
          <w:kern w:val="2"/>
          <w:sz w:val="24"/>
          <w:szCs w:val="24"/>
          <w:lang w:eastAsia="ar-SA"/>
        </w:rPr>
        <w:t xml:space="preserve">– </w:t>
      </w:r>
      <w:r w:rsidRPr="00D059B5">
        <w:rPr>
          <w:rFonts w:eastAsia="SimSun"/>
          <w:kern w:val="2"/>
          <w:sz w:val="24"/>
          <w:szCs w:val="24"/>
          <w:lang w:eastAsia="ar-SA"/>
        </w:rPr>
        <w:t>dumpingová opatření, celní unie, dobrovolná exportní omezení, nediskriminace, mírnější přístup vůči rozvojovým zemím apod.</w:t>
      </w:r>
      <w:r>
        <w:rPr>
          <w:rFonts w:eastAsia="SimSun"/>
          <w:kern w:val="2"/>
          <w:sz w:val="24"/>
          <w:szCs w:val="24"/>
          <w:lang w:eastAsia="ar-SA"/>
        </w:rPr>
        <w:t xml:space="preserve"> </w:t>
      </w:r>
      <w:r w:rsidRPr="00D059B5">
        <w:rPr>
          <w:rFonts w:eastAsia="SimSun"/>
          <w:kern w:val="2"/>
          <w:sz w:val="24"/>
          <w:szCs w:val="24"/>
          <w:lang w:eastAsia="ar-SA"/>
        </w:rPr>
        <w:t>(Kliková, Kotlán a kol., 2012)</w:t>
      </w:r>
      <w:r>
        <w:rPr>
          <w:rFonts w:eastAsia="SimSun"/>
          <w:kern w:val="2"/>
          <w:sz w:val="24"/>
          <w:szCs w:val="24"/>
          <w:lang w:eastAsia="ar-SA"/>
        </w:rPr>
        <w:t xml:space="preserve">. </w:t>
      </w:r>
      <w:r w:rsidRPr="00D059B5">
        <w:rPr>
          <w:rFonts w:eastAsia="SimSun"/>
          <w:kern w:val="2"/>
          <w:sz w:val="24"/>
          <w:szCs w:val="24"/>
          <w:lang w:eastAsia="ar-SA"/>
        </w:rPr>
        <w:t xml:space="preserve">Až v roce 1995 došlo k faktickému naplnění Brettonwoodské dohody a GATT byla na základě dohody z Marrakéše nahrazena Světovou obchodní </w:t>
      </w:r>
      <w:r>
        <w:rPr>
          <w:rFonts w:eastAsia="SimSun"/>
          <w:kern w:val="2"/>
          <w:sz w:val="24"/>
          <w:szCs w:val="24"/>
          <w:lang w:eastAsia="ar-SA"/>
        </w:rPr>
        <w:t>organizací</w:t>
      </w:r>
      <w:r w:rsidRPr="00D059B5">
        <w:rPr>
          <w:rFonts w:eastAsia="SimSun"/>
          <w:kern w:val="2"/>
          <w:sz w:val="24"/>
          <w:szCs w:val="24"/>
          <w:lang w:eastAsia="ar-SA"/>
        </w:rPr>
        <w:t xml:space="preserve"> (WTO). Původně měla 128 členů, v současnosti má 159 členů a dalších 25 států jedná o přistoupení. K hlavním úkolům WTO patří napomáhat volnému obchodu, vytvářet platformu pro obchodní vyjednávání členských zemí a pomáhat řešit případné obchodní konflikty. Ke všem členům je přistupováno shodně (princip nediskriminace), kdy jsou veškeré dohody závazné pro všechny. Součástí ujednání WTO je také ochrana pravidel hospodářské soutěže (WTO, 2014)</w:t>
      </w:r>
      <w:r>
        <w:rPr>
          <w:rFonts w:eastAsia="SimSun"/>
          <w:kern w:val="2"/>
          <w:sz w:val="24"/>
          <w:szCs w:val="24"/>
          <w:lang w:eastAsia="ar-SA"/>
        </w:rPr>
        <w:t>.</w:t>
      </w:r>
    </w:p>
    <w:p w:rsidR="00FE4898" w:rsidRDefault="008146BD" w:rsidP="00FE4898">
      <w:pPr>
        <w:keepNext/>
        <w:ind w:firstLine="720"/>
        <w:jc w:val="both"/>
        <w:rPr>
          <w:rFonts w:eastAsia="SimSun"/>
          <w:kern w:val="2"/>
          <w:sz w:val="24"/>
          <w:szCs w:val="24"/>
          <w:lang w:eastAsia="ar-SA"/>
        </w:rPr>
      </w:pPr>
      <w:r w:rsidRPr="00D059B5">
        <w:rPr>
          <w:rFonts w:eastAsia="SimSun"/>
          <w:kern w:val="2"/>
          <w:sz w:val="24"/>
          <w:szCs w:val="24"/>
          <w:lang w:eastAsia="ar-SA"/>
        </w:rPr>
        <w:t>Velký význam pro světovou ekonomiku mají i tzv. mezinárodní surovinové dohody. Nejznámější z nich je bezesporu Organizace zemí vyvážejících ropu (OPEC). Byla založena v roce 1960. Jejími členy jsou hlavní světoví producenti ropy: Alžírsko, Ekvádor, Gabun, Indonésie, Irák, Irán, Katar, Kuvajt, Libye, Nigérie, Saudská Arábie, Spojené arabské emiráty a Venezuela. Jedná se fakticky o cenový kartel, jehož úkolem je regulovat (koordinovat) množství těžené ropy</w:t>
      </w:r>
      <w:r w:rsidR="009E47EC">
        <w:rPr>
          <w:rFonts w:eastAsia="SimSun"/>
          <w:kern w:val="2"/>
          <w:sz w:val="24"/>
          <w:szCs w:val="24"/>
          <w:lang w:eastAsia="ar-SA"/>
        </w:rPr>
        <w:t>,</w:t>
      </w:r>
      <w:r w:rsidRPr="00D059B5">
        <w:rPr>
          <w:rFonts w:eastAsia="SimSun"/>
          <w:kern w:val="2"/>
          <w:sz w:val="24"/>
          <w:szCs w:val="24"/>
          <w:lang w:eastAsia="ar-SA"/>
        </w:rPr>
        <w:t xml:space="preserve"> a tím ovlivňovat vývoj její ceny. OPEC sehrál klíčovou roli při tzv. ropnýc</w:t>
      </w:r>
      <w:r w:rsidR="009E47EC">
        <w:rPr>
          <w:rFonts w:eastAsia="SimSun"/>
          <w:kern w:val="2"/>
          <w:sz w:val="24"/>
          <w:szCs w:val="24"/>
          <w:lang w:eastAsia="ar-SA"/>
        </w:rPr>
        <w:t>h šocích v letech 1973 a 1978. V</w:t>
      </w:r>
      <w:r w:rsidRPr="00D059B5">
        <w:rPr>
          <w:rFonts w:eastAsia="SimSun"/>
          <w:kern w:val="2"/>
          <w:sz w:val="24"/>
          <w:szCs w:val="24"/>
          <w:lang w:eastAsia="ar-SA"/>
        </w:rPr>
        <w:t xml:space="preserve"> současnosti zásadním způsobem ovlivňuje cenu ropy, </w:t>
      </w:r>
      <w:r>
        <w:rPr>
          <w:rFonts w:eastAsia="SimSun"/>
          <w:kern w:val="2"/>
          <w:sz w:val="24"/>
          <w:szCs w:val="24"/>
          <w:lang w:eastAsia="ar-SA"/>
        </w:rPr>
        <w:t xml:space="preserve">kdy </w:t>
      </w:r>
      <w:r w:rsidRPr="00D059B5">
        <w:rPr>
          <w:rFonts w:eastAsia="SimSun"/>
          <w:kern w:val="2"/>
          <w:sz w:val="24"/>
          <w:szCs w:val="24"/>
          <w:lang w:eastAsia="ar-SA"/>
        </w:rPr>
        <w:t>snížením objemu těžby vyvolává růst ceny (Kliková, Kotlán a kol. 2012, více viz OPEC, 2013)</w:t>
      </w:r>
      <w:r>
        <w:rPr>
          <w:rFonts w:eastAsia="SimSun"/>
          <w:kern w:val="2"/>
          <w:sz w:val="24"/>
          <w:szCs w:val="24"/>
          <w:lang w:eastAsia="ar-SA"/>
        </w:rPr>
        <w:t xml:space="preserve">. </w:t>
      </w:r>
      <w:r w:rsidRPr="00D059B5">
        <w:rPr>
          <w:rFonts w:eastAsia="SimSun"/>
          <w:kern w:val="2"/>
          <w:sz w:val="24"/>
          <w:szCs w:val="24"/>
          <w:lang w:eastAsia="ar-SA"/>
        </w:rPr>
        <w:t>Následující obrázek znázorňuje schéma světové ekonomiky. Je patrné, že současné pojetí mezinárodního obchodu, které je založeno na liberalizaci trhu zboží a služeb, ale i trhu kapitálu, vede ke vzniku nadnárodních korporací (více část 5.4), vzniku mezinárodních institucí a v konečném důsledku k prohlubování ekonomické integrace.</w:t>
      </w:r>
    </w:p>
    <w:p w:rsidR="00BE09E0" w:rsidRDefault="00BE09E0" w:rsidP="00FE4898">
      <w:pPr>
        <w:keepNext/>
        <w:ind w:firstLine="720"/>
        <w:jc w:val="both"/>
        <w:rPr>
          <w:rFonts w:eastAsia="SimSun"/>
          <w:kern w:val="2"/>
          <w:sz w:val="24"/>
          <w:szCs w:val="24"/>
          <w:lang w:eastAsia="ar-SA"/>
        </w:rPr>
      </w:pPr>
    </w:p>
    <w:p w:rsidR="00BE09E0" w:rsidRDefault="00BE09E0" w:rsidP="00FE4898">
      <w:pPr>
        <w:keepNext/>
        <w:ind w:firstLine="720"/>
        <w:jc w:val="both"/>
        <w:rPr>
          <w:rFonts w:eastAsia="SimSun"/>
          <w:kern w:val="2"/>
          <w:sz w:val="24"/>
          <w:szCs w:val="24"/>
          <w:lang w:eastAsia="ar-SA"/>
        </w:rPr>
      </w:pPr>
    </w:p>
    <w:p w:rsidR="00BE09E0" w:rsidRDefault="00BE09E0" w:rsidP="00FE4898">
      <w:pPr>
        <w:keepNext/>
        <w:ind w:firstLine="720"/>
        <w:jc w:val="both"/>
        <w:rPr>
          <w:rFonts w:eastAsia="SimSun"/>
          <w:kern w:val="2"/>
          <w:sz w:val="24"/>
          <w:szCs w:val="24"/>
          <w:lang w:eastAsia="ar-SA"/>
        </w:rPr>
      </w:pPr>
    </w:p>
    <w:p w:rsidR="00BE09E0" w:rsidRPr="00D059B5" w:rsidRDefault="00BE09E0" w:rsidP="00FE4898">
      <w:pPr>
        <w:keepNext/>
        <w:ind w:firstLine="720"/>
        <w:jc w:val="both"/>
        <w:rPr>
          <w:rFonts w:eastAsia="SimSun"/>
          <w:kern w:val="2"/>
          <w:sz w:val="24"/>
          <w:szCs w:val="24"/>
          <w:lang w:eastAsia="ar-SA"/>
        </w:rPr>
      </w:pPr>
    </w:p>
    <w:p w:rsidR="00BE09E0" w:rsidRDefault="00BE09E0" w:rsidP="00BE09E0"/>
    <w:p w:rsidR="00BE09E0" w:rsidRPr="00BE09E0" w:rsidRDefault="00BE09E0" w:rsidP="00BE09E0"/>
    <w:p w:rsidR="00BE09E0" w:rsidRPr="00BE09E0" w:rsidRDefault="00B40349" w:rsidP="00BE09E0">
      <w:r>
        <w:lastRenderedPageBreak/>
        <w:pict>
          <v:group id="Skupina 90" o:spid="_x0000_s1433" style="position:absolute;margin-left:.3pt;margin-top:4.25pt;width:421.7pt;height:295.8pt;z-index:251816960" coordsize="53556,3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">
            <v:rect id="Obdélník 91" o:spid="_x0000_s1434" style="position:absolute;left:979;top:20900;width:16873;height:4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HxcQA&#10;AADbAAAADwAAAGRycy9kb3ducmV2LnhtbESPQYvCMBSE78L+h/AWvGmqLMWtRlmWuoh40fXi7dE8&#10;22LzUptUq7/eCILHYWa+YWaLzlTiQo0rLSsYDSMQxJnVJecK9v/LwQSE88gaK8uk4EYOFvOP3gwT&#10;ba+8pcvO5yJA2CWooPC+TqR0WUEG3dDWxME72sagD7LJpW7wGuCmkuMoiqXBksNCgTX9FpSddq1R&#10;MG7XabUy7TreTA5tek/jr7/DWan+Z/czBeGp8+/wq73SCr5H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x8XEAAAA2wAAAA8AAAAAAAAAAAAAAAAAmAIAAGRycy9k&#10;b3ducmV2LnhtbFBLBQYAAAAABAAEAPUAAACJAwAAAAA=&#10;" fillcolor="white [3201]" strokecolor="black [3200]" strokeweight=".5pt">
              <v:textbox style="mso-next-textbox:#Obdélník 91">
                <w:txbxContent>
                  <w:p w:rsidR="00B40349" w:rsidRPr="00C561B1" w:rsidRDefault="00B40349" w:rsidP="00BE09E0">
                    <w:pPr>
                      <w:spacing w:after="0" w:line="240" w:lineRule="auto"/>
                      <w:jc w:val="center"/>
                      <w:rPr>
                        <w:rFonts w:ascii="Arial" w:hAnsi="Arial" w:cs="Arial"/>
                        <w:sz w:val="26"/>
                        <w:szCs w:val="26"/>
                      </w:rPr>
                    </w:pPr>
                    <w:r w:rsidRPr="00C561B1">
                      <w:rPr>
                        <w:rFonts w:ascii="Arial" w:hAnsi="Arial" w:cs="Arial"/>
                        <w:sz w:val="26"/>
                        <w:szCs w:val="26"/>
                      </w:rPr>
                      <w:t>Země A</w:t>
                    </w:r>
                  </w:p>
                </w:txbxContent>
              </v:textbox>
            </v:rect>
            <v:rect id="Obdélník 92" o:spid="_x0000_s1435" style="position:absolute;left:36684;top:20900;width:16872;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ZssUA&#10;AADbAAAADwAAAGRycy9kb3ducmV2LnhtbESPQWvCQBSE70L/w/IKvemmoQQb3QQpsYj0ou0lt0f2&#10;mQSzb2N2o2l/fbcg9DjMzDfMOp9MJ640uNaygudFBIK4srrlWsHX53a+BOE8ssbOMin4Jgd59jBb&#10;Y6rtjQ90PfpaBAi7FBU03veplK5qyKBb2J44eCc7GPRBDrXUA94C3HQyjqJEGmw5LDTY01tD1fk4&#10;GgXxuC+6nRn3yceyHIufInl5Ly9KPT1OmxUIT5P/D9/bO63gNYa/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FmyxQAAANsAAAAPAAAAAAAAAAAAAAAAAJgCAABkcnMv&#10;ZG93bnJldi54bWxQSwUGAAAAAAQABAD1AAAAigMAAAAA&#10;" fillcolor="white [3201]" strokecolor="black [3200]" strokeweight=".5pt">
              <v:textbox style="mso-next-textbox:#Obdélník 92">
                <w:txbxContent>
                  <w:p w:rsidR="00B40349" w:rsidRPr="00C561B1" w:rsidRDefault="00B40349" w:rsidP="00BE09E0">
                    <w:pPr>
                      <w:spacing w:after="0" w:line="240" w:lineRule="auto"/>
                      <w:jc w:val="center"/>
                      <w:rPr>
                        <w:rFonts w:ascii="Arial" w:hAnsi="Arial" w:cs="Arial"/>
                        <w:sz w:val="26"/>
                        <w:szCs w:val="26"/>
                      </w:rPr>
                    </w:pPr>
                    <w:r w:rsidRPr="00C561B1">
                      <w:rPr>
                        <w:rFonts w:ascii="Arial" w:hAnsi="Arial" w:cs="Arial"/>
                        <w:sz w:val="26"/>
                        <w:szCs w:val="26"/>
                      </w:rPr>
                      <w:t xml:space="preserve">Země </w:t>
                    </w:r>
                    <w:r>
                      <w:rPr>
                        <w:rFonts w:ascii="Arial" w:hAnsi="Arial" w:cs="Arial"/>
                        <w:sz w:val="26"/>
                        <w:szCs w:val="26"/>
                      </w:rPr>
                      <w:t>B</w:t>
                    </w:r>
                  </w:p>
                </w:txbxContent>
              </v:textbox>
            </v:rect>
            <v:rect id="Obdélník 93" o:spid="_x0000_s1436" style="position:absolute;left:27867;width:2307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8KcUA&#10;AADbAAAADwAAAGRycy9kb3ducmV2LnhtbESPQWvCQBSE7wX/w/KE3upGK0Gjq0hJi0gvRi/eHtln&#10;Esy+jdmNpv76bqHgcZiZb5jluje1uFHrKssKxqMIBHFudcWFguPh820GwnlkjbVlUvBDDtarwcsS&#10;E23vvKdb5gsRIOwSVFB63yRSurwkg25kG+LgnW1r0AfZFlK3eA9wU8tJFMXSYMVhocSGPkrKL1ln&#10;FEy6XVpvTbeLv2enLn2k8fTrdFXqddhvFiA89f4Z/m9vtYL5O/x9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PwpxQAAANsAAAAPAAAAAAAAAAAAAAAAAJgCAABkcnMv&#10;ZG93bnJldi54bWxQSwUGAAAAAAQABAD1AAAAigMAAAAA&#10;" fillcolor="white [3201]" strokecolor="black [3200]" strokeweight=".5pt">
              <v:textbox style="mso-next-textbox:#Obdélník 93">
                <w:txbxContent>
                  <w:p w:rsidR="00B40349" w:rsidRPr="00C561B1" w:rsidRDefault="00B40349" w:rsidP="00BE09E0">
                    <w:pPr>
                      <w:spacing w:after="0" w:line="240" w:lineRule="auto"/>
                      <w:jc w:val="center"/>
                      <w:rPr>
                        <w:rFonts w:ascii="Arial" w:hAnsi="Arial" w:cs="Arial"/>
                        <w:sz w:val="26"/>
                        <w:szCs w:val="26"/>
                      </w:rPr>
                    </w:pPr>
                    <w:r>
                      <w:rPr>
                        <w:rFonts w:ascii="Arial" w:hAnsi="Arial" w:cs="Arial"/>
                        <w:sz w:val="26"/>
                        <w:szCs w:val="26"/>
                      </w:rPr>
                      <w:t>Integrace zemí</w:t>
                    </w:r>
                  </w:p>
                </w:txbxContent>
              </v:textbox>
            </v:rect>
            <v:roundrect id="Zaoblený obdélník 94" o:spid="_x0000_s1437" style="position:absolute;left:20791;top:9470;width:13934;height:55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XsUA&#10;AADbAAAADwAAAGRycy9kb3ducmV2LnhtbESPQWvCQBSE74L/YXmCN91UpLTRTRCxUEsPNRXE2zP7&#10;mgSzb2N2Nem/7xYEj8PMfMMs097U4katqywreJpGIIhzqysuFOy/3yYvIJxH1lhbJgW/5CBNhoMl&#10;xtp2vKNb5gsRIOxiVFB638RSurwkg25qG+Lg/djWoA+yLaRusQtwU8tZFD1LgxWHhRIbWpeUn7Or&#10;UfDxeVxdNnO9PZv916nZbbuMDp1S41G/WoDw1PtH+N5+1wpe5/D/JfwA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FexQAAANsAAAAPAAAAAAAAAAAAAAAAAJgCAABkcnMv&#10;ZG93bnJldi54bWxQSwUGAAAAAAQABAD1AAAAigMAAAAA&#10;" fillcolor="white [3201]" strokecolor="black [3200]" strokeweight=".5pt">
              <v:textbox style="mso-next-textbox:#Zaoblený obdélník 94">
                <w:txbxContent>
                  <w:p w:rsidR="00B40349" w:rsidRPr="00C561B1" w:rsidRDefault="00B40349" w:rsidP="00BE09E0">
                    <w:pPr>
                      <w:spacing w:after="0" w:line="240" w:lineRule="auto"/>
                      <w:jc w:val="center"/>
                      <w:rPr>
                        <w:rFonts w:ascii="Arial" w:hAnsi="Arial" w:cs="Arial"/>
                        <w:sz w:val="26"/>
                        <w:szCs w:val="26"/>
                      </w:rPr>
                    </w:pPr>
                    <w:r w:rsidRPr="00C561B1">
                      <w:rPr>
                        <w:rFonts w:ascii="Arial" w:hAnsi="Arial" w:cs="Arial"/>
                        <w:sz w:val="26"/>
                        <w:szCs w:val="26"/>
                      </w:rPr>
                      <w:t>Mezinárodní instituce</w:t>
                    </w:r>
                  </w:p>
                </w:txbxContent>
              </v:textbox>
            </v:roundrect>
            <v:oval id="Ovál 95" o:spid="_x0000_s1438" style="position:absolute;left:13607;top:22206;width:26886;height:6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l/MYA&#10;AADbAAAADwAAAGRycy9kb3ducmV2LnhtbESPQWvCQBSE7wX/w/KEXkrdWNTamI2UtqIHLxqh10f2&#10;mQSzb0N2a2J/vSsIHoeZ+YZJlr2pxZlaV1lWMB5FIIhzqysuFByy1eschPPIGmvLpOBCDpbp4CnB&#10;WNuOd3Te+0IECLsYFZTeN7GULi/JoBvZhjh4R9sa9EG2hdQtdgFuavkWRTNpsOKwUGJDXyXlp/2f&#10;UVBNZtn3drdpLpl++V//+N/ufbJW6nnYfy5AeOr9I3xvb7SCjyncvo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Vl/MYAAADbAAAADwAAAAAAAAAAAAAAAACYAgAAZHJz&#10;L2Rvd25yZXYueG1sUEsFBgAAAAAEAAQA9QAAAIsDAAAAAA==&#10;" fillcolor="#d8d8d8 [2732]" strokecolor="black [3200]" strokeweight=".5pt">
              <v:textbox style="mso-next-textbox:#Ovál 95">
                <w:txbxContent>
                  <w:p w:rsidR="00B40349" w:rsidRPr="00C561B1" w:rsidRDefault="00B40349" w:rsidP="00BE09E0">
                    <w:pPr>
                      <w:spacing w:after="0" w:line="240" w:lineRule="auto"/>
                      <w:jc w:val="center"/>
                      <w:rPr>
                        <w:rFonts w:ascii="Arial" w:hAnsi="Arial" w:cs="Arial"/>
                        <w:sz w:val="26"/>
                        <w:szCs w:val="26"/>
                      </w:rPr>
                    </w:pPr>
                    <w:r w:rsidRPr="00C561B1">
                      <w:rPr>
                        <w:rFonts w:ascii="Arial" w:hAnsi="Arial" w:cs="Arial"/>
                        <w:sz w:val="26"/>
                        <w:szCs w:val="26"/>
                      </w:rPr>
                      <w:t>Nadnárodní korporace</w:t>
                    </w:r>
                  </w:p>
                </w:txbxContent>
              </v:textbox>
            </v:oval>
            <v:line id="Přímá spojnice 96" o:spid="_x0000_s1439" style="position:absolute;visibility:visible;mso-wrap-style:square" from="3374,1306" to="3374,2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RB48EAAADbAAAADwAAAGRycy9kb3ducmV2LnhtbESPwWrDMBBE74X+g9hCb7XsHoLrRDEl&#10;JbTXOIXkuFhby9RaGWubuH8fBQI5DjPzhlnVsx/UiabYBzZQZDko4jbYnjsD3/vtSwkqCrLFITAZ&#10;+KcI9frxYYWVDWfe0amRTiUIxwoNOJGx0jq2jjzGLIzEyfsJk0dJcuq0nfCc4H7Qr3m+0B57TgsO&#10;R9o4an+bP2/AH/qhLUj2H8LHbls2blN+7ox5fprfl6CEZrmHb+0va+BtAdcv6Qfo9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EHjwQAAANsAAAAPAAAAAAAAAAAAAAAA&#10;AKECAABkcnMvZG93bnJldi54bWxQSwUGAAAAAAQABAD5AAAAjwMAAAAA&#10;" strokecolor="black [3040]" strokeweight="1.5pt"/>
            <v:shape id="Přímá spojnice se šipkou 97" o:spid="_x0000_s1440" type="#_x0000_t32" style="position:absolute;left:3374;top:1306;width:244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4cMAAADbAAAADwAAAGRycy9kb3ducmV2LnhtbESPy4rCMBSG98K8QzgD7jQdB9SpRunI&#10;iC7ceHmAM82xF5uT0sRa394Igsuf//Lxz5edqURLjSssK/gaRiCIU6sLzhScjuvBFITzyBory6Tg&#10;Tg6Wi4/eHGNtb7yn9uAzEUbYxagg976OpXRpTgbd0NbEwTvbxqAPssmkbvAWxk0lR1E0lgYLDoQc&#10;a1rllF4OVxMgm7/fupy2LtmdVmXy747n70mpVP+zS2YgPHX+HX61t1rBzwS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9KeHDAAAA2wAAAA8AAAAAAAAAAAAA&#10;AAAAoQIAAGRycy9kb3ducmV2LnhtbFBLBQYAAAAABAAEAPkAAACRAwAAAAA=&#10;" strokecolor="black [3040]" strokeweight="1.5pt">
              <v:stroke endarrow="block"/>
            </v:shape>
            <v:line id="Přímá spojnice 98" o:spid="_x0000_s1441" style="position:absolute;flip:x;visibility:visible;mso-wrap-style:square" from="5987,2612" to="27866,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OK8MAAADbAAAADwAAAGRycy9kb3ducmV2LnhtbERPz2vCMBS+C/sfwhvsIpp2wpydsYgw&#10;mHiY6wTx9mieTVnzUpq0dv/9chB2/Ph+r/PRNmKgzteOFaTzBARx6XTNlYLT9/vsFYQPyBobx6Tg&#10;lzzkm4fJGjPtbvxFQxEqEUPYZ6jAhNBmUvrSkEU/dy1x5K6usxgi7CqpO7zFcNvI5yR5kRZrjg0G&#10;W9oZKn+K3iq4pudmcaTDZ6GnSX9eLs3+eDFKPT2O2zcQgcbwL767P7SCVRwbv8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QDivDAAAA2wAAAA8AAAAAAAAAAAAA&#10;AAAAoQIAAGRycy9kb3ducmV2LnhtbFBLBQYAAAAABAAEAPkAAACRAwAAAAA=&#10;" strokecolor="black [3040]" strokeweight="1.5pt">
              <v:stroke dashstyle="longDash"/>
            </v:line>
            <v:shape id="Přímá spojnice se šipkou 99" o:spid="_x0000_s1442" type="#_x0000_t32" style="position:absolute;left:5987;top:2612;width:0;height:18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VAfsQAAADbAAAADwAAAGRycy9kb3ducmV2LnhtbESPzWrDMBCE74W8g9hAb42UUkrjRAmJ&#10;SaAtveTnATbW+ie2VsZSbfftq0Ihx2FmvmFWm9E2oqfOV441zGcKBHHmTMWFhsv58PQGwgdkg41j&#10;0vBDHjbrycMKE+MGPlJ/CoWIEPYJaihDaBMpfVaSRT9zLXH0ctdZDFF2hTQdDhFuG/ms1Ku0WHFc&#10;KLGltKSsPn1bDXneVuP15fZRX76aw+cOVar2e60fp+N2CSLQGO7h//a70bBYwN+X+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UB+xAAAANsAAAAPAAAAAAAAAAAA&#10;AAAAAKECAABkcnMvZG93bnJldi54bWxQSwUGAAAAAAQABAD5AAAAkgMAAAAA&#10;" strokecolor="black [3040]" strokeweight="1.5pt">
              <v:stroke dashstyle="longDash" endarrow="block"/>
            </v:shape>
            <v:line id="Přímá spojnice 100" o:spid="_x0000_s1443" style="position:absolute;flip:x;visibility:visible;mso-wrap-style:square" from="8490,3701" to="27867,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eGsYAAADcAAAADwAAAGRycy9kb3ducmV2LnhtbESPT2vCQBDF70K/wzJCb3WjhaLRVWyh&#10;pcWDfyEeh+yYBLOzIbvV1E/vHAreZnhv3vvNbNG5Wl2oDZVnA8NBAoo497biwsBh//kyBhUissXa&#10;Mxn4owCL+VNvhqn1V97SZRcLJSEcUjRQxtikWoe8JIdh4Bti0U6+dRhlbQttW7xKuKv1KEnetMOK&#10;paHEhj5Kys+7X2fgdh7FTfaz/tLvy2p1yyavp2OTGfPc75ZTUJG6+DD/X39bwU8EX56RCf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UnhrGAAAA3AAAAA8AAAAAAAAA&#10;AAAAAAAAoQIAAGRycy9kb3ducmV2LnhtbFBLBQYAAAAABAAEAPkAAACUAwAAAAA=&#10;" strokecolor="black [3213]" strokeweight=".5pt"/>
            <v:shape id="Přímá spojnice se šipkou 101" o:spid="_x0000_s1444" type="#_x0000_t32" style="position:absolute;left:8490;top:3701;width:0;height:17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eCcIAAADcAAAADwAAAGRycy9kb3ducmV2LnhtbERPTWvCQBC9F/wPywi91Y0eSo3ZhCgK&#10;XmtF8DZkp0ma7GzMbmLqr+8WCr3N431Okk2mFSP1rrasYLmIQBAXVtdcKjh/HF7eQDiPrLG1TAq+&#10;yUGWzp4SjLW98zuNJ1+KEMIuRgWV910spSsqMugWtiMO3KftDfoA+1LqHu8h3LRyFUWv0mDNoaHC&#10;jnYVFc1pMAq4HB67dX6rt1hc269mtX80l71Sz/Mp34DwNPl/8Z/7qMP8aAm/z4QLZP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LeCcIAAADcAAAADwAAAAAAAAAAAAAA&#10;AAChAgAAZHJzL2Rvd25yZXYueG1sUEsFBgAAAAAEAAQA+QAAAJADAAAAAA==&#10;" strokecolor="black [3040]" strokeweight=".5pt">
              <v:stroke endarrow="block"/>
            </v:shape>
            <v:line id="Přímá spojnice 102" o:spid="_x0000_s1445" style="position:absolute;flip:y;visibility:visible;mso-wrap-style:square" from="17852,15022" to="20792,2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aoVcIAAADcAAAADwAAAGRycy9kb3ducmV2LnhtbERPTWvCQBC9F/wPywi91Y0eikRXKdZA&#10;bU9VKfU2ZMckmJ1Nd8eY/vtuodDbPN7nLNeDa1VPITaeDUwnGSji0tuGKwPHQ/EwBxUF2WLrmQx8&#10;U4T1anS3xNz6G79Tv5dKpRCOORqoRbpc61jW5DBOfEecuLMPDiXBUGkb8JbCXatnWfaoHTacGmrs&#10;aFNTedlfnYHi8/T2IbsYXrfz54t8Ra03RW/M/Xh4WoASGuRf/Od+sWl+NoPfZ9IF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aoVcIAAADcAAAADwAAAAAAAAAAAAAA&#10;AAChAgAAZHJzL2Rvd25yZXYueG1sUEsFBgAAAAAEAAQA+QAAAJADAAAAAA==&#10;" strokecolor="black [3040]" strokeweight=".5pt">
              <v:stroke dashstyle="dash"/>
            </v:line>
            <v:line id="Přímá spojnice 103" o:spid="_x0000_s1446" style="position:absolute;flip:x y;visibility:visible;mso-wrap-style:square" from="34725,15022" to="36686,2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n0j8MAAADcAAAADwAAAGRycy9kb3ducmV2LnhtbERPTWvCQBC9F/wPywje6qYKRaKr2ILg&#10;RaExiN7G7DQJzc6G3W2S9td3C4K3ebzPWW0G04iOnK8tK3iZJiCIC6trLhXkp93zAoQPyBoby6Tg&#10;hzxs1qOnFaba9vxBXRZKEUPYp6igCqFNpfRFRQb91LbEkfu0zmCI0JVSO+xjuGnkLElepcGaY0OF&#10;Lb1XVHxl30bBbNEcB3M55Nlbvu92v1d37rc3pSbjYbsEEWgID/HdvddxfjKH/2fi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J9I/DAAAA3AAAAA8AAAAAAAAAAAAA&#10;AAAAoQIAAGRycy9kb3ducmV2LnhtbFBLBQYAAAAABAAEAPkAAACRAwAAAAA=&#10;" strokecolor="black [3040]" strokeweight=".5pt">
              <v:stroke dashstyle="dash"/>
            </v:line>
            <v:line id="Přímá spojnice 104" o:spid="_x0000_s1447" style="position:absolute;flip:y;visibility:visible;mso-wrap-style:square" from="29609,4463" to="29609,9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VusMAAADcAAAADwAAAGRycy9kb3ducmV2LnhtbERPS0vDQBC+C/6HZQRvdqOIlNhtkWpA&#10;7akPpL0N2TEJzc7G3TFN/323UOhtPr7nTGaDa1VPITaeDTyOMlDEpbcNVwY26+JhDCoKssXWMxk4&#10;UoTZ9PZmgrn1B15Sv5JKpRCOORqoRbpc61jW5DCOfEecuF8fHEqCodI24CGFu1Y/ZdmLdthwaqix&#10;o3lN5X717wwU293iR75i+P4Yv+/lL2o9L3pj7u+Gt1dQQoNcxRf3p03zs2c4P5Mu0N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lbrDAAAA3AAAAA8AAAAAAAAAAAAA&#10;AAAAoQIAAGRycy9kb3ducmV2LnhtbFBLBQYAAAAABAAEAPkAAACRAwAAAAA=&#10;" strokecolor="black [3040]" strokeweight=".5pt">
              <v:stroke dashstyle="dash"/>
            </v:line>
            <v:shape id="Přímá spojnice se šipkou 105" o:spid="_x0000_s1448" type="#_x0000_t32" style="position:absolute;left:39188;top:4463;width:218;height:164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CRqcIAAADcAAAADwAAAGRycy9kb3ducmV2LnhtbESPQYvCMBCF74L/IYzgTRMXFOkaRQRl&#10;RRF0F/Y6NGPb3WZSmtTWf28EwdsM731v3ixWnS3FjWpfONYwGSsQxKkzBWcafr63ozkIH5ANlo5J&#10;w508rJb93gIT41o+0+0SMhFD2CeoIQ+hSqT0aU4W/dhVxFG7utpiiGudSVNjG8NtKT+UmkmLBccL&#10;OVa0ySn9vzQ21jj/XX/bw2na0AaR0kbtd0el9XDQrT9BBOrC2/yiv0zk1BSez8QJ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CRqcIAAADcAAAADwAAAAAAAAAAAAAA&#10;AAChAgAAZHJzL2Rvd25yZXYueG1sUEsFBgAAAAAEAAQA+QAAAJADAAAAAA==&#10;" strokecolor="black [3040]" strokeweight=".5pt">
              <v:stroke endarrow="open"/>
            </v:shape>
            <v:shape id="Přímá spojnice se šipkou 106" o:spid="_x0000_s1449" type="#_x0000_t32" style="position:absolute;left:41692;top:4463;width:218;height:164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j1W8MAAADcAAAADwAAAGRycy9kb3ducmV2LnhtbERPTWvCQBC9F/wPywje6sYIoaSuYoVA&#10;kV6a9OJtyE6TtNnZZHersb++Kwi9zeN9zmY3mV6cyfnOsoLVMgFBXFvdcaPgoyoen0D4gKyxt0wK&#10;ruRht509bDDX9sLvdC5DI2II+xwVtCEMuZS+bsmgX9qBOHKf1hkMEbpGaoeXGG56mSZJJg12HBta&#10;HOjQUv1d/hgFlftdF6f06F/W46kor2/8Ne5ZqcV82j+DCDSFf/Hd/arj/CSD2zPxA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o9VvDAAAA3AAAAA8AAAAAAAAAAAAA&#10;AAAAoQIAAGRycy9kb3ducmV2LnhtbFBLBQYAAAAABAAEAPkAAACRAwAAAAA=&#10;" strokecolor="black [3040]" strokeweight="1.5pt">
              <v:stroke dashstyle="longDash" endarrow="open"/>
            </v:shape>
            <v:shape id="Přímá spojnice se šipkou 107" o:spid="_x0000_s1450" type="#_x0000_t32" style="position:absolute;left:43978;top:4463;width:216;height:16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M07cEAAADcAAAADwAAAGRycy9kb3ducmV2LnhtbERPyW7CMBC9V+IfrEHqpSIOPQANGASo&#10;FRxZ+gGjeLK08TiyXZL8fY2ExG2e3jqrTW8acSPna8sKpkkKgji3uuZSwff1a7IA4QOyxsYyKRjI&#10;w2Y9ellhpm3HZ7pdQiliCPsMFVQhtJmUPq/IoE9sSxy5wjqDIUJXSu2wi+Gmke9pOpMGa44NFba0&#10;ryj/vfwZBXQctD18tvuft7J2p9N51xcfO6Vex/12CSJQH57ih/uo4/x0Dvdn4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UzTtwQAAANwAAAAPAAAAAAAAAAAAAAAA&#10;AKECAABkcnMvZG93bnJldi54bWxQSwUGAAAAAAQABAD5AAAAjwMAAAAA&#10;" strokecolor="black [3040]" strokeweight="1.5pt">
              <v:stroke endarrow="open"/>
            </v:shape>
            <v:shape id="Přímá spojnice se šipkou 108" o:spid="_x0000_s1451" type="#_x0000_t32" style="position:absolute;left:46373;top:4463;width:216;height:164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IiV8cAAADcAAAADwAAAGRycy9kb3ducmV2LnhtbESPQUvDQBCF7wX/wzIFL8VuLFgldltE&#10;ED3YQ1MxHsfsdBOanQ3ZtYn/vnMo9DbDe/PeN6vN6Ft1oj42gQ3czzNQxFWwDTsDX/u3uydQMSFb&#10;bAOTgX+KsFnfTFaY2zDwjk5FckpCOOZooE6py7WOVU0e4zx0xKIdQu8xydo7bXscJNy3epFlS+2x&#10;YWmosaPXmqpj8ecNuOJ99vi7Lb6Hclv+uM+FP7YP3pjb6fjyDCrRmK7my/WHFfxMaOUZmUCv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iJXxwAAANwAAAAPAAAAAAAA&#10;AAAAAAAAAKECAABkcnMvZG93bnJldi54bWxQSwUGAAAAAAQABAD5AAAAlQMAAAAA&#10;" strokecolor="black [3040]" strokeweight=".5pt">
              <v:stroke dashstyle="longDashDotDot" endarrow="open"/>
            </v:shape>
            <v:rect id="Obdélník 109" o:spid="_x0000_s1452" style="position:absolute;top:31459;width:990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2icEA&#10;AADcAAAADwAAAGRycy9kb3ducmV2LnhtbERPzWrCQBC+F3yHZYTe6kYPtkZXEYtgQZCqDzBmxySY&#10;mU1315i+fbdQ6G0+vt9ZrHpuVEc+1E4MjEcZKJLC2VpKA+fT9uUNVIgoFhsnZOCbAqyWg6cF5tY9&#10;5JO6YyxVCpGQo4EqxjbXOhQVMYaRa0kSd3WeMSboS209PlI4N3qSZVPNWEtqqLClTUXF7XhnAwf7&#10;NX59b7e+48tHt99zcfAcjHke9us5qEh9/Bf/uXc2zc9m8PtMukA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ItonBAAAA3AAAAA8AAAAAAAAAAAAAAAAAmAIAAGRycy9kb3du&#10;cmV2LnhtbFBLBQYAAAAABAAEAPUAAACGAwAAAAA=&#10;" fillcolor="white [3201]" stroked="f" strokeweight="2pt">
              <v:textbox style="mso-next-textbox:#Obdélník 109">
                <w:txbxContent>
                  <w:p w:rsidR="00B40349" w:rsidRPr="00C561B1" w:rsidRDefault="00B40349" w:rsidP="00BE09E0">
                    <w:pPr>
                      <w:spacing w:after="0" w:line="240" w:lineRule="auto"/>
                      <w:rPr>
                        <w:rFonts w:ascii="Arial" w:hAnsi="Arial" w:cs="Arial"/>
                      </w:rPr>
                    </w:pPr>
                    <w:r w:rsidRPr="00C561B1">
                      <w:rPr>
                        <w:rFonts w:ascii="Arial" w:hAnsi="Arial" w:cs="Arial"/>
                      </w:rPr>
                      <w:t>toky zboží</w:t>
                    </w:r>
                  </w:p>
                </w:txbxContent>
              </v:textbox>
            </v:rect>
            <v:rect id="Obdélník 110" o:spid="_x0000_s1453" style="position:absolute;left:16764;top:31459;width:9899;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JycQA&#10;AADcAAAADwAAAGRycy9kb3ducmV2LnhtbESPQUvDQBCF70L/wzKCN7uJB5XYbSlKQaFQbPsDptkx&#10;Cc3MprtrGv+9cxC8zfDevPfNYjVxb0aKqQvioJwXYEjq4DtpHBwPm/tnMCmjeOyDkIMfSrBazm4W&#10;WPlwlU8a97kxGiKpQgdtzkNlbapbYkzzMJCo9hUiY9Y1NtZHvGo49/ahKB4tYyfa0OJAry3V5/03&#10;O9j5S/n0NmziyKePcbvlehc5OXd3O61fwGSa8r/57/rdK36p+PqMTm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ricnEAAAA3AAAAA8AAAAAAAAAAAAAAAAAmAIAAGRycy9k&#10;b3ducmV2LnhtbFBLBQYAAAAABAAEAPUAAACJAwAAAAA=&#10;" fillcolor="white [3201]" stroked="f" strokeweight="2pt">
              <v:textbox style="mso-next-textbox:#Obdélník 110">
                <w:txbxContent>
                  <w:p w:rsidR="00B40349" w:rsidRPr="00C561B1" w:rsidRDefault="00B40349" w:rsidP="00BE09E0">
                    <w:pPr>
                      <w:spacing w:after="0" w:line="240" w:lineRule="auto"/>
                      <w:rPr>
                        <w:rFonts w:ascii="Arial" w:hAnsi="Arial" w:cs="Arial"/>
                      </w:rPr>
                    </w:pPr>
                    <w:r w:rsidRPr="00C561B1">
                      <w:rPr>
                        <w:rFonts w:ascii="Arial" w:hAnsi="Arial" w:cs="Arial"/>
                      </w:rPr>
                      <w:t xml:space="preserve">toky </w:t>
                    </w:r>
                    <w:r>
                      <w:rPr>
                        <w:rFonts w:ascii="Arial" w:hAnsi="Arial" w:cs="Arial"/>
                      </w:rPr>
                      <w:t>peněz</w:t>
                    </w:r>
                  </w:p>
                </w:txbxContent>
              </v:textbox>
            </v:rect>
            <v:rect id="Obdélník 111" o:spid="_x0000_s1454" style="position:absolute;left:34290;top:31677;width:989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sUsEA&#10;AADcAAAADwAAAGRycy9kb3ducmV2LnhtbERPzWrCQBC+F3yHZQRvzSY9aEldpVSEFgTR9gGm2TEJ&#10;Zmbj7jamb98VhN7m4/ud5XrkTg3kQ+vEQJHloEgqZ1upDXx9bh+fQYWIYrFzQgZ+KcB6NXlYYmnd&#10;VQ40HGOtUoiEEg00Mfal1qFqiDFkridJ3Ml5xpigr7X1eE3h3OmnPJ9rxlZSQ4M9vTVUnY8/bGBv&#10;L8Vi02/9wN8fw27H1d5zMGY2HV9fQEUa47/47n63aX5RwO2ZdIF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nLFLBAAAA3AAAAA8AAAAAAAAAAAAAAAAAmAIAAGRycy9kb3du&#10;cmV2LnhtbFBLBQYAAAAABAAEAPUAAACGAwAAAAA=&#10;" fillcolor="white [3201]" stroked="f" strokeweight="2pt">
              <v:textbox style="mso-next-textbox:#Obdélník 111">
                <w:txbxContent>
                  <w:p w:rsidR="00B40349" w:rsidRPr="00C561B1" w:rsidRDefault="00B40349" w:rsidP="00BE09E0">
                    <w:pPr>
                      <w:spacing w:after="0" w:line="240" w:lineRule="auto"/>
                      <w:rPr>
                        <w:rFonts w:ascii="Arial" w:hAnsi="Arial" w:cs="Arial"/>
                      </w:rPr>
                    </w:pPr>
                    <w:r w:rsidRPr="00C561B1">
                      <w:rPr>
                        <w:rFonts w:ascii="Arial" w:hAnsi="Arial" w:cs="Arial"/>
                      </w:rPr>
                      <w:t xml:space="preserve">toky </w:t>
                    </w:r>
                    <w:r>
                      <w:rPr>
                        <w:rFonts w:ascii="Arial" w:hAnsi="Arial" w:cs="Arial"/>
                      </w:rPr>
                      <w:t>kapitálu</w:t>
                    </w:r>
                  </w:p>
                </w:txbxContent>
              </v:textbox>
            </v:rect>
            <v:rect id="Obdélník 112" o:spid="_x0000_s1455" style="position:absolute;top:34616;width:17856;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yJcEA&#10;AADcAAAADwAAAGRycy9kb3ducmV2LnhtbERPzWrCQBC+F/oOywi9NZt4qCW6iliEFgSp9gGm2TEJ&#10;ZmbT3W2Mb+8Khd7m4/udxWrkTg3kQ+vEQJHloEgqZ1upDXwdt8+voEJEsdg5IQNXCrBaPj4ssLTu&#10;Ip80HGKtUoiEEg00Mfal1qFqiDFkridJ3Ml5xpigr7X1eEnh3Olpnr9oxlZSQ4M9bRqqzodfNrC3&#10;P8Xsrd/6gb8/ht2Oq73nYMzTZFzPQUUa47/4z/1u0/xiCvdn0gV6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1siXBAAAA3AAAAA8AAAAAAAAAAAAAAAAAmAIAAGRycy9kb3du&#10;cmV2LnhtbFBLBQYAAAAABAAEAPUAAACGAwAAAAA=&#10;" fillcolor="white [3201]" stroked="f" strokeweight="2pt">
              <v:textbox style="mso-next-textbox:#Obdélník 112">
                <w:txbxContent>
                  <w:p w:rsidR="00B40349" w:rsidRPr="00C561B1" w:rsidRDefault="00B40349" w:rsidP="00BE09E0">
                    <w:pPr>
                      <w:spacing w:after="0" w:line="240" w:lineRule="auto"/>
                      <w:rPr>
                        <w:rFonts w:ascii="Arial" w:hAnsi="Arial" w:cs="Arial"/>
                      </w:rPr>
                    </w:pPr>
                    <w:r>
                      <w:rPr>
                        <w:rFonts w:ascii="Arial" w:hAnsi="Arial" w:cs="Arial"/>
                      </w:rPr>
                      <w:t>transfer pracovních sil</w:t>
                    </w:r>
                  </w:p>
                </w:txbxContent>
              </v:textbox>
            </v:rect>
            <v:rect id="Obdélník 113" o:spid="_x0000_s1456" style="position:absolute;left:25690;top:34616;width:14795;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XvsEA&#10;AADcAAAADwAAAGRycy9kb3ducmV2LnhtbERP22rCQBB9L/gPywh9q5tUaCV1FVEEC4JU/YBpdpqE&#10;Zmbj7jbGv3cLhb7N4Vxnvhy4VT350DgxkE8yUCSls41UBs6n7dMMVIgoFlsnZOBGAZaL0cMcC+uu&#10;8kH9MVYqhUgo0EAdY1doHcqaGMPEdSSJ+3KeMSboK209XlM4t/o5y140YyOpocaO1jWV38cfNnCw&#10;l/x10219z5/v/X7P5cFzMOZxPKzeQEUa4r/4z72zaX4+hd9n0gV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5F77BAAAA3AAAAA8AAAAAAAAAAAAAAAAAmAIAAGRycy9kb3du&#10;cmV2LnhtbFBLBQYAAAAABAAEAPUAAACGAwAAAAA=&#10;" fillcolor="white [3201]" stroked="f" strokeweight="2pt">
              <v:textbox style="mso-next-textbox:#Obdélník 113">
                <w:txbxContent>
                  <w:p w:rsidR="00B40349" w:rsidRPr="00C561B1" w:rsidRDefault="00B40349" w:rsidP="00BE09E0">
                    <w:pPr>
                      <w:spacing w:after="0" w:line="240" w:lineRule="auto"/>
                      <w:rPr>
                        <w:rFonts w:ascii="Arial" w:hAnsi="Arial" w:cs="Arial"/>
                      </w:rPr>
                    </w:pPr>
                    <w:r>
                      <w:rPr>
                        <w:rFonts w:ascii="Arial" w:hAnsi="Arial" w:cs="Arial"/>
                      </w:rPr>
                      <w:t>transfer informací</w:t>
                    </w:r>
                  </w:p>
                </w:txbxContent>
              </v:textbox>
            </v:rect>
            <v:shape id="Přímá spojnice se šipkou 114" o:spid="_x0000_s1457" type="#_x0000_t32" style="position:absolute;left:9252;top:32874;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7OiMIAAADcAAAADwAAAGRycy9kb3ducmV2LnhtbERP22oCMRB9L/gPYYS+1eyW0tqtUaQX&#10;6INQXP2AYTMmq8lk2aTu9u8bQfBtDuc6i9XonThTH9vACspZAYK4Cbplo2C/+3qYg4gJWaMLTAr+&#10;KMJqOblbYKXDwFs618mIHMKxQgU2pa6SMjaWPMZZ6Igzdwi9x5Rhb6Tuccjh3snHoniWHlvODRY7&#10;erfUnOpfr+D48/K6P32Y8mA2hdvWbtjZz0Gp++m4fgORaEw38dX9rfP88gkuz+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7OiMIAAADcAAAADwAAAAAAAAAAAAAA&#10;AAChAgAAZHJzL2Rvd25yZXYueG1sUEsFBgAAAAAEAAQA+QAAAJADAAAAAA==&#10;" strokecolor="black [3213]" strokeweight="1.5pt">
              <v:stroke endarrow="open"/>
            </v:shape>
            <v:shape id="Přímá spojnice se šipkou 115" o:spid="_x0000_s1458" type="#_x0000_t32" style="position:absolute;left:26016;top:32874;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tGsAAAADcAAAADwAAAGRycy9kb3ducmV2LnhtbERPzYrCMBC+C75DGMGLrGkF16UaZS0s&#10;eLXrAwzN2BabSWlS092nN4LgbT6+39kdRtOKO/WusawgXSYgiEurG64UXH5/Pr5AOI+ssbVMCv7I&#10;wWE/neww0zbwme6Fr0QMYZehgtr7LpPSlTUZdEvbEUfuanuDPsK+krrHEMNNK1dJ8ikNNhwbauwo&#10;r6m8FYNRcLOBknM4dk2RX8LwfyzkYpMrNZ+N31sQnkb/Fr/cJx3np2t4PhMvkP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M7RrAAAAA3AAAAA8AAAAAAAAAAAAAAAAA&#10;oQIAAGRycy9kb3ducmV2LnhtbFBLBQYAAAAABAAEAPkAAACOAwAAAAA=&#10;" strokecolor="black [3213]" strokeweight="1.5pt">
              <v:stroke dashstyle="longDash" endarrow="open"/>
            </v:shape>
            <v:shape id="Přímá spojnice se šipkou 116" o:spid="_x0000_s1459" type="#_x0000_t32" style="position:absolute;left:45066;top:32874;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M6MIAAADcAAAADwAAAGRycy9kb3ducmV2LnhtbERPzWoCMRC+F3yHMEJvNWspVlajiEVa&#10;8VC6+gDjZtxd3EzWJGp8eyMIvc3H9zvTeTStuJDzjWUFw0EGgri0uuFKwW67ehuD8AFZY2uZFNzI&#10;w3zWe5liru2V/+hShEqkEPY5KqhD6HIpfVmTQT+wHXHiDtYZDAm6SmqH1xRuWvmeZSNpsOHUUGNH&#10;y5rKY3E2Cj7bYus+1r44/X6f4td6t4+bw0ap135cTEAEiuFf/HT/6DR/OILHM+kC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qM6MIAAADcAAAADwAAAAAAAAAAAAAA&#10;AAChAgAAZHJzL2Rvd25yZXYueG1sUEsFBgAAAAAEAAQA+QAAAJADAAAAAA==&#10;" strokecolor="black [3213]" strokeweight=".5pt">
              <v:stroke endarrow="open"/>
            </v:shape>
            <v:shape id="Přímá spojnice se šipkou 118" o:spid="_x0000_s1460" type="#_x0000_t32" style="position:absolute;left:16764;top:36140;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DMQAAADcAAAADwAAAGRycy9kb3ducmV2LnhtbESPQW/CMAyF70j8h8hI3CAtaBN0BITQ&#10;mHZDFNjZary2WuOUJoPy7+cD0m623vN7n1eb3jXqRl2oPRtIpwko4sLbmksD59N+sgAVIrLFxjMZ&#10;eFCAzXo4WGFm/Z2PdMtjqSSEQ4YGqhjbTOtQVOQwTH1LLNq37xxGWbtS2w7vEu4aPUuSV+2wZmmo&#10;sKVdRcVP/usMXC8vi8fH8V1/5btDMkvDftnPL8aMR/32DVSkPv6bn9efVvBToZV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6TkMxAAAANwAAAAPAAAAAAAAAAAA&#10;AAAAAKECAABkcnMvZG93bnJldi54bWxQSwUGAAAAAAQABAD5AAAAkgMAAAAA&#10;" strokecolor="black [3213]" strokeweight=".5pt">
              <v:stroke dashstyle="longDashDotDot" endarrow="open"/>
            </v:shape>
            <v:shape id="Přímá spojnice se šipkou 119" o:spid="_x0000_s1461" type="#_x0000_t32" style="position:absolute;left:39732;top:36140;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uILsQAAADcAAAADwAAAGRycy9kb3ducmV2LnhtbESPQWsCMRCF70L/Qxihl1Kz9tDq1ihV&#10;EHtRcJX2OmzG3cVksiRR139vBMHbDO/N+95MZp014kw+NI4VDAcZCOLS6YYrBfvd8n0EIkRkjcYx&#10;KbhSgNn0pTfBXLsLb+lcxEqkEA45KqhjbHMpQ1mTxTBwLXHSDs5bjGn1ldQeLyncGvmRZZ/SYsOJ&#10;UGNLi5rKY3GyiTvvvsLbZv7v1644nlat+bMbo9Rrv/v5BhGpi0/z4/pXp/rDMdyfSRP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24guxAAAANwAAAAPAAAAAAAAAAAA&#10;AAAAAKECAABkcnMvZG93bnJldi54bWxQSwUGAAAAAAQABAD5AAAAkgMAAAAA&#10;" strokecolor="black [3213]" strokeweight=".5pt">
              <v:stroke dashstyle="dash" endarrow="open"/>
            </v:shape>
          </v:group>
        </w:pict>
      </w:r>
    </w:p>
    <w:p w:rsidR="00BE09E0" w:rsidRPr="00BE09E0" w:rsidRDefault="00BE09E0" w:rsidP="00BE09E0"/>
    <w:p w:rsidR="00BE09E0" w:rsidRPr="00BE09E0" w:rsidRDefault="00BE09E0" w:rsidP="00BE09E0"/>
    <w:p w:rsidR="00BE09E0" w:rsidRPr="00BE09E0" w:rsidRDefault="00BE09E0" w:rsidP="00BE09E0"/>
    <w:p w:rsidR="004B0C28" w:rsidRDefault="004B0C28" w:rsidP="004B0C28"/>
    <w:p w:rsidR="004B0C28" w:rsidRDefault="004B0C28" w:rsidP="004B0C28"/>
    <w:p w:rsidR="004B0C28" w:rsidRDefault="004B0C28" w:rsidP="004B0C28"/>
    <w:p w:rsidR="004B0C28" w:rsidRDefault="004B0C28" w:rsidP="004B0C28"/>
    <w:p w:rsidR="00BE09E0" w:rsidRDefault="00BE09E0" w:rsidP="004B0C28"/>
    <w:p w:rsidR="00BE09E0" w:rsidRPr="00BE09E0" w:rsidRDefault="00BE09E0" w:rsidP="00BE09E0"/>
    <w:p w:rsidR="00BE09E0" w:rsidRPr="00BE09E0" w:rsidRDefault="00BE09E0" w:rsidP="00BE09E0"/>
    <w:p w:rsidR="00BE09E0" w:rsidRDefault="00BE09E0" w:rsidP="00BE09E0"/>
    <w:p w:rsidR="00B800B1" w:rsidRDefault="00B800B1" w:rsidP="00B800B1">
      <w:pPr>
        <w:pStyle w:val="0G-Titulek"/>
        <w:spacing w:before="200"/>
        <w:ind w:firstLine="0"/>
        <w:rPr>
          <w:rFonts w:eastAsia="Batang"/>
          <w:bCs/>
          <w:kern w:val="32"/>
        </w:rPr>
      </w:pPr>
      <w:bookmarkStart w:id="155" w:name="_Toc382326834"/>
    </w:p>
    <w:p w:rsidR="00BE09E0" w:rsidRPr="00E63699" w:rsidRDefault="00BE09E0" w:rsidP="00B800B1">
      <w:pPr>
        <w:pStyle w:val="0G-Titulek"/>
        <w:ind w:firstLine="0"/>
        <w:rPr>
          <w:rFonts w:eastAsia="Batang"/>
          <w:bCs/>
          <w:kern w:val="32"/>
        </w:rPr>
      </w:pPr>
      <w:r w:rsidRPr="009C7583">
        <w:rPr>
          <w:rFonts w:eastAsia="Batang"/>
          <w:bCs/>
          <w:kern w:val="32"/>
        </w:rPr>
        <w:t xml:space="preserve">Obrázek </w:t>
      </w:r>
      <w:r>
        <w:rPr>
          <w:rFonts w:eastAsia="Batang"/>
          <w:bCs/>
          <w:kern w:val="32"/>
        </w:rPr>
        <w:t>29</w:t>
      </w:r>
      <w:r w:rsidRPr="009C7583">
        <w:rPr>
          <w:rFonts w:eastAsia="Batang"/>
          <w:bCs/>
          <w:kern w:val="32"/>
        </w:rPr>
        <w:t xml:space="preserve">: </w:t>
      </w:r>
      <w:r w:rsidRPr="00D059B5">
        <w:rPr>
          <w:rFonts w:eastAsia="SimSun"/>
        </w:rPr>
        <w:t>Schéma světové ekonomiky</w:t>
      </w:r>
      <w:bookmarkEnd w:id="155"/>
    </w:p>
    <w:p w:rsidR="004B0C28" w:rsidRPr="00BE09E0" w:rsidRDefault="00BE09E0" w:rsidP="00BE09E0">
      <w:pPr>
        <w:keepNext/>
        <w:suppressAutoHyphens/>
        <w:jc w:val="center"/>
        <w:outlineLvl w:val="0"/>
        <w:rPr>
          <w:rFonts w:asciiTheme="minorHAnsi" w:eastAsia="Batang" w:hAnsiTheme="minorHAnsi" w:cstheme="minorHAnsi"/>
          <w:b/>
          <w:bCs/>
          <w:kern w:val="32"/>
          <w:lang w:eastAsia="ar-SA"/>
        </w:rPr>
      </w:pPr>
      <w:r w:rsidRPr="00D059B5">
        <w:rPr>
          <w:rFonts w:asciiTheme="minorHAnsi" w:hAnsiTheme="minorHAnsi" w:cstheme="minorHAnsi"/>
          <w:i/>
        </w:rPr>
        <w:t xml:space="preserve">Pramen: </w:t>
      </w:r>
      <w:r w:rsidRPr="00D059B5">
        <w:rPr>
          <w:rFonts w:asciiTheme="minorHAnsi" w:eastAsia="Calibri" w:hAnsiTheme="minorHAnsi" w:cstheme="minorHAnsi"/>
          <w:i/>
        </w:rPr>
        <w:t>Lebiedzik, Nezval, Majerová, 2006</w:t>
      </w:r>
    </w:p>
    <w:p w:rsidR="00D84BEB" w:rsidRDefault="00D84BEB" w:rsidP="00890421">
      <w:pPr>
        <w:pStyle w:val="02-Nadpis2"/>
      </w:pPr>
      <w:bookmarkStart w:id="156" w:name="_Toc382327222"/>
      <w:r w:rsidRPr="00A91347">
        <w:t xml:space="preserve">5.4. </w:t>
      </w:r>
      <w:r w:rsidR="00B44694" w:rsidRPr="00A91347">
        <w:t>Role nadnárodních firem v procesu globalizace</w:t>
      </w:r>
      <w:bookmarkEnd w:id="156"/>
    </w:p>
    <w:p w:rsidR="008146BD" w:rsidRDefault="008146BD" w:rsidP="00881523">
      <w:pPr>
        <w:spacing w:after="120"/>
        <w:ind w:firstLine="720"/>
        <w:jc w:val="both"/>
        <w:rPr>
          <w:sz w:val="24"/>
          <w:szCs w:val="24"/>
        </w:rPr>
      </w:pPr>
      <w:r w:rsidRPr="005C2CCE">
        <w:rPr>
          <w:sz w:val="24"/>
          <w:szCs w:val="24"/>
        </w:rPr>
        <w:t>Globalizace s sebou přináší zavedení dělby práce v celosvětovém měřítku a využívání komparativních výhod</w:t>
      </w:r>
      <w:r>
        <w:rPr>
          <w:sz w:val="24"/>
          <w:szCs w:val="24"/>
        </w:rPr>
        <w:t>, jako</w:t>
      </w:r>
      <w:r w:rsidRPr="005C2CCE">
        <w:rPr>
          <w:sz w:val="24"/>
          <w:szCs w:val="24"/>
        </w:rPr>
        <w:t xml:space="preserve"> např</w:t>
      </w:r>
      <w:r>
        <w:rPr>
          <w:sz w:val="24"/>
          <w:szCs w:val="24"/>
        </w:rPr>
        <w:t xml:space="preserve">. </w:t>
      </w:r>
      <w:r w:rsidRPr="005C2CCE">
        <w:rPr>
          <w:sz w:val="24"/>
          <w:szCs w:val="24"/>
        </w:rPr>
        <w:t>suroviny, levná pracovní síla, kvalifikovaní pracovníci nebo koupěschopná poptávka (Kislingerová, Nový, 2005). Těchto výhod pak využívají nadnárodní firmy</w:t>
      </w:r>
      <w:r>
        <w:rPr>
          <w:sz w:val="24"/>
          <w:szCs w:val="24"/>
        </w:rPr>
        <w:t xml:space="preserve">, které </w:t>
      </w:r>
      <w:r w:rsidRPr="005C2CCE">
        <w:rPr>
          <w:sz w:val="24"/>
          <w:szCs w:val="24"/>
        </w:rPr>
        <w:t>OECD definuje jako společnosti neb</w:t>
      </w:r>
      <w:r w:rsidR="00BE09E0">
        <w:rPr>
          <w:sz w:val="24"/>
          <w:szCs w:val="24"/>
        </w:rPr>
        <w:t>o jiné subjekty registrované ve </w:t>
      </w:r>
      <w:r w:rsidRPr="005C2CCE">
        <w:rPr>
          <w:sz w:val="24"/>
          <w:szCs w:val="24"/>
        </w:rPr>
        <w:t xml:space="preserve">více než jedné zemi a propojené takovým způsobem, že mohou koordinovat svoji činnost (OECD, 2003). Caves vymezil nadnárodní firmy jako takové, které na více národních trzích vlastní aktiva umožňující mateřské společnosti ovlivňovat chování dalších firem (Ševela, 2003). Evan (2010) </w:t>
      </w:r>
      <w:r>
        <w:rPr>
          <w:sz w:val="24"/>
          <w:szCs w:val="24"/>
        </w:rPr>
        <w:t xml:space="preserve">pak </w:t>
      </w:r>
      <w:r w:rsidRPr="005C2CCE">
        <w:rPr>
          <w:sz w:val="24"/>
          <w:szCs w:val="24"/>
        </w:rPr>
        <w:t xml:space="preserve">ve své definici zmiňuje i zaměření nadnárodních společností, neboť je definuje jako výrobní nebo obchodní společnosti, u </w:t>
      </w:r>
      <w:r>
        <w:rPr>
          <w:sz w:val="24"/>
          <w:szCs w:val="24"/>
        </w:rPr>
        <w:t>nichž</w:t>
      </w:r>
      <w:r w:rsidRPr="005C2CCE">
        <w:rPr>
          <w:sz w:val="24"/>
          <w:szCs w:val="24"/>
        </w:rPr>
        <w:t xml:space="preserve"> vl</w:t>
      </w:r>
      <w:r w:rsidR="00BE09E0">
        <w:rPr>
          <w:sz w:val="24"/>
          <w:szCs w:val="24"/>
        </w:rPr>
        <w:t>astnictví, management, výroba a </w:t>
      </w:r>
      <w:r w:rsidRPr="005C2CCE">
        <w:rPr>
          <w:sz w:val="24"/>
          <w:szCs w:val="24"/>
        </w:rPr>
        <w:t>marketing přesahují do několika států. Kislingerová a Nový uvádí, že pro nadnárodní firmy je typické, že působí více než v jedné zemi, jsou schopny využít geografických rozdílů mezi zeměmi a jsou geograficky flexibilní</w:t>
      </w:r>
      <w:r>
        <w:rPr>
          <w:sz w:val="24"/>
          <w:szCs w:val="24"/>
        </w:rPr>
        <w:t xml:space="preserve"> </w:t>
      </w:r>
      <w:r w:rsidRPr="005C2CCE">
        <w:rPr>
          <w:sz w:val="24"/>
          <w:szCs w:val="24"/>
        </w:rPr>
        <w:t xml:space="preserve">(Kislingerová, Nový, 2005). </w:t>
      </w:r>
    </w:p>
    <w:p w:rsidR="008146BD" w:rsidRPr="005C2CCE" w:rsidRDefault="008146BD" w:rsidP="00881523">
      <w:pPr>
        <w:spacing w:after="120"/>
        <w:ind w:firstLine="720"/>
        <w:jc w:val="both"/>
        <w:rPr>
          <w:sz w:val="24"/>
          <w:szCs w:val="24"/>
        </w:rPr>
      </w:pPr>
      <w:r>
        <w:rPr>
          <w:sz w:val="24"/>
          <w:szCs w:val="24"/>
        </w:rPr>
        <w:t>Z</w:t>
      </w:r>
      <w:r w:rsidRPr="005C2CCE">
        <w:rPr>
          <w:sz w:val="24"/>
          <w:szCs w:val="24"/>
        </w:rPr>
        <w:t>a historicky první nadnárodní firmy</w:t>
      </w:r>
      <w:r>
        <w:rPr>
          <w:sz w:val="24"/>
          <w:szCs w:val="24"/>
        </w:rPr>
        <w:t xml:space="preserve"> </w:t>
      </w:r>
      <w:r w:rsidRPr="005C2CCE">
        <w:rPr>
          <w:sz w:val="24"/>
          <w:szCs w:val="24"/>
        </w:rPr>
        <w:t xml:space="preserve">jsou považovány </w:t>
      </w:r>
      <w:r>
        <w:rPr>
          <w:sz w:val="24"/>
          <w:szCs w:val="24"/>
        </w:rPr>
        <w:t>b</w:t>
      </w:r>
      <w:r w:rsidRPr="005C2CCE">
        <w:rPr>
          <w:sz w:val="24"/>
          <w:szCs w:val="24"/>
        </w:rPr>
        <w:t>ritské a holandské obchodní společnosti z</w:t>
      </w:r>
      <w:r>
        <w:rPr>
          <w:sz w:val="24"/>
          <w:szCs w:val="24"/>
        </w:rPr>
        <w:t xml:space="preserve"> </w:t>
      </w:r>
      <w:r w:rsidRPr="005C2CCE">
        <w:rPr>
          <w:sz w:val="24"/>
          <w:szCs w:val="24"/>
        </w:rPr>
        <w:t>16.</w:t>
      </w:r>
      <w:r>
        <w:rPr>
          <w:sz w:val="24"/>
          <w:szCs w:val="24"/>
        </w:rPr>
        <w:t xml:space="preserve"> a </w:t>
      </w:r>
      <w:r w:rsidRPr="005C2CCE">
        <w:rPr>
          <w:sz w:val="24"/>
          <w:szCs w:val="24"/>
        </w:rPr>
        <w:t>17. století orient</w:t>
      </w:r>
      <w:r>
        <w:rPr>
          <w:sz w:val="24"/>
          <w:szCs w:val="24"/>
        </w:rPr>
        <w:t xml:space="preserve">ované </w:t>
      </w:r>
      <w:r w:rsidRPr="005C2CCE">
        <w:rPr>
          <w:sz w:val="24"/>
          <w:szCs w:val="24"/>
        </w:rPr>
        <w:t>na obchod s koloniemi (Royal Dutch S</w:t>
      </w:r>
      <w:r>
        <w:rPr>
          <w:sz w:val="24"/>
          <w:szCs w:val="24"/>
        </w:rPr>
        <w:t>he</w:t>
      </w:r>
      <w:r w:rsidRPr="005C2CCE">
        <w:rPr>
          <w:sz w:val="24"/>
          <w:szCs w:val="24"/>
        </w:rPr>
        <w:t>ll, Dunlop, British American Tobacco)</w:t>
      </w:r>
      <w:r w:rsidR="00F747BE">
        <w:rPr>
          <w:sz w:val="24"/>
          <w:szCs w:val="24"/>
        </w:rPr>
        <w:t>.</w:t>
      </w:r>
      <w:r w:rsidRPr="005C2CCE">
        <w:rPr>
          <w:sz w:val="24"/>
          <w:szCs w:val="24"/>
        </w:rPr>
        <w:t xml:space="preserve"> Velká Británie byla </w:t>
      </w:r>
      <w:r>
        <w:rPr>
          <w:sz w:val="24"/>
          <w:szCs w:val="24"/>
        </w:rPr>
        <w:t>a</w:t>
      </w:r>
      <w:r w:rsidRPr="005C2CCE">
        <w:rPr>
          <w:sz w:val="24"/>
          <w:szCs w:val="24"/>
        </w:rPr>
        <w:t>ž do první světové války největším investorem na světě</w:t>
      </w:r>
      <w:r>
        <w:rPr>
          <w:sz w:val="24"/>
          <w:szCs w:val="24"/>
        </w:rPr>
        <w:t xml:space="preserve"> (její podíl činil </w:t>
      </w:r>
      <w:r w:rsidRPr="005C2CCE">
        <w:rPr>
          <w:sz w:val="24"/>
          <w:szCs w:val="24"/>
        </w:rPr>
        <w:t>více než 40 %</w:t>
      </w:r>
      <w:r>
        <w:rPr>
          <w:sz w:val="24"/>
          <w:szCs w:val="24"/>
        </w:rPr>
        <w:t>)</w:t>
      </w:r>
      <w:r w:rsidRPr="005C2CCE">
        <w:rPr>
          <w:sz w:val="24"/>
          <w:szCs w:val="24"/>
        </w:rPr>
        <w:t xml:space="preserve"> a zaměřovala se zejména na akcie těžebních a dopravních společností a vládní dluhopisy. Po vál</w:t>
      </w:r>
      <w:r>
        <w:rPr>
          <w:sz w:val="24"/>
          <w:szCs w:val="24"/>
        </w:rPr>
        <w:t>ce</w:t>
      </w:r>
      <w:r w:rsidRPr="005C2CCE">
        <w:rPr>
          <w:sz w:val="24"/>
          <w:szCs w:val="24"/>
        </w:rPr>
        <w:t xml:space="preserve"> byla Británie předstižena Spojenými státy americkými (General Electric, Ford Company), které si svou pozici udržely až do 70. let 20. století. V té době směřovala většina amerických přímých zahraničních </w:t>
      </w:r>
      <w:r w:rsidRPr="005C2CCE">
        <w:rPr>
          <w:sz w:val="24"/>
          <w:szCs w:val="24"/>
        </w:rPr>
        <w:lastRenderedPageBreak/>
        <w:t xml:space="preserve">investic do západní Evropy, avšak od 70. let se USA více zaměřovaly i na Latinskou Ameriku a </w:t>
      </w:r>
      <w:r>
        <w:rPr>
          <w:sz w:val="24"/>
          <w:szCs w:val="24"/>
        </w:rPr>
        <w:t>další regiony</w:t>
      </w:r>
      <w:r w:rsidRPr="005C2CCE">
        <w:rPr>
          <w:sz w:val="24"/>
          <w:szCs w:val="24"/>
        </w:rPr>
        <w:t xml:space="preserve"> (Ševela, 2003).  V roce 1971 </w:t>
      </w:r>
      <w:r>
        <w:rPr>
          <w:sz w:val="24"/>
          <w:szCs w:val="24"/>
        </w:rPr>
        <w:t>bylo</w:t>
      </w:r>
      <w:r w:rsidR="00F747BE">
        <w:rPr>
          <w:sz w:val="24"/>
          <w:szCs w:val="24"/>
        </w:rPr>
        <w:t xml:space="preserve"> mezi 15</w:t>
      </w:r>
      <w:r w:rsidRPr="005C2CCE">
        <w:rPr>
          <w:sz w:val="24"/>
          <w:szCs w:val="24"/>
        </w:rPr>
        <w:t xml:space="preserve"> největšími nadnárodními společnostmi 11 amerických (Evan, 2010). V tomto období se významnými investory stávají také Evropa a Japonsko, kte</w:t>
      </w:r>
      <w:r>
        <w:rPr>
          <w:sz w:val="24"/>
          <w:szCs w:val="24"/>
        </w:rPr>
        <w:t>ré</w:t>
      </w:r>
      <w:r w:rsidRPr="005C2CCE">
        <w:rPr>
          <w:sz w:val="24"/>
          <w:szCs w:val="24"/>
        </w:rPr>
        <w:t xml:space="preserve"> se </w:t>
      </w:r>
      <w:r>
        <w:rPr>
          <w:sz w:val="24"/>
          <w:szCs w:val="24"/>
        </w:rPr>
        <w:t xml:space="preserve">v </w:t>
      </w:r>
      <w:r w:rsidRPr="005C2CCE">
        <w:rPr>
          <w:sz w:val="24"/>
          <w:szCs w:val="24"/>
        </w:rPr>
        <w:t>90. letech stali lídry v oblasti přímých zahraničních investic. V</w:t>
      </w:r>
      <w:r>
        <w:rPr>
          <w:sz w:val="24"/>
          <w:szCs w:val="24"/>
        </w:rPr>
        <w:t xml:space="preserve"> této době se však </w:t>
      </w:r>
      <w:r w:rsidRPr="005C2CCE">
        <w:rPr>
          <w:sz w:val="24"/>
          <w:szCs w:val="24"/>
        </w:rPr>
        <w:t xml:space="preserve">objevuje </w:t>
      </w:r>
      <w:r>
        <w:rPr>
          <w:sz w:val="24"/>
          <w:szCs w:val="24"/>
        </w:rPr>
        <w:t xml:space="preserve">i </w:t>
      </w:r>
      <w:r w:rsidRPr="005C2CCE">
        <w:rPr>
          <w:sz w:val="24"/>
          <w:szCs w:val="24"/>
        </w:rPr>
        <w:t xml:space="preserve">nová skupina investorů </w:t>
      </w:r>
      <w:r>
        <w:rPr>
          <w:sz w:val="24"/>
          <w:szCs w:val="24"/>
        </w:rPr>
        <w:t xml:space="preserve">ze </w:t>
      </w:r>
      <w:r w:rsidRPr="005C2CCE">
        <w:rPr>
          <w:sz w:val="24"/>
          <w:szCs w:val="24"/>
        </w:rPr>
        <w:t>zem</w:t>
      </w:r>
      <w:r>
        <w:rPr>
          <w:sz w:val="24"/>
          <w:szCs w:val="24"/>
        </w:rPr>
        <w:t>í</w:t>
      </w:r>
      <w:r w:rsidRPr="005C2CCE">
        <w:rPr>
          <w:sz w:val="24"/>
          <w:szCs w:val="24"/>
        </w:rPr>
        <w:t xml:space="preserve"> jihovýchodní Asie (Ševela, 2003) a mezi patnáctkou největších nadnárodních společností </w:t>
      </w:r>
      <w:r>
        <w:rPr>
          <w:sz w:val="24"/>
          <w:szCs w:val="24"/>
        </w:rPr>
        <w:t>se tak již</w:t>
      </w:r>
      <w:r w:rsidRPr="005C2CCE">
        <w:rPr>
          <w:sz w:val="24"/>
          <w:szCs w:val="24"/>
        </w:rPr>
        <w:t xml:space="preserve"> </w:t>
      </w:r>
      <w:r>
        <w:rPr>
          <w:sz w:val="24"/>
          <w:szCs w:val="24"/>
        </w:rPr>
        <w:t>objevuje</w:t>
      </w:r>
      <w:r w:rsidRPr="005C2CCE">
        <w:rPr>
          <w:sz w:val="24"/>
          <w:szCs w:val="24"/>
        </w:rPr>
        <w:t xml:space="preserve"> jen šest amerických (Evan, 2010). Začátkem nového tisíciletí dochází s rychle rostoucím významem informačních a komunikačních technologií k dalšímu zlomu. Pokud nadnárodní společnosti posuzujeme nyní podle výše jejich tržní hodnoty, j</w:t>
      </w:r>
      <w:r>
        <w:rPr>
          <w:sz w:val="24"/>
          <w:szCs w:val="24"/>
        </w:rPr>
        <w:t>e</w:t>
      </w:r>
      <w:r w:rsidRPr="005C2CCE">
        <w:rPr>
          <w:sz w:val="24"/>
          <w:szCs w:val="24"/>
        </w:rPr>
        <w:t xml:space="preserve"> mezi první patnáctkou jen jedna evropská firma (Nestlé) a zbytek je tvořen americkými a asijskými společnostmi.</w:t>
      </w:r>
    </w:p>
    <w:p w:rsidR="008146BD" w:rsidRPr="005C2CCE" w:rsidRDefault="008146BD" w:rsidP="006B61FE">
      <w:pPr>
        <w:pStyle w:val="0T-Titulek"/>
      </w:pPr>
      <w:bookmarkStart w:id="157" w:name="_Toc382326469"/>
      <w:r w:rsidRPr="003D206D">
        <w:t xml:space="preserve">Tabulka 42: 15 největších </w:t>
      </w:r>
      <w:r w:rsidRPr="0014317E">
        <w:t>nadnárodních společností na světě (tržní hodnot</w:t>
      </w:r>
      <w:r>
        <w:t>a</w:t>
      </w:r>
      <w:r w:rsidRPr="0014317E">
        <w:t xml:space="preserve"> v roce 2013)</w:t>
      </w:r>
      <w:bookmarkEnd w:id="157"/>
    </w:p>
    <w:tbl>
      <w:tblPr>
        <w:tblStyle w:val="Mkatabulky17"/>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12"/>
        <w:gridCol w:w="2552"/>
        <w:gridCol w:w="1417"/>
        <w:gridCol w:w="2552"/>
      </w:tblGrid>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b/>
              </w:rPr>
            </w:pPr>
            <w:r>
              <w:rPr>
                <w:rFonts w:asciiTheme="minorHAnsi" w:hAnsiTheme="minorHAnsi" w:cstheme="minorHAnsi"/>
                <w:b/>
              </w:rPr>
              <w:t>p</w:t>
            </w:r>
            <w:r w:rsidRPr="002739E4">
              <w:rPr>
                <w:rFonts w:asciiTheme="minorHAnsi" w:hAnsiTheme="minorHAnsi" w:cstheme="minorHAnsi"/>
                <w:b/>
              </w:rPr>
              <w:t>ořadí</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b/>
              </w:rPr>
            </w:pPr>
            <w:r>
              <w:rPr>
                <w:rFonts w:asciiTheme="minorHAnsi" w:hAnsiTheme="minorHAnsi" w:cstheme="minorHAnsi"/>
                <w:b/>
              </w:rPr>
              <w:t>s</w:t>
            </w:r>
            <w:r w:rsidRPr="002739E4">
              <w:rPr>
                <w:rFonts w:asciiTheme="minorHAnsi" w:hAnsiTheme="minorHAnsi" w:cstheme="minorHAnsi"/>
                <w:b/>
              </w:rPr>
              <w:t>polečnost</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b/>
              </w:rPr>
            </w:pPr>
            <w:r>
              <w:rPr>
                <w:rFonts w:asciiTheme="minorHAnsi" w:hAnsiTheme="minorHAnsi" w:cstheme="minorHAnsi"/>
                <w:b/>
              </w:rPr>
              <w:t>z</w:t>
            </w:r>
            <w:r w:rsidRPr="002739E4">
              <w:rPr>
                <w:rFonts w:asciiTheme="minorHAnsi" w:hAnsiTheme="minorHAnsi" w:cstheme="minorHAnsi"/>
                <w:b/>
              </w:rPr>
              <w:t>emě</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b/>
              </w:rPr>
            </w:pPr>
            <w:r>
              <w:rPr>
                <w:rFonts w:asciiTheme="minorHAnsi" w:hAnsiTheme="minorHAnsi" w:cstheme="minorHAnsi"/>
                <w:b/>
              </w:rPr>
              <w:t>o</w:t>
            </w:r>
            <w:r w:rsidRPr="002739E4">
              <w:rPr>
                <w:rFonts w:asciiTheme="minorHAnsi" w:hAnsiTheme="minorHAnsi" w:cstheme="minorHAnsi"/>
                <w:b/>
              </w:rPr>
              <w:t>dvětví</w:t>
            </w:r>
          </w:p>
        </w:tc>
      </w:tr>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rPr>
            </w:pPr>
            <w:r w:rsidRPr="002739E4">
              <w:rPr>
                <w:rFonts w:asciiTheme="minorHAnsi" w:hAnsiTheme="minorHAnsi" w:cstheme="minorHAnsi"/>
              </w:rPr>
              <w:t>1</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Apple</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USA</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hardware</w:t>
            </w:r>
          </w:p>
        </w:tc>
      </w:tr>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rPr>
            </w:pPr>
            <w:r w:rsidRPr="002739E4">
              <w:rPr>
                <w:rFonts w:asciiTheme="minorHAnsi" w:hAnsiTheme="minorHAnsi" w:cstheme="minorHAnsi"/>
              </w:rPr>
              <w:t>2</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Exxon Mobil</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USA</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ropa a zemní plyn</w:t>
            </w:r>
          </w:p>
        </w:tc>
      </w:tr>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rPr>
            </w:pPr>
            <w:r w:rsidRPr="002739E4">
              <w:rPr>
                <w:rFonts w:asciiTheme="minorHAnsi" w:hAnsiTheme="minorHAnsi" w:cstheme="minorHAnsi"/>
              </w:rPr>
              <w:t>3</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Berkshire Hathaway USA</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USA</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pojišťovnictví</w:t>
            </w:r>
          </w:p>
        </w:tc>
      </w:tr>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rPr>
            </w:pPr>
            <w:r w:rsidRPr="002739E4">
              <w:rPr>
                <w:rFonts w:asciiTheme="minorHAnsi" w:hAnsiTheme="minorHAnsi" w:cstheme="minorHAnsi"/>
              </w:rPr>
              <w:t>4</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PetroChina</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Čína</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ropa a zemní plyn</w:t>
            </w:r>
          </w:p>
        </w:tc>
      </w:tr>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rPr>
            </w:pPr>
            <w:r w:rsidRPr="002739E4">
              <w:rPr>
                <w:rFonts w:asciiTheme="minorHAnsi" w:hAnsiTheme="minorHAnsi" w:cstheme="minorHAnsi"/>
              </w:rPr>
              <w:t>5</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WallMart</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USA</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maloobchod</w:t>
            </w:r>
          </w:p>
        </w:tc>
      </w:tr>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rPr>
            </w:pPr>
            <w:r w:rsidRPr="002739E4">
              <w:rPr>
                <w:rFonts w:asciiTheme="minorHAnsi" w:hAnsiTheme="minorHAnsi" w:cstheme="minorHAnsi"/>
              </w:rPr>
              <w:t>6</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General Electric</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USA</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průmysl</w:t>
            </w:r>
          </w:p>
        </w:tc>
      </w:tr>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rPr>
            </w:pPr>
            <w:r w:rsidRPr="002739E4">
              <w:rPr>
                <w:rFonts w:asciiTheme="minorHAnsi" w:hAnsiTheme="minorHAnsi" w:cstheme="minorHAnsi"/>
              </w:rPr>
              <w:t>7</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Microsoft</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USA</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software</w:t>
            </w:r>
          </w:p>
        </w:tc>
      </w:tr>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rPr>
            </w:pPr>
            <w:r w:rsidRPr="002739E4">
              <w:rPr>
                <w:rFonts w:asciiTheme="minorHAnsi" w:hAnsiTheme="minorHAnsi" w:cstheme="minorHAnsi"/>
              </w:rPr>
              <w:t>8</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IBM</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USA</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software</w:t>
            </w:r>
          </w:p>
        </w:tc>
      </w:tr>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rPr>
            </w:pPr>
            <w:r w:rsidRPr="002739E4">
              <w:rPr>
                <w:rFonts w:asciiTheme="minorHAnsi" w:hAnsiTheme="minorHAnsi" w:cstheme="minorHAnsi"/>
              </w:rPr>
              <w:t>9</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Nestlé</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Švýcarsko</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potravinářství</w:t>
            </w:r>
          </w:p>
        </w:tc>
      </w:tr>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rPr>
            </w:pPr>
            <w:r w:rsidRPr="002739E4">
              <w:rPr>
                <w:rFonts w:asciiTheme="minorHAnsi" w:hAnsiTheme="minorHAnsi" w:cstheme="minorHAnsi"/>
              </w:rPr>
              <w:t>10</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Chevron</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USA</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ropa a zemní plyn</w:t>
            </w:r>
          </w:p>
        </w:tc>
      </w:tr>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rPr>
            </w:pPr>
            <w:r w:rsidRPr="002739E4">
              <w:rPr>
                <w:rFonts w:asciiTheme="minorHAnsi" w:hAnsiTheme="minorHAnsi" w:cstheme="minorHAnsi"/>
              </w:rPr>
              <w:t>11</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ICBC</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Čína</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bankovnictví</w:t>
            </w:r>
          </w:p>
        </w:tc>
      </w:tr>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rPr>
            </w:pPr>
            <w:r w:rsidRPr="002739E4">
              <w:rPr>
                <w:rFonts w:asciiTheme="minorHAnsi" w:hAnsiTheme="minorHAnsi" w:cstheme="minorHAnsi"/>
              </w:rPr>
              <w:t>12</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Johnson &amp; Johnson</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USA</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Pr>
                <w:rFonts w:asciiTheme="minorHAnsi" w:hAnsiTheme="minorHAnsi" w:cstheme="minorHAnsi"/>
              </w:rPr>
              <w:t>f</w:t>
            </w:r>
            <w:r w:rsidRPr="002739E4">
              <w:rPr>
                <w:rFonts w:asciiTheme="minorHAnsi" w:hAnsiTheme="minorHAnsi" w:cstheme="minorHAnsi"/>
              </w:rPr>
              <w:t>armacie</w:t>
            </w:r>
            <w:r>
              <w:rPr>
                <w:rFonts w:asciiTheme="minorHAnsi" w:hAnsiTheme="minorHAnsi" w:cstheme="minorHAnsi"/>
              </w:rPr>
              <w:t xml:space="preserve">, </w:t>
            </w:r>
            <w:r w:rsidRPr="002739E4">
              <w:rPr>
                <w:rFonts w:asciiTheme="minorHAnsi" w:hAnsiTheme="minorHAnsi" w:cstheme="minorHAnsi"/>
              </w:rPr>
              <w:t>iotechnologie</w:t>
            </w:r>
          </w:p>
        </w:tc>
      </w:tr>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rPr>
            </w:pPr>
            <w:r w:rsidRPr="002739E4">
              <w:rPr>
                <w:rFonts w:asciiTheme="minorHAnsi" w:hAnsiTheme="minorHAnsi" w:cstheme="minorHAnsi"/>
              </w:rPr>
              <w:t>13</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Samsung Electronics</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Jižní Korea</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elektronika</w:t>
            </w:r>
          </w:p>
        </w:tc>
      </w:tr>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rPr>
            </w:pPr>
            <w:r w:rsidRPr="002739E4">
              <w:rPr>
                <w:rFonts w:asciiTheme="minorHAnsi" w:hAnsiTheme="minorHAnsi" w:cstheme="minorHAnsi"/>
              </w:rPr>
              <w:t>14</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China Mobile</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Čína</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mobilní komunikace</w:t>
            </w:r>
          </w:p>
        </w:tc>
      </w:tr>
      <w:tr w:rsidR="008146BD" w:rsidRPr="005C2CCE" w:rsidTr="00BE09E0">
        <w:trPr>
          <w:trHeight w:hRule="exact" w:val="255"/>
          <w:jc w:val="center"/>
        </w:trPr>
        <w:tc>
          <w:tcPr>
            <w:tcW w:w="794"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center"/>
              <w:rPr>
                <w:rFonts w:asciiTheme="minorHAnsi" w:eastAsia="Times New Roman" w:hAnsiTheme="minorHAnsi" w:cstheme="minorHAnsi"/>
              </w:rPr>
            </w:pPr>
            <w:r w:rsidRPr="002739E4">
              <w:rPr>
                <w:rFonts w:asciiTheme="minorHAnsi" w:hAnsiTheme="minorHAnsi" w:cstheme="minorHAnsi"/>
              </w:rPr>
              <w:t>15</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Google</w:t>
            </w:r>
          </w:p>
        </w:tc>
        <w:tc>
          <w:tcPr>
            <w:tcW w:w="1417"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USA</w:t>
            </w:r>
          </w:p>
        </w:tc>
        <w:tc>
          <w:tcPr>
            <w:tcW w:w="2552" w:type="dxa"/>
            <w:tcBorders>
              <w:top w:val="double" w:sz="4" w:space="0" w:color="auto"/>
              <w:left w:val="double" w:sz="4" w:space="0" w:color="auto"/>
              <w:bottom w:val="double" w:sz="4" w:space="0" w:color="auto"/>
              <w:right w:val="double" w:sz="4" w:space="0" w:color="auto"/>
            </w:tcBorders>
            <w:hideMark/>
          </w:tcPr>
          <w:p w:rsidR="008146BD" w:rsidRPr="002739E4" w:rsidRDefault="008146BD" w:rsidP="007A7D80">
            <w:pPr>
              <w:jc w:val="both"/>
              <w:rPr>
                <w:rFonts w:asciiTheme="minorHAnsi" w:eastAsia="Times New Roman" w:hAnsiTheme="minorHAnsi" w:cstheme="minorHAnsi"/>
              </w:rPr>
            </w:pPr>
            <w:r w:rsidRPr="002739E4">
              <w:rPr>
                <w:rFonts w:asciiTheme="minorHAnsi" w:hAnsiTheme="minorHAnsi" w:cstheme="minorHAnsi"/>
              </w:rPr>
              <w:t>software</w:t>
            </w:r>
          </w:p>
        </w:tc>
      </w:tr>
    </w:tbl>
    <w:p w:rsidR="008146BD" w:rsidRPr="002A29A7" w:rsidRDefault="008146BD" w:rsidP="008146BD">
      <w:pPr>
        <w:jc w:val="center"/>
        <w:rPr>
          <w:rFonts w:asciiTheme="minorHAnsi" w:hAnsiTheme="minorHAnsi" w:cstheme="minorHAnsi"/>
        </w:rPr>
      </w:pPr>
      <w:r w:rsidRPr="002A29A7">
        <w:rPr>
          <w:rFonts w:asciiTheme="minorHAnsi" w:hAnsiTheme="minorHAnsi" w:cstheme="minorHAnsi"/>
          <w:i/>
        </w:rPr>
        <w:t xml:space="preserve">Pramen: </w:t>
      </w:r>
      <w:r w:rsidRPr="002A29A7">
        <w:rPr>
          <w:rFonts w:asciiTheme="minorHAnsi" w:hAnsiTheme="minorHAnsi" w:cstheme="minorHAnsi"/>
        </w:rPr>
        <w:t>Financial Times, 2013</w:t>
      </w:r>
    </w:p>
    <w:p w:rsidR="008146BD" w:rsidRPr="005C2CCE" w:rsidRDefault="008146BD" w:rsidP="00881523">
      <w:pPr>
        <w:spacing w:after="120"/>
        <w:ind w:firstLine="720"/>
        <w:jc w:val="both"/>
        <w:rPr>
          <w:sz w:val="24"/>
          <w:szCs w:val="24"/>
        </w:rPr>
      </w:pPr>
      <w:r w:rsidRPr="005C2CCE">
        <w:rPr>
          <w:sz w:val="24"/>
          <w:szCs w:val="24"/>
        </w:rPr>
        <w:t xml:space="preserve">O </w:t>
      </w:r>
      <w:r w:rsidRPr="00CE2A96">
        <w:rPr>
          <w:sz w:val="24"/>
          <w:szCs w:val="24"/>
        </w:rPr>
        <w:t>to</w:t>
      </w:r>
      <w:r>
        <w:rPr>
          <w:sz w:val="24"/>
          <w:szCs w:val="24"/>
        </w:rPr>
        <w:t>cích</w:t>
      </w:r>
      <w:r w:rsidRPr="00CE2A96">
        <w:rPr>
          <w:sz w:val="24"/>
          <w:szCs w:val="24"/>
        </w:rPr>
        <w:t xml:space="preserve"> přímých zahraničních investic vypovídá zpráva, kterou každoročně zpracovává UNCTAD. Z tabulky 43</w:t>
      </w:r>
      <w:r w:rsidRPr="005C2CCE">
        <w:rPr>
          <w:sz w:val="24"/>
          <w:szCs w:val="24"/>
        </w:rPr>
        <w:t xml:space="preserve"> je patrné</w:t>
      </w:r>
      <w:r w:rsidR="00F747BE">
        <w:rPr>
          <w:sz w:val="24"/>
          <w:szCs w:val="24"/>
        </w:rPr>
        <w:t>, že k největšímu odlivu docházelo</w:t>
      </w:r>
      <w:r w:rsidRPr="005C2CCE">
        <w:rPr>
          <w:sz w:val="24"/>
          <w:szCs w:val="24"/>
        </w:rPr>
        <w:t xml:space="preserve"> u rozvinutých ekonomik a investice </w:t>
      </w:r>
      <w:r>
        <w:rPr>
          <w:sz w:val="24"/>
          <w:szCs w:val="24"/>
        </w:rPr>
        <w:t>pak</w:t>
      </w:r>
      <w:r w:rsidRPr="005C2CCE">
        <w:rPr>
          <w:sz w:val="24"/>
          <w:szCs w:val="24"/>
        </w:rPr>
        <w:t xml:space="preserve"> přitékaly zejména do rozvojových ekonomik Asi</w:t>
      </w:r>
      <w:r>
        <w:rPr>
          <w:sz w:val="24"/>
          <w:szCs w:val="24"/>
        </w:rPr>
        <w:t>e</w:t>
      </w:r>
      <w:r w:rsidR="00385CD4">
        <w:rPr>
          <w:sz w:val="24"/>
          <w:szCs w:val="24"/>
        </w:rPr>
        <w:t>. O </w:t>
      </w:r>
      <w:r w:rsidRPr="005C2CCE">
        <w:rPr>
          <w:sz w:val="24"/>
          <w:szCs w:val="24"/>
        </w:rPr>
        <w:t>rok dříve ale větší část investic plynula do rozvinutých ek</w:t>
      </w:r>
      <w:r w:rsidR="00385CD4">
        <w:rPr>
          <w:sz w:val="24"/>
          <w:szCs w:val="24"/>
        </w:rPr>
        <w:t>onomik a rozdíl v přílivu PZI u </w:t>
      </w:r>
      <w:r w:rsidRPr="005C2CCE">
        <w:rPr>
          <w:sz w:val="24"/>
          <w:szCs w:val="24"/>
        </w:rPr>
        <w:t>obou typů ekonomik není velký. Mnohem větší rozdíl se vyskytuje u odlivu PZI a je patrné, že firmy z rozvinutých ekonomik často investují opět do rozvinutých ekonomik. Tranzitivní ekonomiky (jihovýchodní Evropa, Rusko, Gruzie) mají pouze malý podíl na světových investicích, ale dosahují většího přílivu než odlivu.</w:t>
      </w:r>
    </w:p>
    <w:p w:rsidR="008146BD" w:rsidRPr="003D206D" w:rsidRDefault="008146BD" w:rsidP="006B61FE">
      <w:pPr>
        <w:pStyle w:val="0T-Titulek"/>
      </w:pPr>
      <w:bookmarkStart w:id="158" w:name="_Toc382326470"/>
      <w:r w:rsidRPr="003D206D">
        <w:t>Tabulka 43: Příliv a odliv přímých zahraničních investic (% světových investic)</w:t>
      </w:r>
      <w:bookmarkEnd w:id="158"/>
    </w:p>
    <w:tbl>
      <w:tblPr>
        <w:tblStyle w:val="Mkatabulky17"/>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18"/>
        <w:gridCol w:w="1559"/>
        <w:gridCol w:w="1560"/>
        <w:gridCol w:w="1559"/>
        <w:gridCol w:w="1559"/>
      </w:tblGrid>
      <w:tr w:rsidR="008146BD" w:rsidRPr="005C2CCE" w:rsidTr="00881523">
        <w:trPr>
          <w:trHeight w:hRule="exact" w:val="284"/>
          <w:jc w:val="center"/>
        </w:trPr>
        <w:tc>
          <w:tcPr>
            <w:tcW w:w="2518"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both"/>
              <w:rPr>
                <w:rFonts w:eastAsia="Times New Roman"/>
                <w:b/>
              </w:rPr>
            </w:pPr>
            <w:r>
              <w:rPr>
                <w:b/>
              </w:rPr>
              <w:t>r</w:t>
            </w:r>
            <w:r w:rsidRPr="00381412">
              <w:rPr>
                <w:b/>
              </w:rPr>
              <w:t>egion</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both"/>
              <w:rPr>
                <w:rFonts w:eastAsia="Times New Roman"/>
                <w:b/>
              </w:rPr>
            </w:pPr>
            <w:r>
              <w:rPr>
                <w:b/>
              </w:rPr>
              <w:t>p</w:t>
            </w:r>
            <w:r w:rsidRPr="00381412">
              <w:rPr>
                <w:b/>
              </w:rPr>
              <w:t>říliv PZI 2011</w:t>
            </w:r>
          </w:p>
        </w:tc>
        <w:tc>
          <w:tcPr>
            <w:tcW w:w="1560"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both"/>
              <w:rPr>
                <w:rFonts w:eastAsia="Times New Roman"/>
                <w:b/>
              </w:rPr>
            </w:pPr>
            <w:r>
              <w:rPr>
                <w:b/>
              </w:rPr>
              <w:t>p</w:t>
            </w:r>
            <w:r w:rsidRPr="00381412">
              <w:rPr>
                <w:b/>
              </w:rPr>
              <w:t>říliv PZI 2012</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both"/>
              <w:rPr>
                <w:rFonts w:eastAsia="Times New Roman"/>
                <w:b/>
              </w:rPr>
            </w:pPr>
            <w:r>
              <w:rPr>
                <w:b/>
              </w:rPr>
              <w:t>o</w:t>
            </w:r>
            <w:r w:rsidRPr="00381412">
              <w:rPr>
                <w:b/>
              </w:rPr>
              <w:t>dliv PZI 2011</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both"/>
              <w:rPr>
                <w:rFonts w:eastAsia="Times New Roman"/>
                <w:b/>
              </w:rPr>
            </w:pPr>
            <w:r>
              <w:rPr>
                <w:b/>
              </w:rPr>
              <w:t>o</w:t>
            </w:r>
            <w:r w:rsidRPr="00381412">
              <w:rPr>
                <w:b/>
              </w:rPr>
              <w:t>dliv PZI 2012</w:t>
            </w:r>
          </w:p>
        </w:tc>
      </w:tr>
      <w:tr w:rsidR="008146BD" w:rsidRPr="005C2CCE" w:rsidTr="00881523">
        <w:trPr>
          <w:trHeight w:hRule="exact" w:val="284"/>
          <w:jc w:val="center"/>
        </w:trPr>
        <w:tc>
          <w:tcPr>
            <w:tcW w:w="2518"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both"/>
              <w:rPr>
                <w:rFonts w:eastAsia="Times New Roman"/>
              </w:rPr>
            </w:pPr>
            <w:r>
              <w:t>r</w:t>
            </w:r>
            <w:r w:rsidRPr="00381412">
              <w:t>ozvinuté ekonomiky</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49,7</w:t>
            </w:r>
          </w:p>
        </w:tc>
        <w:tc>
          <w:tcPr>
            <w:tcW w:w="1560"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41,5</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70,5</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65,4</w:t>
            </w:r>
          </w:p>
        </w:tc>
      </w:tr>
      <w:tr w:rsidR="008146BD" w:rsidRPr="005C2CCE" w:rsidTr="00881523">
        <w:trPr>
          <w:trHeight w:hRule="exact" w:val="284"/>
          <w:jc w:val="center"/>
        </w:trPr>
        <w:tc>
          <w:tcPr>
            <w:tcW w:w="2518"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both"/>
              <w:rPr>
                <w:rFonts w:eastAsia="Times New Roman"/>
              </w:rPr>
            </w:pPr>
            <w:r>
              <w:t>r</w:t>
            </w:r>
            <w:r w:rsidRPr="00381412">
              <w:t>ozvojové ekonomiky</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44,5</w:t>
            </w:r>
          </w:p>
        </w:tc>
        <w:tc>
          <w:tcPr>
            <w:tcW w:w="1560"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52,0</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25,2</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30,6</w:t>
            </w:r>
          </w:p>
        </w:tc>
      </w:tr>
      <w:tr w:rsidR="008146BD" w:rsidRPr="005C2CCE" w:rsidTr="00881523">
        <w:trPr>
          <w:trHeight w:hRule="exact" w:val="284"/>
          <w:jc w:val="center"/>
        </w:trPr>
        <w:tc>
          <w:tcPr>
            <w:tcW w:w="2518"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both"/>
              <w:rPr>
                <w:rFonts w:eastAsia="Times New Roman"/>
              </w:rPr>
            </w:pPr>
            <w:r w:rsidRPr="00381412">
              <w:t>- z toho Afrika</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2,9</w:t>
            </w:r>
          </w:p>
        </w:tc>
        <w:tc>
          <w:tcPr>
            <w:tcW w:w="1560"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3,7</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0,3</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1,0</w:t>
            </w:r>
          </w:p>
        </w:tc>
      </w:tr>
      <w:tr w:rsidR="008146BD" w:rsidRPr="005C2CCE" w:rsidTr="00881523">
        <w:trPr>
          <w:trHeight w:hRule="exact" w:val="284"/>
          <w:jc w:val="center"/>
        </w:trPr>
        <w:tc>
          <w:tcPr>
            <w:tcW w:w="2518"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both"/>
              <w:rPr>
                <w:rFonts w:eastAsia="Times New Roman"/>
              </w:rPr>
            </w:pPr>
            <w:r w:rsidRPr="00381412">
              <w:t>- z toho Asie</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26,4</w:t>
            </w:r>
          </w:p>
        </w:tc>
        <w:tc>
          <w:tcPr>
            <w:tcW w:w="1560"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30,1</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18,5</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22,2</w:t>
            </w:r>
          </w:p>
        </w:tc>
      </w:tr>
      <w:tr w:rsidR="008146BD" w:rsidRPr="005C2CCE" w:rsidTr="00881523">
        <w:trPr>
          <w:trHeight w:hRule="exact" w:val="284"/>
          <w:jc w:val="center"/>
        </w:trPr>
        <w:tc>
          <w:tcPr>
            <w:tcW w:w="2518"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both"/>
              <w:rPr>
                <w:rFonts w:eastAsia="Times New Roman"/>
              </w:rPr>
            </w:pPr>
            <w:r w:rsidRPr="00381412">
              <w:t>- z toho Lat.</w:t>
            </w:r>
            <w:r>
              <w:t xml:space="preserve"> </w:t>
            </w:r>
            <w:proofErr w:type="gramStart"/>
            <w:r w:rsidRPr="00381412">
              <w:t>Am. a Karibik</w:t>
            </w:r>
            <w:proofErr w:type="gramEnd"/>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15,1</w:t>
            </w:r>
          </w:p>
        </w:tc>
        <w:tc>
          <w:tcPr>
            <w:tcW w:w="1560"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18,1</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6,3</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7,4</w:t>
            </w:r>
          </w:p>
        </w:tc>
      </w:tr>
      <w:tr w:rsidR="008146BD" w:rsidRPr="005C2CCE" w:rsidTr="00881523">
        <w:trPr>
          <w:trHeight w:hRule="exact" w:val="284"/>
          <w:jc w:val="center"/>
        </w:trPr>
        <w:tc>
          <w:tcPr>
            <w:tcW w:w="2518"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both"/>
              <w:rPr>
                <w:rFonts w:eastAsia="Times New Roman"/>
              </w:rPr>
            </w:pPr>
            <w:r w:rsidRPr="00381412">
              <w:t>- z toho Oceánie</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0,1</w:t>
            </w:r>
          </w:p>
        </w:tc>
        <w:tc>
          <w:tcPr>
            <w:tcW w:w="1560"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0,2</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0,1</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0,0</w:t>
            </w:r>
          </w:p>
        </w:tc>
      </w:tr>
      <w:tr w:rsidR="008146BD" w:rsidRPr="005C2CCE" w:rsidTr="00881523">
        <w:trPr>
          <w:trHeight w:hRule="exact" w:val="284"/>
          <w:jc w:val="center"/>
        </w:trPr>
        <w:tc>
          <w:tcPr>
            <w:tcW w:w="2518"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both"/>
              <w:rPr>
                <w:rFonts w:eastAsia="Times New Roman"/>
              </w:rPr>
            </w:pPr>
            <w:r>
              <w:t>t</w:t>
            </w:r>
            <w:r w:rsidRPr="00381412">
              <w:t>ranzitivní ekonomiky</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5,8</w:t>
            </w:r>
          </w:p>
        </w:tc>
        <w:tc>
          <w:tcPr>
            <w:tcW w:w="1560"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6,5</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4,3</w:t>
            </w:r>
          </w:p>
        </w:tc>
        <w:tc>
          <w:tcPr>
            <w:tcW w:w="1559" w:type="dxa"/>
            <w:tcBorders>
              <w:top w:val="double" w:sz="4" w:space="0" w:color="auto"/>
              <w:left w:val="double" w:sz="4" w:space="0" w:color="auto"/>
              <w:bottom w:val="double" w:sz="4" w:space="0" w:color="auto"/>
              <w:right w:val="double" w:sz="4" w:space="0" w:color="auto"/>
            </w:tcBorders>
            <w:hideMark/>
          </w:tcPr>
          <w:p w:rsidR="008146BD" w:rsidRPr="00381412" w:rsidRDefault="008146BD" w:rsidP="007A7D80">
            <w:pPr>
              <w:jc w:val="center"/>
              <w:rPr>
                <w:rFonts w:eastAsia="Times New Roman"/>
              </w:rPr>
            </w:pPr>
            <w:r w:rsidRPr="00381412">
              <w:t>4,0</w:t>
            </w:r>
          </w:p>
        </w:tc>
      </w:tr>
    </w:tbl>
    <w:p w:rsidR="008146BD" w:rsidRPr="003D206D" w:rsidRDefault="008146BD" w:rsidP="008146BD">
      <w:pPr>
        <w:jc w:val="center"/>
        <w:rPr>
          <w:rFonts w:asciiTheme="minorHAnsi" w:hAnsiTheme="minorHAnsi" w:cstheme="minorHAnsi"/>
          <w:i/>
        </w:rPr>
      </w:pPr>
      <w:r w:rsidRPr="003D206D">
        <w:rPr>
          <w:rFonts w:asciiTheme="minorHAnsi" w:hAnsiTheme="minorHAnsi" w:cstheme="minorHAnsi"/>
          <w:i/>
        </w:rPr>
        <w:t>Pramen: UNCTAD</w:t>
      </w:r>
    </w:p>
    <w:p w:rsidR="008146BD" w:rsidRPr="005C2CCE" w:rsidRDefault="008146BD" w:rsidP="008146BD">
      <w:pPr>
        <w:ind w:firstLine="720"/>
        <w:jc w:val="both"/>
        <w:rPr>
          <w:sz w:val="24"/>
          <w:szCs w:val="24"/>
        </w:rPr>
      </w:pPr>
      <w:r w:rsidRPr="005C2CCE">
        <w:rPr>
          <w:sz w:val="24"/>
          <w:szCs w:val="24"/>
        </w:rPr>
        <w:lastRenderedPageBreak/>
        <w:t xml:space="preserve">Vývojem prochází i struktura komodit, na které se nadnárodní firmy zaměřují. </w:t>
      </w:r>
      <w:r>
        <w:rPr>
          <w:sz w:val="24"/>
          <w:szCs w:val="24"/>
        </w:rPr>
        <w:t>Nejdelší</w:t>
      </w:r>
      <w:r w:rsidRPr="005C2CCE">
        <w:rPr>
          <w:sz w:val="24"/>
          <w:szCs w:val="24"/>
        </w:rPr>
        <w:t xml:space="preserve"> tradici má produkce a vývoz koření, kávy a čaje. Historicky největší přímé zahraniční investice se </w:t>
      </w:r>
      <w:r>
        <w:rPr>
          <w:sz w:val="24"/>
          <w:szCs w:val="24"/>
        </w:rPr>
        <w:t xml:space="preserve">pak </w:t>
      </w:r>
      <w:r w:rsidRPr="005C2CCE">
        <w:rPr>
          <w:sz w:val="24"/>
          <w:szCs w:val="24"/>
        </w:rPr>
        <w:t xml:space="preserve">vztahují k přírodním zdrojům (ropa, minerály a rudy, velké plantáže). Ve 20. století některé vlády převzaly kontrolu nad svými přírodními zdroji, avšak </w:t>
      </w:r>
      <w:r w:rsidR="00F747BE">
        <w:rPr>
          <w:sz w:val="24"/>
          <w:szCs w:val="24"/>
        </w:rPr>
        <w:t xml:space="preserve">v 90. </w:t>
      </w:r>
      <w:r w:rsidRPr="005C2CCE">
        <w:rPr>
          <w:sz w:val="24"/>
          <w:szCs w:val="24"/>
        </w:rPr>
        <w:t>letech docházelo k</w:t>
      </w:r>
      <w:r>
        <w:rPr>
          <w:sz w:val="24"/>
          <w:szCs w:val="24"/>
        </w:rPr>
        <w:t> </w:t>
      </w:r>
      <w:r w:rsidRPr="005C2CCE">
        <w:rPr>
          <w:sz w:val="24"/>
          <w:szCs w:val="24"/>
        </w:rPr>
        <w:t>privatizaci</w:t>
      </w:r>
      <w:r>
        <w:rPr>
          <w:sz w:val="24"/>
          <w:szCs w:val="24"/>
        </w:rPr>
        <w:t xml:space="preserve"> s </w:t>
      </w:r>
      <w:r w:rsidRPr="005C2CCE">
        <w:rPr>
          <w:sz w:val="24"/>
          <w:szCs w:val="24"/>
        </w:rPr>
        <w:t>významn</w:t>
      </w:r>
      <w:r>
        <w:rPr>
          <w:sz w:val="24"/>
          <w:szCs w:val="24"/>
        </w:rPr>
        <w:t>ým</w:t>
      </w:r>
      <w:r w:rsidRPr="005C2CCE">
        <w:rPr>
          <w:sz w:val="24"/>
          <w:szCs w:val="24"/>
        </w:rPr>
        <w:t xml:space="preserve"> zapojen</w:t>
      </w:r>
      <w:r>
        <w:rPr>
          <w:sz w:val="24"/>
          <w:szCs w:val="24"/>
        </w:rPr>
        <w:t>ím</w:t>
      </w:r>
      <w:r w:rsidRPr="005C2CCE">
        <w:rPr>
          <w:sz w:val="24"/>
          <w:szCs w:val="24"/>
        </w:rPr>
        <w:t xml:space="preserve"> zahraniční</w:t>
      </w:r>
      <w:r>
        <w:rPr>
          <w:sz w:val="24"/>
          <w:szCs w:val="24"/>
        </w:rPr>
        <w:t>ho</w:t>
      </w:r>
      <w:r w:rsidRPr="005C2CCE">
        <w:rPr>
          <w:sz w:val="24"/>
          <w:szCs w:val="24"/>
        </w:rPr>
        <w:t xml:space="preserve"> kapitál</w:t>
      </w:r>
      <w:r>
        <w:rPr>
          <w:sz w:val="24"/>
          <w:szCs w:val="24"/>
        </w:rPr>
        <w:t>u</w:t>
      </w:r>
      <w:r w:rsidRPr="005C2CCE">
        <w:rPr>
          <w:sz w:val="24"/>
          <w:szCs w:val="24"/>
        </w:rPr>
        <w:t xml:space="preserve"> (Kislingerová, Nový a kol., 2005). Výrazným milníkem je konec druhé světové války, kdy velké společnosti masivněji zahajovaly průmyslovou výrobu v dalších zemích (Ševela, 2003). Hlavními sektory přitahující</w:t>
      </w:r>
      <w:r>
        <w:rPr>
          <w:sz w:val="24"/>
          <w:szCs w:val="24"/>
        </w:rPr>
        <w:t>mi</w:t>
      </w:r>
      <w:r w:rsidRPr="005C2CCE">
        <w:rPr>
          <w:sz w:val="24"/>
          <w:szCs w:val="24"/>
        </w:rPr>
        <w:t xml:space="preserve"> nejvíce investic jsou technologicky vyspělá odvětví (farmaceutika, biotechnologie, počítače, vědecké přístroje, elektronika, syntetická vlákna), velkoobjemové spotřební zboží se středně pokročilými technologiemi (motorová vozidla, televize, domácí spotřebiče) a masové rychloobrátkové spotřební zboží (potraviny, nápoje, kosmetika). Významným posunem v globalizované ekonomice </w:t>
      </w:r>
      <w:r>
        <w:rPr>
          <w:sz w:val="24"/>
          <w:szCs w:val="24"/>
        </w:rPr>
        <w:t xml:space="preserve">bylo </w:t>
      </w:r>
      <w:r w:rsidRPr="005C2CCE">
        <w:rPr>
          <w:sz w:val="24"/>
          <w:szCs w:val="24"/>
        </w:rPr>
        <w:t>zapoj</w:t>
      </w:r>
      <w:r>
        <w:rPr>
          <w:sz w:val="24"/>
          <w:szCs w:val="24"/>
        </w:rPr>
        <w:t xml:space="preserve">ení </w:t>
      </w:r>
      <w:r w:rsidRPr="005C2CCE">
        <w:rPr>
          <w:sz w:val="24"/>
          <w:szCs w:val="24"/>
        </w:rPr>
        <w:t>nadnárodních firem do sektoru služeb</w:t>
      </w:r>
      <w:r>
        <w:rPr>
          <w:sz w:val="24"/>
          <w:szCs w:val="24"/>
        </w:rPr>
        <w:t xml:space="preserve"> – </w:t>
      </w:r>
      <w:r w:rsidRPr="005C2CCE">
        <w:rPr>
          <w:sz w:val="24"/>
          <w:szCs w:val="24"/>
        </w:rPr>
        <w:t>bankovnictví</w:t>
      </w:r>
      <w:r>
        <w:rPr>
          <w:sz w:val="24"/>
          <w:szCs w:val="24"/>
        </w:rPr>
        <w:t xml:space="preserve"> a</w:t>
      </w:r>
      <w:r w:rsidRPr="005C2CCE">
        <w:rPr>
          <w:sz w:val="24"/>
          <w:szCs w:val="24"/>
        </w:rPr>
        <w:t xml:space="preserve"> finanční služb</w:t>
      </w:r>
      <w:r>
        <w:rPr>
          <w:sz w:val="24"/>
          <w:szCs w:val="24"/>
        </w:rPr>
        <w:t>y</w:t>
      </w:r>
      <w:r w:rsidRPr="005C2CCE">
        <w:rPr>
          <w:sz w:val="24"/>
          <w:szCs w:val="24"/>
        </w:rPr>
        <w:t xml:space="preserve">, pojišťovnictví, auditorské firmy, právnické společnosti, reklama, komunikace, hotely atd. (Kislingerová, Nový a kol., 2005). </w:t>
      </w:r>
    </w:p>
    <w:p w:rsidR="008146BD" w:rsidRPr="005C2CCE" w:rsidRDefault="008146BD" w:rsidP="008146BD">
      <w:pPr>
        <w:ind w:firstLine="720"/>
        <w:jc w:val="both"/>
        <w:rPr>
          <w:sz w:val="24"/>
          <w:szCs w:val="24"/>
        </w:rPr>
      </w:pPr>
      <w:r w:rsidRPr="005C2CCE">
        <w:rPr>
          <w:sz w:val="24"/>
          <w:szCs w:val="24"/>
        </w:rPr>
        <w:t>První investice do koloniálních zemí měly charakter spíše portfoliových investic (majetkové cenné papíry). Po druhé světové válce začaly většinu investic tvořit přímé zahraniční investice (Ševela, 2003). Ty se odehrávají tak, že nadnárodní firma buď založí zcela novou firmu (greenfield investice) nebo převezme řízení stávající firmy (fúze a akvizice, mergers &amp; acquisitions</w:t>
      </w:r>
      <w:r>
        <w:rPr>
          <w:sz w:val="24"/>
          <w:szCs w:val="24"/>
        </w:rPr>
        <w:t>/</w:t>
      </w:r>
      <w:r w:rsidRPr="005C2CCE">
        <w:rPr>
          <w:sz w:val="24"/>
          <w:szCs w:val="24"/>
        </w:rPr>
        <w:t>M&amp;A</w:t>
      </w:r>
      <w:r>
        <w:rPr>
          <w:sz w:val="24"/>
          <w:szCs w:val="24"/>
        </w:rPr>
        <w:t xml:space="preserve"> </w:t>
      </w:r>
      <w:r w:rsidRPr="005C2CCE">
        <w:rPr>
          <w:sz w:val="24"/>
          <w:szCs w:val="24"/>
        </w:rPr>
        <w:t xml:space="preserve">– dnes převládající typ). Někdy jsou také jako typ PZI zvlášť uváděny investice, kdy nadnárodní firma převezme stávající podnik, </w:t>
      </w:r>
      <w:r>
        <w:rPr>
          <w:sz w:val="24"/>
          <w:szCs w:val="24"/>
        </w:rPr>
        <w:t>který</w:t>
      </w:r>
      <w:r w:rsidRPr="005C2CCE">
        <w:rPr>
          <w:sz w:val="24"/>
          <w:szCs w:val="24"/>
        </w:rPr>
        <w:t xml:space="preserve"> restrukturalizuje</w:t>
      </w:r>
      <w:r w:rsidR="00F747BE">
        <w:rPr>
          <w:sz w:val="24"/>
          <w:szCs w:val="24"/>
        </w:rPr>
        <w:t>,</w:t>
      </w:r>
      <w:r>
        <w:rPr>
          <w:sz w:val="24"/>
          <w:szCs w:val="24"/>
        </w:rPr>
        <w:t xml:space="preserve"> avšak</w:t>
      </w:r>
      <w:r w:rsidRPr="005C2CCE">
        <w:rPr>
          <w:sz w:val="24"/>
          <w:szCs w:val="24"/>
        </w:rPr>
        <w:t xml:space="preserve"> na rozdíl od M&amp;A nevyužívá všech</w:t>
      </w:r>
      <w:r>
        <w:rPr>
          <w:sz w:val="24"/>
          <w:szCs w:val="24"/>
        </w:rPr>
        <w:t xml:space="preserve"> jeho</w:t>
      </w:r>
      <w:r w:rsidRPr="005C2CCE">
        <w:rPr>
          <w:sz w:val="24"/>
          <w:szCs w:val="24"/>
        </w:rPr>
        <w:t xml:space="preserve"> aktiv (Blažek, L., Šafrová</w:t>
      </w:r>
      <w:r>
        <w:rPr>
          <w:sz w:val="24"/>
          <w:szCs w:val="24"/>
        </w:rPr>
        <w:t>-</w:t>
      </w:r>
      <w:r w:rsidRPr="005C2CCE">
        <w:rPr>
          <w:sz w:val="24"/>
          <w:szCs w:val="24"/>
        </w:rPr>
        <w:t>Drášilová, 2013). Přímé zahraniční investice jsou pro hostitelskou zemi přínosnější než investice portfoliové, tedy nepřímé (např. Ševela, 2003, Evan, 2010). PZI totiž nepředstavují pouze příliv peněz, ale obvykle i dalších prvků – know-how</w:t>
      </w:r>
      <w:r>
        <w:rPr>
          <w:sz w:val="24"/>
          <w:szCs w:val="24"/>
        </w:rPr>
        <w:t xml:space="preserve">, </w:t>
      </w:r>
      <w:r w:rsidRPr="005C2CCE">
        <w:rPr>
          <w:sz w:val="24"/>
          <w:szCs w:val="24"/>
        </w:rPr>
        <w:t>manažerských dovedností, strojů a zařízení</w:t>
      </w:r>
      <w:r>
        <w:rPr>
          <w:sz w:val="24"/>
          <w:szCs w:val="24"/>
        </w:rPr>
        <w:t xml:space="preserve"> a</w:t>
      </w:r>
      <w:r w:rsidR="00385CD4">
        <w:rPr>
          <w:sz w:val="24"/>
          <w:szCs w:val="24"/>
        </w:rPr>
        <w:t> </w:t>
      </w:r>
      <w:r w:rsidRPr="005C2CCE">
        <w:rPr>
          <w:sz w:val="24"/>
          <w:szCs w:val="24"/>
        </w:rPr>
        <w:t>technologií</w:t>
      </w:r>
      <w:r>
        <w:rPr>
          <w:sz w:val="24"/>
          <w:szCs w:val="24"/>
        </w:rPr>
        <w:t xml:space="preserve">. </w:t>
      </w:r>
      <w:r w:rsidRPr="005C2CCE">
        <w:rPr>
          <w:sz w:val="24"/>
          <w:szCs w:val="24"/>
        </w:rPr>
        <w:t>PZI také nahrazují chybějící domácí úspory a umožňují financovat restrukturalizaci ekonomiky. Naproti tomu nepřímé investice využívají rozdílů v úrokových sazbách a měnových kurzech, mají častěji pouze krátkodobý charakter a mohou destabilizovat domácí ekonomiku. V bývalých centrálně plánovaných ekonomikách nadnárodní firmy vstupovaly na tyto trhy prostřednictvím odkupu státních firem (privatizace). Příkladem může být začlenění společnosti Škoda Auto do koncernu Volkswagen, prodej České spořitelny rakouské Erste Group nebo Komerční banky francouzské Société Générale.</w:t>
      </w:r>
    </w:p>
    <w:p w:rsidR="008146BD" w:rsidRPr="005C2CCE" w:rsidRDefault="008146BD" w:rsidP="008146BD">
      <w:pPr>
        <w:ind w:firstLine="720"/>
        <w:jc w:val="both"/>
        <w:rPr>
          <w:sz w:val="24"/>
          <w:szCs w:val="24"/>
        </w:rPr>
      </w:pPr>
      <w:r w:rsidRPr="005C2CCE">
        <w:rPr>
          <w:sz w:val="24"/>
          <w:szCs w:val="24"/>
        </w:rPr>
        <w:t>O vysvětlení organizace výroby a služeb v globalizovaném světě usilují tři navzájem provázané teorie</w:t>
      </w:r>
      <w:r>
        <w:rPr>
          <w:sz w:val="24"/>
          <w:szCs w:val="24"/>
        </w:rPr>
        <w:t xml:space="preserve">: </w:t>
      </w:r>
      <w:r w:rsidRPr="005C2CCE">
        <w:rPr>
          <w:sz w:val="24"/>
          <w:szCs w:val="24"/>
        </w:rPr>
        <w:t xml:space="preserve">teorie globálních komoditních řetězců, teorie globálních hodnotových řetězců a teorie globálních produkčních sítí. Všechny teorie mají úzkou souvislost s působením nadnárodních firem, přestože se nezabývají </w:t>
      </w:r>
      <w:r>
        <w:rPr>
          <w:sz w:val="24"/>
          <w:szCs w:val="24"/>
        </w:rPr>
        <w:t>pouze</w:t>
      </w:r>
      <w:r w:rsidRPr="005C2CCE">
        <w:rPr>
          <w:sz w:val="24"/>
          <w:szCs w:val="24"/>
        </w:rPr>
        <w:t xml:space="preserve"> jimi</w:t>
      </w:r>
      <w:r w:rsidR="004C6BF0">
        <w:rPr>
          <w:sz w:val="24"/>
          <w:szCs w:val="24"/>
        </w:rPr>
        <w:t>,</w:t>
      </w:r>
      <w:r w:rsidRPr="005C2CCE">
        <w:rPr>
          <w:sz w:val="24"/>
          <w:szCs w:val="24"/>
        </w:rPr>
        <w:t xml:space="preserve"> ale celkovou organizací produkce statků. Teorie globálních komoditních řetězců (GCC – global commodity chains), jejímž hlavním představitelem je Gereffi, se zabývá způsobem</w:t>
      </w:r>
      <w:r>
        <w:rPr>
          <w:sz w:val="24"/>
          <w:szCs w:val="24"/>
        </w:rPr>
        <w:t>,</w:t>
      </w:r>
      <w:r w:rsidRPr="005C2CCE">
        <w:rPr>
          <w:sz w:val="24"/>
          <w:szCs w:val="24"/>
        </w:rPr>
        <w:t xml:space="preserve"> jak jsou globální komoditní řetězce ovládány či řízeny. Hlavním předmětem zájmu jsou vztahy mezi firmami podílejícími se na výrobě určitého zboží. Teorie globálních hodnotových řetězců (GVC – global value chains) se zaměřuje spíše na konkurenceschopnost firem a na důsledky, které z toho vyplývají pro průmyslovou politiku. Mezi její představitele patří např. Dolan, Humphrey či Sturgeon. Teorie globálních produkčních sítí (GPN – global production networks) navazuje </w:t>
      </w:r>
      <w:r w:rsidRPr="005C2CCE">
        <w:rPr>
          <w:sz w:val="24"/>
          <w:szCs w:val="24"/>
        </w:rPr>
        <w:lastRenderedPageBreak/>
        <w:t>na</w:t>
      </w:r>
      <w:r w:rsidR="00385CD4">
        <w:rPr>
          <w:sz w:val="24"/>
          <w:szCs w:val="24"/>
        </w:rPr>
        <w:t> </w:t>
      </w:r>
      <w:r w:rsidRPr="005C2CCE">
        <w:rPr>
          <w:sz w:val="24"/>
          <w:szCs w:val="24"/>
        </w:rPr>
        <w:t>předchozí dvě teorie a doplňuje je o institucionální a právní rám</w:t>
      </w:r>
      <w:r>
        <w:rPr>
          <w:sz w:val="24"/>
          <w:szCs w:val="24"/>
        </w:rPr>
        <w:t>e</w:t>
      </w:r>
      <w:r w:rsidRPr="005C2CCE">
        <w:rPr>
          <w:sz w:val="24"/>
          <w:szCs w:val="24"/>
        </w:rPr>
        <w:t xml:space="preserve">c (např. Dicken, Henderson, Coe). Cílem všech </w:t>
      </w:r>
      <w:r>
        <w:rPr>
          <w:sz w:val="24"/>
          <w:szCs w:val="24"/>
        </w:rPr>
        <w:t xml:space="preserve">tří </w:t>
      </w:r>
      <w:r w:rsidRPr="005C2CCE">
        <w:rPr>
          <w:sz w:val="24"/>
          <w:szCs w:val="24"/>
        </w:rPr>
        <w:t xml:space="preserve">teorií je pochopit faktory a procesy, které ovlivňují podobu globální ekonomiky. </w:t>
      </w:r>
      <w:r>
        <w:rPr>
          <w:sz w:val="24"/>
          <w:szCs w:val="24"/>
        </w:rPr>
        <w:t>S</w:t>
      </w:r>
      <w:r w:rsidRPr="005C2CCE">
        <w:rPr>
          <w:sz w:val="24"/>
          <w:szCs w:val="24"/>
        </w:rPr>
        <w:t>naží se např</w:t>
      </w:r>
      <w:r>
        <w:rPr>
          <w:sz w:val="24"/>
          <w:szCs w:val="24"/>
        </w:rPr>
        <w:t xml:space="preserve">. </w:t>
      </w:r>
      <w:r w:rsidRPr="005C2CCE">
        <w:rPr>
          <w:sz w:val="24"/>
          <w:szCs w:val="24"/>
        </w:rPr>
        <w:t>vysvětlit motivy a způso</w:t>
      </w:r>
      <w:r w:rsidR="00385CD4">
        <w:rPr>
          <w:sz w:val="24"/>
          <w:szCs w:val="24"/>
        </w:rPr>
        <w:t>by chování nadnárodních firem i </w:t>
      </w:r>
      <w:r w:rsidRPr="005C2CCE">
        <w:rPr>
          <w:sz w:val="24"/>
          <w:szCs w:val="24"/>
        </w:rPr>
        <w:t>dalších aktérů, způsob rozdělování ekonomických činností podle přidané hodnoty a způsob</w:t>
      </w:r>
      <w:r>
        <w:rPr>
          <w:sz w:val="24"/>
          <w:szCs w:val="24"/>
        </w:rPr>
        <w:t>y její</w:t>
      </w:r>
      <w:r w:rsidRPr="005C2CCE">
        <w:rPr>
          <w:sz w:val="24"/>
          <w:szCs w:val="24"/>
        </w:rPr>
        <w:t xml:space="preserve"> </w:t>
      </w:r>
      <w:r>
        <w:rPr>
          <w:sz w:val="24"/>
          <w:szCs w:val="24"/>
        </w:rPr>
        <w:t>distribuce</w:t>
      </w:r>
      <w:r w:rsidRPr="005C2CCE">
        <w:rPr>
          <w:sz w:val="24"/>
          <w:szCs w:val="24"/>
        </w:rPr>
        <w:t xml:space="preserve">. </w:t>
      </w:r>
      <w:r>
        <w:rPr>
          <w:sz w:val="24"/>
          <w:szCs w:val="24"/>
        </w:rPr>
        <w:t>V</w:t>
      </w:r>
      <w:r w:rsidRPr="005C2CCE">
        <w:rPr>
          <w:sz w:val="24"/>
          <w:szCs w:val="24"/>
        </w:rPr>
        <w:t xml:space="preserve">ychází z myšlenky, že nejen technologicky náročné výrobky, ale i výrobky jednoduché jsou vyráběny ve spolupráci mnoha firem. Při výrobě jsou používány zdroje (know-how, suroviny, kapitál, práce) rozptýlené po celém světě a propojení těchto zdrojů si </w:t>
      </w:r>
      <w:r w:rsidRPr="00B37DE3">
        <w:rPr>
          <w:sz w:val="24"/>
          <w:szCs w:val="24"/>
        </w:rPr>
        <w:t>žádá specifický způsob organizace výroby, v jejímž čele je tzv. vedoucí, obvykle nadnárodní, firma. Teorie GVC a GPN jsou si velmi podobné</w:t>
      </w:r>
      <w:r w:rsidR="004C6BF0">
        <w:rPr>
          <w:sz w:val="24"/>
          <w:szCs w:val="24"/>
        </w:rPr>
        <w:t>,</w:t>
      </w:r>
      <w:r w:rsidRPr="00B37DE3">
        <w:rPr>
          <w:sz w:val="24"/>
          <w:szCs w:val="24"/>
        </w:rPr>
        <w:t xml:space="preserve"> a p</w:t>
      </w:r>
      <w:r w:rsidR="00385CD4">
        <w:rPr>
          <w:sz w:val="24"/>
          <w:szCs w:val="24"/>
        </w:rPr>
        <w:t>roto bývají často považovány za </w:t>
      </w:r>
      <w:r w:rsidRPr="00B37DE3">
        <w:rPr>
          <w:sz w:val="24"/>
          <w:szCs w:val="24"/>
        </w:rPr>
        <w:t>synonyma. Základními typy produkčních sítí či hodnotových řetězců jsou výrobcem řízené sítě (typické pro automobilový průmysl) nebo nákupem řízené sítě (obchodní řetězce typu Tesco nebo Ikea</w:t>
      </w:r>
      <w:r w:rsidRPr="005C2CCE">
        <w:rPr>
          <w:sz w:val="24"/>
          <w:szCs w:val="24"/>
        </w:rPr>
        <w:t>). Podněty pro rozvoj firem přichází z daného řetězce</w:t>
      </w:r>
      <w:r>
        <w:rPr>
          <w:sz w:val="24"/>
          <w:szCs w:val="24"/>
        </w:rPr>
        <w:t>/</w:t>
      </w:r>
      <w:r w:rsidRPr="005C2CCE">
        <w:rPr>
          <w:sz w:val="24"/>
          <w:szCs w:val="24"/>
        </w:rPr>
        <w:t>sítě a perspektiva firmy závisí na tom, jakou pozici má v těchto strukturách (Blažek, J., Uhlíř, D., 2011). Dodavatelé nižších stupňů (subdodavatelé jednoduchých komponent</w:t>
      </w:r>
      <w:r>
        <w:rPr>
          <w:sz w:val="24"/>
          <w:szCs w:val="24"/>
        </w:rPr>
        <w:t xml:space="preserve"> </w:t>
      </w:r>
      <w:r w:rsidRPr="005C2CCE">
        <w:rPr>
          <w:sz w:val="24"/>
          <w:szCs w:val="24"/>
        </w:rPr>
        <w:t>2. a 3. řádu) mají od vedoucích firem obvykle přesně specifikováno, co mají vyrábět a v jakém množství. Dodavatelé nižších stupňů mají charakter spíše příjemce rozhodnutí, jsou pod tlakem vedoucích firem</w:t>
      </w:r>
      <w:r>
        <w:rPr>
          <w:sz w:val="24"/>
          <w:szCs w:val="24"/>
        </w:rPr>
        <w:t xml:space="preserve"> </w:t>
      </w:r>
      <w:r w:rsidRPr="005C2CCE">
        <w:rPr>
          <w:sz w:val="24"/>
          <w:szCs w:val="24"/>
        </w:rPr>
        <w:t xml:space="preserve">zejména na nízkou cenu a mohou být relativně snadno vyměněni. Pro rozvoj firem v GPN/GVC i pro regionální rozvoj je důležité, jak je konkrétní firma schopna vytvořit přidanou hodnotu a jakou pozici má v rámci řetězce/sítě. Výzvou pro tyto firmy je zlepšit </w:t>
      </w:r>
      <w:r>
        <w:rPr>
          <w:sz w:val="24"/>
          <w:szCs w:val="24"/>
        </w:rPr>
        <w:t xml:space="preserve">svoji </w:t>
      </w:r>
      <w:r w:rsidRPr="005C2CCE">
        <w:rPr>
          <w:sz w:val="24"/>
          <w:szCs w:val="24"/>
        </w:rPr>
        <w:t>pozici v rámci sítě</w:t>
      </w:r>
      <w:r>
        <w:rPr>
          <w:sz w:val="24"/>
          <w:szCs w:val="24"/>
        </w:rPr>
        <w:t xml:space="preserve"> – </w:t>
      </w:r>
      <w:r w:rsidRPr="005C2CCE">
        <w:rPr>
          <w:sz w:val="24"/>
          <w:szCs w:val="24"/>
        </w:rPr>
        <w:t xml:space="preserve">tzv. upgrading (Blažek, J., 2012). Tento proces je důležitý pro konkurenceschopnost všech firem a zejména pak pro firmy z bývalých centrálně plánovaných ekonomik, kde se nacházejí dodavatelé spíše nižšího stupně (Blažek, J., Uhlíř, D., 2011). </w:t>
      </w:r>
    </w:p>
    <w:p w:rsidR="008146BD" w:rsidRPr="005C2CCE" w:rsidRDefault="008146BD" w:rsidP="00881523">
      <w:pPr>
        <w:spacing w:after="120"/>
        <w:ind w:firstLine="720"/>
        <w:jc w:val="both"/>
        <w:rPr>
          <w:sz w:val="24"/>
          <w:szCs w:val="24"/>
        </w:rPr>
      </w:pPr>
      <w:r w:rsidRPr="005C2CCE">
        <w:rPr>
          <w:sz w:val="24"/>
          <w:szCs w:val="24"/>
        </w:rPr>
        <w:t>Pokud se vrátíme od dodavatelských řetězců a sítí zpět k nadnárodním firmám, tak ty mohou být koordinovány prostřednictvím trhu nebo prostřednictvím hierarchie (Bla</w:t>
      </w:r>
      <w:r w:rsidR="00385CD4">
        <w:rPr>
          <w:sz w:val="24"/>
          <w:szCs w:val="24"/>
        </w:rPr>
        <w:t>žek, L. a </w:t>
      </w:r>
      <w:r w:rsidRPr="005C2CCE">
        <w:rPr>
          <w:sz w:val="24"/>
          <w:szCs w:val="24"/>
        </w:rPr>
        <w:t>kol., 2011). Tržní koordinace probíhá prostřednictvím trhu</w:t>
      </w:r>
      <w:r>
        <w:rPr>
          <w:sz w:val="24"/>
          <w:szCs w:val="24"/>
        </w:rPr>
        <w:t>, přičemž j</w:t>
      </w:r>
      <w:r w:rsidRPr="005C2CCE">
        <w:rPr>
          <w:sz w:val="24"/>
          <w:szCs w:val="24"/>
        </w:rPr>
        <w:t>ednotlivé společnosti jsou samostatnými právními subjekty a jejich spolupráce je zal</w:t>
      </w:r>
      <w:r w:rsidR="00385CD4">
        <w:rPr>
          <w:sz w:val="24"/>
          <w:szCs w:val="24"/>
        </w:rPr>
        <w:t>ožena na jejich svobodné vůli a </w:t>
      </w:r>
      <w:r w:rsidRPr="005C2CCE">
        <w:rPr>
          <w:sz w:val="24"/>
          <w:szCs w:val="24"/>
        </w:rPr>
        <w:t xml:space="preserve">rivalitě. Hierarchická koordinace znamená, že koordinace probíhá uvnitř organizací, mezi útvary bez právní subjektivity a je založena na pravomoci, podřízenosti a spolupráci. </w:t>
      </w:r>
      <w:r>
        <w:rPr>
          <w:sz w:val="24"/>
          <w:szCs w:val="24"/>
        </w:rPr>
        <w:t>Postupně by tak v</w:t>
      </w:r>
      <w:r w:rsidR="004C6BF0">
        <w:rPr>
          <w:sz w:val="24"/>
          <w:szCs w:val="24"/>
        </w:rPr>
        <w:t xml:space="preserve">znikl </w:t>
      </w:r>
      <w:r w:rsidRPr="005C2CCE">
        <w:rPr>
          <w:sz w:val="24"/>
          <w:szCs w:val="24"/>
        </w:rPr>
        <w:t>jeden velký superpodnik, jehož uspořádání by pro nadnárodní společnost bylo nefunkční (příliš mnoho zaměstnanců, rozdíln</w:t>
      </w:r>
      <w:r w:rsidR="004C6BF0">
        <w:rPr>
          <w:sz w:val="24"/>
          <w:szCs w:val="24"/>
        </w:rPr>
        <w:t>é podmínky v zemích, kde působí</w:t>
      </w:r>
      <w:r w:rsidRPr="005C2CCE">
        <w:rPr>
          <w:sz w:val="24"/>
          <w:szCs w:val="24"/>
        </w:rPr>
        <w:t xml:space="preserve"> atd.). Oba typy koordinace jsou proto uplatňovány v kombinaci a jednotné vedení podniků s právní subjektivitou může být realizováno těmito způsoby (Blažek, L. a kol., 2011):</w:t>
      </w:r>
    </w:p>
    <w:p w:rsidR="008146BD" w:rsidRPr="005C2CCE" w:rsidRDefault="008146BD" w:rsidP="008146BD">
      <w:pPr>
        <w:numPr>
          <w:ilvl w:val="0"/>
          <w:numId w:val="43"/>
        </w:numPr>
        <w:ind w:left="284" w:hanging="284"/>
        <w:contextualSpacing/>
        <w:jc w:val="both"/>
        <w:rPr>
          <w:sz w:val="24"/>
          <w:szCs w:val="24"/>
        </w:rPr>
      </w:pPr>
      <w:r w:rsidRPr="005C2CCE">
        <w:rPr>
          <w:sz w:val="24"/>
          <w:szCs w:val="24"/>
        </w:rPr>
        <w:t xml:space="preserve">jeden podnik je ve vlastnictví (plném či majoritním) druhého podniku, </w:t>
      </w:r>
    </w:p>
    <w:p w:rsidR="008146BD" w:rsidRDefault="008146BD" w:rsidP="008146BD">
      <w:pPr>
        <w:numPr>
          <w:ilvl w:val="0"/>
          <w:numId w:val="43"/>
        </w:numPr>
        <w:spacing w:after="0"/>
        <w:ind w:left="284" w:hanging="284"/>
        <w:contextualSpacing/>
        <w:jc w:val="both"/>
        <w:rPr>
          <w:sz w:val="24"/>
          <w:szCs w:val="24"/>
        </w:rPr>
      </w:pPr>
      <w:r w:rsidRPr="005C2CCE">
        <w:rPr>
          <w:sz w:val="24"/>
          <w:szCs w:val="24"/>
        </w:rPr>
        <w:t>podniky navzájem uzavírají dlouhodobé smlouvy, které omezují jejich samostatnost.</w:t>
      </w:r>
    </w:p>
    <w:p w:rsidR="008146BD" w:rsidRPr="005C2CCE" w:rsidRDefault="008146BD" w:rsidP="008146BD">
      <w:pPr>
        <w:spacing w:before="100"/>
        <w:jc w:val="both"/>
        <w:rPr>
          <w:sz w:val="24"/>
          <w:szCs w:val="24"/>
        </w:rPr>
      </w:pPr>
      <w:r w:rsidRPr="005C2CCE">
        <w:rPr>
          <w:sz w:val="24"/>
          <w:szCs w:val="24"/>
        </w:rPr>
        <w:t>V prvním případě bývá ovládající společnost nazývána jako „mateřská“ a pro další firmy v řetězci jsou využívány pojmy jako dceřiná či vnukovská společnost. Druhým případem může být uspořádání sítě na základě franšízy, kdy všechny podniky v síti používají stejný vizuální styl, mají stejné provedení provozoven, posky</w:t>
      </w:r>
      <w:r w:rsidR="00385CD4">
        <w:rPr>
          <w:sz w:val="24"/>
          <w:szCs w:val="24"/>
        </w:rPr>
        <w:t>tují stejné služby či výrobky a </w:t>
      </w:r>
      <w:r w:rsidRPr="005C2CCE">
        <w:rPr>
          <w:sz w:val="24"/>
          <w:szCs w:val="24"/>
        </w:rPr>
        <w:t>franšízanti na základě smlouvy platí licenční poplatky (Blažek, L., Šafrová</w:t>
      </w:r>
      <w:r>
        <w:rPr>
          <w:sz w:val="24"/>
          <w:szCs w:val="24"/>
        </w:rPr>
        <w:t>-</w:t>
      </w:r>
      <w:r w:rsidRPr="005C2CCE">
        <w:rPr>
          <w:sz w:val="24"/>
          <w:szCs w:val="24"/>
        </w:rPr>
        <w:t>Drášilová, 2013). Na tomto principu fungují například společnosti McDonald’s, Benetton</w:t>
      </w:r>
      <w:r>
        <w:rPr>
          <w:sz w:val="24"/>
          <w:szCs w:val="24"/>
        </w:rPr>
        <w:t xml:space="preserve"> či</w:t>
      </w:r>
      <w:r w:rsidRPr="005C2CCE">
        <w:rPr>
          <w:sz w:val="24"/>
          <w:szCs w:val="24"/>
        </w:rPr>
        <w:t xml:space="preserve"> Yves Rocher</w:t>
      </w:r>
      <w:r>
        <w:rPr>
          <w:sz w:val="24"/>
          <w:szCs w:val="24"/>
        </w:rPr>
        <w:t>.</w:t>
      </w:r>
      <w:r w:rsidRPr="005C2CCE">
        <w:rPr>
          <w:sz w:val="24"/>
          <w:szCs w:val="24"/>
        </w:rPr>
        <w:t xml:space="preserve"> </w:t>
      </w:r>
    </w:p>
    <w:p w:rsidR="008146BD" w:rsidRPr="005C2CCE" w:rsidRDefault="008146BD" w:rsidP="00881523">
      <w:pPr>
        <w:spacing w:after="120"/>
        <w:ind w:firstLine="720"/>
        <w:jc w:val="both"/>
        <w:rPr>
          <w:sz w:val="24"/>
          <w:szCs w:val="24"/>
        </w:rPr>
      </w:pPr>
      <w:r w:rsidRPr="005C2CCE">
        <w:rPr>
          <w:sz w:val="24"/>
          <w:szCs w:val="24"/>
        </w:rPr>
        <w:lastRenderedPageBreak/>
        <w:t>Nadnárodní firmy mohou být integrovány horizontálně, vertikálně nebo konglomerátně. Horizontální integrace znamená, že výroba stejného produktu ve stejné výrobní fázi je</w:t>
      </w:r>
      <w:r w:rsidR="00942FDD">
        <w:rPr>
          <w:sz w:val="24"/>
          <w:szCs w:val="24"/>
        </w:rPr>
        <w:t xml:space="preserve"> umístěna na více národních trzích</w:t>
      </w:r>
      <w:r w:rsidRPr="005C2CCE">
        <w:rPr>
          <w:sz w:val="24"/>
          <w:szCs w:val="24"/>
        </w:rPr>
        <w:t>. Tato integrace je výsledkem nedokonalostí jednotlivých národních trhů, které neposkytují dovozovému zboží stejné podmínky jako domácímu</w:t>
      </w:r>
      <w:r>
        <w:rPr>
          <w:sz w:val="24"/>
          <w:szCs w:val="24"/>
        </w:rPr>
        <w:t xml:space="preserve"> (d</w:t>
      </w:r>
      <w:r w:rsidRPr="005C2CCE">
        <w:rPr>
          <w:sz w:val="24"/>
          <w:szCs w:val="24"/>
        </w:rPr>
        <w:t>omácí výrobci mohou mít například nižší náklady</w:t>
      </w:r>
      <w:r>
        <w:rPr>
          <w:sz w:val="24"/>
          <w:szCs w:val="24"/>
        </w:rPr>
        <w:t xml:space="preserve"> a</w:t>
      </w:r>
      <w:r w:rsidRPr="005C2CCE">
        <w:rPr>
          <w:sz w:val="24"/>
          <w:szCs w:val="24"/>
        </w:rPr>
        <w:t xml:space="preserve"> lepší informace</w:t>
      </w:r>
      <w:r>
        <w:rPr>
          <w:sz w:val="24"/>
          <w:szCs w:val="24"/>
        </w:rPr>
        <w:t xml:space="preserve">). </w:t>
      </w:r>
      <w:r w:rsidRPr="005C2CCE">
        <w:rPr>
          <w:sz w:val="24"/>
          <w:szCs w:val="24"/>
        </w:rPr>
        <w:t xml:space="preserve">Moderní pojetí chápe tuto integraci jako dynamický proces, který se objevuje v určitém stádiu vývoje firmy. Podnik nejdříve působí na domácím trhu, následně exportuje na další trhy a s další expanzí pro ni začíná být výhodnější vyrábět prostřednictvím zahraničních poboček. Dunning ve své teorii koncept OLI shrnul podmínky lokalizace výroby v domácí ekonomice do tří skupin: specifické konkurenční výhody firmy proti ostatním firmám, konkurenční výhody teritoria oproti ostatním teoriím a konkurenční výhody internacionalizace, kdy spolupráce </w:t>
      </w:r>
      <w:r w:rsidR="00385CD4">
        <w:rPr>
          <w:sz w:val="24"/>
          <w:szCs w:val="24"/>
        </w:rPr>
        <w:t>s </w:t>
      </w:r>
      <w:r w:rsidRPr="005C2CCE">
        <w:rPr>
          <w:sz w:val="24"/>
          <w:szCs w:val="24"/>
        </w:rPr>
        <w:t>mateřsk</w:t>
      </w:r>
      <w:r>
        <w:rPr>
          <w:sz w:val="24"/>
          <w:szCs w:val="24"/>
        </w:rPr>
        <w:t>ou</w:t>
      </w:r>
      <w:r w:rsidRPr="005C2CCE">
        <w:rPr>
          <w:sz w:val="24"/>
          <w:szCs w:val="24"/>
        </w:rPr>
        <w:t xml:space="preserve"> firm</w:t>
      </w:r>
      <w:r>
        <w:rPr>
          <w:sz w:val="24"/>
          <w:szCs w:val="24"/>
        </w:rPr>
        <w:t>ou</w:t>
      </w:r>
      <w:r w:rsidRPr="005C2CCE">
        <w:rPr>
          <w:sz w:val="24"/>
          <w:szCs w:val="24"/>
        </w:rPr>
        <w:t xml:space="preserve"> j</w:t>
      </w:r>
      <w:r>
        <w:rPr>
          <w:sz w:val="24"/>
          <w:szCs w:val="24"/>
        </w:rPr>
        <w:t xml:space="preserve">e </w:t>
      </w:r>
      <w:r w:rsidRPr="005C2CCE">
        <w:rPr>
          <w:sz w:val="24"/>
          <w:szCs w:val="24"/>
        </w:rPr>
        <w:t xml:space="preserve">výhodnější než s místními firmami (Ševela, 2003). Vertikálně integrované nadnárodní firmy lokalizují jednotlivé fáze výroby do různých zemí. Důvody takové lokalizace opět souvisí s nedokonalostí trhu. Konglomerátní nadnárodní firmy vznikají integrací přímo nesouvisejících aktivit v různých zemích a vedou k diversifikovaným firmám (Ševela, 2003). Výše uvedeným způsobem integrované firmy jsou také </w:t>
      </w:r>
      <w:r>
        <w:rPr>
          <w:sz w:val="24"/>
          <w:szCs w:val="24"/>
        </w:rPr>
        <w:t xml:space="preserve">označovány </w:t>
      </w:r>
      <w:r w:rsidRPr="005C2CCE">
        <w:rPr>
          <w:sz w:val="24"/>
          <w:szCs w:val="24"/>
        </w:rPr>
        <w:t>jako vertikální koncerny, horizontální koncerny a smíšené koncerny – konglomeráty (Blažek, L., Šafrová</w:t>
      </w:r>
      <w:r>
        <w:rPr>
          <w:sz w:val="24"/>
          <w:szCs w:val="24"/>
        </w:rPr>
        <w:t>-</w:t>
      </w:r>
      <w:r w:rsidRPr="005C2CCE">
        <w:rPr>
          <w:sz w:val="24"/>
          <w:szCs w:val="24"/>
        </w:rPr>
        <w:t>Drášilová, 2013).</w:t>
      </w:r>
      <w:r>
        <w:rPr>
          <w:sz w:val="24"/>
          <w:szCs w:val="24"/>
        </w:rPr>
        <w:t xml:space="preserve"> </w:t>
      </w:r>
      <w:r w:rsidRPr="005C2CCE">
        <w:rPr>
          <w:sz w:val="24"/>
          <w:szCs w:val="24"/>
        </w:rPr>
        <w:t>Organizační struktury nadnárodních společností jsou velmi složité, mají mnoho podob a vlastnické vztahy jsou často nepřehledné (vč. křížového vlastnictví). Jeden subjekt tak může být řízen z více míst. V takových skupinách existují vedle hlavní centrály i specializované centrály (divize)</w:t>
      </w:r>
      <w:r>
        <w:rPr>
          <w:sz w:val="24"/>
          <w:szCs w:val="24"/>
        </w:rPr>
        <w:t>, v jejímž rámci jsou p</w:t>
      </w:r>
      <w:r w:rsidRPr="005C2CCE">
        <w:rPr>
          <w:sz w:val="24"/>
          <w:szCs w:val="24"/>
        </w:rPr>
        <w:t>obočky sdružovány podle tří hledisek (Blažek, L., Šafrová</w:t>
      </w:r>
      <w:r>
        <w:rPr>
          <w:sz w:val="24"/>
          <w:szCs w:val="24"/>
        </w:rPr>
        <w:t>-</w:t>
      </w:r>
      <w:r w:rsidRPr="005C2CCE">
        <w:rPr>
          <w:sz w:val="24"/>
          <w:szCs w:val="24"/>
        </w:rPr>
        <w:t>Drášilová, 2013):</w:t>
      </w:r>
    </w:p>
    <w:p w:rsidR="008146BD" w:rsidRPr="005C2CCE" w:rsidRDefault="008146BD" w:rsidP="008146BD">
      <w:pPr>
        <w:numPr>
          <w:ilvl w:val="0"/>
          <w:numId w:val="43"/>
        </w:numPr>
        <w:ind w:left="284" w:hanging="284"/>
        <w:contextualSpacing/>
        <w:jc w:val="both"/>
        <w:rPr>
          <w:sz w:val="24"/>
          <w:szCs w:val="24"/>
        </w:rPr>
      </w:pPr>
      <w:r w:rsidRPr="005C2CCE">
        <w:rPr>
          <w:sz w:val="24"/>
          <w:szCs w:val="24"/>
        </w:rPr>
        <w:t>regionálního (jednotlivé divize sdružují pobočky působící na stejném teritoriu – např. divize pro Evropu, USA apod.),</w:t>
      </w:r>
    </w:p>
    <w:p w:rsidR="008146BD" w:rsidRPr="005C2CCE" w:rsidRDefault="008146BD" w:rsidP="008146BD">
      <w:pPr>
        <w:numPr>
          <w:ilvl w:val="0"/>
          <w:numId w:val="43"/>
        </w:numPr>
        <w:ind w:left="284" w:hanging="284"/>
        <w:contextualSpacing/>
        <w:jc w:val="both"/>
        <w:rPr>
          <w:sz w:val="24"/>
          <w:szCs w:val="24"/>
        </w:rPr>
      </w:pPr>
      <w:r w:rsidRPr="005C2CCE">
        <w:rPr>
          <w:sz w:val="24"/>
          <w:szCs w:val="24"/>
        </w:rPr>
        <w:t>produktového (jednotlivé divize sdružují pobočky, které vyrábí podobné výrobky),</w:t>
      </w:r>
    </w:p>
    <w:p w:rsidR="008146BD" w:rsidRPr="005C2CCE" w:rsidRDefault="008146BD" w:rsidP="008146BD">
      <w:pPr>
        <w:numPr>
          <w:ilvl w:val="0"/>
          <w:numId w:val="43"/>
        </w:numPr>
        <w:spacing w:after="0"/>
        <w:ind w:left="284" w:hanging="284"/>
        <w:contextualSpacing/>
        <w:jc w:val="both"/>
        <w:rPr>
          <w:sz w:val="24"/>
          <w:szCs w:val="24"/>
        </w:rPr>
      </w:pPr>
      <w:r w:rsidRPr="005C2CCE">
        <w:rPr>
          <w:sz w:val="24"/>
          <w:szCs w:val="24"/>
        </w:rPr>
        <w:t>funkčního (jsou sdružovány pobočky realizující podobné činnosti, např. výrobní divize, obchodní divize, finanční divize apod.).</w:t>
      </w:r>
    </w:p>
    <w:p w:rsidR="00385CD4" w:rsidRPr="00385CD4" w:rsidRDefault="008146BD" w:rsidP="00385CD4">
      <w:pPr>
        <w:spacing w:before="200"/>
        <w:ind w:firstLine="720"/>
        <w:jc w:val="both"/>
        <w:rPr>
          <w:sz w:val="24"/>
          <w:szCs w:val="24"/>
        </w:rPr>
      </w:pPr>
      <w:r w:rsidRPr="005C2CCE">
        <w:rPr>
          <w:sz w:val="24"/>
          <w:szCs w:val="24"/>
        </w:rPr>
        <w:t>Kombinací výše uvedených typů řízení vznikají maticové struktury, kdy společnosti jsou organizovány</w:t>
      </w:r>
      <w:r w:rsidR="00D567B6">
        <w:rPr>
          <w:sz w:val="24"/>
          <w:szCs w:val="24"/>
        </w:rPr>
        <w:t>,</w:t>
      </w:r>
      <w:r w:rsidRPr="005C2CCE">
        <w:rPr>
          <w:sz w:val="24"/>
          <w:szCs w:val="24"/>
        </w:rPr>
        <w:t xml:space="preserve"> např. podle produktového a regionálního hlediska. Příkladem mohou být zejména velké průmyslové skupiny jako Siemens Group nebo Robert Bosch Group. Velmi zjednodušenou podobu maticové struktury ukazuje </w:t>
      </w:r>
      <w:r w:rsidRPr="00046A43">
        <w:rPr>
          <w:sz w:val="24"/>
          <w:szCs w:val="24"/>
        </w:rPr>
        <w:t>tabulka</w:t>
      </w:r>
      <w:r>
        <w:rPr>
          <w:sz w:val="24"/>
          <w:szCs w:val="24"/>
        </w:rPr>
        <w:t>, kde si m</w:t>
      </w:r>
      <w:r w:rsidRPr="005C2CCE">
        <w:rPr>
          <w:sz w:val="24"/>
          <w:szCs w:val="24"/>
        </w:rPr>
        <w:t>ůžeme všimnout, že některé pobočky mají spíše funkční charakter (Robert Bosch odbytová s.r.o.) a pokud bychom zde podrobněji rozvedli produktové členění (např. průmyslová technika v sobě zahrnuje řídicí</w:t>
      </w:r>
      <w:r>
        <w:rPr>
          <w:sz w:val="24"/>
          <w:szCs w:val="24"/>
        </w:rPr>
        <w:t xml:space="preserve"> </w:t>
      </w:r>
      <w:r w:rsidRPr="005C2CCE">
        <w:rPr>
          <w:sz w:val="24"/>
          <w:szCs w:val="24"/>
        </w:rPr>
        <w:t>systémy a obalovou techniku), zjistili bychom, že některé ob</w:t>
      </w:r>
      <w:r w:rsidR="00385CD4">
        <w:rPr>
          <w:sz w:val="24"/>
          <w:szCs w:val="24"/>
        </w:rPr>
        <w:t>lasti nemají české zastoupení a </w:t>
      </w:r>
      <w:r w:rsidRPr="005C2CCE">
        <w:rPr>
          <w:sz w:val="24"/>
          <w:szCs w:val="24"/>
        </w:rPr>
        <w:t>jsou tak obsl</w:t>
      </w:r>
      <w:r w:rsidR="00385CD4">
        <w:rPr>
          <w:sz w:val="24"/>
          <w:szCs w:val="24"/>
        </w:rPr>
        <w:t>uhovány zahraničními pobočkami.</w:t>
      </w:r>
    </w:p>
    <w:p w:rsidR="00385CD4" w:rsidRDefault="00385CD4">
      <w:pPr>
        <w:spacing w:after="0" w:line="240" w:lineRule="auto"/>
        <w:rPr>
          <w:rFonts w:ascii="Calibri" w:hAnsi="Calibri" w:cs="Calibri"/>
          <w:b/>
          <w:sz w:val="24"/>
          <w:szCs w:val="24"/>
          <w:lang w:eastAsia="en-US"/>
        </w:rPr>
      </w:pPr>
      <w:r>
        <w:br w:type="page"/>
      </w:r>
    </w:p>
    <w:p w:rsidR="008146BD" w:rsidRPr="009C689A" w:rsidRDefault="008146BD" w:rsidP="00881523">
      <w:pPr>
        <w:pStyle w:val="0T-Titulek"/>
        <w:spacing w:after="60"/>
      </w:pPr>
      <w:bookmarkStart w:id="159" w:name="_Toc382326471"/>
      <w:r w:rsidRPr="009C689A">
        <w:lastRenderedPageBreak/>
        <w:t>Tabulka 44: Společnosti skupiny Robert Bosch Group registrované v České republice</w:t>
      </w:r>
      <w:bookmarkEnd w:id="159"/>
    </w:p>
    <w:tbl>
      <w:tblPr>
        <w:tblStyle w:val="Mkatabulky17"/>
        <w:tblW w:w="0" w:type="auto"/>
        <w:jc w:val="center"/>
        <w:tblLook w:val="04A0" w:firstRow="1" w:lastRow="0" w:firstColumn="1" w:lastColumn="0" w:noHBand="0" w:noVBand="1"/>
      </w:tblPr>
      <w:tblGrid>
        <w:gridCol w:w="2631"/>
        <w:gridCol w:w="2739"/>
        <w:gridCol w:w="1134"/>
        <w:gridCol w:w="1134"/>
      </w:tblGrid>
      <w:tr w:rsidR="008146BD" w:rsidRPr="005C2CCE" w:rsidTr="007A7D80">
        <w:trPr>
          <w:jc w:val="center"/>
        </w:trPr>
        <w:tc>
          <w:tcPr>
            <w:tcW w:w="2631"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
              </w:rPr>
            </w:pPr>
            <w:r>
              <w:rPr>
                <w:b/>
              </w:rPr>
              <w:t>p</w:t>
            </w:r>
            <w:r w:rsidRPr="00381412">
              <w:rPr>
                <w:b/>
              </w:rPr>
              <w:t>rodukt /</w:t>
            </w:r>
            <w:r>
              <w:rPr>
                <w:b/>
              </w:rPr>
              <w:t>r</w:t>
            </w:r>
            <w:r w:rsidRPr="00381412">
              <w:rPr>
                <w:b/>
              </w:rPr>
              <w:t>egion</w:t>
            </w:r>
          </w:p>
        </w:tc>
        <w:tc>
          <w:tcPr>
            <w:tcW w:w="2739"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
              </w:rPr>
            </w:pPr>
            <w:r w:rsidRPr="00381412">
              <w:rPr>
                <w:b/>
              </w:rPr>
              <w:t>Česká republika</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
                <w:bCs/>
              </w:rPr>
            </w:pPr>
            <w:r>
              <w:rPr>
                <w:b/>
                <w:bCs/>
              </w:rPr>
              <w:t>z</w:t>
            </w:r>
            <w:r w:rsidRPr="00381412">
              <w:rPr>
                <w:b/>
                <w:bCs/>
              </w:rPr>
              <w:t>emě 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
                <w:bCs/>
              </w:rPr>
            </w:pPr>
            <w:r>
              <w:rPr>
                <w:b/>
                <w:bCs/>
              </w:rPr>
              <w:t>z</w:t>
            </w:r>
            <w:r w:rsidRPr="00381412">
              <w:rPr>
                <w:b/>
                <w:bCs/>
              </w:rPr>
              <w:t>emě 3</w:t>
            </w:r>
          </w:p>
        </w:tc>
      </w:tr>
      <w:tr w:rsidR="008146BD" w:rsidRPr="005C2CCE" w:rsidTr="007A7D80">
        <w:trPr>
          <w:jc w:val="center"/>
        </w:trPr>
        <w:tc>
          <w:tcPr>
            <w:tcW w:w="2631"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
              </w:rPr>
            </w:pPr>
            <w:r>
              <w:rPr>
                <w:b/>
              </w:rPr>
              <w:t>a</w:t>
            </w:r>
            <w:r w:rsidRPr="00381412">
              <w:rPr>
                <w:b/>
              </w:rPr>
              <w:t>utomobilová technika</w:t>
            </w:r>
          </w:p>
        </w:tc>
        <w:tc>
          <w:tcPr>
            <w:tcW w:w="2739" w:type="dxa"/>
            <w:tcBorders>
              <w:top w:val="single" w:sz="4" w:space="0" w:color="auto"/>
              <w:left w:val="single" w:sz="4" w:space="0" w:color="auto"/>
              <w:bottom w:val="single" w:sz="4" w:space="0" w:color="auto"/>
              <w:right w:val="single" w:sz="4" w:space="0" w:color="auto"/>
            </w:tcBorders>
            <w:vAlign w:val="center"/>
            <w:hideMark/>
          </w:tcPr>
          <w:p w:rsidR="00881523" w:rsidRDefault="008146BD" w:rsidP="00881523">
            <w:pPr>
              <w:spacing w:after="60" w:line="240" w:lineRule="auto"/>
              <w:rPr>
                <w:rFonts w:eastAsia="Times New Roman"/>
                <w:bCs/>
              </w:rPr>
            </w:pPr>
            <w:r w:rsidRPr="00381412">
              <w:rPr>
                <w:bCs/>
              </w:rPr>
              <w:t>Robert Bosch, s.r.o.,</w:t>
            </w:r>
          </w:p>
          <w:p w:rsidR="008146BD" w:rsidRPr="00881523" w:rsidRDefault="008146BD" w:rsidP="00881523">
            <w:pPr>
              <w:spacing w:after="60" w:line="240" w:lineRule="auto"/>
              <w:rPr>
                <w:rFonts w:eastAsia="Times New Roman"/>
                <w:bCs/>
              </w:rPr>
            </w:pPr>
            <w:r w:rsidRPr="00381412">
              <w:rPr>
                <w:bCs/>
              </w:rPr>
              <w:t>BOSCH DIESEL, s.r.o.,</w:t>
            </w:r>
          </w:p>
          <w:p w:rsidR="008146BD" w:rsidRPr="00381412" w:rsidRDefault="008146BD" w:rsidP="00881523">
            <w:pPr>
              <w:spacing w:after="60" w:line="240" w:lineRule="auto"/>
              <w:rPr>
                <w:bCs/>
              </w:rPr>
            </w:pPr>
            <w:r w:rsidRPr="00381412">
              <w:rPr>
                <w:bCs/>
              </w:rPr>
              <w:t>Bosch Rexroth, spol s r.o.,</w:t>
            </w:r>
          </w:p>
          <w:p w:rsidR="008146BD" w:rsidRPr="00381412" w:rsidRDefault="008146BD" w:rsidP="00881523">
            <w:pPr>
              <w:spacing w:after="60" w:line="240" w:lineRule="auto"/>
              <w:rPr>
                <w:rFonts w:eastAsia="Times New Roman"/>
              </w:rPr>
            </w:pPr>
            <w:r w:rsidRPr="00381412">
              <w:t xml:space="preserve">Robert Bosch odbytová s.r.o.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Cs/>
              </w:rPr>
            </w:pPr>
            <w:r w:rsidRPr="00381412">
              <w:rPr>
                <w:bCs/>
              </w:rPr>
              <w:t>Firma 2A</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Cs/>
              </w:rPr>
            </w:pPr>
            <w:r w:rsidRPr="00381412">
              <w:rPr>
                <w:bCs/>
              </w:rPr>
              <w:t>Firma 3A</w:t>
            </w:r>
          </w:p>
        </w:tc>
      </w:tr>
      <w:tr w:rsidR="008146BD" w:rsidRPr="005C2CCE" w:rsidTr="007A7D80">
        <w:trPr>
          <w:jc w:val="center"/>
        </w:trPr>
        <w:tc>
          <w:tcPr>
            <w:tcW w:w="2631"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
              </w:rPr>
            </w:pPr>
            <w:r>
              <w:rPr>
                <w:b/>
              </w:rPr>
              <w:t>s</w:t>
            </w:r>
            <w:r w:rsidRPr="00381412">
              <w:rPr>
                <w:b/>
              </w:rPr>
              <w:t>potřební zboží</w:t>
            </w:r>
          </w:p>
        </w:tc>
        <w:tc>
          <w:tcPr>
            <w:tcW w:w="2739"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rPr>
            </w:pPr>
            <w:r w:rsidRPr="00381412">
              <w:t>BSH domácí spotřebiče, s.r.o.</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Cs/>
              </w:rPr>
            </w:pPr>
            <w:r w:rsidRPr="00381412">
              <w:rPr>
                <w:bCs/>
              </w:rPr>
              <w:t>Firma 2 B</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Cs/>
              </w:rPr>
            </w:pPr>
            <w:r w:rsidRPr="00381412">
              <w:rPr>
                <w:bCs/>
              </w:rPr>
              <w:t>Firma 3 B</w:t>
            </w:r>
          </w:p>
        </w:tc>
      </w:tr>
      <w:tr w:rsidR="008146BD" w:rsidRPr="005C2CCE" w:rsidTr="007A7D80">
        <w:trPr>
          <w:jc w:val="center"/>
        </w:trPr>
        <w:tc>
          <w:tcPr>
            <w:tcW w:w="2631"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
              </w:rPr>
            </w:pPr>
            <w:r>
              <w:rPr>
                <w:b/>
              </w:rPr>
              <w:t>p</w:t>
            </w:r>
            <w:r w:rsidRPr="00381412">
              <w:rPr>
                <w:b/>
              </w:rPr>
              <w:t>růmyslová technika</w:t>
            </w:r>
          </w:p>
        </w:tc>
        <w:tc>
          <w:tcPr>
            <w:tcW w:w="2739"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rPr>
            </w:pPr>
            <w:r w:rsidRPr="00381412">
              <w:t>Bosch Rexroth, spol. s r. o.</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Cs/>
              </w:rPr>
            </w:pPr>
            <w:r w:rsidRPr="00381412">
              <w:rPr>
                <w:bCs/>
              </w:rPr>
              <w:t>Firma 2 C</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Cs/>
              </w:rPr>
            </w:pPr>
            <w:r w:rsidRPr="00381412">
              <w:rPr>
                <w:bCs/>
              </w:rPr>
              <w:t>Firma 3 C</w:t>
            </w:r>
          </w:p>
        </w:tc>
      </w:tr>
      <w:tr w:rsidR="008146BD" w:rsidRPr="005C2CCE" w:rsidTr="007A7D80">
        <w:trPr>
          <w:jc w:val="center"/>
        </w:trPr>
        <w:tc>
          <w:tcPr>
            <w:tcW w:w="2631"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
              </w:rPr>
            </w:pPr>
            <w:r>
              <w:rPr>
                <w:b/>
              </w:rPr>
              <w:t>e</w:t>
            </w:r>
            <w:r w:rsidRPr="00381412">
              <w:rPr>
                <w:b/>
              </w:rPr>
              <w:t>nergetika a technika budov</w:t>
            </w:r>
          </w:p>
        </w:tc>
        <w:tc>
          <w:tcPr>
            <w:tcW w:w="2739"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rPr>
            </w:pPr>
            <w:r w:rsidRPr="00381412">
              <w:t>Robert Bosch odbytová s.r.o.</w:t>
            </w:r>
          </w:p>
          <w:p w:rsidR="008146BD" w:rsidRPr="00381412" w:rsidRDefault="008146BD" w:rsidP="00881523">
            <w:pPr>
              <w:spacing w:after="60" w:line="240" w:lineRule="auto"/>
              <w:rPr>
                <w:rFonts w:eastAsia="Times New Roman"/>
                <w:color w:val="000000"/>
              </w:rPr>
            </w:pPr>
            <w:r w:rsidRPr="00381412">
              <w:rPr>
                <w:color w:val="000000"/>
              </w:rPr>
              <w:t>Bosch Termotechnika s.r.o.</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Cs/>
              </w:rPr>
            </w:pPr>
            <w:r w:rsidRPr="00381412">
              <w:rPr>
                <w:bCs/>
              </w:rPr>
              <w:t>Firma 2 D</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46BD" w:rsidRPr="00381412" w:rsidRDefault="008146BD" w:rsidP="00881523">
            <w:pPr>
              <w:spacing w:after="60" w:line="240" w:lineRule="auto"/>
              <w:rPr>
                <w:rFonts w:eastAsia="Times New Roman"/>
                <w:bCs/>
              </w:rPr>
            </w:pPr>
            <w:r w:rsidRPr="00381412">
              <w:rPr>
                <w:bCs/>
              </w:rPr>
              <w:t>Firma 3 D</w:t>
            </w:r>
          </w:p>
        </w:tc>
      </w:tr>
    </w:tbl>
    <w:p w:rsidR="008146BD" w:rsidRPr="009C689A" w:rsidRDefault="008146BD" w:rsidP="008146BD">
      <w:pPr>
        <w:jc w:val="center"/>
        <w:rPr>
          <w:rFonts w:asciiTheme="minorHAnsi" w:hAnsiTheme="minorHAnsi" w:cstheme="minorHAnsi"/>
          <w:i/>
        </w:rPr>
      </w:pPr>
      <w:r w:rsidRPr="009C689A">
        <w:rPr>
          <w:rFonts w:asciiTheme="minorHAnsi" w:hAnsiTheme="minorHAnsi" w:cstheme="minorHAnsi"/>
          <w:i/>
        </w:rPr>
        <w:t>Pramen: vlastní zpracování na základě Bosch v ČR</w:t>
      </w:r>
    </w:p>
    <w:p w:rsidR="008146BD" w:rsidRPr="005C2CCE" w:rsidRDefault="008146BD" w:rsidP="008146BD">
      <w:pPr>
        <w:ind w:firstLine="720"/>
        <w:jc w:val="both"/>
        <w:rPr>
          <w:sz w:val="24"/>
          <w:szCs w:val="24"/>
        </w:rPr>
      </w:pPr>
      <w:r w:rsidRPr="005C2CCE">
        <w:rPr>
          <w:sz w:val="24"/>
          <w:szCs w:val="24"/>
        </w:rPr>
        <w:t xml:space="preserve">Dalším rozdílem v organizaci firem může být počet zastoupení v jednotlivých zemích. Většinou bývá celá skupina zastoupena jednou </w:t>
      </w:r>
      <w:r>
        <w:rPr>
          <w:sz w:val="24"/>
          <w:szCs w:val="24"/>
        </w:rPr>
        <w:t>či</w:t>
      </w:r>
      <w:r w:rsidRPr="005C2CCE">
        <w:rPr>
          <w:sz w:val="24"/>
          <w:szCs w:val="24"/>
        </w:rPr>
        <w:t xml:space="preserve"> dvěma společnostmi, např. v ČR Home Credit nebo Toray. Některé skupiny mohou být ale zastoupeny velkým množstvím firem, obvykle </w:t>
      </w:r>
      <w:r>
        <w:rPr>
          <w:sz w:val="24"/>
          <w:szCs w:val="24"/>
        </w:rPr>
        <w:t>jde</w:t>
      </w:r>
      <w:r w:rsidRPr="005C2CCE">
        <w:rPr>
          <w:sz w:val="24"/>
          <w:szCs w:val="24"/>
        </w:rPr>
        <w:t xml:space="preserve"> o velké průmyslové skupiny, které využívají dělení dle produktové specializace, např. Siemens Group nebo Robert Bosch Group (Blažek, L. a kol., 2011).</w:t>
      </w:r>
      <w:r>
        <w:rPr>
          <w:sz w:val="24"/>
          <w:szCs w:val="24"/>
        </w:rPr>
        <w:t xml:space="preserve"> </w:t>
      </w:r>
      <w:r w:rsidRPr="005C2CCE">
        <w:rPr>
          <w:sz w:val="24"/>
          <w:szCs w:val="24"/>
        </w:rPr>
        <w:t>Do organizační struktury se promítají i vztahy mezi centrálou a pobočkami. Barlet a Ghoshal takto definovali čtyři typy organizačních struktur, které pojmenovali jako international, multidomes</w:t>
      </w:r>
      <w:r w:rsidR="00D567B6">
        <w:rPr>
          <w:sz w:val="24"/>
          <w:szCs w:val="24"/>
        </w:rPr>
        <w:t>tic, global a transnational. O</w:t>
      </w:r>
      <w:r w:rsidRPr="005C2CCE">
        <w:rPr>
          <w:sz w:val="24"/>
          <w:szCs w:val="24"/>
        </w:rPr>
        <w:t xml:space="preserve">dlišují se směrem a silou vazeb mezi centrálou a pobočkami. </w:t>
      </w:r>
    </w:p>
    <w:p w:rsidR="008146BD" w:rsidRPr="005C2CCE" w:rsidRDefault="00BA08EF" w:rsidP="008146BD">
      <w:pPr>
        <w:jc w:val="center"/>
        <w:rPr>
          <w:sz w:val="24"/>
          <w:szCs w:val="24"/>
        </w:rPr>
      </w:pPr>
      <w:r>
        <w:rPr>
          <w:noProof/>
          <w:sz w:val="24"/>
          <w:szCs w:val="24"/>
          <w:lang w:val="en-GB" w:eastAsia="en-GB"/>
        </w:rPr>
        <w:drawing>
          <wp:inline distT="0" distB="0" distL="0" distR="0" wp14:anchorId="2AAAD017" wp14:editId="75FDDD9D">
            <wp:extent cx="4858385" cy="16002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58385" cy="1600200"/>
                    </a:xfrm>
                    <a:prstGeom prst="rect">
                      <a:avLst/>
                    </a:prstGeom>
                    <a:noFill/>
                  </pic:spPr>
                </pic:pic>
              </a:graphicData>
            </a:graphic>
          </wp:inline>
        </w:drawing>
      </w:r>
    </w:p>
    <w:p w:rsidR="008146BD" w:rsidRPr="000A0248" w:rsidRDefault="006B61FE" w:rsidP="00E6724F">
      <w:pPr>
        <w:pStyle w:val="0G-Titulek"/>
        <w:ind w:firstLine="0"/>
      </w:pPr>
      <w:bookmarkStart w:id="160" w:name="_Toc382326835"/>
      <w:r>
        <w:t>Obrázek 30</w:t>
      </w:r>
      <w:r w:rsidR="008146BD" w:rsidRPr="000A0248">
        <w:t>: Organizační struktury dle Barletta a Ghoshala</w:t>
      </w:r>
      <w:bookmarkEnd w:id="160"/>
    </w:p>
    <w:p w:rsidR="008146BD" w:rsidRPr="000A0248" w:rsidRDefault="008146BD" w:rsidP="00E6724F">
      <w:pPr>
        <w:jc w:val="center"/>
        <w:rPr>
          <w:rFonts w:asciiTheme="minorHAnsi" w:hAnsiTheme="minorHAnsi" w:cstheme="minorHAnsi"/>
          <w:i/>
        </w:rPr>
      </w:pPr>
      <w:r w:rsidRPr="000A0248">
        <w:rPr>
          <w:rFonts w:asciiTheme="minorHAnsi" w:hAnsiTheme="minorHAnsi" w:cstheme="minorHAnsi"/>
          <w:i/>
        </w:rPr>
        <w:t>Pramen: Blažek, L. Šafrová</w:t>
      </w:r>
      <w:r>
        <w:rPr>
          <w:rFonts w:asciiTheme="minorHAnsi" w:hAnsiTheme="minorHAnsi" w:cstheme="minorHAnsi"/>
          <w:i/>
        </w:rPr>
        <w:t>-</w:t>
      </w:r>
      <w:r w:rsidRPr="000A0248">
        <w:rPr>
          <w:rFonts w:asciiTheme="minorHAnsi" w:hAnsiTheme="minorHAnsi" w:cstheme="minorHAnsi"/>
          <w:i/>
        </w:rPr>
        <w:t>Drášilová, A., 2013</w:t>
      </w:r>
    </w:p>
    <w:p w:rsidR="008146BD" w:rsidRDefault="008146BD" w:rsidP="00721218">
      <w:pPr>
        <w:spacing w:after="120"/>
        <w:ind w:firstLine="720"/>
        <w:jc w:val="both"/>
        <w:rPr>
          <w:sz w:val="24"/>
          <w:szCs w:val="24"/>
        </w:rPr>
      </w:pPr>
      <w:r w:rsidRPr="005C2CCE">
        <w:rPr>
          <w:sz w:val="24"/>
          <w:szCs w:val="24"/>
        </w:rPr>
        <w:t xml:space="preserve">Zapojení lokální pobočky do činnosti celé skupiny lze posuzovat i podle organizace výroby. Čtyři možné typy organizace jsou demonstrovány </w:t>
      </w:r>
      <w:r w:rsidRPr="008D0830">
        <w:rPr>
          <w:sz w:val="24"/>
          <w:szCs w:val="24"/>
        </w:rPr>
        <w:t>na obrázku 32 a</w:t>
      </w:r>
      <w:r w:rsidRPr="005C2CCE">
        <w:rPr>
          <w:sz w:val="24"/>
          <w:szCs w:val="24"/>
        </w:rPr>
        <w:t xml:space="preserve"> tento přístup může být adaptován i na oblast služeb. V prvním případě podnik vyrábí v</w:t>
      </w:r>
      <w:r w:rsidR="00385CD4">
        <w:rPr>
          <w:sz w:val="24"/>
          <w:szCs w:val="24"/>
        </w:rPr>
        <w:t>šechny komponenty pro </w:t>
      </w:r>
      <w:r w:rsidRPr="005C2CCE">
        <w:rPr>
          <w:sz w:val="24"/>
          <w:szCs w:val="24"/>
        </w:rPr>
        <w:t>všechny výrobky a finální výroby uvádí na svůj trh. Ve druhém případě (výrobková specializace) podnik vyrábí všechny komponenty, ale specializuje se pouze na své jedinečné produkty. Ve třetím případě podniky spolupracují na bázi dodávek komponent. Posledním případem je kombinace výrobkové i komponentní specializace.</w:t>
      </w:r>
    </w:p>
    <w:p w:rsidR="00385CD4" w:rsidRPr="005C2CCE" w:rsidRDefault="00385CD4" w:rsidP="00721218">
      <w:pPr>
        <w:spacing w:after="120"/>
        <w:ind w:firstLine="720"/>
        <w:jc w:val="both"/>
        <w:rPr>
          <w:sz w:val="24"/>
          <w:szCs w:val="24"/>
        </w:rPr>
      </w:pPr>
    </w:p>
    <w:tbl>
      <w:tblPr>
        <w:tblStyle w:val="Mkatabulky"/>
        <w:tblW w:w="9439" w:type="dxa"/>
        <w:jc w:val="center"/>
        <w:tblLayout w:type="fixed"/>
        <w:tblLook w:val="04A0" w:firstRow="1" w:lastRow="0" w:firstColumn="1" w:lastColumn="0" w:noHBand="0" w:noVBand="1"/>
      </w:tblPr>
      <w:tblGrid>
        <w:gridCol w:w="1304"/>
        <w:gridCol w:w="236"/>
        <w:gridCol w:w="1247"/>
        <w:gridCol w:w="236"/>
        <w:gridCol w:w="1304"/>
        <w:gridCol w:w="680"/>
        <w:gridCol w:w="652"/>
        <w:gridCol w:w="652"/>
        <w:gridCol w:w="284"/>
        <w:gridCol w:w="1304"/>
        <w:gridCol w:w="236"/>
        <w:gridCol w:w="652"/>
        <w:gridCol w:w="652"/>
      </w:tblGrid>
      <w:tr w:rsidR="00BA08EF" w:rsidRPr="00072817" w:rsidTr="00E808B4">
        <w:trPr>
          <w:jc w:val="center"/>
        </w:trPr>
        <w:tc>
          <w:tcPr>
            <w:tcW w:w="1304" w:type="dxa"/>
            <w:tcBorders>
              <w:bottom w:val="single" w:sz="4" w:space="0" w:color="auto"/>
            </w:tcBorders>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lastRenderedPageBreak/>
              <w:t>Trh I</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247"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Trh II</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tcBorders>
              <w:bottom w:val="single" w:sz="4" w:space="0" w:color="auto"/>
            </w:tcBorders>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Trh III</w:t>
            </w:r>
          </w:p>
        </w:tc>
        <w:tc>
          <w:tcPr>
            <w:tcW w:w="680" w:type="dxa"/>
            <w:tcBorders>
              <w:top w:val="nil"/>
              <w:bottom w:val="nil"/>
              <w:right w:val="nil"/>
            </w:tcBorders>
          </w:tcPr>
          <w:p w:rsidR="00BA08EF" w:rsidRPr="00072817" w:rsidRDefault="00BA08EF" w:rsidP="00E808B4">
            <w:pPr>
              <w:jc w:val="center"/>
              <w:rPr>
                <w:rFonts w:ascii="Arial Narrow" w:hAnsi="Arial Narrow"/>
                <w:sz w:val="18"/>
                <w:szCs w:val="18"/>
              </w:rPr>
            </w:pPr>
          </w:p>
        </w:tc>
        <w:tc>
          <w:tcPr>
            <w:tcW w:w="652" w:type="dxa"/>
            <w:tcBorders>
              <w:top w:val="nil"/>
              <w:left w:val="nil"/>
              <w:bottom w:val="nil"/>
            </w:tcBorders>
          </w:tcPr>
          <w:p w:rsidR="00BA08EF" w:rsidRPr="00072817" w:rsidRDefault="00BA08EF" w:rsidP="00E808B4">
            <w:pPr>
              <w:jc w:val="center"/>
              <w:rPr>
                <w:rFonts w:ascii="Arial Narrow" w:hAnsi="Arial Narrow"/>
                <w:sz w:val="18"/>
                <w:szCs w:val="18"/>
              </w:rPr>
            </w:pPr>
          </w:p>
        </w:tc>
        <w:tc>
          <w:tcPr>
            <w:tcW w:w="3128" w:type="dxa"/>
            <w:gridSpan w:val="5"/>
            <w:tcBorders>
              <w:bottom w:val="single" w:sz="4" w:space="0" w:color="auto"/>
            </w:tcBorders>
          </w:tcPr>
          <w:p w:rsidR="00BA08EF" w:rsidRPr="00072817" w:rsidRDefault="00BA08EF" w:rsidP="00E808B4">
            <w:pPr>
              <w:jc w:val="center"/>
              <w:rPr>
                <w:rFonts w:ascii="Arial Narrow" w:hAnsi="Arial Narrow"/>
                <w:sz w:val="18"/>
                <w:szCs w:val="18"/>
              </w:rPr>
            </w:pPr>
            <w:r>
              <w:rPr>
                <w:rFonts w:ascii="Arial Narrow" w:hAnsi="Arial Narrow"/>
                <w:sz w:val="18"/>
                <w:szCs w:val="18"/>
              </w:rPr>
              <w:t>Trh</w:t>
            </w:r>
          </w:p>
        </w:tc>
        <w:tc>
          <w:tcPr>
            <w:tcW w:w="652" w:type="dxa"/>
            <w:tcBorders>
              <w:top w:val="nil"/>
              <w:bottom w:val="nil"/>
              <w:right w:val="nil"/>
            </w:tcBorders>
          </w:tcPr>
          <w:p w:rsidR="00BA08EF" w:rsidRPr="00072817" w:rsidRDefault="00BA08EF" w:rsidP="00E808B4">
            <w:pPr>
              <w:jc w:val="center"/>
              <w:rPr>
                <w:rFonts w:ascii="Arial Narrow" w:hAnsi="Arial Narrow"/>
                <w:sz w:val="18"/>
                <w:szCs w:val="18"/>
              </w:rPr>
            </w:pPr>
          </w:p>
        </w:tc>
      </w:tr>
      <w:tr w:rsidR="00BA08EF" w:rsidRPr="00072817" w:rsidTr="00E808B4">
        <w:trPr>
          <w:trHeight w:hRule="exact" w:val="227"/>
          <w:jc w:val="center"/>
        </w:trPr>
        <w:tc>
          <w:tcPr>
            <w:tcW w:w="1304"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18" o:spid="_x0000_s1359" type="#_x0000_t32" style="position:absolute;left:0;text-align:left;margin-left:23.4pt;margin-top:-.2pt;width:0;height:10.4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" strokecolor="black [3200]" strokeweight=".5pt">
                  <v:stroke startarrowwidth="narrow" endarrow="block" endarrowwidth="narrow"/>
                </v:shape>
              </w:pict>
            </w: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247"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29" o:spid="_x0000_s1358" type="#_x0000_t32" style="position:absolute;left:0;text-align:left;margin-left:23.45pt;margin-top:-.65pt;width:0;height:10.75pt;flip: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" strokecolor="black [3200]" strokeweight=".5pt">
                  <v:stroke startarrowwidth="narrow" endarrow="block" endarrowwidth="narrow"/>
                </v:shape>
              </w:pict>
            </w: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3" o:spid="_x0000_s1357" type="#_x0000_t32" style="position:absolute;left:0;text-align:left;margin-left:26.35pt;margin-top:-.65pt;width:0;height:10.35pt;flip:y;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" strokecolor="black [3200]" strokeweight=".5pt">
                  <v:stroke startarrowwidth="narrow" endarrow="block" endarrowwidth="narrow"/>
                </v:shape>
              </w:pict>
            </w:r>
          </w:p>
        </w:tc>
        <w:tc>
          <w:tcPr>
            <w:tcW w:w="680"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top w:val="nil"/>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408" o:spid="_x0000_s1356" type="#_x0000_t32" style="position:absolute;left:0;text-align:left;margin-left:27.6pt;margin-top:2.1pt;width:73pt;height:8.25pt;flip: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" strokecolor="black [3213]" strokeweight=".5pt">
                  <v:stroke startarrowwidth="narrow" endarrow="block" endarrowwidth="narrow"/>
                </v:shape>
              </w:pict>
            </w:r>
          </w:p>
        </w:tc>
        <w:tc>
          <w:tcPr>
            <w:tcW w:w="284" w:type="dxa"/>
            <w:tcBorders>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409" o:spid="_x0000_s1355" type="#_x0000_t32" style="position:absolute;left:0;text-align:left;margin-left:30.75pt;margin-top:2.1pt;width:71pt;height:8.25pt;flip:x y;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" strokecolor="black [3213]" strokeweight=".5pt">
                  <v:stroke startarrowwidth="narrow" endarrow="block" endarrowwidth="narrow"/>
                </v:shape>
              </w:pict>
            </w:r>
            <w:r>
              <w:rPr>
                <w:noProof/>
                <w:sz w:val="22"/>
                <w:szCs w:val="22"/>
                <w:lang w:val="cs-CZ" w:eastAsia="cs-CZ"/>
              </w:rPr>
              <w:pict>
                <v:shape id="Přímá spojnice se šipkou 410" o:spid="_x0000_s1354" type="#_x0000_t32" style="position:absolute;left:0;text-align:left;margin-left:26.15pt;margin-top:-.2pt;width:0;height:10.75pt;flip:y;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" strokecolor="black [3213]" strokeweight=".5pt">
                  <v:stroke startarrowwidth="narrow" endarrow="block" endarrowwidth="narrow"/>
                </v:shape>
              </w:pict>
            </w:r>
          </w:p>
        </w:tc>
        <w:tc>
          <w:tcPr>
            <w:tcW w:w="236" w:type="dxa"/>
            <w:tcBorders>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top w:val="nil"/>
              <w:left w:val="nil"/>
              <w:right w:val="nil"/>
            </w:tcBorders>
          </w:tcPr>
          <w:p w:rsidR="00BA08EF" w:rsidRPr="00072817" w:rsidRDefault="00BA08EF" w:rsidP="00E808B4">
            <w:pPr>
              <w:jc w:val="center"/>
              <w:rPr>
                <w:rFonts w:ascii="Arial Narrow" w:hAnsi="Arial Narrow"/>
                <w:sz w:val="18"/>
                <w:szCs w:val="18"/>
              </w:rPr>
            </w:pPr>
          </w:p>
        </w:tc>
      </w:tr>
      <w:tr w:rsidR="00BA08EF" w:rsidRPr="00072817" w:rsidTr="00E808B4">
        <w:trPr>
          <w:jc w:val="center"/>
        </w:trPr>
        <w:tc>
          <w:tcPr>
            <w:tcW w:w="1304" w:type="dxa"/>
            <w:tcBorders>
              <w:bottom w:val="single" w:sz="4" w:space="0" w:color="auto"/>
            </w:tcBorders>
            <w:tcMar>
              <w:left w:w="57" w:type="dxa"/>
              <w:right w:w="57" w:type="dxa"/>
            </w:tcMar>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Výrobek I, II, III</w:t>
            </w:r>
          </w:p>
        </w:tc>
        <w:tc>
          <w:tcPr>
            <w:tcW w:w="236" w:type="dxa"/>
            <w:tcBorders>
              <w:top w:val="nil"/>
              <w:bottom w:val="nil"/>
            </w:tcBorders>
            <w:tcMar>
              <w:left w:w="57" w:type="dxa"/>
              <w:right w:w="57" w:type="dxa"/>
            </w:tcMar>
          </w:tcPr>
          <w:p w:rsidR="00BA08EF" w:rsidRPr="00072817" w:rsidRDefault="00BA08EF" w:rsidP="00E808B4">
            <w:pPr>
              <w:jc w:val="center"/>
              <w:rPr>
                <w:rFonts w:ascii="Arial Narrow" w:hAnsi="Arial Narrow"/>
                <w:sz w:val="18"/>
                <w:szCs w:val="18"/>
              </w:rPr>
            </w:pPr>
          </w:p>
        </w:tc>
        <w:tc>
          <w:tcPr>
            <w:tcW w:w="1247" w:type="dxa"/>
            <w:tcBorders>
              <w:bottom w:val="single" w:sz="4" w:space="0" w:color="auto"/>
            </w:tcBorders>
            <w:tcMar>
              <w:left w:w="57" w:type="dxa"/>
              <w:right w:w="57" w:type="dxa"/>
            </w:tcMar>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Výrobek I, II, III</w:t>
            </w:r>
          </w:p>
        </w:tc>
        <w:tc>
          <w:tcPr>
            <w:tcW w:w="236" w:type="dxa"/>
            <w:tcBorders>
              <w:top w:val="nil"/>
              <w:bottom w:val="nil"/>
            </w:tcBorders>
            <w:tcMar>
              <w:left w:w="57" w:type="dxa"/>
              <w:right w:w="57" w:type="dxa"/>
            </w:tcMar>
          </w:tcPr>
          <w:p w:rsidR="00BA08EF" w:rsidRPr="00072817" w:rsidRDefault="00BA08EF" w:rsidP="00E808B4">
            <w:pPr>
              <w:jc w:val="center"/>
              <w:rPr>
                <w:rFonts w:ascii="Arial Narrow" w:hAnsi="Arial Narrow"/>
                <w:sz w:val="18"/>
                <w:szCs w:val="18"/>
              </w:rPr>
            </w:pPr>
          </w:p>
        </w:tc>
        <w:tc>
          <w:tcPr>
            <w:tcW w:w="1304" w:type="dxa"/>
            <w:tcBorders>
              <w:bottom w:val="single" w:sz="4" w:space="0" w:color="auto"/>
            </w:tcBorders>
            <w:tcMar>
              <w:left w:w="57" w:type="dxa"/>
              <w:right w:w="57" w:type="dxa"/>
            </w:tcMar>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Výrobek I, II, III</w:t>
            </w:r>
          </w:p>
        </w:tc>
        <w:tc>
          <w:tcPr>
            <w:tcW w:w="680" w:type="dxa"/>
            <w:tcBorders>
              <w:top w:val="nil"/>
              <w:bottom w:val="nil"/>
            </w:tcBorders>
            <w:tcMar>
              <w:left w:w="57" w:type="dxa"/>
              <w:right w:w="57" w:type="dxa"/>
            </w:tcMar>
          </w:tcPr>
          <w:p w:rsidR="00BA08EF" w:rsidRPr="00072817" w:rsidRDefault="00BA08EF" w:rsidP="00E808B4">
            <w:pPr>
              <w:jc w:val="center"/>
              <w:rPr>
                <w:rFonts w:ascii="Arial Narrow" w:hAnsi="Arial Narrow"/>
                <w:sz w:val="18"/>
                <w:szCs w:val="18"/>
              </w:rPr>
            </w:pPr>
          </w:p>
        </w:tc>
        <w:tc>
          <w:tcPr>
            <w:tcW w:w="1304" w:type="dxa"/>
            <w:gridSpan w:val="2"/>
            <w:tcBorders>
              <w:bottom w:val="single" w:sz="4" w:space="0" w:color="auto"/>
            </w:tcBorders>
            <w:tcMar>
              <w:left w:w="57" w:type="dxa"/>
              <w:right w:w="57" w:type="dxa"/>
            </w:tcMar>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Výrobek I</w:t>
            </w:r>
          </w:p>
        </w:tc>
        <w:tc>
          <w:tcPr>
            <w:tcW w:w="284" w:type="dxa"/>
            <w:tcBorders>
              <w:top w:val="nil"/>
              <w:bottom w:val="nil"/>
            </w:tcBorders>
            <w:tcMar>
              <w:left w:w="57" w:type="dxa"/>
              <w:right w:w="57" w:type="dxa"/>
            </w:tcMar>
          </w:tcPr>
          <w:p w:rsidR="00BA08EF" w:rsidRPr="00072817" w:rsidRDefault="00BA08EF" w:rsidP="00E808B4">
            <w:pPr>
              <w:jc w:val="center"/>
              <w:rPr>
                <w:rFonts w:ascii="Arial Narrow" w:hAnsi="Arial Narrow"/>
                <w:sz w:val="18"/>
                <w:szCs w:val="18"/>
              </w:rPr>
            </w:pPr>
          </w:p>
        </w:tc>
        <w:tc>
          <w:tcPr>
            <w:tcW w:w="1304" w:type="dxa"/>
            <w:tcBorders>
              <w:bottom w:val="single" w:sz="4" w:space="0" w:color="auto"/>
            </w:tcBorders>
            <w:tcMar>
              <w:left w:w="57" w:type="dxa"/>
              <w:right w:w="57" w:type="dxa"/>
            </w:tcMar>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Výrobek II</w:t>
            </w:r>
          </w:p>
        </w:tc>
        <w:tc>
          <w:tcPr>
            <w:tcW w:w="236" w:type="dxa"/>
            <w:tcBorders>
              <w:top w:val="nil"/>
              <w:bottom w:val="nil"/>
            </w:tcBorders>
            <w:tcMar>
              <w:left w:w="57" w:type="dxa"/>
              <w:right w:w="57" w:type="dxa"/>
            </w:tcMar>
          </w:tcPr>
          <w:p w:rsidR="00BA08EF" w:rsidRPr="00072817" w:rsidRDefault="00BA08EF" w:rsidP="00E808B4">
            <w:pPr>
              <w:jc w:val="center"/>
              <w:rPr>
                <w:rFonts w:ascii="Arial Narrow" w:hAnsi="Arial Narrow"/>
                <w:sz w:val="18"/>
                <w:szCs w:val="18"/>
              </w:rPr>
            </w:pPr>
          </w:p>
        </w:tc>
        <w:tc>
          <w:tcPr>
            <w:tcW w:w="1304" w:type="dxa"/>
            <w:gridSpan w:val="2"/>
            <w:tcBorders>
              <w:bottom w:val="single" w:sz="4" w:space="0" w:color="auto"/>
            </w:tcBorders>
            <w:tcMar>
              <w:left w:w="57" w:type="dxa"/>
              <w:right w:w="57" w:type="dxa"/>
            </w:tcMar>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Výrobek III</w:t>
            </w:r>
          </w:p>
        </w:tc>
      </w:tr>
      <w:tr w:rsidR="00BA08EF" w:rsidRPr="00072817" w:rsidTr="00E808B4">
        <w:trPr>
          <w:trHeight w:hRule="exact" w:val="227"/>
          <w:jc w:val="center"/>
        </w:trPr>
        <w:tc>
          <w:tcPr>
            <w:tcW w:w="1304"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75" o:spid="_x0000_s1353" type="#_x0000_t32" style="position:absolute;left:0;text-align:left;margin-left:22.95pt;margin-top:-.35pt;width:0;height:10.35pt;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" strokecolor="black [3200]" strokeweight=".5pt">
                  <v:stroke startarrowwidth="narrow" endarrow="block" endarrowwidth="narrow"/>
                </v:shape>
              </w:pict>
            </w: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247"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77" o:spid="_x0000_s1352" type="#_x0000_t32" style="position:absolute;left:0;text-align:left;margin-left:23.45pt;margin-top:.1pt;width:0;height:10.4pt;flip:y;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" strokecolor="black [3200]" strokeweight=".5pt">
                  <v:stroke startarrowwidth="narrow" endarrow="block" endarrowwidth="narrow"/>
                </v:shape>
              </w:pict>
            </w: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78" o:spid="_x0000_s1351" type="#_x0000_t32" style="position:absolute;left:0;text-align:left;margin-left:25.9pt;margin-top:.1pt;width:0;height:10.35pt;flip:y;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" strokecolor="black [3200]" strokeweight=".5pt">
                  <v:stroke startarrowwidth="narrow" endarrow="block" endarrowwidth="narrow"/>
                </v:shape>
              </w:pict>
            </w:r>
          </w:p>
        </w:tc>
        <w:tc>
          <w:tcPr>
            <w:tcW w:w="680"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82" o:spid="_x0000_s1350" type="#_x0000_t32" style="position:absolute;left:0;text-align:left;margin-left:27.6pt;margin-top:.1pt;width:0;height:10.35pt;flip:y;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" strokecolor="black [3200]" strokeweight=".5pt">
                  <v:stroke startarrowwidth="narrow" endarrow="block" endarrowwidth="narrow"/>
                </v:shape>
              </w:pict>
            </w:r>
          </w:p>
        </w:tc>
        <w:tc>
          <w:tcPr>
            <w:tcW w:w="284"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83" o:spid="_x0000_s1349" type="#_x0000_t32" style="position:absolute;left:0;text-align:left;margin-left:26.15pt;margin-top:.1pt;width:0;height:10.35pt;flip: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" strokecolor="black [3200]" strokeweight=".5pt">
                  <v:stroke startarrowwidth="narrow" endarrow="block" endarrowwidth="narrow"/>
                </v:shape>
              </w:pict>
            </w: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84" o:spid="_x0000_s1348" type="#_x0000_t32" style="position:absolute;left:0;text-align:left;margin-left:24.8pt;margin-top:.1pt;width:0;height:10.35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" strokecolor="black [3200]" strokeweight=".5pt">
                  <v:stroke startarrowwidth="narrow" endarrow="block" endarrowwidth="narrow"/>
                </v:shape>
              </w:pict>
            </w:r>
          </w:p>
        </w:tc>
      </w:tr>
      <w:tr w:rsidR="00BA08EF" w:rsidRPr="00072817" w:rsidTr="00E808B4">
        <w:trPr>
          <w:jc w:val="center"/>
        </w:trPr>
        <w:tc>
          <w:tcPr>
            <w:tcW w:w="1304" w:type="dxa"/>
            <w:tcBorders>
              <w:bottom w:val="single" w:sz="4" w:space="0" w:color="auto"/>
            </w:tcBorders>
            <w:tcMar>
              <w:left w:w="0" w:type="dxa"/>
              <w:right w:w="0" w:type="dxa"/>
            </w:tcMar>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Komponent</w:t>
            </w:r>
            <w:r>
              <w:rPr>
                <w:rFonts w:ascii="Arial Narrow" w:hAnsi="Arial Narrow"/>
                <w:sz w:val="18"/>
                <w:szCs w:val="18"/>
              </w:rPr>
              <w:t xml:space="preserve"> </w:t>
            </w:r>
            <w:r w:rsidRPr="00072817">
              <w:rPr>
                <w:rFonts w:ascii="Arial Narrow" w:hAnsi="Arial Narrow"/>
                <w:sz w:val="18"/>
                <w:szCs w:val="18"/>
              </w:rPr>
              <w:t>a, b, c</w:t>
            </w:r>
          </w:p>
        </w:tc>
        <w:tc>
          <w:tcPr>
            <w:tcW w:w="236" w:type="dxa"/>
            <w:tcBorders>
              <w:top w:val="nil"/>
              <w:bottom w:val="nil"/>
            </w:tcBorders>
            <w:tcMar>
              <w:left w:w="0" w:type="dxa"/>
              <w:right w:w="0" w:type="dxa"/>
            </w:tcMar>
          </w:tcPr>
          <w:p w:rsidR="00BA08EF" w:rsidRPr="00072817" w:rsidRDefault="00BA08EF" w:rsidP="00E808B4">
            <w:pPr>
              <w:jc w:val="center"/>
              <w:rPr>
                <w:rFonts w:ascii="Arial Narrow" w:hAnsi="Arial Narrow"/>
                <w:sz w:val="18"/>
                <w:szCs w:val="18"/>
              </w:rPr>
            </w:pPr>
          </w:p>
        </w:tc>
        <w:tc>
          <w:tcPr>
            <w:tcW w:w="1247" w:type="dxa"/>
            <w:tcBorders>
              <w:bottom w:val="single" w:sz="4" w:space="0" w:color="auto"/>
            </w:tcBorders>
            <w:tcMar>
              <w:left w:w="0" w:type="dxa"/>
              <w:right w:w="0" w:type="dxa"/>
            </w:tcMar>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Komponent</w:t>
            </w:r>
            <w:r>
              <w:rPr>
                <w:rFonts w:ascii="Arial Narrow" w:hAnsi="Arial Narrow"/>
                <w:sz w:val="18"/>
                <w:szCs w:val="18"/>
              </w:rPr>
              <w:t xml:space="preserve"> </w:t>
            </w:r>
            <w:r w:rsidRPr="00072817">
              <w:rPr>
                <w:rFonts w:ascii="Arial Narrow" w:hAnsi="Arial Narrow"/>
                <w:sz w:val="18"/>
                <w:szCs w:val="18"/>
              </w:rPr>
              <w:t>a, b, c</w:t>
            </w:r>
          </w:p>
        </w:tc>
        <w:tc>
          <w:tcPr>
            <w:tcW w:w="236" w:type="dxa"/>
            <w:tcBorders>
              <w:top w:val="nil"/>
              <w:bottom w:val="nil"/>
            </w:tcBorders>
            <w:tcMar>
              <w:left w:w="0" w:type="dxa"/>
              <w:right w:w="0" w:type="dxa"/>
            </w:tcMar>
          </w:tcPr>
          <w:p w:rsidR="00BA08EF" w:rsidRPr="00072817" w:rsidRDefault="00BA08EF" w:rsidP="00E808B4">
            <w:pPr>
              <w:jc w:val="center"/>
              <w:rPr>
                <w:rFonts w:ascii="Arial Narrow" w:hAnsi="Arial Narrow"/>
                <w:sz w:val="18"/>
                <w:szCs w:val="18"/>
              </w:rPr>
            </w:pPr>
          </w:p>
        </w:tc>
        <w:tc>
          <w:tcPr>
            <w:tcW w:w="1304" w:type="dxa"/>
            <w:tcBorders>
              <w:bottom w:val="single" w:sz="4" w:space="0" w:color="auto"/>
            </w:tcBorders>
            <w:tcMar>
              <w:left w:w="0" w:type="dxa"/>
              <w:right w:w="0" w:type="dxa"/>
            </w:tcMar>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Komponent</w:t>
            </w:r>
            <w:r>
              <w:rPr>
                <w:rFonts w:ascii="Arial Narrow" w:hAnsi="Arial Narrow"/>
                <w:sz w:val="18"/>
                <w:szCs w:val="18"/>
              </w:rPr>
              <w:t xml:space="preserve"> </w:t>
            </w:r>
            <w:r w:rsidRPr="00072817">
              <w:rPr>
                <w:rFonts w:ascii="Arial Narrow" w:hAnsi="Arial Narrow"/>
                <w:sz w:val="18"/>
                <w:szCs w:val="18"/>
              </w:rPr>
              <w:t>a, b, c</w:t>
            </w:r>
          </w:p>
        </w:tc>
        <w:tc>
          <w:tcPr>
            <w:tcW w:w="680" w:type="dxa"/>
            <w:tcBorders>
              <w:top w:val="nil"/>
              <w:bottom w:val="nil"/>
            </w:tcBorders>
            <w:tcMar>
              <w:left w:w="0" w:type="dxa"/>
              <w:right w:w="0" w:type="dxa"/>
            </w:tcMar>
          </w:tcPr>
          <w:p w:rsidR="00BA08EF" w:rsidRPr="00072817" w:rsidRDefault="00BA08EF" w:rsidP="00E808B4">
            <w:pPr>
              <w:jc w:val="center"/>
              <w:rPr>
                <w:rFonts w:ascii="Arial Narrow" w:hAnsi="Arial Narrow"/>
                <w:sz w:val="18"/>
                <w:szCs w:val="18"/>
              </w:rPr>
            </w:pPr>
          </w:p>
        </w:tc>
        <w:tc>
          <w:tcPr>
            <w:tcW w:w="1304" w:type="dxa"/>
            <w:gridSpan w:val="2"/>
            <w:tcBorders>
              <w:bottom w:val="single" w:sz="4" w:space="0" w:color="auto"/>
            </w:tcBorders>
            <w:tcMar>
              <w:left w:w="0" w:type="dxa"/>
              <w:right w:w="0" w:type="dxa"/>
            </w:tcMar>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Komponent</w:t>
            </w:r>
            <w:r>
              <w:rPr>
                <w:rFonts w:ascii="Arial Narrow" w:hAnsi="Arial Narrow"/>
                <w:sz w:val="18"/>
                <w:szCs w:val="18"/>
              </w:rPr>
              <w:t xml:space="preserve"> </w:t>
            </w:r>
            <w:r w:rsidRPr="00072817">
              <w:rPr>
                <w:rFonts w:ascii="Arial Narrow" w:hAnsi="Arial Narrow"/>
                <w:sz w:val="18"/>
                <w:szCs w:val="18"/>
              </w:rPr>
              <w:t>a, b, c</w:t>
            </w:r>
          </w:p>
        </w:tc>
        <w:tc>
          <w:tcPr>
            <w:tcW w:w="284" w:type="dxa"/>
            <w:tcBorders>
              <w:top w:val="nil"/>
              <w:bottom w:val="nil"/>
            </w:tcBorders>
            <w:tcMar>
              <w:left w:w="0" w:type="dxa"/>
              <w:right w:w="0" w:type="dxa"/>
            </w:tcMar>
          </w:tcPr>
          <w:p w:rsidR="00BA08EF" w:rsidRPr="00072817" w:rsidRDefault="00BA08EF" w:rsidP="00E808B4">
            <w:pPr>
              <w:jc w:val="center"/>
              <w:rPr>
                <w:rFonts w:ascii="Arial Narrow" w:hAnsi="Arial Narrow"/>
                <w:sz w:val="18"/>
                <w:szCs w:val="18"/>
              </w:rPr>
            </w:pPr>
          </w:p>
        </w:tc>
        <w:tc>
          <w:tcPr>
            <w:tcW w:w="1304" w:type="dxa"/>
            <w:tcBorders>
              <w:bottom w:val="single" w:sz="4" w:space="0" w:color="auto"/>
            </w:tcBorders>
            <w:tcMar>
              <w:left w:w="0" w:type="dxa"/>
              <w:right w:w="0" w:type="dxa"/>
            </w:tcMar>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Komponent</w:t>
            </w:r>
            <w:r>
              <w:rPr>
                <w:rFonts w:ascii="Arial Narrow" w:hAnsi="Arial Narrow"/>
                <w:sz w:val="18"/>
                <w:szCs w:val="18"/>
              </w:rPr>
              <w:t xml:space="preserve"> </w:t>
            </w:r>
            <w:r w:rsidRPr="00072817">
              <w:rPr>
                <w:rFonts w:ascii="Arial Narrow" w:hAnsi="Arial Narrow"/>
                <w:sz w:val="18"/>
                <w:szCs w:val="18"/>
              </w:rPr>
              <w:t>d, e, f</w:t>
            </w:r>
          </w:p>
        </w:tc>
        <w:tc>
          <w:tcPr>
            <w:tcW w:w="236" w:type="dxa"/>
            <w:tcBorders>
              <w:top w:val="nil"/>
              <w:bottom w:val="nil"/>
            </w:tcBorders>
            <w:tcMar>
              <w:left w:w="0" w:type="dxa"/>
              <w:right w:w="0" w:type="dxa"/>
            </w:tcMar>
          </w:tcPr>
          <w:p w:rsidR="00BA08EF" w:rsidRPr="00072817" w:rsidRDefault="00BA08EF" w:rsidP="00E808B4">
            <w:pPr>
              <w:jc w:val="center"/>
              <w:rPr>
                <w:rFonts w:ascii="Arial Narrow" w:hAnsi="Arial Narrow"/>
                <w:sz w:val="18"/>
                <w:szCs w:val="18"/>
              </w:rPr>
            </w:pPr>
          </w:p>
        </w:tc>
        <w:tc>
          <w:tcPr>
            <w:tcW w:w="1304" w:type="dxa"/>
            <w:gridSpan w:val="2"/>
            <w:tcBorders>
              <w:bottom w:val="single" w:sz="4" w:space="0" w:color="auto"/>
            </w:tcBorders>
            <w:tcMar>
              <w:left w:w="0" w:type="dxa"/>
              <w:right w:w="0" w:type="dxa"/>
            </w:tcMar>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Komponent</w:t>
            </w:r>
            <w:r>
              <w:rPr>
                <w:rFonts w:ascii="Arial Narrow" w:hAnsi="Arial Narrow"/>
                <w:sz w:val="18"/>
                <w:szCs w:val="18"/>
              </w:rPr>
              <w:t xml:space="preserve"> </w:t>
            </w:r>
            <w:r w:rsidRPr="00072817">
              <w:rPr>
                <w:rFonts w:ascii="Arial Narrow" w:hAnsi="Arial Narrow"/>
                <w:sz w:val="18"/>
                <w:szCs w:val="18"/>
              </w:rPr>
              <w:t>f, g, h</w:t>
            </w:r>
          </w:p>
        </w:tc>
      </w:tr>
      <w:tr w:rsidR="00BA08EF" w:rsidRPr="00072817" w:rsidTr="00E808B4">
        <w:trPr>
          <w:trHeight w:hRule="exact" w:val="227"/>
          <w:jc w:val="center"/>
        </w:trPr>
        <w:tc>
          <w:tcPr>
            <w:tcW w:w="1304"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79" o:spid="_x0000_s1347" type="#_x0000_t32" style="position:absolute;left:0;text-align:left;margin-left:23.4pt;margin-top:.85pt;width:0;height:10.4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" strokecolor="black [3200]" strokeweight=".5pt">
                  <v:stroke startarrowwidth="narrow" endarrow="block" endarrowwidth="narrow"/>
                </v:shape>
              </w:pict>
            </w: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247"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80" o:spid="_x0000_s1346" type="#_x0000_t32" style="position:absolute;left:0;text-align:left;margin-left:23pt;margin-top:.85pt;width:0;height:10.4pt;flip:y;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" strokecolor="black [3200]" strokeweight=".5pt">
                  <v:stroke startarrowwidth="narrow" endarrow="block" endarrowwidth="narrow"/>
                </v:shape>
              </w:pict>
            </w: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81" o:spid="_x0000_s1345" type="#_x0000_t32" style="position:absolute;left:0;text-align:left;margin-left:25.9pt;margin-top:.85pt;width:0;height:10.4pt;flip: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" strokecolor="black [3200]" strokeweight=".5pt">
                  <v:stroke startarrowwidth="narrow" endarrow="block" endarrowwidth="narrow"/>
                </v:shape>
              </w:pict>
            </w:r>
          </w:p>
        </w:tc>
        <w:tc>
          <w:tcPr>
            <w:tcW w:w="680"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85" o:spid="_x0000_s1344" type="#_x0000_t32" style="position:absolute;left:0;text-align:left;margin-left:27.1pt;margin-top:.85pt;width:0;height:10.35pt;flip:y;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" strokecolor="black [3200]" strokeweight=".5pt">
                  <v:stroke startarrowwidth="narrow" endarrow="block" endarrowwidth="narrow"/>
                </v:shape>
              </w:pict>
            </w:r>
          </w:p>
        </w:tc>
        <w:tc>
          <w:tcPr>
            <w:tcW w:w="284"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86" o:spid="_x0000_s1343" type="#_x0000_t32" style="position:absolute;left:0;text-align:left;margin-left:26.15pt;margin-top:.85pt;width:0;height:10.35pt;flip: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" strokecolor="black [3200]" strokeweight=".5pt">
                  <v:stroke startarrowwidth="narrow" endarrow="block" endarrowwidth="narrow"/>
                </v:shape>
              </w:pict>
            </w: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87" o:spid="_x0000_s1342" type="#_x0000_t32" style="position:absolute;left:0;text-align:left;margin-left:24.8pt;margin-top:.85pt;width:0;height:10.35pt;flip: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" strokecolor="black [3200]" strokeweight=".5pt">
                  <v:stroke startarrowwidth="narrow" endarrow="block" endarrowwidth="narrow"/>
                </v:shape>
              </w:pict>
            </w:r>
          </w:p>
        </w:tc>
      </w:tr>
      <w:tr w:rsidR="00BA08EF" w:rsidRPr="00072817" w:rsidTr="00E808B4">
        <w:trPr>
          <w:jc w:val="center"/>
        </w:trPr>
        <w:tc>
          <w:tcPr>
            <w:tcW w:w="1304"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A</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247"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B</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C</w:t>
            </w:r>
          </w:p>
        </w:tc>
        <w:tc>
          <w:tcPr>
            <w:tcW w:w="680"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gridSpan w:val="2"/>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A</w:t>
            </w:r>
          </w:p>
        </w:tc>
        <w:tc>
          <w:tcPr>
            <w:tcW w:w="284"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B</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gridSpan w:val="2"/>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C</w:t>
            </w:r>
          </w:p>
        </w:tc>
      </w:tr>
      <w:tr w:rsidR="00BA08EF" w:rsidRPr="00072817" w:rsidTr="00E808B4">
        <w:trPr>
          <w:trHeight w:hRule="exact" w:val="170"/>
          <w:jc w:val="center"/>
        </w:trPr>
        <w:tc>
          <w:tcPr>
            <w:tcW w:w="1304" w:type="dxa"/>
            <w:tcBorders>
              <w:left w:val="nil"/>
              <w:bottom w:val="nil"/>
              <w:right w:val="nil"/>
            </w:tcBorders>
          </w:tcPr>
          <w:p w:rsidR="00BA08EF" w:rsidRPr="00072817" w:rsidRDefault="00BA08EF" w:rsidP="00E808B4">
            <w:pPr>
              <w:jc w:val="center"/>
              <w:rPr>
                <w:rFonts w:ascii="Arial Narrow" w:hAnsi="Arial Narrow"/>
                <w:sz w:val="18"/>
                <w:szCs w:val="18"/>
              </w:rPr>
            </w:pP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247" w:type="dxa"/>
            <w:tcBorders>
              <w:left w:val="nil"/>
              <w:bottom w:val="nil"/>
              <w:right w:val="nil"/>
            </w:tcBorders>
          </w:tcPr>
          <w:p w:rsidR="00BA08EF" w:rsidRPr="00072817" w:rsidRDefault="00BA08EF" w:rsidP="00E808B4">
            <w:pPr>
              <w:jc w:val="center"/>
              <w:rPr>
                <w:rFonts w:ascii="Arial Narrow" w:hAnsi="Arial Narrow"/>
                <w:sz w:val="18"/>
                <w:szCs w:val="18"/>
              </w:rPr>
            </w:pP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bottom w:val="nil"/>
              <w:right w:val="nil"/>
            </w:tcBorders>
          </w:tcPr>
          <w:p w:rsidR="00BA08EF" w:rsidRPr="00072817" w:rsidRDefault="00BA08EF" w:rsidP="00E808B4">
            <w:pPr>
              <w:jc w:val="center"/>
              <w:rPr>
                <w:rFonts w:ascii="Arial Narrow" w:hAnsi="Arial Narrow"/>
                <w:sz w:val="18"/>
                <w:szCs w:val="18"/>
              </w:rPr>
            </w:pPr>
          </w:p>
        </w:tc>
        <w:tc>
          <w:tcPr>
            <w:tcW w:w="680"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left w:val="nil"/>
              <w:bottom w:val="nil"/>
              <w:right w:val="nil"/>
            </w:tcBorders>
          </w:tcPr>
          <w:p w:rsidR="00BA08EF" w:rsidRPr="00072817" w:rsidRDefault="00BA08EF" w:rsidP="00E808B4">
            <w:pPr>
              <w:jc w:val="center"/>
              <w:rPr>
                <w:rFonts w:ascii="Arial Narrow" w:hAnsi="Arial Narrow"/>
                <w:sz w:val="18"/>
                <w:szCs w:val="18"/>
              </w:rPr>
            </w:pPr>
          </w:p>
        </w:tc>
        <w:tc>
          <w:tcPr>
            <w:tcW w:w="284"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bottom w:val="nil"/>
              <w:right w:val="nil"/>
            </w:tcBorders>
          </w:tcPr>
          <w:p w:rsidR="00BA08EF" w:rsidRPr="00072817" w:rsidRDefault="00BA08EF" w:rsidP="00E808B4">
            <w:pPr>
              <w:jc w:val="center"/>
              <w:rPr>
                <w:rFonts w:ascii="Arial Narrow" w:hAnsi="Arial Narrow"/>
                <w:sz w:val="18"/>
                <w:szCs w:val="18"/>
              </w:rPr>
            </w:pP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left w:val="nil"/>
              <w:bottom w:val="nil"/>
              <w:right w:val="nil"/>
            </w:tcBorders>
          </w:tcPr>
          <w:p w:rsidR="00BA08EF" w:rsidRPr="00072817" w:rsidRDefault="00BA08EF" w:rsidP="00E808B4">
            <w:pPr>
              <w:jc w:val="center"/>
              <w:rPr>
                <w:rFonts w:ascii="Arial Narrow" w:hAnsi="Arial Narrow"/>
                <w:sz w:val="18"/>
                <w:szCs w:val="18"/>
              </w:rPr>
            </w:pPr>
          </w:p>
        </w:tc>
      </w:tr>
      <w:tr w:rsidR="00BA08EF" w:rsidRPr="00072817" w:rsidTr="00E808B4">
        <w:trPr>
          <w:jc w:val="center"/>
        </w:trPr>
        <w:tc>
          <w:tcPr>
            <w:tcW w:w="4327" w:type="dxa"/>
            <w:gridSpan w:val="5"/>
            <w:tcBorders>
              <w:top w:val="nil"/>
              <w:left w:val="nil"/>
              <w:bottom w:val="nil"/>
              <w:right w:val="nil"/>
            </w:tcBorders>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Bez specializace</w:t>
            </w:r>
          </w:p>
        </w:tc>
        <w:tc>
          <w:tcPr>
            <w:tcW w:w="680"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4432" w:type="dxa"/>
            <w:gridSpan w:val="7"/>
            <w:tcBorders>
              <w:top w:val="nil"/>
              <w:left w:val="nil"/>
              <w:bottom w:val="nil"/>
              <w:right w:val="nil"/>
            </w:tcBorders>
          </w:tcPr>
          <w:p w:rsidR="00BA08EF" w:rsidRPr="007E1723" w:rsidRDefault="00BA08EF" w:rsidP="00E808B4">
            <w:pPr>
              <w:jc w:val="center"/>
            </w:pPr>
            <w:r w:rsidRPr="00072817">
              <w:rPr>
                <w:rFonts w:ascii="Arial Narrow" w:hAnsi="Arial Narrow"/>
                <w:sz w:val="18"/>
                <w:szCs w:val="18"/>
              </w:rPr>
              <w:t>Pouze výrobková specializace</w:t>
            </w:r>
          </w:p>
        </w:tc>
      </w:tr>
      <w:tr w:rsidR="00BA08EF" w:rsidRPr="00072817" w:rsidTr="00E808B4">
        <w:trPr>
          <w:jc w:val="center"/>
        </w:trPr>
        <w:tc>
          <w:tcPr>
            <w:tcW w:w="1304" w:type="dxa"/>
            <w:tcBorders>
              <w:top w:val="nil"/>
              <w:left w:val="nil"/>
              <w:right w:val="nil"/>
            </w:tcBorders>
          </w:tcPr>
          <w:p w:rsidR="00BA08EF" w:rsidRPr="00072817" w:rsidRDefault="00BA08EF" w:rsidP="00E808B4">
            <w:pPr>
              <w:jc w:val="center"/>
              <w:rPr>
                <w:rFonts w:ascii="Arial Narrow" w:hAnsi="Arial Narrow"/>
                <w:sz w:val="18"/>
                <w:szCs w:val="18"/>
              </w:rPr>
            </w:pP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247" w:type="dxa"/>
            <w:tcBorders>
              <w:top w:val="nil"/>
              <w:left w:val="nil"/>
              <w:right w:val="nil"/>
            </w:tcBorders>
          </w:tcPr>
          <w:p w:rsidR="00BA08EF" w:rsidRPr="00072817" w:rsidRDefault="00BA08EF" w:rsidP="00E808B4">
            <w:pPr>
              <w:jc w:val="center"/>
              <w:rPr>
                <w:rFonts w:ascii="Arial Narrow" w:hAnsi="Arial Narrow"/>
                <w:sz w:val="18"/>
                <w:szCs w:val="18"/>
              </w:rPr>
            </w:pP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top w:val="nil"/>
              <w:left w:val="nil"/>
              <w:right w:val="nil"/>
            </w:tcBorders>
          </w:tcPr>
          <w:p w:rsidR="00BA08EF" w:rsidRPr="00072817" w:rsidRDefault="00BA08EF" w:rsidP="00E808B4">
            <w:pPr>
              <w:jc w:val="center"/>
              <w:rPr>
                <w:rFonts w:ascii="Arial Narrow" w:hAnsi="Arial Narrow"/>
                <w:sz w:val="18"/>
                <w:szCs w:val="18"/>
              </w:rPr>
            </w:pPr>
          </w:p>
        </w:tc>
        <w:tc>
          <w:tcPr>
            <w:tcW w:w="680"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284" w:type="dxa"/>
            <w:tcBorders>
              <w:top w:val="nil"/>
              <w:left w:val="nil"/>
              <w:right w:val="nil"/>
            </w:tcBorders>
          </w:tcPr>
          <w:p w:rsidR="00BA08EF" w:rsidRPr="00072817" w:rsidRDefault="00BA08EF" w:rsidP="00E808B4">
            <w:pPr>
              <w:jc w:val="center"/>
              <w:rPr>
                <w:rFonts w:ascii="Arial Narrow" w:hAnsi="Arial Narrow"/>
                <w:sz w:val="18"/>
                <w:szCs w:val="18"/>
              </w:rPr>
            </w:pPr>
          </w:p>
        </w:tc>
        <w:tc>
          <w:tcPr>
            <w:tcW w:w="1304" w:type="dxa"/>
            <w:tcBorders>
              <w:top w:val="nil"/>
              <w:left w:val="nil"/>
              <w:right w:val="nil"/>
            </w:tcBorders>
          </w:tcPr>
          <w:p w:rsidR="00BA08EF" w:rsidRPr="00072817" w:rsidRDefault="00BA08EF" w:rsidP="00E808B4">
            <w:pPr>
              <w:jc w:val="center"/>
              <w:rPr>
                <w:rFonts w:ascii="Arial Narrow" w:hAnsi="Arial Narrow"/>
                <w:sz w:val="18"/>
                <w:szCs w:val="18"/>
              </w:rPr>
            </w:pPr>
          </w:p>
        </w:tc>
        <w:tc>
          <w:tcPr>
            <w:tcW w:w="236" w:type="dxa"/>
            <w:tcBorders>
              <w:top w:val="nil"/>
              <w:left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top w:val="nil"/>
              <w:left w:val="nil"/>
              <w:bottom w:val="nil"/>
              <w:right w:val="nil"/>
            </w:tcBorders>
          </w:tcPr>
          <w:p w:rsidR="00BA08EF" w:rsidRPr="00072817" w:rsidRDefault="00BA08EF" w:rsidP="00E808B4">
            <w:pPr>
              <w:jc w:val="center"/>
              <w:rPr>
                <w:rFonts w:ascii="Arial Narrow" w:hAnsi="Arial Narrow"/>
                <w:sz w:val="18"/>
                <w:szCs w:val="18"/>
              </w:rPr>
            </w:pPr>
          </w:p>
        </w:tc>
      </w:tr>
      <w:tr w:rsidR="00BA08EF" w:rsidRPr="00072817" w:rsidTr="00E808B4">
        <w:trPr>
          <w:jc w:val="center"/>
        </w:trPr>
        <w:tc>
          <w:tcPr>
            <w:tcW w:w="1304"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Trh I</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247"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Trh II</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Trh III</w:t>
            </w:r>
          </w:p>
        </w:tc>
        <w:tc>
          <w:tcPr>
            <w:tcW w:w="680" w:type="dxa"/>
            <w:tcBorders>
              <w:top w:val="nil"/>
              <w:bottom w:val="nil"/>
              <w:right w:val="nil"/>
            </w:tcBorders>
          </w:tcPr>
          <w:p w:rsidR="00BA08EF" w:rsidRPr="00072817" w:rsidRDefault="00BA08EF" w:rsidP="00E808B4">
            <w:pPr>
              <w:jc w:val="center"/>
              <w:rPr>
                <w:rFonts w:ascii="Arial Narrow" w:hAnsi="Arial Narrow"/>
                <w:sz w:val="18"/>
                <w:szCs w:val="18"/>
              </w:rPr>
            </w:pPr>
          </w:p>
        </w:tc>
        <w:tc>
          <w:tcPr>
            <w:tcW w:w="652" w:type="dxa"/>
            <w:tcBorders>
              <w:top w:val="nil"/>
              <w:left w:val="nil"/>
              <w:bottom w:val="nil"/>
            </w:tcBorders>
          </w:tcPr>
          <w:p w:rsidR="00BA08EF" w:rsidRPr="00072817" w:rsidRDefault="00BA08EF" w:rsidP="00E808B4">
            <w:pPr>
              <w:jc w:val="center"/>
              <w:rPr>
                <w:rFonts w:ascii="Arial Narrow" w:hAnsi="Arial Narrow"/>
                <w:sz w:val="18"/>
                <w:szCs w:val="18"/>
              </w:rPr>
            </w:pPr>
          </w:p>
        </w:tc>
        <w:tc>
          <w:tcPr>
            <w:tcW w:w="3128" w:type="dxa"/>
            <w:gridSpan w:val="5"/>
          </w:tcPr>
          <w:p w:rsidR="00BA08EF" w:rsidRPr="00072817" w:rsidRDefault="00BA08EF" w:rsidP="00E808B4">
            <w:pPr>
              <w:jc w:val="center"/>
              <w:rPr>
                <w:rFonts w:ascii="Arial Narrow" w:hAnsi="Arial Narrow"/>
                <w:sz w:val="18"/>
                <w:szCs w:val="18"/>
              </w:rPr>
            </w:pPr>
            <w:r>
              <w:rPr>
                <w:rFonts w:ascii="Arial Narrow" w:hAnsi="Arial Narrow"/>
                <w:sz w:val="18"/>
                <w:szCs w:val="18"/>
              </w:rPr>
              <w:t>Trh</w:t>
            </w:r>
          </w:p>
        </w:tc>
        <w:tc>
          <w:tcPr>
            <w:tcW w:w="652" w:type="dxa"/>
            <w:tcBorders>
              <w:top w:val="nil"/>
              <w:bottom w:val="nil"/>
              <w:right w:val="nil"/>
            </w:tcBorders>
          </w:tcPr>
          <w:p w:rsidR="00BA08EF" w:rsidRPr="00072817" w:rsidRDefault="00BA08EF" w:rsidP="00E808B4">
            <w:pPr>
              <w:jc w:val="center"/>
              <w:rPr>
                <w:rFonts w:ascii="Arial Narrow" w:hAnsi="Arial Narrow"/>
                <w:sz w:val="18"/>
                <w:szCs w:val="18"/>
              </w:rPr>
            </w:pPr>
          </w:p>
        </w:tc>
      </w:tr>
      <w:tr w:rsidR="00BA08EF" w:rsidRPr="00072817" w:rsidTr="00E808B4">
        <w:trPr>
          <w:trHeight w:hRule="exact" w:val="227"/>
          <w:jc w:val="center"/>
        </w:trPr>
        <w:tc>
          <w:tcPr>
            <w:tcW w:w="1304"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09" o:spid="_x0000_s1341" type="#_x0000_t32" style="position:absolute;left:0;text-align:left;margin-left:25.7pt;margin-top:-1.25pt;width:0;height:10.35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" strokecolor="black [3200]" strokeweight=".5pt">
                  <v:stroke startarrowwidth="narrow" endarrow="block" endarrowwidth="narrow"/>
                </v:shape>
              </w:pict>
            </w: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247"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10" o:spid="_x0000_s1340" type="#_x0000_t32" style="position:absolute;left:0;text-align:left;margin-left:26.2pt;margin-top:-1.25pt;width:0;height:10.4pt;flip: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" strokecolor="black [3200]" strokeweight=".5pt">
                  <v:stroke startarrowwidth="narrow" endarrow="block" endarrowwidth="narrow"/>
                </v:shape>
              </w:pict>
            </w: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11" o:spid="_x0000_s1339" type="#_x0000_t32" style="position:absolute;left:0;text-align:left;margin-left:25.2pt;margin-top:-1.6pt;width:0;height:10.3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" strokecolor="black [3200]" strokeweight=".5pt">
                  <v:stroke startarrowwidth="narrow" endarrow="block" endarrowwidth="narrow"/>
                </v:shape>
              </w:pict>
            </w:r>
          </w:p>
        </w:tc>
        <w:tc>
          <w:tcPr>
            <w:tcW w:w="680"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top w:val="nil"/>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405" o:spid="_x0000_s1338" type="#_x0000_t32" style="position:absolute;left:0;text-align:left;margin-left:27.6pt;margin-top:-1.25pt;width:73pt;height:10.35pt;flip:y;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" strokecolor="black [3040]" strokeweight=".5pt">
                  <v:stroke startarrowwidth="narrow" endarrow="block" endarrowwidth="narrow"/>
                </v:shape>
              </w:pict>
            </w:r>
          </w:p>
        </w:tc>
        <w:tc>
          <w:tcPr>
            <w:tcW w:w="284" w:type="dxa"/>
            <w:tcBorders>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406" o:spid="_x0000_s1337" type="#_x0000_t32" style="position:absolute;left:0;text-align:left;margin-left:27.05pt;margin-top:-1.25pt;width:0;height:10.35pt;flip:y;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" strokecolor="black [3040]" strokeweight=".5pt">
                  <v:stroke startarrowwidth="narrow" endarrow="block" endarrowwidth="narrow"/>
                </v:shape>
              </w:pict>
            </w:r>
            <w:r>
              <w:rPr>
                <w:noProof/>
                <w:sz w:val="22"/>
                <w:szCs w:val="22"/>
                <w:lang w:val="cs-CZ" w:eastAsia="cs-CZ"/>
              </w:rPr>
              <w:pict>
                <v:shape id="Přímá spojnice se šipkou 407" o:spid="_x0000_s1336" type="#_x0000_t32" style="position:absolute;left:0;text-align:left;margin-left:31.2pt;margin-top:-1.25pt;width:73.5pt;height:10.35pt;flip:x y;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" strokecolor="black [3040]" strokeweight=".5pt">
                  <v:stroke startarrowwidth="narrow" endarrow="block" endarrowwidth="narrow"/>
                </v:shape>
              </w:pict>
            </w:r>
          </w:p>
        </w:tc>
        <w:tc>
          <w:tcPr>
            <w:tcW w:w="236" w:type="dxa"/>
            <w:tcBorders>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top w:val="nil"/>
              <w:left w:val="nil"/>
              <w:bottom w:val="single" w:sz="4" w:space="0" w:color="auto"/>
              <w:right w:val="nil"/>
            </w:tcBorders>
          </w:tcPr>
          <w:p w:rsidR="00BA08EF" w:rsidRPr="00072817" w:rsidRDefault="00BA08EF" w:rsidP="00E808B4">
            <w:pPr>
              <w:jc w:val="center"/>
              <w:rPr>
                <w:rFonts w:ascii="Arial Narrow" w:hAnsi="Arial Narrow"/>
                <w:sz w:val="18"/>
                <w:szCs w:val="18"/>
              </w:rPr>
            </w:pPr>
          </w:p>
        </w:tc>
      </w:tr>
      <w:tr w:rsidR="00BA08EF" w:rsidRPr="00072817" w:rsidTr="00E808B4">
        <w:trPr>
          <w:jc w:val="center"/>
        </w:trPr>
        <w:tc>
          <w:tcPr>
            <w:tcW w:w="1304" w:type="dxa"/>
            <w:tcMar>
              <w:left w:w="57" w:type="dxa"/>
              <w:right w:w="57" w:type="dxa"/>
            </w:tcMar>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69" o:spid="_x0000_s1335" type="#_x0000_t32" style="position:absolute;left:0;text-align:left;margin-left:28.25pt;margin-top:9.45pt;width:0;height:10.5pt;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" strokecolor="black [3200]" strokeweight=".5pt">
                  <v:stroke startarrowwidth="narrow" endarrow="block" endarrowwidth="narrow"/>
                </v:shape>
              </w:pict>
            </w:r>
            <w:r w:rsidR="00BA08EF" w:rsidRPr="00072817">
              <w:rPr>
                <w:rFonts w:ascii="Arial Narrow" w:hAnsi="Arial Narrow"/>
                <w:sz w:val="18"/>
                <w:szCs w:val="18"/>
              </w:rPr>
              <w:t>Výrobek I, II, III</w:t>
            </w:r>
          </w:p>
        </w:tc>
        <w:tc>
          <w:tcPr>
            <w:tcW w:w="236" w:type="dxa"/>
            <w:tcBorders>
              <w:top w:val="nil"/>
              <w:bottom w:val="nil"/>
            </w:tcBorders>
            <w:tcMar>
              <w:left w:w="57" w:type="dxa"/>
              <w:right w:w="57" w:type="dxa"/>
            </w:tcMar>
          </w:tcPr>
          <w:p w:rsidR="00BA08EF" w:rsidRPr="00072817" w:rsidRDefault="00BA08EF" w:rsidP="00E808B4">
            <w:pPr>
              <w:jc w:val="center"/>
              <w:rPr>
                <w:rFonts w:ascii="Arial Narrow" w:hAnsi="Arial Narrow"/>
                <w:sz w:val="18"/>
                <w:szCs w:val="18"/>
              </w:rPr>
            </w:pPr>
          </w:p>
        </w:tc>
        <w:tc>
          <w:tcPr>
            <w:tcW w:w="1247" w:type="dxa"/>
            <w:tcMar>
              <w:left w:w="57" w:type="dxa"/>
              <w:right w:w="57" w:type="dxa"/>
            </w:tcMar>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70" o:spid="_x0000_s1334" type="#_x0000_t32" style="position:absolute;left:0;text-align:left;margin-left:28.75pt;margin-top:9.45pt;width:0;height:10.5pt;flip: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" strokecolor="black [3200]" strokeweight=".5pt">
                  <v:stroke startarrowwidth="narrow" endarrow="block" endarrowwidth="narrow"/>
                </v:shape>
              </w:pict>
            </w:r>
            <w:r w:rsidR="00BA08EF" w:rsidRPr="00072817">
              <w:rPr>
                <w:rFonts w:ascii="Arial Narrow" w:hAnsi="Arial Narrow"/>
                <w:sz w:val="18"/>
                <w:szCs w:val="18"/>
              </w:rPr>
              <w:t>Výrobek I, II, III</w:t>
            </w:r>
          </w:p>
        </w:tc>
        <w:tc>
          <w:tcPr>
            <w:tcW w:w="236" w:type="dxa"/>
            <w:tcBorders>
              <w:top w:val="nil"/>
              <w:bottom w:val="nil"/>
            </w:tcBorders>
            <w:tcMar>
              <w:left w:w="57" w:type="dxa"/>
              <w:right w:w="57" w:type="dxa"/>
            </w:tcMar>
          </w:tcPr>
          <w:p w:rsidR="00BA08EF" w:rsidRPr="00072817" w:rsidRDefault="00BA08EF" w:rsidP="00E808B4">
            <w:pPr>
              <w:jc w:val="center"/>
              <w:rPr>
                <w:rFonts w:ascii="Arial Narrow" w:hAnsi="Arial Narrow"/>
                <w:sz w:val="18"/>
                <w:szCs w:val="18"/>
              </w:rPr>
            </w:pPr>
          </w:p>
        </w:tc>
        <w:tc>
          <w:tcPr>
            <w:tcW w:w="1304" w:type="dxa"/>
            <w:tcMar>
              <w:left w:w="57" w:type="dxa"/>
              <w:right w:w="57" w:type="dxa"/>
            </w:tcMar>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71" o:spid="_x0000_s1333" type="#_x0000_t32" style="position:absolute;left:0;text-align:left;margin-left:28pt;margin-top:9.45pt;width:0;height:10.5pt;flip: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" strokecolor="black [3200]" strokeweight=".5pt">
                  <v:stroke startarrowwidth="narrow" endarrow="block" endarrowwidth="narrow"/>
                </v:shape>
              </w:pict>
            </w:r>
            <w:r w:rsidR="00BA08EF" w:rsidRPr="00072817">
              <w:rPr>
                <w:rFonts w:ascii="Arial Narrow" w:hAnsi="Arial Narrow"/>
                <w:sz w:val="18"/>
                <w:szCs w:val="18"/>
              </w:rPr>
              <w:t>Výrobek I, II, III</w:t>
            </w:r>
          </w:p>
        </w:tc>
        <w:tc>
          <w:tcPr>
            <w:tcW w:w="680" w:type="dxa"/>
            <w:tcBorders>
              <w:top w:val="nil"/>
              <w:bottom w:val="nil"/>
            </w:tcBorders>
            <w:tcMar>
              <w:left w:w="57" w:type="dxa"/>
              <w:right w:w="57" w:type="dxa"/>
            </w:tcMar>
          </w:tcPr>
          <w:p w:rsidR="00BA08EF" w:rsidRPr="00072817" w:rsidRDefault="00BA08EF" w:rsidP="00E808B4">
            <w:pPr>
              <w:jc w:val="center"/>
              <w:rPr>
                <w:rFonts w:ascii="Arial Narrow" w:hAnsi="Arial Narrow"/>
                <w:sz w:val="18"/>
                <w:szCs w:val="18"/>
              </w:rPr>
            </w:pPr>
          </w:p>
        </w:tc>
        <w:tc>
          <w:tcPr>
            <w:tcW w:w="1304" w:type="dxa"/>
            <w:gridSpan w:val="2"/>
            <w:tcMar>
              <w:left w:w="57" w:type="dxa"/>
              <w:right w:w="57" w:type="dxa"/>
            </w:tcMar>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88" o:spid="_x0000_s1332" type="#_x0000_t32" style="position:absolute;left:0;text-align:left;margin-left:30.6pt;margin-top:9.45pt;width:0;height:10.45pt;flip:y;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" strokecolor="black [3200]" strokeweight=".5pt">
                  <v:stroke startarrowwidth="narrow" endarrow="block" endarrowwidth="narrow"/>
                </v:shape>
              </w:pict>
            </w:r>
            <w:r w:rsidR="00BA08EF" w:rsidRPr="00072817">
              <w:rPr>
                <w:rFonts w:ascii="Arial Narrow" w:hAnsi="Arial Narrow"/>
                <w:sz w:val="18"/>
                <w:szCs w:val="18"/>
              </w:rPr>
              <w:t>Výrobek I</w:t>
            </w:r>
          </w:p>
        </w:tc>
        <w:tc>
          <w:tcPr>
            <w:tcW w:w="284" w:type="dxa"/>
            <w:tcBorders>
              <w:top w:val="nil"/>
              <w:bottom w:val="nil"/>
            </w:tcBorders>
            <w:tcMar>
              <w:left w:w="57" w:type="dxa"/>
              <w:right w:w="57" w:type="dxa"/>
            </w:tcMar>
          </w:tcPr>
          <w:p w:rsidR="00BA08EF" w:rsidRPr="00072817" w:rsidRDefault="00BA08EF" w:rsidP="00E808B4">
            <w:pPr>
              <w:jc w:val="center"/>
              <w:rPr>
                <w:rFonts w:ascii="Arial Narrow" w:hAnsi="Arial Narrow"/>
                <w:sz w:val="18"/>
                <w:szCs w:val="18"/>
              </w:rPr>
            </w:pPr>
          </w:p>
        </w:tc>
        <w:tc>
          <w:tcPr>
            <w:tcW w:w="1304" w:type="dxa"/>
            <w:tcMar>
              <w:left w:w="57" w:type="dxa"/>
              <w:right w:w="57" w:type="dxa"/>
            </w:tcMar>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89" o:spid="_x0000_s1331" type="#_x0000_t32" style="position:absolute;left:0;text-align:left;margin-left:29.15pt;margin-top:9.45pt;width:0;height:10.45pt;flip: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" strokecolor="black [3200]" strokeweight=".5pt">
                  <v:stroke startarrowwidth="narrow" endarrow="block" endarrowwidth="narrow"/>
                </v:shape>
              </w:pict>
            </w:r>
            <w:r w:rsidR="00BA08EF" w:rsidRPr="00072817">
              <w:rPr>
                <w:rFonts w:ascii="Arial Narrow" w:hAnsi="Arial Narrow"/>
                <w:sz w:val="18"/>
                <w:szCs w:val="18"/>
              </w:rPr>
              <w:t>Výrobek II</w:t>
            </w:r>
          </w:p>
        </w:tc>
        <w:tc>
          <w:tcPr>
            <w:tcW w:w="236" w:type="dxa"/>
            <w:tcBorders>
              <w:top w:val="nil"/>
              <w:bottom w:val="nil"/>
            </w:tcBorders>
            <w:tcMar>
              <w:left w:w="57" w:type="dxa"/>
              <w:right w:w="57" w:type="dxa"/>
            </w:tcMar>
          </w:tcPr>
          <w:p w:rsidR="00BA08EF" w:rsidRPr="00072817" w:rsidRDefault="00BA08EF" w:rsidP="00E808B4">
            <w:pPr>
              <w:jc w:val="center"/>
              <w:rPr>
                <w:rFonts w:ascii="Arial Narrow" w:hAnsi="Arial Narrow"/>
                <w:sz w:val="18"/>
                <w:szCs w:val="18"/>
              </w:rPr>
            </w:pPr>
          </w:p>
        </w:tc>
        <w:tc>
          <w:tcPr>
            <w:tcW w:w="1304" w:type="dxa"/>
            <w:gridSpan w:val="2"/>
            <w:tcMar>
              <w:left w:w="57" w:type="dxa"/>
              <w:right w:w="57" w:type="dxa"/>
            </w:tcMar>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90" o:spid="_x0000_s1330" type="#_x0000_t32" style="position:absolute;left:0;text-align:left;margin-left:29.65pt;margin-top:9.45pt;width:0;height:10.45pt;flip:y;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" strokecolor="black [3200]" strokeweight=".5pt">
                  <v:stroke startarrowwidth="narrow" endarrow="block" endarrowwidth="narrow"/>
                </v:shape>
              </w:pict>
            </w:r>
            <w:r w:rsidR="00BA08EF" w:rsidRPr="00072817">
              <w:rPr>
                <w:rFonts w:ascii="Arial Narrow" w:hAnsi="Arial Narrow"/>
                <w:sz w:val="18"/>
                <w:szCs w:val="18"/>
              </w:rPr>
              <w:t>Výrobek III</w:t>
            </w:r>
          </w:p>
        </w:tc>
      </w:tr>
      <w:tr w:rsidR="00BA08EF" w:rsidRPr="00072817" w:rsidTr="00E808B4">
        <w:trPr>
          <w:trHeight w:hRule="exact" w:val="227"/>
          <w:jc w:val="center"/>
        </w:trPr>
        <w:tc>
          <w:tcPr>
            <w:tcW w:w="1304" w:type="dxa"/>
            <w:tcBorders>
              <w:left w:val="nil"/>
              <w:right w:val="nil"/>
            </w:tcBorders>
          </w:tcPr>
          <w:p w:rsidR="00BA08EF" w:rsidRPr="00072817" w:rsidRDefault="00BA08EF" w:rsidP="00E808B4">
            <w:pPr>
              <w:jc w:val="center"/>
              <w:rPr>
                <w:rFonts w:ascii="Arial Narrow" w:hAnsi="Arial Narrow"/>
                <w:sz w:val="18"/>
                <w:szCs w:val="18"/>
              </w:rPr>
            </w:pP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247" w:type="dxa"/>
            <w:tcBorders>
              <w:left w:val="nil"/>
              <w:right w:val="nil"/>
            </w:tcBorders>
          </w:tcPr>
          <w:p w:rsidR="00BA08EF" w:rsidRPr="00072817" w:rsidRDefault="00BA08EF" w:rsidP="00E808B4">
            <w:pPr>
              <w:tabs>
                <w:tab w:val="left" w:pos="994"/>
              </w:tabs>
              <w:rPr>
                <w:rFonts w:ascii="Arial Narrow" w:hAnsi="Arial Narrow"/>
                <w:sz w:val="18"/>
                <w:szCs w:val="18"/>
              </w:rPr>
            </w:pPr>
            <w:r>
              <w:rPr>
                <w:rFonts w:ascii="Arial Narrow" w:hAnsi="Arial Narrow"/>
                <w:sz w:val="18"/>
                <w:szCs w:val="18"/>
              </w:rPr>
              <w:tab/>
            </w: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right w:val="nil"/>
            </w:tcBorders>
          </w:tcPr>
          <w:p w:rsidR="00BA08EF" w:rsidRPr="00072817" w:rsidRDefault="00BA08EF" w:rsidP="00E808B4">
            <w:pPr>
              <w:jc w:val="center"/>
              <w:rPr>
                <w:rFonts w:ascii="Arial Narrow" w:hAnsi="Arial Narrow"/>
                <w:sz w:val="18"/>
                <w:szCs w:val="18"/>
              </w:rPr>
            </w:pPr>
          </w:p>
        </w:tc>
        <w:tc>
          <w:tcPr>
            <w:tcW w:w="680"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left w:val="nil"/>
              <w:right w:val="nil"/>
            </w:tcBorders>
          </w:tcPr>
          <w:p w:rsidR="00BA08EF" w:rsidRPr="00072817" w:rsidRDefault="00BA08EF" w:rsidP="00E808B4">
            <w:pPr>
              <w:jc w:val="center"/>
              <w:rPr>
                <w:rFonts w:ascii="Arial Narrow" w:hAnsi="Arial Narrow"/>
                <w:sz w:val="18"/>
                <w:szCs w:val="18"/>
              </w:rPr>
            </w:pPr>
          </w:p>
        </w:tc>
        <w:tc>
          <w:tcPr>
            <w:tcW w:w="284"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right w:val="nil"/>
            </w:tcBorders>
          </w:tcPr>
          <w:p w:rsidR="00BA08EF" w:rsidRPr="00072817" w:rsidRDefault="00BA08EF" w:rsidP="00E808B4">
            <w:pPr>
              <w:jc w:val="center"/>
              <w:rPr>
                <w:rFonts w:ascii="Arial Narrow" w:hAnsi="Arial Narrow"/>
                <w:sz w:val="18"/>
                <w:szCs w:val="18"/>
              </w:rPr>
            </w:pP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left w:val="nil"/>
              <w:right w:val="nil"/>
            </w:tcBorders>
          </w:tcPr>
          <w:p w:rsidR="00BA08EF" w:rsidRPr="00072817" w:rsidRDefault="00BA08EF" w:rsidP="00E808B4">
            <w:pPr>
              <w:jc w:val="center"/>
              <w:rPr>
                <w:rFonts w:ascii="Arial Narrow" w:hAnsi="Arial Narrow"/>
                <w:sz w:val="18"/>
                <w:szCs w:val="18"/>
              </w:rPr>
            </w:pPr>
          </w:p>
        </w:tc>
      </w:tr>
      <w:tr w:rsidR="00BA08EF" w:rsidRPr="00072817" w:rsidTr="00E808B4">
        <w:trPr>
          <w:jc w:val="center"/>
        </w:trPr>
        <w:tc>
          <w:tcPr>
            <w:tcW w:w="1304"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A</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247"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B</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C</w:t>
            </w:r>
          </w:p>
        </w:tc>
        <w:tc>
          <w:tcPr>
            <w:tcW w:w="680"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gridSpan w:val="2"/>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A</w:t>
            </w:r>
          </w:p>
        </w:tc>
        <w:tc>
          <w:tcPr>
            <w:tcW w:w="284"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B</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gridSpan w:val="2"/>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C</w:t>
            </w:r>
          </w:p>
        </w:tc>
      </w:tr>
      <w:tr w:rsidR="00BA08EF" w:rsidRPr="00072817" w:rsidTr="00E808B4">
        <w:trPr>
          <w:trHeight w:hRule="exact" w:val="252"/>
          <w:jc w:val="center"/>
        </w:trPr>
        <w:tc>
          <w:tcPr>
            <w:tcW w:w="1304"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4" o:spid="_x0000_s1329" type="#_x0000_t32" style="position:absolute;left:0;text-align:left;margin-left:26.6pt;margin-top:-.2pt;width:0;height:10.35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" strokecolor="black [3200]" strokeweight=".5pt">
                  <v:stroke startarrowwidth="narrow" endarrow="block" endarrowwidth="narrow"/>
                </v:shape>
              </w:pict>
            </w:r>
            <w:r>
              <w:rPr>
                <w:noProof/>
                <w:sz w:val="22"/>
                <w:szCs w:val="22"/>
                <w:lang w:val="cs-CZ" w:eastAsia="cs-CZ"/>
              </w:rPr>
              <w:pict>
                <v:shape id="Přímá spojnice se šipkou 35" o:spid="_x0000_s1328" type="#_x0000_t32" style="position:absolute;left:0;text-align:left;margin-left:26.15pt;margin-top:.25pt;width:76.6pt;height:10.05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" strokecolor="black [3040]" strokeweight=".5pt">
                  <v:stroke startarrowwidth="narrow" endarrow="block" endarrowwidth="narrow"/>
                </v:shape>
              </w:pict>
            </w:r>
            <w:r>
              <w:rPr>
                <w:noProof/>
                <w:sz w:val="22"/>
                <w:szCs w:val="22"/>
                <w:lang w:val="cs-CZ" w:eastAsia="cs-CZ"/>
              </w:rPr>
              <w:pict>
                <v:shape id="Přímá spojnice se šipkou 36" o:spid="_x0000_s1327" type="#_x0000_t32" style="position:absolute;left:0;text-align:left;margin-left:26.15pt;margin-top:-.2pt;width:143.3pt;height:10.3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" strokecolor="black [3040]" strokeweight=".5pt">
                  <v:stroke startarrowwidth="narrow" endarrow="block" endarrowwidth="narrow"/>
                </v:shape>
              </w:pict>
            </w:r>
            <w:r>
              <w:rPr>
                <w:noProof/>
                <w:sz w:val="22"/>
                <w:szCs w:val="22"/>
                <w:lang w:val="cs-CZ" w:eastAsia="cs-CZ"/>
              </w:rPr>
              <w:pict>
                <v:shape id="Přímá spojnice se šipkou 37" o:spid="_x0000_s1326" type="#_x0000_t32" style="position:absolute;left:0;text-align:left;margin-left:26.6pt;margin-top:.75pt;width:78.55pt;height:10.35pt;flip:x 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" strokecolor="black [3040]" strokeweight=".5pt">
                  <v:stroke startarrowwidth="narrow" endarrow="block" endarrowwidth="narrow"/>
                </v:shape>
              </w:pict>
            </w:r>
            <w:r>
              <w:rPr>
                <w:noProof/>
                <w:sz w:val="22"/>
                <w:szCs w:val="22"/>
                <w:lang w:val="cs-CZ" w:eastAsia="cs-CZ"/>
              </w:rPr>
              <w:pict>
                <v:shape id="Přímá spojnice se šipkou 305" o:spid="_x0000_s1325" type="#_x0000_t32" style="position:absolute;left:0;text-align:left;margin-left:39.45pt;margin-top:-.2pt;width:136.6pt;height:10.5pt;flip:x 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" strokecolor="black [3040]" strokeweight=".5pt">
                  <v:stroke startarrowwidth="narrow" endarrow="block" endarrowwidth="narrow"/>
                </v:shape>
              </w:pict>
            </w: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247"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04" o:spid="_x0000_s1324" type="#_x0000_t32" style="position:absolute;left:0;text-align:left;margin-left:27.6pt;margin-top:.25pt;width:71.55pt;height:10.1pt;flip: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" strokecolor="black [3040]" strokeweight=".5pt">
                  <v:stroke startarrowwidth="narrow" endarrow="block" endarrowwidth="narrow"/>
                </v:shape>
              </w:pict>
            </w:r>
            <w:r>
              <w:rPr>
                <w:noProof/>
                <w:sz w:val="22"/>
                <w:szCs w:val="22"/>
                <w:lang w:val="cs-CZ" w:eastAsia="cs-CZ"/>
              </w:rPr>
              <w:pict>
                <v:shape id="Přímá spojnice se šipkou 306" o:spid="_x0000_s1323" type="#_x0000_t32" style="position:absolute;left:0;text-align:left;margin-left:31.25pt;margin-top:.25pt;width:67.95pt;height:9.9pt;flip:x 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" strokecolor="black [3040]" strokeweight=".5pt">
                  <v:stroke startarrowwidth="narrow" endarrow="block" endarrowwidth="narrow"/>
                </v:shape>
              </w:pict>
            </w:r>
            <w:r>
              <w:rPr>
                <w:noProof/>
                <w:sz w:val="22"/>
                <w:szCs w:val="22"/>
                <w:lang w:val="cs-CZ" w:eastAsia="cs-CZ"/>
              </w:rPr>
              <w:pict>
                <v:shape id="Přímá spojnice se šipkou 308" o:spid="_x0000_s1322" type="#_x0000_t32" style="position:absolute;left:0;text-align:left;margin-left:27.6pt;margin-top:-.65pt;width:0;height:10.5pt;flip:x 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" strokecolor="black [3040]" strokeweight=".5pt">
                  <v:stroke startarrowwidth="narrow" endarrow="block" endarrowwidth="narrow"/>
                </v:shape>
              </w:pict>
            </w: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07" o:spid="_x0000_s1321" type="#_x0000_t32" style="position:absolute;left:0;text-align:left;margin-left:24.5pt;margin-top:-.65pt;width:0;height:10.5pt;flip:x 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" strokecolor="black [3040]" strokeweight=".5pt">
                  <v:stroke startarrowwidth="narrow" endarrow="block" endarrowwidth="narrow"/>
                </v:shape>
              </w:pict>
            </w:r>
          </w:p>
        </w:tc>
        <w:tc>
          <w:tcPr>
            <w:tcW w:w="680"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91" o:spid="_x0000_s1320" type="#_x0000_t32" style="position:absolute;left:0;text-align:left;margin-left:28.05pt;margin-top:-.2pt;width:0;height:10.35pt;flip: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" strokecolor="black [3200]" strokeweight=".5pt">
                  <v:stroke startarrowwidth="narrow" endarrow="block" endarrowwidth="narrow"/>
                </v:shape>
              </w:pict>
            </w:r>
            <w:r>
              <w:rPr>
                <w:noProof/>
                <w:sz w:val="22"/>
                <w:szCs w:val="22"/>
                <w:lang w:val="cs-CZ" w:eastAsia="cs-CZ"/>
              </w:rPr>
              <w:pict>
                <v:shape id="Přímá spojnice se šipkou 397" o:spid="_x0000_s1319" type="#_x0000_t32" style="position:absolute;left:0;text-align:left;margin-left:27.6pt;margin-top:-.2pt;width:77.5pt;height:10.3pt;flip: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" strokecolor="black [3040]" strokeweight=".5pt">
                  <v:stroke startarrowwidth="narrow" endarrow="block" endarrowwidth="narrow"/>
                </v:shape>
              </w:pict>
            </w:r>
            <w:r>
              <w:rPr>
                <w:noProof/>
                <w:sz w:val="22"/>
                <w:szCs w:val="22"/>
                <w:lang w:val="cs-CZ" w:eastAsia="cs-CZ"/>
              </w:rPr>
              <w:pict>
                <v:shape id="Přímá spojnice se šipkou 398" o:spid="_x0000_s1318" type="#_x0000_t32" style="position:absolute;left:0;text-align:left;margin-left:27.6pt;margin-top:.25pt;width:147pt;height:9.8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" strokecolor="black [3040]" strokeweight=".5pt">
                  <v:stroke startarrowwidth="narrow" endarrow="block" endarrowwidth="narrow"/>
                </v:shape>
              </w:pict>
            </w:r>
            <w:r>
              <w:rPr>
                <w:noProof/>
                <w:sz w:val="22"/>
                <w:szCs w:val="22"/>
                <w:lang w:val="cs-CZ" w:eastAsia="cs-CZ"/>
              </w:rPr>
              <w:pict>
                <v:shape id="Přímá spojnice se šipkou 400" o:spid="_x0000_s1317" type="#_x0000_t32" style="position:absolute;left:0;text-align:left;margin-left:36.75pt;margin-top:-.2pt;width:147pt;height:11.35pt;flip:x y;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" strokecolor="black [3040]" strokeweight=".5pt">
                  <v:stroke startarrowwidth="narrow" endarrow="block" endarrowwidth="narrow"/>
                </v:shape>
              </w:pict>
            </w:r>
            <w:r>
              <w:rPr>
                <w:noProof/>
                <w:sz w:val="22"/>
                <w:szCs w:val="22"/>
                <w:lang w:val="cs-CZ" w:eastAsia="cs-CZ"/>
              </w:rPr>
              <w:pict>
                <v:shape id="Přímá spojnice se šipkou 401" o:spid="_x0000_s1316" type="#_x0000_t32" style="position:absolute;left:0;text-align:left;margin-left:27.6pt;margin-top:.75pt;width:78.5pt;height:9.5pt;flip:x 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" strokecolor="black [3040]" strokeweight=".5pt">
                  <v:stroke startarrowwidth="narrow" endarrow="block" endarrowwidth="narrow"/>
                </v:shape>
              </w:pict>
            </w:r>
          </w:p>
        </w:tc>
        <w:tc>
          <w:tcPr>
            <w:tcW w:w="284"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99" o:spid="_x0000_s1315" type="#_x0000_t32" style="position:absolute;left:0;text-align:left;margin-left:26.6pt;margin-top:.25pt;width:77.5pt;height:9.8pt;flip:x y;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" strokecolor="black [3040]" strokeweight=".5pt">
                  <v:stroke startarrowwidth="narrow" endarrow="block" endarrowwidth="narrow"/>
                </v:shape>
              </w:pict>
            </w:r>
            <w:r>
              <w:rPr>
                <w:noProof/>
                <w:sz w:val="22"/>
                <w:szCs w:val="22"/>
                <w:lang w:val="cs-CZ" w:eastAsia="cs-CZ"/>
              </w:rPr>
              <w:pict>
                <v:shape id="Přímá spojnice se šipkou 403" o:spid="_x0000_s1314" type="#_x0000_t32" style="position:absolute;left:0;text-align:left;margin-left:26.15pt;margin-top:-.2pt;width:0;height:10.5pt;flip:y;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" strokecolor="black [3040]" strokeweight=".5pt">
                  <v:stroke startarrowwidth="narrow" endarrow="block" endarrowwidth="narrow"/>
                </v:shape>
              </w:pict>
            </w:r>
            <w:r>
              <w:rPr>
                <w:noProof/>
                <w:sz w:val="22"/>
                <w:szCs w:val="22"/>
                <w:lang w:val="cs-CZ" w:eastAsia="cs-CZ"/>
              </w:rPr>
              <w:pict>
                <v:shape id="Přímá spojnice se šipkou 404" o:spid="_x0000_s1313" type="#_x0000_t32" style="position:absolute;left:0;text-align:left;margin-left:25.7pt;margin-top:.75pt;width:78.5pt;height:9.3pt;flip:y;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" strokecolor="black [3040]" strokeweight=".5pt">
                  <v:stroke startarrowwidth="narrow" endarrow="block" endarrowwidth="narrow"/>
                </v:shape>
              </w:pict>
            </w: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left w:val="nil"/>
              <w:right w:val="nil"/>
            </w:tcBorders>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93" o:spid="_x0000_s1312" type="#_x0000_t32" style="position:absolute;left:0;text-align:left;margin-left:27.55pt;margin-top:-.2pt;width:0;height:10.35pt;flip:y;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" strokecolor="black [3200]" strokeweight=".5pt">
                  <v:stroke startarrowwidth="narrow" endarrow="block" endarrowwidth="narrow"/>
                </v:shape>
              </w:pict>
            </w:r>
          </w:p>
        </w:tc>
      </w:tr>
      <w:tr w:rsidR="00BA08EF" w:rsidRPr="00072817" w:rsidTr="00E808B4">
        <w:trPr>
          <w:jc w:val="center"/>
        </w:trPr>
        <w:tc>
          <w:tcPr>
            <w:tcW w:w="1304" w:type="dxa"/>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72" o:spid="_x0000_s1311" type="#_x0000_t32" style="position:absolute;left:0;text-align:left;margin-left:25.7pt;margin-top:9.55pt;width:0;height:10.35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" strokecolor="black [3200]" strokeweight=".5pt">
                  <v:stroke startarrowwidth="narrow" endarrow="block" endarrowwidth="narrow"/>
                </v:shape>
              </w:pict>
            </w:r>
            <w:r w:rsidR="00BA08EF" w:rsidRPr="00072817">
              <w:rPr>
                <w:rFonts w:ascii="Arial Narrow" w:hAnsi="Arial Narrow"/>
                <w:sz w:val="18"/>
                <w:szCs w:val="18"/>
              </w:rPr>
              <w:t>Komponent a</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247" w:type="dxa"/>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73" o:spid="_x0000_s1310" type="#_x0000_t32" style="position:absolute;left:0;text-align:left;margin-left:26.65pt;margin-top:9.55pt;width:0;height:10.35pt;flip: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" strokecolor="black [3200]" strokeweight=".5pt">
                  <v:stroke startarrowwidth="narrow" endarrow="block" endarrowwidth="narrow"/>
                </v:shape>
              </w:pict>
            </w:r>
            <w:r w:rsidR="00BA08EF" w:rsidRPr="00072817">
              <w:rPr>
                <w:rFonts w:ascii="Arial Narrow" w:hAnsi="Arial Narrow"/>
                <w:sz w:val="18"/>
                <w:szCs w:val="18"/>
              </w:rPr>
              <w:t>Komponent b</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74" o:spid="_x0000_s1309" type="#_x0000_t32" style="position:absolute;left:0;text-align:left;margin-left:25.45pt;margin-top:9.55pt;width:0;height:10.35pt;flip: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" strokecolor="black [3200]" strokeweight=".5pt">
                  <v:stroke startarrowwidth="narrow" endarrow="block" endarrowwidth="narrow"/>
                </v:shape>
              </w:pict>
            </w:r>
            <w:r w:rsidR="00BA08EF" w:rsidRPr="00072817">
              <w:rPr>
                <w:rFonts w:ascii="Arial Narrow" w:hAnsi="Arial Narrow"/>
                <w:sz w:val="18"/>
                <w:szCs w:val="18"/>
              </w:rPr>
              <w:t>Komponent c</w:t>
            </w:r>
          </w:p>
        </w:tc>
        <w:tc>
          <w:tcPr>
            <w:tcW w:w="680"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gridSpan w:val="2"/>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95" o:spid="_x0000_s1308" type="#_x0000_t32" style="position:absolute;left:0;text-align:left;margin-left:27.6pt;margin-top:9.55pt;width:0;height:10.35pt;flip:y;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" strokecolor="black [3200]" strokeweight=".5pt">
                  <v:stroke startarrowwidth="narrow" endarrow="block" endarrowwidth="narrow"/>
                </v:shape>
              </w:pict>
            </w:r>
            <w:r w:rsidR="00BA08EF" w:rsidRPr="00072817">
              <w:rPr>
                <w:rFonts w:ascii="Arial Narrow" w:hAnsi="Arial Narrow"/>
                <w:sz w:val="18"/>
                <w:szCs w:val="18"/>
              </w:rPr>
              <w:t>Komponent a</w:t>
            </w:r>
          </w:p>
        </w:tc>
        <w:tc>
          <w:tcPr>
            <w:tcW w:w="284"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94" o:spid="_x0000_s1307" type="#_x0000_t32" style="position:absolute;left:0;text-align:left;margin-left:25.7pt;margin-top:9.55pt;width:0;height:10.35pt;flip: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" strokecolor="black [3200]" strokeweight=".5pt">
                  <v:stroke startarrowwidth="narrow" endarrow="block" endarrowwidth="narrow"/>
                </v:shape>
              </w:pict>
            </w:r>
            <w:r w:rsidR="00BA08EF" w:rsidRPr="00072817">
              <w:rPr>
                <w:rFonts w:ascii="Arial Narrow" w:hAnsi="Arial Narrow"/>
                <w:sz w:val="18"/>
                <w:szCs w:val="18"/>
              </w:rPr>
              <w:t>Komponent b</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gridSpan w:val="2"/>
          </w:tcPr>
          <w:p w:rsidR="00BA08EF" w:rsidRPr="00072817" w:rsidRDefault="00B40349" w:rsidP="00E808B4">
            <w:pPr>
              <w:jc w:val="center"/>
              <w:rPr>
                <w:rFonts w:ascii="Arial Narrow" w:hAnsi="Arial Narrow"/>
                <w:sz w:val="18"/>
                <w:szCs w:val="18"/>
              </w:rPr>
            </w:pPr>
            <w:r>
              <w:rPr>
                <w:noProof/>
                <w:sz w:val="22"/>
                <w:szCs w:val="22"/>
                <w:lang w:val="cs-CZ" w:eastAsia="cs-CZ"/>
              </w:rPr>
              <w:pict>
                <v:shape id="Přímá spojnice se šipkou 396" o:spid="_x0000_s1306" type="#_x0000_t32" style="position:absolute;left:0;text-align:left;margin-left:27.55pt;margin-top:9.55pt;width:0;height:10.35pt;flip: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" strokecolor="black [3200]" strokeweight=".5pt">
                  <v:stroke startarrowwidth="narrow" endarrow="block" endarrowwidth="narrow"/>
                </v:shape>
              </w:pict>
            </w:r>
            <w:r w:rsidR="00BA08EF" w:rsidRPr="00072817">
              <w:rPr>
                <w:rFonts w:ascii="Arial Narrow" w:hAnsi="Arial Narrow"/>
                <w:sz w:val="18"/>
                <w:szCs w:val="18"/>
              </w:rPr>
              <w:t>Komponent c</w:t>
            </w:r>
          </w:p>
        </w:tc>
      </w:tr>
      <w:tr w:rsidR="00BA08EF" w:rsidRPr="00072817" w:rsidTr="00E808B4">
        <w:trPr>
          <w:trHeight w:hRule="exact" w:val="227"/>
          <w:jc w:val="center"/>
        </w:trPr>
        <w:tc>
          <w:tcPr>
            <w:tcW w:w="1304" w:type="dxa"/>
            <w:tcBorders>
              <w:left w:val="nil"/>
              <w:right w:val="nil"/>
            </w:tcBorders>
          </w:tcPr>
          <w:p w:rsidR="00BA08EF" w:rsidRPr="00072817" w:rsidRDefault="00BA08EF" w:rsidP="00E808B4">
            <w:pPr>
              <w:jc w:val="center"/>
              <w:rPr>
                <w:rFonts w:ascii="Arial Narrow" w:hAnsi="Arial Narrow"/>
                <w:sz w:val="18"/>
                <w:szCs w:val="18"/>
              </w:rPr>
            </w:pP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247" w:type="dxa"/>
            <w:tcBorders>
              <w:left w:val="nil"/>
              <w:right w:val="nil"/>
            </w:tcBorders>
          </w:tcPr>
          <w:p w:rsidR="00BA08EF" w:rsidRPr="00072817" w:rsidRDefault="00BA08EF" w:rsidP="00E808B4">
            <w:pPr>
              <w:jc w:val="center"/>
              <w:rPr>
                <w:rFonts w:ascii="Arial Narrow" w:hAnsi="Arial Narrow"/>
                <w:sz w:val="18"/>
                <w:szCs w:val="18"/>
              </w:rPr>
            </w:pP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right w:val="nil"/>
            </w:tcBorders>
          </w:tcPr>
          <w:p w:rsidR="00BA08EF" w:rsidRPr="00072817" w:rsidRDefault="00BA08EF" w:rsidP="00E808B4">
            <w:pPr>
              <w:jc w:val="center"/>
              <w:rPr>
                <w:rFonts w:ascii="Arial Narrow" w:hAnsi="Arial Narrow"/>
                <w:sz w:val="18"/>
                <w:szCs w:val="18"/>
              </w:rPr>
            </w:pPr>
          </w:p>
        </w:tc>
        <w:tc>
          <w:tcPr>
            <w:tcW w:w="680"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left w:val="nil"/>
              <w:right w:val="nil"/>
            </w:tcBorders>
          </w:tcPr>
          <w:p w:rsidR="00BA08EF" w:rsidRPr="00072817" w:rsidRDefault="00BA08EF" w:rsidP="00E808B4">
            <w:pPr>
              <w:jc w:val="center"/>
              <w:rPr>
                <w:rFonts w:ascii="Arial Narrow" w:hAnsi="Arial Narrow"/>
                <w:sz w:val="18"/>
                <w:szCs w:val="18"/>
              </w:rPr>
            </w:pPr>
          </w:p>
        </w:tc>
        <w:tc>
          <w:tcPr>
            <w:tcW w:w="284"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right w:val="nil"/>
            </w:tcBorders>
          </w:tcPr>
          <w:p w:rsidR="00BA08EF" w:rsidRPr="00072817" w:rsidRDefault="00BA08EF" w:rsidP="00E808B4">
            <w:pPr>
              <w:jc w:val="center"/>
              <w:rPr>
                <w:rFonts w:ascii="Arial Narrow" w:hAnsi="Arial Narrow"/>
                <w:sz w:val="18"/>
                <w:szCs w:val="18"/>
              </w:rPr>
            </w:pP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left w:val="nil"/>
              <w:right w:val="nil"/>
            </w:tcBorders>
          </w:tcPr>
          <w:p w:rsidR="00BA08EF" w:rsidRPr="00072817" w:rsidRDefault="00BA08EF" w:rsidP="00E808B4">
            <w:pPr>
              <w:jc w:val="center"/>
              <w:rPr>
                <w:rFonts w:ascii="Arial Narrow" w:hAnsi="Arial Narrow"/>
                <w:sz w:val="18"/>
                <w:szCs w:val="18"/>
              </w:rPr>
            </w:pPr>
          </w:p>
        </w:tc>
      </w:tr>
      <w:tr w:rsidR="00BA08EF" w:rsidRPr="00072817" w:rsidTr="00E808B4">
        <w:trPr>
          <w:jc w:val="center"/>
        </w:trPr>
        <w:tc>
          <w:tcPr>
            <w:tcW w:w="1304"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D</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247"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E</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F</w:t>
            </w:r>
          </w:p>
        </w:tc>
        <w:tc>
          <w:tcPr>
            <w:tcW w:w="680"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gridSpan w:val="2"/>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D</w:t>
            </w:r>
          </w:p>
        </w:tc>
        <w:tc>
          <w:tcPr>
            <w:tcW w:w="284"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E</w:t>
            </w:r>
          </w:p>
        </w:tc>
        <w:tc>
          <w:tcPr>
            <w:tcW w:w="236" w:type="dxa"/>
            <w:tcBorders>
              <w:top w:val="nil"/>
              <w:bottom w:val="nil"/>
            </w:tcBorders>
          </w:tcPr>
          <w:p w:rsidR="00BA08EF" w:rsidRPr="00072817" w:rsidRDefault="00BA08EF" w:rsidP="00E808B4">
            <w:pPr>
              <w:jc w:val="center"/>
              <w:rPr>
                <w:rFonts w:ascii="Arial Narrow" w:hAnsi="Arial Narrow"/>
                <w:sz w:val="18"/>
                <w:szCs w:val="18"/>
              </w:rPr>
            </w:pPr>
          </w:p>
        </w:tc>
        <w:tc>
          <w:tcPr>
            <w:tcW w:w="1304" w:type="dxa"/>
            <w:gridSpan w:val="2"/>
          </w:tcPr>
          <w:p w:rsidR="00BA08EF" w:rsidRPr="00072817" w:rsidRDefault="00BA08EF" w:rsidP="00E808B4">
            <w:pPr>
              <w:jc w:val="center"/>
              <w:rPr>
                <w:rFonts w:ascii="Arial Narrow" w:hAnsi="Arial Narrow"/>
                <w:sz w:val="18"/>
                <w:szCs w:val="18"/>
              </w:rPr>
            </w:pPr>
            <w:r w:rsidRPr="00072817">
              <w:rPr>
                <w:rFonts w:ascii="Arial Narrow" w:hAnsi="Arial Narrow"/>
                <w:sz w:val="18"/>
                <w:szCs w:val="18"/>
              </w:rPr>
              <w:t>Podnik F</w:t>
            </w:r>
          </w:p>
        </w:tc>
      </w:tr>
      <w:tr w:rsidR="00BA08EF" w:rsidRPr="00072817" w:rsidTr="00E808B4">
        <w:trPr>
          <w:trHeight w:hRule="exact" w:val="170"/>
          <w:jc w:val="center"/>
        </w:trPr>
        <w:tc>
          <w:tcPr>
            <w:tcW w:w="1304" w:type="dxa"/>
            <w:tcBorders>
              <w:left w:val="nil"/>
              <w:bottom w:val="nil"/>
              <w:right w:val="nil"/>
            </w:tcBorders>
          </w:tcPr>
          <w:p w:rsidR="00BA08EF" w:rsidRPr="00072817" w:rsidRDefault="00BA08EF" w:rsidP="00E808B4">
            <w:pPr>
              <w:jc w:val="center"/>
              <w:rPr>
                <w:rFonts w:ascii="Arial Narrow" w:hAnsi="Arial Narrow"/>
                <w:sz w:val="18"/>
                <w:szCs w:val="18"/>
              </w:rPr>
            </w:pP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247" w:type="dxa"/>
            <w:tcBorders>
              <w:left w:val="nil"/>
              <w:bottom w:val="nil"/>
              <w:right w:val="nil"/>
            </w:tcBorders>
          </w:tcPr>
          <w:p w:rsidR="00BA08EF" w:rsidRPr="00072817" w:rsidRDefault="00BA08EF" w:rsidP="00E808B4">
            <w:pPr>
              <w:jc w:val="center"/>
              <w:rPr>
                <w:rFonts w:ascii="Arial Narrow" w:hAnsi="Arial Narrow"/>
                <w:sz w:val="18"/>
                <w:szCs w:val="18"/>
              </w:rPr>
            </w:pP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bottom w:val="nil"/>
              <w:right w:val="nil"/>
            </w:tcBorders>
          </w:tcPr>
          <w:p w:rsidR="00BA08EF" w:rsidRPr="00072817" w:rsidRDefault="00BA08EF" w:rsidP="00E808B4">
            <w:pPr>
              <w:jc w:val="center"/>
              <w:rPr>
                <w:rFonts w:ascii="Arial Narrow" w:hAnsi="Arial Narrow"/>
                <w:sz w:val="18"/>
                <w:szCs w:val="18"/>
              </w:rPr>
            </w:pPr>
          </w:p>
        </w:tc>
        <w:tc>
          <w:tcPr>
            <w:tcW w:w="680"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left w:val="nil"/>
              <w:bottom w:val="nil"/>
              <w:right w:val="nil"/>
            </w:tcBorders>
          </w:tcPr>
          <w:p w:rsidR="00BA08EF" w:rsidRPr="00072817" w:rsidRDefault="00BA08EF" w:rsidP="00E808B4">
            <w:pPr>
              <w:jc w:val="center"/>
              <w:rPr>
                <w:rFonts w:ascii="Arial Narrow" w:hAnsi="Arial Narrow"/>
                <w:sz w:val="18"/>
                <w:szCs w:val="18"/>
              </w:rPr>
            </w:pPr>
          </w:p>
        </w:tc>
        <w:tc>
          <w:tcPr>
            <w:tcW w:w="284"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tcBorders>
              <w:left w:val="nil"/>
              <w:bottom w:val="nil"/>
              <w:right w:val="nil"/>
            </w:tcBorders>
          </w:tcPr>
          <w:p w:rsidR="00BA08EF" w:rsidRPr="00072817" w:rsidRDefault="00BA08EF" w:rsidP="00E808B4">
            <w:pPr>
              <w:jc w:val="center"/>
              <w:rPr>
                <w:rFonts w:ascii="Arial Narrow" w:hAnsi="Arial Narrow"/>
                <w:sz w:val="18"/>
                <w:szCs w:val="18"/>
              </w:rPr>
            </w:pPr>
          </w:p>
        </w:tc>
        <w:tc>
          <w:tcPr>
            <w:tcW w:w="236"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1304" w:type="dxa"/>
            <w:gridSpan w:val="2"/>
            <w:tcBorders>
              <w:left w:val="nil"/>
              <w:bottom w:val="nil"/>
              <w:right w:val="nil"/>
            </w:tcBorders>
          </w:tcPr>
          <w:p w:rsidR="00BA08EF" w:rsidRPr="00072817" w:rsidRDefault="00BA08EF" w:rsidP="00E808B4">
            <w:pPr>
              <w:jc w:val="center"/>
              <w:rPr>
                <w:rFonts w:ascii="Arial Narrow" w:hAnsi="Arial Narrow"/>
                <w:sz w:val="18"/>
                <w:szCs w:val="18"/>
              </w:rPr>
            </w:pPr>
          </w:p>
        </w:tc>
      </w:tr>
      <w:tr w:rsidR="00BA08EF" w:rsidRPr="00072817" w:rsidTr="00E808B4">
        <w:trPr>
          <w:jc w:val="center"/>
        </w:trPr>
        <w:tc>
          <w:tcPr>
            <w:tcW w:w="4327" w:type="dxa"/>
            <w:gridSpan w:val="5"/>
            <w:tcBorders>
              <w:top w:val="nil"/>
              <w:left w:val="nil"/>
              <w:bottom w:val="nil"/>
              <w:right w:val="nil"/>
            </w:tcBorders>
          </w:tcPr>
          <w:p w:rsidR="00BA08EF" w:rsidRPr="00072817" w:rsidRDefault="00BA08EF" w:rsidP="00E808B4">
            <w:pPr>
              <w:jc w:val="center"/>
              <w:rPr>
                <w:rFonts w:ascii="Arial Narrow" w:hAnsi="Arial Narrow"/>
                <w:sz w:val="18"/>
                <w:szCs w:val="18"/>
              </w:rPr>
            </w:pPr>
            <w:r>
              <w:rPr>
                <w:rFonts w:ascii="Arial Narrow" w:hAnsi="Arial Narrow"/>
                <w:sz w:val="18"/>
                <w:szCs w:val="18"/>
              </w:rPr>
              <w:t>Pouze dodávky komponentů</w:t>
            </w:r>
          </w:p>
        </w:tc>
        <w:tc>
          <w:tcPr>
            <w:tcW w:w="680" w:type="dxa"/>
            <w:tcBorders>
              <w:top w:val="nil"/>
              <w:left w:val="nil"/>
              <w:bottom w:val="nil"/>
              <w:right w:val="nil"/>
            </w:tcBorders>
          </w:tcPr>
          <w:p w:rsidR="00BA08EF" w:rsidRPr="00072817" w:rsidRDefault="00BA08EF" w:rsidP="00E808B4">
            <w:pPr>
              <w:jc w:val="center"/>
              <w:rPr>
                <w:rFonts w:ascii="Arial Narrow" w:hAnsi="Arial Narrow"/>
                <w:sz w:val="18"/>
                <w:szCs w:val="18"/>
              </w:rPr>
            </w:pPr>
          </w:p>
        </w:tc>
        <w:tc>
          <w:tcPr>
            <w:tcW w:w="4432" w:type="dxa"/>
            <w:gridSpan w:val="7"/>
            <w:tcBorders>
              <w:top w:val="nil"/>
              <w:left w:val="nil"/>
              <w:bottom w:val="nil"/>
              <w:right w:val="nil"/>
            </w:tcBorders>
          </w:tcPr>
          <w:p w:rsidR="00BA08EF" w:rsidRPr="00072817" w:rsidRDefault="00BA08EF" w:rsidP="00E808B4">
            <w:pPr>
              <w:jc w:val="center"/>
              <w:rPr>
                <w:rFonts w:ascii="Arial Narrow" w:hAnsi="Arial Narrow"/>
                <w:sz w:val="18"/>
                <w:szCs w:val="18"/>
              </w:rPr>
            </w:pPr>
            <w:r>
              <w:rPr>
                <w:rFonts w:ascii="Arial Narrow" w:hAnsi="Arial Narrow"/>
                <w:sz w:val="18"/>
                <w:szCs w:val="18"/>
              </w:rPr>
              <w:t>Komponenty + výrobková specializace</w:t>
            </w:r>
          </w:p>
        </w:tc>
      </w:tr>
    </w:tbl>
    <w:p w:rsidR="008146BD" w:rsidRPr="000A0248" w:rsidRDefault="006B61FE" w:rsidP="00385CD4">
      <w:pPr>
        <w:pStyle w:val="0G-Titulek"/>
        <w:ind w:firstLine="0"/>
      </w:pPr>
      <w:bookmarkStart w:id="161" w:name="_Toc382326836"/>
      <w:r>
        <w:t>Obrázek 31</w:t>
      </w:r>
      <w:r w:rsidR="008146BD" w:rsidRPr="000A0248">
        <w:t>: Organizace výroby ve skupině firem</w:t>
      </w:r>
      <w:bookmarkEnd w:id="161"/>
    </w:p>
    <w:p w:rsidR="008146BD" w:rsidRPr="000A0248" w:rsidRDefault="008146BD" w:rsidP="00385CD4">
      <w:pPr>
        <w:spacing w:after="0"/>
        <w:jc w:val="center"/>
        <w:rPr>
          <w:rFonts w:asciiTheme="minorHAnsi" w:hAnsiTheme="minorHAnsi" w:cstheme="minorHAnsi"/>
          <w:i/>
        </w:rPr>
      </w:pPr>
      <w:r w:rsidRPr="000A0248">
        <w:rPr>
          <w:rFonts w:asciiTheme="minorHAnsi" w:hAnsiTheme="minorHAnsi" w:cstheme="minorHAnsi"/>
          <w:i/>
        </w:rPr>
        <w:t>Pramen: Blažek, L. Šafrová Drášilová, A., 2013; Blažek, L. a kol., 2011</w:t>
      </w:r>
    </w:p>
    <w:p w:rsidR="008146BD" w:rsidRPr="008146BD" w:rsidRDefault="008146BD" w:rsidP="008146BD">
      <w:pPr>
        <w:keepNext/>
        <w:spacing w:before="200"/>
        <w:ind w:firstLine="720"/>
        <w:jc w:val="both"/>
        <w:rPr>
          <w:sz w:val="24"/>
          <w:szCs w:val="24"/>
        </w:rPr>
      </w:pPr>
      <w:r>
        <w:rPr>
          <w:sz w:val="24"/>
          <w:szCs w:val="24"/>
        </w:rPr>
        <w:t>Celkově lze konstatovat, že n</w:t>
      </w:r>
      <w:r w:rsidRPr="005C2CCE">
        <w:rPr>
          <w:sz w:val="24"/>
          <w:szCs w:val="24"/>
        </w:rPr>
        <w:t xml:space="preserve">adnárodní firmy ve stále větší míře ovlivňují ekonomické i sociální prostředí, ve kterém žijeme. </w:t>
      </w:r>
      <w:r>
        <w:rPr>
          <w:sz w:val="24"/>
          <w:szCs w:val="24"/>
        </w:rPr>
        <w:t>Jejich p</w:t>
      </w:r>
      <w:r w:rsidRPr="005C2CCE">
        <w:rPr>
          <w:sz w:val="24"/>
          <w:szCs w:val="24"/>
        </w:rPr>
        <w:t>ůsobení s sebou přináší mnoho pozitivní efektů, avšak i některá negativa. Mezi hlavní pozitiva patří zvýšení konkurenceschopnosti, růst exportu, pokles importu nebo diversifikace struktury exportu. Nadnárodní firmy jsou také významným zaměstnavatelem a hostitelskou ekonomiku obohacují o nové znalosti, vědeckovýzkumné poznatky, technologie, firemní kulturu ap</w:t>
      </w:r>
      <w:r w:rsidR="00385CD4">
        <w:rPr>
          <w:sz w:val="24"/>
          <w:szCs w:val="24"/>
        </w:rPr>
        <w:t>od. Mají také významný podíl na </w:t>
      </w:r>
      <w:r w:rsidRPr="005C2CCE">
        <w:rPr>
          <w:sz w:val="24"/>
          <w:szCs w:val="24"/>
        </w:rPr>
        <w:t>tvorbě hrubého domácího produktu</w:t>
      </w:r>
      <w:r>
        <w:rPr>
          <w:sz w:val="24"/>
          <w:szCs w:val="24"/>
        </w:rPr>
        <w:t xml:space="preserve"> a o</w:t>
      </w:r>
      <w:r w:rsidRPr="005C2CCE">
        <w:rPr>
          <w:sz w:val="24"/>
          <w:szCs w:val="24"/>
        </w:rPr>
        <w:t xml:space="preserve">bvykle </w:t>
      </w:r>
      <w:r>
        <w:rPr>
          <w:sz w:val="24"/>
          <w:szCs w:val="24"/>
        </w:rPr>
        <w:t xml:space="preserve">i </w:t>
      </w:r>
      <w:r w:rsidRPr="005C2CCE">
        <w:rPr>
          <w:sz w:val="24"/>
          <w:szCs w:val="24"/>
        </w:rPr>
        <w:t>vyšší produktivitu práce než domácí firmy (</w:t>
      </w:r>
      <w:r>
        <w:rPr>
          <w:sz w:val="24"/>
          <w:szCs w:val="24"/>
        </w:rPr>
        <w:t xml:space="preserve">viz </w:t>
      </w:r>
      <w:r w:rsidRPr="005C2CCE">
        <w:rPr>
          <w:sz w:val="24"/>
          <w:szCs w:val="24"/>
        </w:rPr>
        <w:t>např. Ševela, 2003, Blažek, L. Šafrová</w:t>
      </w:r>
      <w:r>
        <w:rPr>
          <w:sz w:val="24"/>
          <w:szCs w:val="24"/>
        </w:rPr>
        <w:t>-</w:t>
      </w:r>
      <w:r w:rsidRPr="005C2CCE">
        <w:rPr>
          <w:sz w:val="24"/>
          <w:szCs w:val="24"/>
        </w:rPr>
        <w:t xml:space="preserve">Drášilová, A., 2013). </w:t>
      </w:r>
      <w:r>
        <w:rPr>
          <w:sz w:val="24"/>
          <w:szCs w:val="24"/>
        </w:rPr>
        <w:t>Významným r</w:t>
      </w:r>
      <w:r w:rsidRPr="005C2CCE">
        <w:rPr>
          <w:sz w:val="24"/>
          <w:szCs w:val="24"/>
        </w:rPr>
        <w:t>izikem působení nadnárodních firem je nebezpečí vzniku duální ekonomiky, kdy v hostitelské zemi působí efektivní podniky pod zahraniční kontrolou na straně jedné a méně efektivní domácí podniky na straně druhé. Mezi oběma skupinami pak dochází pouze k malé kooperaci (Blažek, L. Šafrová</w:t>
      </w:r>
      <w:r>
        <w:rPr>
          <w:sz w:val="24"/>
          <w:szCs w:val="24"/>
        </w:rPr>
        <w:t>-</w:t>
      </w:r>
      <w:r w:rsidRPr="005C2CCE">
        <w:rPr>
          <w:sz w:val="24"/>
          <w:szCs w:val="24"/>
        </w:rPr>
        <w:t xml:space="preserve">Drášilová, A., 2013). Rizikem je </w:t>
      </w:r>
      <w:r>
        <w:rPr>
          <w:sz w:val="24"/>
          <w:szCs w:val="24"/>
        </w:rPr>
        <w:t>i</w:t>
      </w:r>
      <w:r w:rsidRPr="005C2CCE">
        <w:rPr>
          <w:sz w:val="24"/>
          <w:szCs w:val="24"/>
        </w:rPr>
        <w:t xml:space="preserve"> možnost rychlého odchodu ze země při změně podmínek</w:t>
      </w:r>
      <w:r>
        <w:rPr>
          <w:sz w:val="24"/>
          <w:szCs w:val="24"/>
        </w:rPr>
        <w:t xml:space="preserve"> – e</w:t>
      </w:r>
      <w:r w:rsidRPr="005C2CCE">
        <w:rPr>
          <w:sz w:val="24"/>
          <w:szCs w:val="24"/>
        </w:rPr>
        <w:t>mpiricky bylo zjištěno, že přestože mají nadnárodní společnosti vyšší produktivitu práce, dosahují menší ziskovosti. T</w:t>
      </w:r>
      <w:r>
        <w:rPr>
          <w:sz w:val="24"/>
          <w:szCs w:val="24"/>
        </w:rPr>
        <w:t xml:space="preserve">ato skutečnost </w:t>
      </w:r>
      <w:r w:rsidRPr="005C2CCE">
        <w:rPr>
          <w:sz w:val="24"/>
          <w:szCs w:val="24"/>
        </w:rPr>
        <w:t xml:space="preserve">pravděpodobně </w:t>
      </w:r>
      <w:r>
        <w:rPr>
          <w:sz w:val="24"/>
          <w:szCs w:val="24"/>
        </w:rPr>
        <w:t xml:space="preserve">významně souvisí s </w:t>
      </w:r>
      <w:r w:rsidRPr="005C2CCE">
        <w:rPr>
          <w:sz w:val="24"/>
          <w:szCs w:val="24"/>
        </w:rPr>
        <w:t xml:space="preserve">další negativní stránkou, </w:t>
      </w:r>
      <w:r>
        <w:rPr>
          <w:sz w:val="24"/>
          <w:szCs w:val="24"/>
        </w:rPr>
        <w:t xml:space="preserve">kterou je </w:t>
      </w:r>
      <w:r w:rsidRPr="005C2CCE">
        <w:rPr>
          <w:sz w:val="24"/>
          <w:szCs w:val="24"/>
        </w:rPr>
        <w:t>problém</w:t>
      </w:r>
      <w:r>
        <w:rPr>
          <w:sz w:val="24"/>
          <w:szCs w:val="24"/>
        </w:rPr>
        <w:t xml:space="preserve"> tzv.</w:t>
      </w:r>
      <w:r w:rsidRPr="005C2CCE">
        <w:rPr>
          <w:sz w:val="24"/>
          <w:szCs w:val="24"/>
        </w:rPr>
        <w:t xml:space="preserve"> transferových cen. Transferové ceny jsou využívány pro obchod, který je realizován mezi částmi jedné korporace přes národní hranice. Jedná se o umělé ceny, kdy zboží není oceňováno tržními cenami, ale je výsledkem vnitřních firemních rozhodnutí, </w:t>
      </w:r>
      <w:r>
        <w:rPr>
          <w:sz w:val="24"/>
          <w:szCs w:val="24"/>
        </w:rPr>
        <w:t xml:space="preserve">která </w:t>
      </w:r>
      <w:r w:rsidRPr="005C2CCE">
        <w:rPr>
          <w:sz w:val="24"/>
          <w:szCs w:val="24"/>
        </w:rPr>
        <w:t>j</w:t>
      </w:r>
      <w:r>
        <w:rPr>
          <w:sz w:val="24"/>
          <w:szCs w:val="24"/>
        </w:rPr>
        <w:t>sou</w:t>
      </w:r>
      <w:r w:rsidRPr="005C2CCE">
        <w:rPr>
          <w:sz w:val="24"/>
          <w:szCs w:val="24"/>
        </w:rPr>
        <w:t xml:space="preserve"> kompenzována jiným způsobem. Firmy tak mohou </w:t>
      </w:r>
      <w:r w:rsidRPr="005C2CCE">
        <w:rPr>
          <w:sz w:val="24"/>
          <w:szCs w:val="24"/>
        </w:rPr>
        <w:lastRenderedPageBreak/>
        <w:t xml:space="preserve">ovlivňovat svůj hospodářský výsledek a optimalizovat </w:t>
      </w:r>
      <w:r>
        <w:rPr>
          <w:sz w:val="24"/>
          <w:szCs w:val="24"/>
        </w:rPr>
        <w:t xml:space="preserve">tak své </w:t>
      </w:r>
      <w:r w:rsidRPr="005C2CCE">
        <w:rPr>
          <w:sz w:val="24"/>
          <w:szCs w:val="24"/>
        </w:rPr>
        <w:t>daně (Kislingerová, Nový, 2005, Blažek, L. a kol., 2011, Ševela, 2003).</w:t>
      </w:r>
    </w:p>
    <w:p w:rsidR="00D84BEB" w:rsidRDefault="00D84BEB" w:rsidP="00890421">
      <w:pPr>
        <w:pStyle w:val="02-Nadpis2"/>
      </w:pPr>
      <w:bookmarkStart w:id="162" w:name="_Toc382327223"/>
      <w:r w:rsidRPr="00A91347">
        <w:t>5.5. Ostatní rozvojově významné souvislosti</w:t>
      </w:r>
      <w:bookmarkEnd w:id="162"/>
    </w:p>
    <w:p w:rsidR="008146BD" w:rsidRPr="00E63699" w:rsidRDefault="008146BD" w:rsidP="00721218">
      <w:pPr>
        <w:keepNext/>
        <w:widowControl w:val="0"/>
        <w:suppressLineNumbers/>
        <w:spacing w:before="200" w:after="120"/>
        <w:ind w:firstLine="720"/>
        <w:jc w:val="both"/>
        <w:rPr>
          <w:sz w:val="28"/>
          <w:szCs w:val="28"/>
        </w:rPr>
      </w:pPr>
      <w:r w:rsidRPr="00E63699">
        <w:rPr>
          <w:sz w:val="24"/>
          <w:szCs w:val="24"/>
        </w:rPr>
        <w:t>Charakteristickým rysem vývojové diferenciace světa je vytvoření civilizačních okruhů, které lze chápat jako specifické součásti globální civilizace definované především historickými, kulturními a politicko-ekonomickými faktory. V tomto směru je dále prezentováno pojetí amerického politologa S. Huntingtona, který svět člení do celkem devíti civilizačních okruhů (Huntington, 2001).</w:t>
      </w:r>
    </w:p>
    <w:p w:rsidR="00721218" w:rsidRDefault="008146BD" w:rsidP="00721218">
      <w:pPr>
        <w:keepNext/>
        <w:widowControl w:val="0"/>
        <w:suppressLineNumbers/>
        <w:spacing w:after="0"/>
        <w:jc w:val="center"/>
        <w:rPr>
          <w:rFonts w:cs="TimesNewRomanPSMT"/>
          <w:color w:val="0000FF"/>
          <w:sz w:val="24"/>
          <w:szCs w:val="24"/>
        </w:rPr>
      </w:pPr>
      <w:r w:rsidRPr="00E63699">
        <w:rPr>
          <w:noProof/>
          <w:color w:val="0000FF"/>
          <w:sz w:val="24"/>
          <w:szCs w:val="24"/>
          <w:lang w:val="en-GB" w:eastAsia="en-GB"/>
        </w:rPr>
        <w:drawing>
          <wp:inline distT="0" distB="0" distL="0" distR="0" wp14:anchorId="272BD961" wp14:editId="583F3621">
            <wp:extent cx="5308898" cy="2625439"/>
            <wp:effectExtent l="0" t="0" r="0" b="0"/>
            <wp:docPr id="31" name="obrázek 1" descr="http://upload.wikimedia.org/wikipedia/commons/thumb/9/95/Clash_of_Civilizations_world_map.png/500px-Clash_of_Civilizations_world_map.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5/Clash_of_Civilizations_world_map.png/500px-Clash_of_Civilizations_world_map.pn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27649" cy="2634712"/>
                    </a:xfrm>
                    <a:prstGeom prst="rect">
                      <a:avLst/>
                    </a:prstGeom>
                    <a:noFill/>
                    <a:ln>
                      <a:noFill/>
                    </a:ln>
                  </pic:spPr>
                </pic:pic>
              </a:graphicData>
            </a:graphic>
          </wp:inline>
        </w:drawing>
      </w:r>
      <w:r w:rsidR="006B61FE" w:rsidRPr="00721218">
        <w:rPr>
          <w:rFonts w:ascii="Calibri" w:hAnsi="Calibri" w:cs="Calibri"/>
          <w:b/>
          <w:sz w:val="24"/>
          <w:szCs w:val="24"/>
          <w:lang w:eastAsia="en-US"/>
        </w:rPr>
        <w:t>Obrázek 32</w:t>
      </w:r>
      <w:r w:rsidRPr="00721218">
        <w:rPr>
          <w:rFonts w:ascii="Calibri" w:hAnsi="Calibri" w:cs="Calibri"/>
          <w:b/>
          <w:sz w:val="24"/>
          <w:szCs w:val="24"/>
          <w:lang w:eastAsia="en-US"/>
        </w:rPr>
        <w:t>: Civilizační okruhy světa podle Huntingtona</w:t>
      </w:r>
    </w:p>
    <w:p w:rsidR="008146BD" w:rsidRPr="00721218" w:rsidRDefault="00881523" w:rsidP="00721218">
      <w:pPr>
        <w:keepNext/>
        <w:widowControl w:val="0"/>
        <w:suppressLineNumbers/>
        <w:spacing w:after="0"/>
        <w:rPr>
          <w:rFonts w:cs="TimesNewRomanPSMT"/>
          <w:color w:val="0000FF"/>
          <w:sz w:val="24"/>
          <w:szCs w:val="24"/>
        </w:rPr>
      </w:pPr>
      <w:r>
        <w:rPr>
          <w:rFonts w:asciiTheme="minorHAnsi" w:hAnsiTheme="minorHAnsi" w:cstheme="minorHAnsi"/>
          <w:i/>
          <w:sz w:val="20"/>
          <w:szCs w:val="20"/>
        </w:rPr>
        <w:t>Pozn</w:t>
      </w:r>
      <w:r w:rsidR="008146BD" w:rsidRPr="00881523">
        <w:rPr>
          <w:rFonts w:asciiTheme="minorHAnsi" w:hAnsiTheme="minorHAnsi" w:cstheme="minorHAnsi"/>
          <w:i/>
          <w:sz w:val="20"/>
          <w:szCs w:val="20"/>
        </w:rPr>
        <w:t>:</w:t>
      </w:r>
      <w:r w:rsidR="008146BD" w:rsidRPr="00881523">
        <w:rPr>
          <w:rFonts w:asciiTheme="minorHAnsi" w:hAnsiTheme="minorHAnsi" w:cstheme="minorHAnsi"/>
          <w:i/>
          <w:sz w:val="20"/>
          <w:szCs w:val="20"/>
          <w:lang w:eastAsia="en-GB"/>
        </w:rPr>
        <w:t xml:space="preserve"> </w:t>
      </w:r>
      <w:hyperlink r:id="rId86" w:tooltip="Západní kultura" w:history="1">
        <w:r w:rsidR="008146BD" w:rsidRPr="00881523">
          <w:rPr>
            <w:rFonts w:asciiTheme="minorHAnsi" w:hAnsiTheme="minorHAnsi" w:cstheme="minorHAnsi"/>
            <w:i/>
            <w:sz w:val="20"/>
            <w:szCs w:val="20"/>
            <w:lang w:eastAsia="en-GB"/>
          </w:rPr>
          <w:t>západní civilizace</w:t>
        </w:r>
      </w:hyperlink>
      <w:r w:rsidR="008146BD" w:rsidRPr="00881523">
        <w:rPr>
          <w:rFonts w:asciiTheme="minorHAnsi" w:hAnsiTheme="minorHAnsi" w:cstheme="minorHAnsi"/>
          <w:i/>
          <w:sz w:val="20"/>
          <w:szCs w:val="20"/>
          <w:lang w:eastAsia="en-GB"/>
        </w:rPr>
        <w:t xml:space="preserve"> (červená), </w:t>
      </w:r>
      <w:hyperlink r:id="rId87" w:tooltip="Pravoslaví" w:history="1">
        <w:r w:rsidR="008146BD" w:rsidRPr="00881523">
          <w:rPr>
            <w:rFonts w:asciiTheme="minorHAnsi" w:hAnsiTheme="minorHAnsi" w:cstheme="minorHAnsi"/>
            <w:i/>
            <w:sz w:val="20"/>
            <w:szCs w:val="20"/>
            <w:lang w:eastAsia="en-GB"/>
          </w:rPr>
          <w:t>pravoslavná civilizace</w:t>
        </w:r>
      </w:hyperlink>
      <w:r w:rsidR="008146BD" w:rsidRPr="00881523">
        <w:rPr>
          <w:rFonts w:asciiTheme="minorHAnsi" w:hAnsiTheme="minorHAnsi" w:cstheme="minorHAnsi"/>
          <w:i/>
          <w:sz w:val="20"/>
          <w:szCs w:val="20"/>
          <w:lang w:eastAsia="en-GB"/>
        </w:rPr>
        <w:t xml:space="preserve"> (hnědá), </w:t>
      </w:r>
      <w:hyperlink r:id="rId88" w:tooltip="Latinská Amerika" w:history="1">
        <w:r w:rsidR="008146BD" w:rsidRPr="00881523">
          <w:rPr>
            <w:rFonts w:asciiTheme="minorHAnsi" w:hAnsiTheme="minorHAnsi" w:cstheme="minorHAnsi"/>
            <w:i/>
            <w:sz w:val="20"/>
            <w:szCs w:val="20"/>
            <w:lang w:eastAsia="en-GB"/>
          </w:rPr>
          <w:t>latinskoamerická civilizace</w:t>
        </w:r>
      </w:hyperlink>
      <w:r w:rsidR="008146BD" w:rsidRPr="00881523">
        <w:rPr>
          <w:rFonts w:asciiTheme="minorHAnsi" w:hAnsiTheme="minorHAnsi" w:cstheme="minorHAnsi"/>
          <w:i/>
          <w:sz w:val="20"/>
          <w:szCs w:val="20"/>
          <w:lang w:eastAsia="en-GB"/>
        </w:rPr>
        <w:t xml:space="preserve"> (zelená) </w:t>
      </w:r>
      <w:hyperlink r:id="rId89" w:tooltip="Islám" w:history="1">
        <w:r w:rsidR="008146BD" w:rsidRPr="00881523">
          <w:rPr>
            <w:rFonts w:asciiTheme="minorHAnsi" w:hAnsiTheme="minorHAnsi" w:cstheme="minorHAnsi"/>
            <w:i/>
            <w:sz w:val="20"/>
            <w:szCs w:val="20"/>
            <w:lang w:eastAsia="en-GB"/>
          </w:rPr>
          <w:t>islámská civilizace</w:t>
        </w:r>
      </w:hyperlink>
      <w:r w:rsidR="008146BD" w:rsidRPr="00881523">
        <w:rPr>
          <w:rFonts w:asciiTheme="minorHAnsi" w:hAnsiTheme="minorHAnsi" w:cstheme="minorHAnsi"/>
          <w:i/>
          <w:sz w:val="20"/>
          <w:szCs w:val="20"/>
          <w:lang w:eastAsia="en-GB"/>
        </w:rPr>
        <w:t xml:space="preserve"> (žlutá), </w:t>
      </w:r>
      <w:hyperlink r:id="rId90" w:tooltip="Subsaharská Afrika" w:history="1">
        <w:r w:rsidR="008146BD" w:rsidRPr="00881523">
          <w:rPr>
            <w:rFonts w:asciiTheme="minorHAnsi" w:hAnsiTheme="minorHAnsi" w:cstheme="minorHAnsi"/>
            <w:i/>
            <w:sz w:val="20"/>
            <w:szCs w:val="20"/>
            <w:lang w:eastAsia="en-GB"/>
          </w:rPr>
          <w:t>subsaharská Afrika</w:t>
        </w:r>
      </w:hyperlink>
      <w:r w:rsidR="008146BD" w:rsidRPr="00881523">
        <w:rPr>
          <w:rFonts w:asciiTheme="minorHAnsi" w:hAnsiTheme="minorHAnsi" w:cstheme="minorHAnsi"/>
          <w:i/>
          <w:sz w:val="20"/>
          <w:szCs w:val="20"/>
          <w:lang w:eastAsia="en-GB"/>
        </w:rPr>
        <w:t xml:space="preserve"> (modrá), </w:t>
      </w:r>
      <w:hyperlink r:id="rId91" w:tooltip="Hinduismus" w:history="1">
        <w:r w:rsidR="008146BD" w:rsidRPr="00881523">
          <w:rPr>
            <w:rFonts w:asciiTheme="minorHAnsi" w:hAnsiTheme="minorHAnsi" w:cstheme="minorHAnsi"/>
            <w:i/>
            <w:sz w:val="20"/>
            <w:szCs w:val="20"/>
            <w:lang w:eastAsia="en-GB"/>
          </w:rPr>
          <w:t>hinduistická civilizace</w:t>
        </w:r>
      </w:hyperlink>
      <w:r w:rsidR="008146BD" w:rsidRPr="00881523">
        <w:rPr>
          <w:rFonts w:asciiTheme="minorHAnsi" w:hAnsiTheme="minorHAnsi" w:cstheme="minorHAnsi"/>
          <w:i/>
          <w:sz w:val="20"/>
          <w:szCs w:val="20"/>
          <w:lang w:eastAsia="en-GB"/>
        </w:rPr>
        <w:t xml:space="preserve"> (světle zelená), </w:t>
      </w:r>
      <w:hyperlink r:id="rId92" w:tooltip="Buddhismus" w:history="1">
        <w:r w:rsidR="008146BD" w:rsidRPr="00881523">
          <w:rPr>
            <w:rFonts w:asciiTheme="minorHAnsi" w:hAnsiTheme="minorHAnsi" w:cstheme="minorHAnsi"/>
            <w:i/>
            <w:sz w:val="20"/>
            <w:szCs w:val="20"/>
            <w:lang w:eastAsia="en-GB"/>
          </w:rPr>
          <w:t>buddhistická civilizace</w:t>
        </w:r>
      </w:hyperlink>
      <w:r w:rsidR="008146BD" w:rsidRPr="00881523">
        <w:rPr>
          <w:rFonts w:asciiTheme="minorHAnsi" w:hAnsiTheme="minorHAnsi" w:cstheme="minorHAnsi"/>
          <w:i/>
          <w:sz w:val="20"/>
          <w:szCs w:val="20"/>
          <w:lang w:eastAsia="en-GB"/>
        </w:rPr>
        <w:t xml:space="preserve"> (fialová), </w:t>
      </w:r>
      <w:hyperlink r:id="rId93" w:tooltip="Čína" w:history="1">
        <w:r w:rsidR="008146BD" w:rsidRPr="00881523">
          <w:rPr>
            <w:rFonts w:asciiTheme="minorHAnsi" w:hAnsiTheme="minorHAnsi" w:cstheme="minorHAnsi"/>
            <w:i/>
            <w:sz w:val="20"/>
            <w:szCs w:val="20"/>
            <w:lang w:eastAsia="en-GB"/>
          </w:rPr>
          <w:t>čínská civilizace</w:t>
        </w:r>
      </w:hyperlink>
      <w:r w:rsidR="008146BD" w:rsidRPr="00881523">
        <w:rPr>
          <w:rFonts w:asciiTheme="minorHAnsi" w:hAnsiTheme="minorHAnsi" w:cstheme="minorHAnsi"/>
          <w:i/>
          <w:sz w:val="20"/>
          <w:szCs w:val="20"/>
          <w:lang w:eastAsia="en-GB"/>
        </w:rPr>
        <w:t xml:space="preserve"> (růžová), </w:t>
      </w:r>
      <w:hyperlink r:id="rId94" w:tooltip="Japonsko" w:history="1">
        <w:r w:rsidR="008146BD" w:rsidRPr="00881523">
          <w:rPr>
            <w:rFonts w:asciiTheme="minorHAnsi" w:hAnsiTheme="minorHAnsi" w:cstheme="minorHAnsi"/>
            <w:i/>
            <w:sz w:val="20"/>
            <w:szCs w:val="20"/>
            <w:lang w:eastAsia="en-GB"/>
          </w:rPr>
          <w:t>Japonsk</w:t>
        </w:r>
      </w:hyperlink>
      <w:r w:rsidR="008146BD" w:rsidRPr="00881523">
        <w:rPr>
          <w:rFonts w:asciiTheme="minorHAnsi" w:hAnsiTheme="minorHAnsi" w:cstheme="minorHAnsi"/>
          <w:i/>
          <w:sz w:val="20"/>
          <w:szCs w:val="20"/>
          <w:lang w:eastAsia="en-GB"/>
        </w:rPr>
        <w:t xml:space="preserve">á civilizace (béžová) a tzv. „osamělé státy“ – </w:t>
      </w:r>
      <w:hyperlink r:id="rId95" w:tooltip="Turecko" w:history="1">
        <w:r w:rsidR="008146BD" w:rsidRPr="00881523">
          <w:rPr>
            <w:rFonts w:asciiTheme="minorHAnsi" w:hAnsiTheme="minorHAnsi" w:cstheme="minorHAnsi"/>
            <w:i/>
            <w:sz w:val="20"/>
            <w:szCs w:val="20"/>
            <w:lang w:eastAsia="en-GB"/>
          </w:rPr>
          <w:t>Turecko</w:t>
        </w:r>
      </w:hyperlink>
      <w:r w:rsidR="008146BD" w:rsidRPr="00881523">
        <w:rPr>
          <w:rFonts w:asciiTheme="minorHAnsi" w:hAnsiTheme="minorHAnsi" w:cstheme="minorHAnsi"/>
          <w:i/>
          <w:sz w:val="20"/>
          <w:szCs w:val="20"/>
          <w:lang w:eastAsia="en-GB"/>
        </w:rPr>
        <w:t xml:space="preserve">, </w:t>
      </w:r>
      <w:hyperlink r:id="rId96" w:tooltip="Izrael" w:history="1">
        <w:r w:rsidR="008146BD" w:rsidRPr="00881523">
          <w:rPr>
            <w:rFonts w:asciiTheme="minorHAnsi" w:hAnsiTheme="minorHAnsi" w:cstheme="minorHAnsi"/>
            <w:i/>
            <w:sz w:val="20"/>
            <w:szCs w:val="20"/>
            <w:lang w:eastAsia="en-GB"/>
          </w:rPr>
          <w:t>Izrael</w:t>
        </w:r>
      </w:hyperlink>
      <w:r w:rsidR="008146BD" w:rsidRPr="00881523">
        <w:rPr>
          <w:rFonts w:asciiTheme="minorHAnsi" w:hAnsiTheme="minorHAnsi" w:cstheme="minorHAnsi"/>
          <w:i/>
          <w:sz w:val="20"/>
          <w:szCs w:val="20"/>
          <w:lang w:eastAsia="en-GB"/>
        </w:rPr>
        <w:t xml:space="preserve"> a </w:t>
      </w:r>
      <w:hyperlink r:id="rId97" w:tooltip="Etiopie" w:history="1">
        <w:r w:rsidR="008146BD" w:rsidRPr="00881523">
          <w:rPr>
            <w:rFonts w:asciiTheme="minorHAnsi" w:hAnsiTheme="minorHAnsi" w:cstheme="minorHAnsi"/>
            <w:i/>
            <w:sz w:val="20"/>
            <w:szCs w:val="20"/>
            <w:lang w:eastAsia="en-GB"/>
          </w:rPr>
          <w:t>Etiopie</w:t>
        </w:r>
      </w:hyperlink>
      <w:r w:rsidR="008146BD" w:rsidRPr="00881523">
        <w:rPr>
          <w:rFonts w:asciiTheme="minorHAnsi" w:hAnsiTheme="minorHAnsi" w:cstheme="minorHAnsi"/>
          <w:i/>
          <w:sz w:val="20"/>
          <w:szCs w:val="20"/>
          <w:lang w:eastAsia="en-GB"/>
        </w:rPr>
        <w:t xml:space="preserve"> (šedá).</w:t>
      </w:r>
    </w:p>
    <w:p w:rsidR="008146BD" w:rsidRPr="00A33E45" w:rsidRDefault="008146BD" w:rsidP="00721218">
      <w:pPr>
        <w:keepNext/>
        <w:suppressLineNumbers/>
        <w:suppressAutoHyphens/>
        <w:spacing w:after="0"/>
        <w:jc w:val="center"/>
        <w:outlineLvl w:val="0"/>
        <w:rPr>
          <w:rFonts w:asciiTheme="minorHAnsi" w:eastAsia="Batang" w:hAnsiTheme="minorHAnsi" w:cstheme="minorHAnsi"/>
          <w:b/>
          <w:bCs/>
          <w:kern w:val="32"/>
          <w:lang w:eastAsia="ar-SA"/>
        </w:rPr>
      </w:pPr>
      <w:r w:rsidRPr="00A33E45">
        <w:rPr>
          <w:rFonts w:asciiTheme="minorHAnsi" w:hAnsiTheme="minorHAnsi" w:cstheme="minorHAnsi"/>
          <w:i/>
        </w:rPr>
        <w:t>Pramen: Huntington</w:t>
      </w:r>
      <w:r w:rsidRPr="00A33E45">
        <w:rPr>
          <w:rFonts w:asciiTheme="minorHAnsi" w:eastAsia="Batang" w:hAnsiTheme="minorHAnsi" w:cstheme="minorHAnsi"/>
          <w:bCs/>
          <w:i/>
          <w:kern w:val="32"/>
          <w:lang w:eastAsia="ar-SA"/>
        </w:rPr>
        <w:t xml:space="preserve"> 2001.</w:t>
      </w:r>
    </w:p>
    <w:p w:rsidR="008146BD" w:rsidRDefault="008146BD" w:rsidP="008146BD">
      <w:pPr>
        <w:keepNext/>
        <w:widowControl w:val="0"/>
        <w:suppressLineNumbers/>
        <w:spacing w:before="200"/>
        <w:ind w:firstLine="720"/>
        <w:jc w:val="both"/>
        <w:rPr>
          <w:rFonts w:cs="TimesNewRomanPSMT"/>
          <w:sz w:val="24"/>
          <w:szCs w:val="24"/>
        </w:rPr>
      </w:pPr>
      <w:r w:rsidRPr="00E63699">
        <w:rPr>
          <w:rFonts w:cs="TimesNewRomanPSMT"/>
          <w:sz w:val="24"/>
          <w:szCs w:val="24"/>
        </w:rPr>
        <w:t>Ekonomicky nejvyspělejší západní civilizace je historicky spojena se západní částí Evropy, odkud se tato civilizace rozšířila do Severní Ame</w:t>
      </w:r>
      <w:r w:rsidR="00385CD4">
        <w:rPr>
          <w:rFonts w:cs="TimesNewRomanPSMT"/>
          <w:sz w:val="24"/>
          <w:szCs w:val="24"/>
        </w:rPr>
        <w:t>riky, Austrálie s N. Zélandem a </w:t>
      </w:r>
      <w:r w:rsidRPr="00E63699">
        <w:rPr>
          <w:rFonts w:cs="TimesNewRomanPSMT"/>
          <w:sz w:val="24"/>
          <w:szCs w:val="24"/>
        </w:rPr>
        <w:t xml:space="preserve">dalších částí světa (sem patří zejména severní a střední část Filipín a tichomořské ostrovy). Její kořeny sahají až do antiky a v dalším vývoji byla západní civilizace formována především křesťanstvím (katolictvím a protestanstvím), koloniálními výboji, průmyslovou revolucí, vnitřními ozbrojenými konflikty a postupným prosazením demokratického systému veřejné správy. V </w:t>
      </w:r>
      <w:r w:rsidRPr="00285797">
        <w:rPr>
          <w:rFonts w:cs="TimesNewRomanPSMT"/>
          <w:sz w:val="24"/>
          <w:szCs w:val="24"/>
        </w:rPr>
        <w:t>rámci okruhu zaujímají výsadní postavení USA. Nejblíže k ní má pravoslavná civilizace zahrnující Rusko a další východoevropské a kavkazské země a rovněž většinu balkánských států. Pravoslavná církev vznikla jako důsledek schismatu mezi západ</w:t>
      </w:r>
      <w:r w:rsidR="00385CD4">
        <w:rPr>
          <w:rFonts w:cs="TimesNewRomanPSMT"/>
          <w:sz w:val="24"/>
          <w:szCs w:val="24"/>
        </w:rPr>
        <w:t>ní a </w:t>
      </w:r>
      <w:r w:rsidRPr="00285797">
        <w:rPr>
          <w:rFonts w:cs="TimesNewRomanPSMT"/>
          <w:sz w:val="24"/>
          <w:szCs w:val="24"/>
        </w:rPr>
        <w:t>východní křesťanskou církví (1054) a vyplenění Konstantinopole při čtvrté křížové výpravě. Po rozpadu byzantské říše se hlavním centrem stalo Rusko, které i přes kolonizaci severní Asie a dočasně i Aljašky nedosáhlo ekonomické a kulturní úrovně západn</w:t>
      </w:r>
      <w:r w:rsidR="00385CD4">
        <w:rPr>
          <w:rFonts w:cs="TimesNewRomanPSMT"/>
          <w:sz w:val="24"/>
          <w:szCs w:val="24"/>
        </w:rPr>
        <w:t>í civilizace a </w:t>
      </w:r>
      <w:r w:rsidRPr="00285797">
        <w:rPr>
          <w:rFonts w:cs="TimesNewRomanPSMT"/>
          <w:sz w:val="24"/>
          <w:szCs w:val="24"/>
        </w:rPr>
        <w:t xml:space="preserve">mocenský souboj s ní vedený ateistickým </w:t>
      </w:r>
      <w:r w:rsidRPr="00E63699">
        <w:rPr>
          <w:rFonts w:cs="TimesNewRomanPSMT"/>
          <w:sz w:val="24"/>
          <w:szCs w:val="24"/>
        </w:rPr>
        <w:t>Sovětským svazem skončil jeho rozpadem. Latinskoamerická civilizace zahrnuje kromě Jižní Ameriky</w:t>
      </w:r>
      <w:r w:rsidR="00802E7A">
        <w:rPr>
          <w:rFonts w:cs="TimesNewRomanPSMT"/>
          <w:sz w:val="24"/>
          <w:szCs w:val="24"/>
        </w:rPr>
        <w:t xml:space="preserve"> i</w:t>
      </w:r>
      <w:r w:rsidRPr="00E63699">
        <w:rPr>
          <w:rFonts w:cs="TimesNewRomanPSMT"/>
          <w:sz w:val="24"/>
          <w:szCs w:val="24"/>
        </w:rPr>
        <w:t xml:space="preserve"> st</w:t>
      </w:r>
      <w:r w:rsidR="00385CD4">
        <w:rPr>
          <w:rFonts w:cs="TimesNewRomanPSMT"/>
          <w:sz w:val="24"/>
          <w:szCs w:val="24"/>
        </w:rPr>
        <w:t>ředoamerické a karibské státy a </w:t>
      </w:r>
      <w:r w:rsidRPr="00E63699">
        <w:rPr>
          <w:rFonts w:cs="TimesNewRomanPSMT"/>
          <w:sz w:val="24"/>
          <w:szCs w:val="24"/>
        </w:rPr>
        <w:t xml:space="preserve">Mexiko (včetně jazykově odlišných Guyan a některých karibských ostrovů). Se západní </w:t>
      </w:r>
      <w:r w:rsidRPr="00E63699">
        <w:rPr>
          <w:rFonts w:cs="TimesNewRomanPSMT"/>
          <w:sz w:val="24"/>
          <w:szCs w:val="24"/>
        </w:rPr>
        <w:lastRenderedPageBreak/>
        <w:t xml:space="preserve">civilizací je historicky a nábožensky propojená španělskou a portugalskou kolonizací </w:t>
      </w:r>
      <w:r w:rsidRPr="006D1DC7">
        <w:rPr>
          <w:rFonts w:cs="TimesNewRomanPSMT"/>
          <w:sz w:val="24"/>
          <w:szCs w:val="24"/>
        </w:rPr>
        <w:t>indiánských říší (Inkové, Mayové, Aztékové). Po téměř úplné dekolonizaci provedené již v první třetině 19. století začalo obtížné budování vlastních států, ze kterých v současnosti zaujímají světově významné postavení Brazílie a Mexiko. K islámské civilizaci patří státy jihozápadní (zejména Pákistán a Bangladéš)</w:t>
      </w:r>
      <w:r w:rsidR="00802E7A">
        <w:rPr>
          <w:rFonts w:cs="TimesNewRomanPSMT"/>
          <w:sz w:val="24"/>
          <w:szCs w:val="24"/>
        </w:rPr>
        <w:t>,</w:t>
      </w:r>
      <w:r w:rsidRPr="006D1DC7">
        <w:rPr>
          <w:rFonts w:cs="TimesNewRomanPSMT"/>
          <w:sz w:val="24"/>
          <w:szCs w:val="24"/>
        </w:rPr>
        <w:t xml:space="preserve"> střední a </w:t>
      </w:r>
      <w:r w:rsidR="00385CD4">
        <w:rPr>
          <w:rFonts w:cs="TimesNewRomanPSMT"/>
          <w:sz w:val="24"/>
          <w:szCs w:val="24"/>
        </w:rPr>
        <w:t>jihovýchodní (Indonésie) Asie a </w:t>
      </w:r>
      <w:r w:rsidRPr="006D1DC7">
        <w:rPr>
          <w:rFonts w:cs="TimesNewRomanPSMT"/>
          <w:sz w:val="24"/>
          <w:szCs w:val="24"/>
        </w:rPr>
        <w:t xml:space="preserve">severní Afriky (Egypt), doplněné několika dalšími státy. Spojovacím prvkem je pochopitelně především islámské náboženství, které se postupně rozšířilo prakticky do všech kontinentů. Strnulost a fatalismus islámu lze na druhé straně považovat za jednu z příčin dlouhodobého ekonomického i sociálního zaostávání této dříve vyspělé civilizace, k jejímuž (selektivnímu) zmírňování dochází až v souvislosti s rozvojem těžby ropy ve 20. století. Ekonomicky nejméně rozvinutým civilizační okruhem je nesporně subsaharská Afrika. Náboženská i etnická různorodost panující v tomto okruhu vedla po ukončení koloniální éry v 60 až 70. letech minulého století k častým vnitřním konfliktům (nejnovějším příkladem je rozdělení Súdánu). Další zásadní problémy pak představují pouze pomalu se snižující neúnosně vysoké tempo růstu populace a katastrofální zdravotní stav obyvatel podmíněný chudobou (v některých státech je až 40 % obyvatel nakaženo AIDS). Pojem hinduistické civilizace se vztahuje k stejnojmennému náboženskému a filosofickému konceptu rozšířenému v po Číně nejlidnatějším státu světa Indii (obydlené již od 2. tisíciletí </w:t>
      </w:r>
      <w:r w:rsidRPr="00802E7A">
        <w:rPr>
          <w:rFonts w:cs="TimesNewRomanPSMT"/>
          <w:sz w:val="24"/>
          <w:szCs w:val="24"/>
        </w:rPr>
        <w:t>př. n. l.</w:t>
      </w:r>
      <w:r w:rsidR="00802E7A">
        <w:rPr>
          <w:rFonts w:cs="TimesNewRomanPSMT"/>
          <w:sz w:val="24"/>
          <w:szCs w:val="24"/>
        </w:rPr>
        <w:t xml:space="preserve"> indoevropským</w:t>
      </w:r>
      <w:r w:rsidRPr="006D1DC7">
        <w:rPr>
          <w:rFonts w:cs="TimesNewRomanPSMT"/>
          <w:sz w:val="24"/>
          <w:szCs w:val="24"/>
        </w:rPr>
        <w:t xml:space="preserve"> obyvatelstvem) a několika dalších zemích (Nepál). Od získání nezávislosti v roce 1947 se Indie, i přes dynamický ekonomický růst zaznamenaný v posledním období, stále potýká s obrovskou chudobou týkající se zvláště</w:t>
      </w:r>
      <w:r w:rsidR="00630026">
        <w:rPr>
          <w:rFonts w:cs="TimesNewRomanPSMT"/>
          <w:sz w:val="24"/>
          <w:szCs w:val="24"/>
        </w:rPr>
        <w:t>,</w:t>
      </w:r>
      <w:r w:rsidRPr="006D1DC7">
        <w:rPr>
          <w:rFonts w:cs="TimesNewRomanPSMT"/>
          <w:sz w:val="24"/>
          <w:szCs w:val="24"/>
        </w:rPr>
        <w:t xml:space="preserve"> do značné části</w:t>
      </w:r>
      <w:r w:rsidR="00630026">
        <w:rPr>
          <w:rFonts w:cs="TimesNewRomanPSMT"/>
          <w:sz w:val="24"/>
          <w:szCs w:val="24"/>
        </w:rPr>
        <w:t>,</w:t>
      </w:r>
      <w:r w:rsidRPr="006D1DC7">
        <w:rPr>
          <w:rFonts w:cs="TimesNewRomanPSMT"/>
          <w:sz w:val="24"/>
          <w:szCs w:val="24"/>
        </w:rPr>
        <w:t xml:space="preserve"> dosud negramotného venkovského obyvatelstva (podle odhadů žije v Indii asi 40 % chudých lidí světa). K sousední budhistické civilizaci patří většina zemí jihovýchodní Asi</w:t>
      </w:r>
      <w:r w:rsidR="00385CD4">
        <w:rPr>
          <w:rFonts w:cs="TimesNewRomanPSMT"/>
          <w:sz w:val="24"/>
          <w:szCs w:val="24"/>
        </w:rPr>
        <w:t>e, doplněných dále Srí Lankou a </w:t>
      </w:r>
      <w:r w:rsidRPr="006D1DC7">
        <w:rPr>
          <w:rFonts w:cs="TimesNewRomanPSMT"/>
          <w:sz w:val="24"/>
          <w:szCs w:val="24"/>
        </w:rPr>
        <w:t>Mongolskem. Buddhismus je podobně jako křesťanství a islám univerzálním náboženstvím, které má společné kořeny s indickým hinduismem, čínským taoismem a japonským šintoismem. Řada z těchto asijských zemí byla kolonizován</w:t>
      </w:r>
      <w:r w:rsidR="00385CD4">
        <w:rPr>
          <w:rFonts w:cs="TimesNewRomanPSMT"/>
          <w:sz w:val="24"/>
          <w:szCs w:val="24"/>
        </w:rPr>
        <w:t>a V. Británií nebo Francií a po </w:t>
      </w:r>
      <w:r w:rsidRPr="006D1DC7">
        <w:rPr>
          <w:rFonts w:cs="TimesNewRomanPSMT"/>
          <w:sz w:val="24"/>
          <w:szCs w:val="24"/>
        </w:rPr>
        <w:t xml:space="preserve">osvobození se některé z nich staly obětí násilných totalitních experimentů. V současné době nicméně jihovýchodní Asie patří mezi nejdynamičtější regiony. Dějiny čínské civilizace lze rozdělit na starověké, císařské a moderní období (po roce 1912). Původním náboženstvím Číny je taoismus doplněný dalšími </w:t>
      </w:r>
      <w:r w:rsidRPr="0096792A">
        <w:rPr>
          <w:rFonts w:cs="TimesNewRomanPSMT"/>
          <w:sz w:val="24"/>
          <w:szCs w:val="24"/>
        </w:rPr>
        <w:t>náboženstvími, zejména buddhismem. Po 2. světové válce došlo v komunistické pevninské Číně (na rozdíl od odštěpeného ostrova Tchaj-wanu) k</w:t>
      </w:r>
      <w:r w:rsidR="00630026">
        <w:rPr>
          <w:rFonts w:cs="TimesNewRomanPSMT"/>
          <w:sz w:val="24"/>
          <w:szCs w:val="24"/>
        </w:rPr>
        <w:t> náboženské regulaci, vystřídanou</w:t>
      </w:r>
      <w:r w:rsidRPr="0096792A">
        <w:rPr>
          <w:rFonts w:cs="TimesNewRomanPSMT"/>
          <w:sz w:val="24"/>
          <w:szCs w:val="24"/>
        </w:rPr>
        <w:t xml:space="preserve"> v období tzv. kulturní revoluce represí. Hospodářské katastrofy vedly k liberalizaci ekonomiky</w:t>
      </w:r>
      <w:r w:rsidR="00630026">
        <w:rPr>
          <w:rFonts w:cs="TimesNewRomanPSMT"/>
          <w:sz w:val="24"/>
          <w:szCs w:val="24"/>
        </w:rPr>
        <w:t>,</w:t>
      </w:r>
      <w:r w:rsidRPr="0096792A">
        <w:rPr>
          <w:rFonts w:cs="TimesNewRomanPSMT"/>
          <w:sz w:val="24"/>
          <w:szCs w:val="24"/>
        </w:rPr>
        <w:t xml:space="preserve"> a v současnosti tak Čína zažívá období prudkého ekonomického růstu (spojeného však i s řadou negativních sociálních a environmentálních dopadů). Poslední kulturní okruh představuje Japonsko, které je pokládáno za nejstarší národní stát světa, jehož kultura reprezentovaná </w:t>
      </w:r>
      <w:r w:rsidRPr="0096792A">
        <w:rPr>
          <w:sz w:val="24"/>
          <w:szCs w:val="24"/>
        </w:rPr>
        <w:t xml:space="preserve">původním </w:t>
      </w:r>
      <w:hyperlink r:id="rId98" w:tooltip="Náboženství" w:history="1">
        <w:r w:rsidRPr="0096792A">
          <w:rPr>
            <w:sz w:val="24"/>
            <w:szCs w:val="24"/>
          </w:rPr>
          <w:t>náboženství</w:t>
        </w:r>
      </w:hyperlink>
      <w:r w:rsidRPr="0096792A">
        <w:rPr>
          <w:sz w:val="24"/>
          <w:szCs w:val="24"/>
        </w:rPr>
        <w:t>m</w:t>
      </w:r>
      <w:r w:rsidR="00630026">
        <w:rPr>
          <w:sz w:val="24"/>
          <w:szCs w:val="24"/>
        </w:rPr>
        <w:t>,</w:t>
      </w:r>
      <w:r w:rsidRPr="0096792A">
        <w:rPr>
          <w:sz w:val="24"/>
          <w:szCs w:val="24"/>
        </w:rPr>
        <w:t xml:space="preserve"> tj. šintoismem</w:t>
      </w:r>
      <w:r w:rsidR="00630026">
        <w:rPr>
          <w:sz w:val="24"/>
          <w:szCs w:val="24"/>
        </w:rPr>
        <w:t>,</w:t>
      </w:r>
      <w:r w:rsidRPr="0096792A">
        <w:rPr>
          <w:sz w:val="24"/>
          <w:szCs w:val="24"/>
        </w:rPr>
        <w:t xml:space="preserve"> byla</w:t>
      </w:r>
      <w:r w:rsidRPr="0096792A">
        <w:rPr>
          <w:rFonts w:cs="TimesNewRomanPSMT"/>
          <w:sz w:val="24"/>
          <w:szCs w:val="24"/>
        </w:rPr>
        <w:t xml:space="preserve"> výrazně poznamenána buddhismem (většina Japonců se dnes hlá</w:t>
      </w:r>
      <w:r w:rsidR="00385CD4">
        <w:rPr>
          <w:rFonts w:cs="TimesNewRomanPSMT"/>
          <w:sz w:val="24"/>
          <w:szCs w:val="24"/>
        </w:rPr>
        <w:t>sí k oběma náboženstvím) a </w:t>
      </w:r>
      <w:r w:rsidRPr="0096792A">
        <w:rPr>
          <w:rFonts w:cs="TimesNewRomanPSMT"/>
          <w:sz w:val="24"/>
          <w:szCs w:val="24"/>
        </w:rPr>
        <w:t xml:space="preserve">rovněž čínskými a pozdějšími západními vlivy. Po porážce ve 2. světové válce bylo Japonsko demilitarizováno a poměrně rychle se následně zařadilo mezi nevyspělejší státy světa (v současném </w:t>
      </w:r>
      <w:r w:rsidRPr="006D1DC7">
        <w:rPr>
          <w:rFonts w:cs="TimesNewRomanPSMT"/>
          <w:sz w:val="24"/>
          <w:szCs w:val="24"/>
        </w:rPr>
        <w:t>období však jeho ekonomika prochází dlouhodobou stagnací). Mimo uvedené okruhy se vzhledem k výrazným specifikám nacházejí Turecko, Izrael a Etiopie. V případě Turecka jde o v islámském světě ojedinělý sekulární politický systém, specifika Izraele pak vyplývají z jeho pozice umělého státu vzniklého po</w:t>
      </w:r>
      <w:r w:rsidR="00385CD4">
        <w:rPr>
          <w:rFonts w:cs="TimesNewRomanPSMT"/>
          <w:sz w:val="24"/>
          <w:szCs w:val="24"/>
        </w:rPr>
        <w:t xml:space="preserve"> 2. světové válce a u Etiopie z </w:t>
      </w:r>
      <w:r w:rsidRPr="006D1DC7">
        <w:rPr>
          <w:rFonts w:cs="TimesNewRomanPSMT"/>
          <w:sz w:val="24"/>
          <w:szCs w:val="24"/>
        </w:rPr>
        <w:t>dlouhé tradice křesťanství odlišující ji od zby</w:t>
      </w:r>
      <w:r w:rsidR="008C58B3">
        <w:rPr>
          <w:rFonts w:cs="TimesNewRomanPSMT"/>
          <w:sz w:val="24"/>
          <w:szCs w:val="24"/>
        </w:rPr>
        <w:t>tku Afriky.</w:t>
      </w:r>
    </w:p>
    <w:p w:rsidR="008C58B3" w:rsidRPr="008C58B3" w:rsidRDefault="008C58B3" w:rsidP="008C58B3">
      <w:pPr>
        <w:keepNext/>
        <w:widowControl w:val="0"/>
        <w:suppressLineNumbers/>
        <w:spacing w:before="200"/>
        <w:ind w:firstLine="720"/>
        <w:jc w:val="both"/>
        <w:rPr>
          <w:rFonts w:cs="TimesNewRomanPSMT"/>
          <w:sz w:val="24"/>
          <w:szCs w:val="24"/>
        </w:rPr>
      </w:pPr>
      <w:r w:rsidRPr="008C58B3">
        <w:rPr>
          <w:rFonts w:cs="TimesNewRomanPSMT"/>
          <w:sz w:val="24"/>
          <w:szCs w:val="24"/>
        </w:rPr>
        <w:lastRenderedPageBreak/>
        <w:t>Na vývoj v Evropě přinesl velmi realistický a stále</w:t>
      </w:r>
      <w:r w:rsidR="00385CD4">
        <w:rPr>
          <w:rFonts w:cs="TimesNewRomanPSMT"/>
          <w:sz w:val="24"/>
          <w:szCs w:val="24"/>
        </w:rPr>
        <w:t xml:space="preserve"> platný pohled ve svém díle Pan- </w:t>
      </w:r>
      <w:r w:rsidRPr="008C58B3">
        <w:rPr>
          <w:rFonts w:cs="TimesNewRomanPSMT"/>
          <w:sz w:val="24"/>
          <w:szCs w:val="24"/>
        </w:rPr>
        <w:t>Evropa už v roce 1923 rakouský hrabě Coudenhove-Kalergi (část svého života p</w:t>
      </w:r>
      <w:r w:rsidR="00385CD4">
        <w:rPr>
          <w:rFonts w:cs="TimesNewRomanPSMT"/>
          <w:sz w:val="24"/>
          <w:szCs w:val="24"/>
        </w:rPr>
        <w:t>rožil i v </w:t>
      </w:r>
      <w:r w:rsidRPr="008C58B3">
        <w:rPr>
          <w:rFonts w:cs="TimesNewRomanPSMT"/>
          <w:sz w:val="24"/>
          <w:szCs w:val="24"/>
        </w:rPr>
        <w:t>západních Čechách v obci Poběžovice). Jako jedin</w:t>
      </w:r>
      <w:r w:rsidR="00385CD4">
        <w:rPr>
          <w:rFonts w:cs="TimesNewRomanPSMT"/>
          <w:sz w:val="24"/>
          <w:szCs w:val="24"/>
        </w:rPr>
        <w:t>é možné řešení zachování míru a </w:t>
      </w:r>
      <w:r w:rsidRPr="008C58B3">
        <w:rPr>
          <w:rFonts w:cs="TimesNewRomanPSMT"/>
          <w:sz w:val="24"/>
          <w:szCs w:val="24"/>
        </w:rPr>
        <w:t>prosperity na evropském území viděl panevropskou unii evropských národů po vzoru Spojených států amerických. Jako významný problém viděl nemožnost spravedlivého stanovení hranic v Evropě, neboť směrodatná hlediska pro jejich určení jsou v rozporu (Kalergi identifikoval jazyková, geograficko-strategická, historická a hospodářská kritéria). Cílem by měla být identifikace stabilních hranic (vymezení spravedlivých hranic považoval za nesplnitelné). Současně Kalergi za jednu z největších hrozeb pro Evropu považoval Rusko. Jeho obavy o vývoj v Evropě nejlépe vystihuje krátká pasáž z úvodní kapitoly jeho knihy: „Evropa je posunuta ze středu světa na jeho periferii. Světová hegemonie Evropy je navždy svr</w:t>
      </w:r>
      <w:r>
        <w:rPr>
          <w:rFonts w:cs="TimesNewRomanPSMT"/>
          <w:sz w:val="24"/>
          <w:szCs w:val="24"/>
        </w:rPr>
        <w:t xml:space="preserve">žena. Kdysi probouzela strach - </w:t>
      </w:r>
      <w:r w:rsidRPr="008C58B3">
        <w:rPr>
          <w:rFonts w:cs="TimesNewRomanPSMT"/>
          <w:sz w:val="24"/>
          <w:szCs w:val="24"/>
        </w:rPr>
        <w:t>dnes soucit. Ze své pozice v</w:t>
      </w:r>
      <w:r w:rsidR="00385CD4">
        <w:rPr>
          <w:rFonts w:cs="TimesNewRomanPSMT"/>
          <w:sz w:val="24"/>
          <w:szCs w:val="24"/>
        </w:rPr>
        <w:t>ladařské pozice je zatlačena do </w:t>
      </w:r>
      <w:r w:rsidRPr="008C58B3">
        <w:rPr>
          <w:rFonts w:cs="TimesNewRomanPSMT"/>
          <w:sz w:val="24"/>
          <w:szCs w:val="24"/>
        </w:rPr>
        <w:t xml:space="preserve">defensivy: vojensky jí hrozí ruská invaze, hospodářsky dokonalejší organizace Ameriky; je zadlužená, roztříštěná, neklidná, zeslabená; je rozervána národnostními a sociálními boji; těžce poškozena co do síly obyvatelstva a průmyslu; je v chaosu hospodářském i měnovém. Tak jde od bezútěšné přítomnosti k nejisté budoucnosti. Že je postavení Ruska ještě chmurnější, nemůže být v Evropě útěchou: neboť doba pracuje pro Rusko, proti Evropě. Nesmírné bohatství půdy, neopotřebované, jednotnější lidské síly zaručují určitě budoucnost Rusku. Nechť se utváří jeho nejbližší budoucnost jakkoli: Rusko bude dřív nebo později zase velké, mocné a bohaté. Avšak budoucnost Evropy je svrchovaně nejistá. Pozbyla světové hegemonie, protože její národy byly nejednotné. Pozbude své samostatnosti a zbytku svého blahobytu, bude-li nejednotná i nadále“ </w:t>
      </w:r>
      <w:r w:rsidRPr="008C58B3">
        <w:rPr>
          <w:rFonts w:cs="TimesNewRomanPSMT"/>
          <w:sz w:val="24"/>
          <w:szCs w:val="24"/>
          <w:vertAlign w:val="superscript"/>
        </w:rPr>
        <w:footnoteReference w:id="38"/>
      </w:r>
      <w:r w:rsidRPr="008C58B3">
        <w:rPr>
          <w:rFonts w:cs="TimesNewRomanPSMT"/>
          <w:sz w:val="24"/>
          <w:szCs w:val="24"/>
        </w:rPr>
        <w:t>.</w:t>
      </w:r>
      <w:r w:rsidR="00F52F67">
        <w:rPr>
          <w:rFonts w:cs="TimesNewRomanPSMT"/>
          <w:sz w:val="24"/>
          <w:szCs w:val="24"/>
        </w:rPr>
        <w:t xml:space="preserve"> </w:t>
      </w:r>
      <w:r w:rsidR="00F52F67" w:rsidRPr="00F52F67">
        <w:rPr>
          <w:rFonts w:cs="TimesNewRomanPSMT"/>
          <w:sz w:val="24"/>
          <w:szCs w:val="24"/>
        </w:rPr>
        <w:t>I když Kalergiho panevropské myšlenky byly německým nacismem dočasně zatlačeny do pozadí (sám hrabě byl donucen emigrovat)</w:t>
      </w:r>
      <w:r w:rsidR="00F52F67">
        <w:rPr>
          <w:rFonts w:cs="TimesNewRomanPSMT"/>
          <w:sz w:val="24"/>
          <w:szCs w:val="24"/>
        </w:rPr>
        <w:t>,</w:t>
      </w:r>
      <w:r w:rsidR="00F52F67" w:rsidRPr="00F52F67">
        <w:rPr>
          <w:rFonts w:cs="TimesNewRomanPSMT"/>
          <w:sz w:val="24"/>
          <w:szCs w:val="24"/>
        </w:rPr>
        <w:t xml:space="preserve"> nejenom že neztratily nic na své aktuálnosti, ale řada z nich již byla prostřednictvím Evropské unii uskutečněna.</w:t>
      </w:r>
    </w:p>
    <w:p w:rsidR="008146BD" w:rsidRPr="00B1784B" w:rsidRDefault="008146BD" w:rsidP="008146BD">
      <w:pPr>
        <w:keepNext/>
        <w:widowControl w:val="0"/>
        <w:suppressLineNumbers/>
        <w:ind w:firstLine="720"/>
        <w:jc w:val="both"/>
        <w:rPr>
          <w:rFonts w:cs="TimesNewRomanPSMT"/>
          <w:sz w:val="24"/>
          <w:szCs w:val="24"/>
        </w:rPr>
      </w:pPr>
      <w:r w:rsidRPr="006D1DC7">
        <w:rPr>
          <w:rFonts w:cs="TimesNewRomanPSMT"/>
          <w:sz w:val="24"/>
          <w:szCs w:val="24"/>
        </w:rPr>
        <w:t>Globalizační procesy posilují vždy nejprve mezinárodní ekonomické vazby, ale poté i</w:t>
      </w:r>
      <w:r w:rsidR="00385CD4">
        <w:rPr>
          <w:rFonts w:cs="TimesNewRomanPSMT"/>
          <w:sz w:val="24"/>
          <w:szCs w:val="24"/>
        </w:rPr>
        <w:t> </w:t>
      </w:r>
      <w:r w:rsidRPr="00AB7AB3">
        <w:rPr>
          <w:rFonts w:cs="TimesNewRomanPSMT"/>
          <w:sz w:val="24"/>
          <w:szCs w:val="24"/>
        </w:rPr>
        <w:t>migraci obyvatel, motivovan</w:t>
      </w:r>
      <w:r>
        <w:rPr>
          <w:rFonts w:cs="TimesNewRomanPSMT"/>
          <w:sz w:val="24"/>
          <w:szCs w:val="24"/>
        </w:rPr>
        <w:t>ou</w:t>
      </w:r>
      <w:r w:rsidRPr="00AB7AB3">
        <w:rPr>
          <w:rFonts w:cs="TimesNewRomanPSMT"/>
          <w:sz w:val="24"/>
          <w:szCs w:val="24"/>
        </w:rPr>
        <w:t xml:space="preserve"> zvláště vyhlídkou na vyšší životní úroveň (dalším důvodem mohou být etnické a náboženské nepokoje či válečné konflikty). Problematikou imigrace cizinců se zabývá imigrační politika státu. U nadnárodních celků</w:t>
      </w:r>
      <w:r>
        <w:rPr>
          <w:rFonts w:cs="TimesNewRomanPSMT"/>
          <w:sz w:val="24"/>
          <w:szCs w:val="24"/>
        </w:rPr>
        <w:t>,</w:t>
      </w:r>
      <w:r w:rsidRPr="00AB7AB3">
        <w:rPr>
          <w:rFonts w:cs="TimesNewRomanPSMT"/>
          <w:sz w:val="24"/>
          <w:szCs w:val="24"/>
        </w:rPr>
        <w:t xml:space="preserve"> zejména EU</w:t>
      </w:r>
      <w:r>
        <w:rPr>
          <w:rFonts w:cs="TimesNewRomanPSMT"/>
          <w:sz w:val="24"/>
          <w:szCs w:val="24"/>
        </w:rPr>
        <w:t>,</w:t>
      </w:r>
      <w:r w:rsidRPr="00AB7AB3">
        <w:rPr>
          <w:rFonts w:cs="TimesNewRomanPSMT"/>
          <w:sz w:val="24"/>
          <w:szCs w:val="24"/>
        </w:rPr>
        <w:t xml:space="preserve"> je pak v tomto směru určující společná imigrační politika (nutno dodat,</w:t>
      </w:r>
      <w:r w:rsidR="00385CD4">
        <w:rPr>
          <w:rFonts w:cs="TimesNewRomanPSMT"/>
          <w:sz w:val="24"/>
          <w:szCs w:val="24"/>
        </w:rPr>
        <w:t xml:space="preserve"> že některé státy se zabývají i </w:t>
      </w:r>
      <w:r w:rsidRPr="00AB7AB3">
        <w:rPr>
          <w:rFonts w:cs="TimesNewRomanPSMT"/>
          <w:sz w:val="24"/>
          <w:szCs w:val="24"/>
        </w:rPr>
        <w:t xml:space="preserve">politikou emigrační a tomuto procesu se snaží bránit, což byla praxe známá i v bývalém Československu do roku 1989). Problematika </w:t>
      </w:r>
      <w:r w:rsidRPr="006D1DC7">
        <w:rPr>
          <w:rFonts w:cs="TimesNewRomanPSMT"/>
          <w:sz w:val="24"/>
          <w:szCs w:val="24"/>
        </w:rPr>
        <w:t>mimoevropských imigrantů je v zemích EU tradičn</w:t>
      </w:r>
      <w:r>
        <w:rPr>
          <w:rFonts w:cs="TimesNewRomanPSMT"/>
          <w:sz w:val="24"/>
          <w:szCs w:val="24"/>
        </w:rPr>
        <w:t xml:space="preserve">ím </w:t>
      </w:r>
      <w:r w:rsidRPr="006D1DC7">
        <w:rPr>
          <w:rFonts w:cs="TimesNewRomanPSMT"/>
          <w:sz w:val="24"/>
          <w:szCs w:val="24"/>
        </w:rPr>
        <w:t>politickým tématem především v bývalých koloniálních velmocích</w:t>
      </w:r>
      <w:r>
        <w:rPr>
          <w:rFonts w:cs="TimesNewRomanPSMT"/>
          <w:sz w:val="24"/>
          <w:szCs w:val="24"/>
        </w:rPr>
        <w:t>,</w:t>
      </w:r>
      <w:r w:rsidRPr="006D1DC7">
        <w:rPr>
          <w:rFonts w:cs="TimesNewRomanPSMT"/>
          <w:sz w:val="24"/>
          <w:szCs w:val="24"/>
        </w:rPr>
        <w:t xml:space="preserve"> jako jsou Velká Británie (</w:t>
      </w:r>
      <w:r>
        <w:rPr>
          <w:rFonts w:cs="TimesNewRomanPSMT"/>
          <w:sz w:val="24"/>
          <w:szCs w:val="24"/>
        </w:rPr>
        <w:t>problém imigrace z </w:t>
      </w:r>
      <w:r w:rsidRPr="006D1DC7">
        <w:rPr>
          <w:rFonts w:cs="TimesNewRomanPSMT"/>
          <w:sz w:val="24"/>
          <w:szCs w:val="24"/>
        </w:rPr>
        <w:t>Indie</w:t>
      </w:r>
      <w:r>
        <w:rPr>
          <w:rFonts w:cs="TimesNewRomanPSMT"/>
          <w:sz w:val="24"/>
          <w:szCs w:val="24"/>
        </w:rPr>
        <w:t xml:space="preserve"> a</w:t>
      </w:r>
      <w:r w:rsidRPr="006D1DC7">
        <w:rPr>
          <w:rFonts w:cs="TimesNewRomanPSMT"/>
          <w:sz w:val="24"/>
          <w:szCs w:val="24"/>
        </w:rPr>
        <w:t xml:space="preserve"> Afrik</w:t>
      </w:r>
      <w:r>
        <w:rPr>
          <w:rFonts w:cs="TimesNewRomanPSMT"/>
          <w:sz w:val="24"/>
          <w:szCs w:val="24"/>
        </w:rPr>
        <w:t>y</w:t>
      </w:r>
      <w:r w:rsidRPr="006D1DC7">
        <w:rPr>
          <w:rFonts w:cs="TimesNewRomanPSMT"/>
          <w:sz w:val="24"/>
          <w:szCs w:val="24"/>
        </w:rPr>
        <w:t>), Francie (Se</w:t>
      </w:r>
      <w:r w:rsidR="00385CD4">
        <w:rPr>
          <w:rFonts w:cs="TimesNewRomanPSMT"/>
          <w:sz w:val="24"/>
          <w:szCs w:val="24"/>
        </w:rPr>
        <w:t>verní Afrika), ale i v zemích s </w:t>
      </w:r>
      <w:r w:rsidRPr="006D1DC7">
        <w:rPr>
          <w:rFonts w:cs="TimesNewRomanPSMT"/>
          <w:sz w:val="24"/>
          <w:szCs w:val="24"/>
        </w:rPr>
        <w:t xml:space="preserve">aktuálními silnými pracovními vazbami na mimoevropské země, jako je Německo (Turecko), Itálie (Severní  Afrika) či země Visegrádské skupiny (Ukrajina, Rusko, Moldávie). Dále je možné zmínit migrační proudy v devadesátých letech </w:t>
      </w:r>
      <w:r w:rsidRPr="00B1784B">
        <w:rPr>
          <w:rFonts w:cs="TimesNewRomanPSMT"/>
          <w:sz w:val="24"/>
          <w:szCs w:val="24"/>
        </w:rPr>
        <w:t>minulého století ze zemí bývalé Jugoslávie</w:t>
      </w:r>
      <w:r>
        <w:rPr>
          <w:rFonts w:cs="TimesNewRomanPSMT"/>
          <w:sz w:val="24"/>
          <w:szCs w:val="24"/>
        </w:rPr>
        <w:t xml:space="preserve"> </w:t>
      </w:r>
      <w:r w:rsidRPr="00B1784B">
        <w:rPr>
          <w:rFonts w:cs="TimesNewRomanPSMT"/>
          <w:sz w:val="24"/>
          <w:szCs w:val="24"/>
        </w:rPr>
        <w:t xml:space="preserve">– tyto migrační proudy </w:t>
      </w:r>
      <w:r>
        <w:rPr>
          <w:rFonts w:cs="TimesNewRomanPSMT"/>
          <w:sz w:val="24"/>
          <w:szCs w:val="24"/>
        </w:rPr>
        <w:t>ovšem výrazně zeslábly po</w:t>
      </w:r>
      <w:r w:rsidR="00385CD4">
        <w:rPr>
          <w:rFonts w:cs="TimesNewRomanPSMT"/>
          <w:sz w:val="24"/>
          <w:szCs w:val="24"/>
        </w:rPr>
        <w:t xml:space="preserve"> ukončení válečného konfliktu a </w:t>
      </w:r>
      <w:r w:rsidRPr="00B1784B">
        <w:rPr>
          <w:rFonts w:cs="TimesNewRomanPSMT"/>
          <w:sz w:val="24"/>
          <w:szCs w:val="24"/>
        </w:rPr>
        <w:t xml:space="preserve">nastolení stabilnějšího politického prostředí spojeného </w:t>
      </w:r>
      <w:r>
        <w:rPr>
          <w:rFonts w:cs="TimesNewRomanPSMT"/>
          <w:sz w:val="24"/>
          <w:szCs w:val="24"/>
        </w:rPr>
        <w:t xml:space="preserve">i </w:t>
      </w:r>
      <w:r w:rsidRPr="00B1784B">
        <w:rPr>
          <w:rFonts w:cs="TimesNewRomanPSMT"/>
          <w:sz w:val="24"/>
          <w:szCs w:val="24"/>
        </w:rPr>
        <w:t>s postupnou integrací do EU (Chorvatsko).</w:t>
      </w:r>
    </w:p>
    <w:p w:rsidR="00385CD4" w:rsidRDefault="00385CD4" w:rsidP="008146BD">
      <w:pPr>
        <w:keepNext/>
        <w:widowControl w:val="0"/>
        <w:suppressLineNumbers/>
        <w:ind w:firstLine="720"/>
        <w:jc w:val="both"/>
        <w:rPr>
          <w:rFonts w:cs="TimesNewRomanPSMT"/>
          <w:sz w:val="24"/>
          <w:szCs w:val="24"/>
        </w:rPr>
      </w:pPr>
    </w:p>
    <w:p w:rsidR="008146BD" w:rsidRPr="006D1DC7" w:rsidRDefault="008146BD" w:rsidP="008146BD">
      <w:pPr>
        <w:keepNext/>
        <w:widowControl w:val="0"/>
        <w:suppressLineNumbers/>
        <w:ind w:firstLine="720"/>
        <w:jc w:val="both"/>
        <w:rPr>
          <w:rFonts w:cs="TimesNewRomanPSMT"/>
          <w:sz w:val="24"/>
          <w:szCs w:val="24"/>
        </w:rPr>
      </w:pPr>
      <w:r w:rsidRPr="006D1DC7">
        <w:rPr>
          <w:rFonts w:cs="TimesNewRomanPSMT"/>
          <w:sz w:val="24"/>
          <w:szCs w:val="24"/>
        </w:rPr>
        <w:lastRenderedPageBreak/>
        <w:t xml:space="preserve">Dopady imigrace na hostitelskou ekonomiku jsou poměrně diskutabilní záležitostí. Tuto problematiku si můžeme ilustrovat na příkladu Vídně, která se v druhé polovině 90. let 20. století stala velmi vyhledávanou destinací uprchlíků </w:t>
      </w:r>
      <w:r>
        <w:rPr>
          <w:rFonts w:cs="TimesNewRomanPSMT"/>
          <w:sz w:val="24"/>
          <w:szCs w:val="24"/>
        </w:rPr>
        <w:t xml:space="preserve">zejména </w:t>
      </w:r>
      <w:r w:rsidRPr="006D1DC7">
        <w:rPr>
          <w:rFonts w:cs="TimesNewRomanPSMT"/>
          <w:sz w:val="24"/>
          <w:szCs w:val="24"/>
        </w:rPr>
        <w:t>ze zemí bývalé Jugoslávie. Ačkoliv je Vídeň jednoznačně nejvýkonnějším regionem Rakouska, tak od roku 2000 do roku 2004 lze sledovat neustálé zpomalování míry růstu HDP per capita, a to z 6,</w:t>
      </w:r>
      <w:r>
        <w:rPr>
          <w:rFonts w:cs="TimesNewRomanPSMT"/>
          <w:sz w:val="24"/>
          <w:szCs w:val="24"/>
        </w:rPr>
        <w:t>4</w:t>
      </w:r>
      <w:r w:rsidRPr="006D1DC7">
        <w:rPr>
          <w:rFonts w:cs="TimesNewRomanPSMT"/>
          <w:sz w:val="24"/>
          <w:szCs w:val="24"/>
        </w:rPr>
        <w:t xml:space="preserve"> % v roce 2000 na 2,8 % v roce 2004, což byl v daném roce nejnižší růst ze všech rakouských spolkových zemí. Vedle toho se Vídeň stala regionem s nejvyšší mírou nezaměstnanosti</w:t>
      </w:r>
      <w:r>
        <w:rPr>
          <w:rFonts w:cs="TimesNewRomanPSMT"/>
          <w:sz w:val="24"/>
          <w:szCs w:val="24"/>
        </w:rPr>
        <w:t xml:space="preserve">, která </w:t>
      </w:r>
      <w:r w:rsidRPr="006D1DC7">
        <w:rPr>
          <w:rFonts w:cs="TimesNewRomanPSMT"/>
          <w:sz w:val="24"/>
          <w:szCs w:val="24"/>
        </w:rPr>
        <w:t xml:space="preserve">ve srovnání s některými spolkovými zeměmi dosahovala až trojnásobku (8,8 % oproti 2,9 % v Tyrolsku). Zvýšená nezaměstnanost </w:t>
      </w:r>
      <w:r>
        <w:rPr>
          <w:rFonts w:cs="TimesNewRomanPSMT"/>
          <w:sz w:val="24"/>
          <w:szCs w:val="24"/>
        </w:rPr>
        <w:t xml:space="preserve">pak </w:t>
      </w:r>
      <w:r w:rsidRPr="006D1DC7">
        <w:rPr>
          <w:rFonts w:cs="TimesNewRomanPSMT"/>
          <w:sz w:val="24"/>
          <w:szCs w:val="24"/>
        </w:rPr>
        <w:t xml:space="preserve">samozřejmě vytváří nároky na sociální politiku. V případě Vídně však šlo o příliv imigrantů, kteří se ucházeli spíše o dělnické pozice nebo byli zaměstnáváni na nižších pozicích či podnikali ve stravovacích službách. Příliv </w:t>
      </w:r>
      <w:r>
        <w:rPr>
          <w:rFonts w:cs="TimesNewRomanPSMT"/>
          <w:sz w:val="24"/>
          <w:szCs w:val="24"/>
        </w:rPr>
        <w:t xml:space="preserve">málo </w:t>
      </w:r>
      <w:r w:rsidRPr="006D1DC7">
        <w:rPr>
          <w:rFonts w:cs="TimesNewRomanPSMT"/>
          <w:sz w:val="24"/>
          <w:szCs w:val="24"/>
        </w:rPr>
        <w:t xml:space="preserve">kvalifikovaných pracovníků </w:t>
      </w:r>
      <w:r>
        <w:rPr>
          <w:rFonts w:cs="TimesNewRomanPSMT"/>
          <w:sz w:val="24"/>
          <w:szCs w:val="24"/>
        </w:rPr>
        <w:t>tak</w:t>
      </w:r>
      <w:r w:rsidRPr="006D1DC7">
        <w:rPr>
          <w:rFonts w:cs="TimesNewRomanPSMT"/>
          <w:sz w:val="24"/>
          <w:szCs w:val="24"/>
        </w:rPr>
        <w:t xml:space="preserve"> kompenzova</w:t>
      </w:r>
      <w:r>
        <w:rPr>
          <w:rFonts w:cs="TimesNewRomanPSMT"/>
          <w:sz w:val="24"/>
          <w:szCs w:val="24"/>
        </w:rPr>
        <w:t xml:space="preserve">l </w:t>
      </w:r>
      <w:r w:rsidRPr="006D1DC7">
        <w:rPr>
          <w:rFonts w:cs="TimesNewRomanPSMT"/>
          <w:sz w:val="24"/>
          <w:szCs w:val="24"/>
        </w:rPr>
        <w:t xml:space="preserve">poptávku firem po </w:t>
      </w:r>
      <w:r>
        <w:rPr>
          <w:rFonts w:cs="TimesNewRomanPSMT"/>
          <w:sz w:val="24"/>
          <w:szCs w:val="24"/>
        </w:rPr>
        <w:t xml:space="preserve">špatně placené </w:t>
      </w:r>
      <w:r w:rsidRPr="006D1DC7">
        <w:rPr>
          <w:rFonts w:cs="TimesNewRomanPSMT"/>
          <w:sz w:val="24"/>
          <w:szCs w:val="24"/>
        </w:rPr>
        <w:t>práci, kter</w:t>
      </w:r>
      <w:r>
        <w:rPr>
          <w:rFonts w:cs="TimesNewRomanPSMT"/>
          <w:sz w:val="24"/>
          <w:szCs w:val="24"/>
        </w:rPr>
        <w:t>ou</w:t>
      </w:r>
      <w:r w:rsidRPr="006D1DC7">
        <w:rPr>
          <w:rFonts w:cs="TimesNewRomanPSMT"/>
          <w:sz w:val="24"/>
          <w:szCs w:val="24"/>
        </w:rPr>
        <w:t xml:space="preserve"> již místní obyvatelstvo nech</w:t>
      </w:r>
      <w:r>
        <w:rPr>
          <w:rFonts w:cs="TimesNewRomanPSMT"/>
          <w:sz w:val="24"/>
          <w:szCs w:val="24"/>
        </w:rPr>
        <w:t>tějí vykonávat</w:t>
      </w:r>
      <w:r w:rsidRPr="006D1DC7">
        <w:rPr>
          <w:rFonts w:cs="TimesNewRomanPSMT"/>
          <w:sz w:val="24"/>
          <w:szCs w:val="24"/>
        </w:rPr>
        <w:t xml:space="preserve">. </w:t>
      </w:r>
      <w:r>
        <w:rPr>
          <w:rFonts w:cs="TimesNewRomanPSMT"/>
          <w:sz w:val="24"/>
          <w:szCs w:val="24"/>
        </w:rPr>
        <w:t>Na druhé straně je potřebné v</w:t>
      </w:r>
      <w:r w:rsidRPr="006D1DC7">
        <w:rPr>
          <w:rFonts w:cs="TimesNewRomanPSMT"/>
          <w:sz w:val="24"/>
          <w:szCs w:val="24"/>
        </w:rPr>
        <w:t xml:space="preserve"> rámci migračních procesů zmínit i </w:t>
      </w:r>
      <w:r>
        <w:rPr>
          <w:rFonts w:cs="TimesNewRomanPSMT"/>
          <w:sz w:val="24"/>
          <w:szCs w:val="24"/>
        </w:rPr>
        <w:t>tzv. „</w:t>
      </w:r>
      <w:r w:rsidRPr="00E71C9A">
        <w:rPr>
          <w:rFonts w:cs="TimesNewRomanPSMT"/>
          <w:sz w:val="24"/>
          <w:szCs w:val="24"/>
        </w:rPr>
        <w:t xml:space="preserve">odliv mozků“. S integrující se </w:t>
      </w:r>
      <w:r w:rsidRPr="006D1DC7">
        <w:rPr>
          <w:rFonts w:cs="TimesNewRomanPSMT"/>
          <w:sz w:val="24"/>
          <w:szCs w:val="24"/>
        </w:rPr>
        <w:t>globální</w:t>
      </w:r>
      <w:r w:rsidRPr="00E71C9A">
        <w:rPr>
          <w:rFonts w:cs="TimesNewRomanPSMT"/>
          <w:sz w:val="24"/>
          <w:szCs w:val="24"/>
        </w:rPr>
        <w:t xml:space="preserve"> ekonomikou a uvolňujícími se bariérami migrace obyvatel vyspělé země často volí strategický přístup </w:t>
      </w:r>
      <w:r>
        <w:rPr>
          <w:rFonts w:cs="TimesNewRomanPSMT"/>
          <w:sz w:val="24"/>
          <w:szCs w:val="24"/>
        </w:rPr>
        <w:t xml:space="preserve">orientovaný na </w:t>
      </w:r>
      <w:r w:rsidRPr="00E71C9A">
        <w:rPr>
          <w:rFonts w:cs="TimesNewRomanPSMT"/>
          <w:sz w:val="24"/>
          <w:szCs w:val="24"/>
        </w:rPr>
        <w:t>lákání nejkvalifikovanějších pracovníků z celého světa, čímž posilují své i</w:t>
      </w:r>
      <w:r w:rsidR="00385CD4">
        <w:rPr>
          <w:rFonts w:cs="TimesNewRomanPSMT"/>
          <w:sz w:val="24"/>
          <w:szCs w:val="24"/>
        </w:rPr>
        <w:t>nstitucionální i </w:t>
      </w:r>
      <w:r w:rsidRPr="00E71C9A">
        <w:rPr>
          <w:rFonts w:cs="TimesNewRomanPSMT"/>
          <w:sz w:val="24"/>
          <w:szCs w:val="24"/>
        </w:rPr>
        <w:t>ekonomické prostředí v oblastech jako je vzdělávání, věda a inovační aktivity</w:t>
      </w:r>
    </w:p>
    <w:p w:rsidR="008146BD" w:rsidRPr="006D1DC7" w:rsidRDefault="008146BD" w:rsidP="008146BD">
      <w:pPr>
        <w:keepNext/>
        <w:widowControl w:val="0"/>
        <w:suppressLineNumbers/>
        <w:ind w:firstLine="720"/>
        <w:jc w:val="both"/>
        <w:rPr>
          <w:rFonts w:cs="TimesNewRomanPSMT"/>
          <w:sz w:val="24"/>
          <w:szCs w:val="24"/>
        </w:rPr>
      </w:pPr>
      <w:r w:rsidRPr="006D1DC7">
        <w:rPr>
          <w:rFonts w:cs="TimesNewRomanPSMT"/>
          <w:sz w:val="24"/>
          <w:szCs w:val="24"/>
        </w:rPr>
        <w:t xml:space="preserve">Negativním společenským dopadům imigračních proudů z pohledu kulturního dialogu se snaží předcházet </w:t>
      </w:r>
      <w:r>
        <w:rPr>
          <w:rFonts w:cs="TimesNewRomanPSMT"/>
          <w:sz w:val="24"/>
          <w:szCs w:val="24"/>
        </w:rPr>
        <w:t xml:space="preserve">i </w:t>
      </w:r>
      <w:r w:rsidRPr="006D1DC7">
        <w:rPr>
          <w:rFonts w:cs="TimesNewRomanPSMT"/>
          <w:sz w:val="24"/>
          <w:szCs w:val="24"/>
        </w:rPr>
        <w:t xml:space="preserve">Rada Evropy, která v tomto směru iniciativně prosadila Opatijskou </w:t>
      </w:r>
      <w:r w:rsidRPr="00287FB7">
        <w:rPr>
          <w:rFonts w:cs="TimesNewRomanPSMT"/>
          <w:sz w:val="24"/>
          <w:szCs w:val="24"/>
        </w:rPr>
        <w:t>deklaraci a Deklaraci z </w:t>
      </w:r>
      <w:proofErr w:type="gramStart"/>
      <w:r w:rsidRPr="00287FB7">
        <w:rPr>
          <w:rFonts w:cs="TimesNewRomanPSMT"/>
          <w:sz w:val="24"/>
          <w:szCs w:val="24"/>
        </w:rPr>
        <w:t>Fara</w:t>
      </w:r>
      <w:proofErr w:type="gramEnd"/>
      <w:r w:rsidRPr="00287FB7">
        <w:rPr>
          <w:rFonts w:cs="TimesNewRomanPSMT"/>
          <w:sz w:val="24"/>
          <w:szCs w:val="24"/>
        </w:rPr>
        <w:t xml:space="preserve">, které se zabývají mezikulturním dialogem. Podpora tohoto dialogu </w:t>
      </w:r>
      <w:r>
        <w:rPr>
          <w:rFonts w:cs="TimesNewRomanPSMT"/>
          <w:sz w:val="24"/>
          <w:szCs w:val="24"/>
        </w:rPr>
        <w:t xml:space="preserve">pomocí </w:t>
      </w:r>
      <w:r w:rsidRPr="00287FB7">
        <w:rPr>
          <w:rFonts w:cs="TimesNewRomanPSMT"/>
          <w:sz w:val="24"/>
          <w:szCs w:val="24"/>
        </w:rPr>
        <w:t>institucionální</w:t>
      </w:r>
      <w:r>
        <w:rPr>
          <w:rFonts w:cs="TimesNewRomanPSMT"/>
          <w:sz w:val="24"/>
          <w:szCs w:val="24"/>
        </w:rPr>
        <w:t>ch</w:t>
      </w:r>
      <w:r w:rsidRPr="00287FB7">
        <w:rPr>
          <w:rFonts w:cs="TimesNewRomanPSMT"/>
          <w:sz w:val="24"/>
          <w:szCs w:val="24"/>
        </w:rPr>
        <w:t>, politický</w:t>
      </w:r>
      <w:r>
        <w:rPr>
          <w:rFonts w:cs="TimesNewRomanPSMT"/>
          <w:sz w:val="24"/>
          <w:szCs w:val="24"/>
        </w:rPr>
        <w:t>ch</w:t>
      </w:r>
      <w:r w:rsidRPr="00287FB7">
        <w:rPr>
          <w:rFonts w:cs="TimesNewRomanPSMT"/>
          <w:sz w:val="24"/>
          <w:szCs w:val="24"/>
        </w:rPr>
        <w:t xml:space="preserve"> </w:t>
      </w:r>
      <w:r>
        <w:rPr>
          <w:rFonts w:cs="TimesNewRomanPSMT"/>
          <w:sz w:val="24"/>
          <w:szCs w:val="24"/>
        </w:rPr>
        <w:t>i</w:t>
      </w:r>
      <w:r w:rsidRPr="00287FB7">
        <w:rPr>
          <w:rFonts w:cs="TimesNewRomanPSMT"/>
          <w:sz w:val="24"/>
          <w:szCs w:val="24"/>
        </w:rPr>
        <w:t xml:space="preserve"> ekonomický</w:t>
      </w:r>
      <w:r>
        <w:rPr>
          <w:rFonts w:cs="TimesNewRomanPSMT"/>
          <w:sz w:val="24"/>
          <w:szCs w:val="24"/>
        </w:rPr>
        <w:t>ch</w:t>
      </w:r>
      <w:r w:rsidRPr="00287FB7">
        <w:rPr>
          <w:rFonts w:cs="TimesNewRomanPSMT"/>
          <w:sz w:val="24"/>
          <w:szCs w:val="24"/>
        </w:rPr>
        <w:t xml:space="preserve"> nástroj</w:t>
      </w:r>
      <w:r>
        <w:rPr>
          <w:rFonts w:cs="TimesNewRomanPSMT"/>
          <w:sz w:val="24"/>
          <w:szCs w:val="24"/>
        </w:rPr>
        <w:t>ů</w:t>
      </w:r>
      <w:r w:rsidRPr="00287FB7">
        <w:rPr>
          <w:rFonts w:cs="TimesNewRomanPSMT"/>
          <w:sz w:val="24"/>
          <w:szCs w:val="24"/>
        </w:rPr>
        <w:t xml:space="preserve"> je v podstatě jediným preventivním řešením (pokud neuvažujeme uzavření hranic) interkulturních společenských neshod vznikajících na úrovni mezinárodní i jednotlivých států či regionů </w:t>
      </w:r>
      <w:r>
        <w:rPr>
          <w:rFonts w:cs="TimesNewRomanPSMT"/>
          <w:sz w:val="24"/>
          <w:szCs w:val="24"/>
        </w:rPr>
        <w:t>(</w:t>
      </w:r>
      <w:r w:rsidRPr="00287FB7">
        <w:rPr>
          <w:rFonts w:cs="TimesNewRomanPSMT"/>
          <w:sz w:val="24"/>
          <w:szCs w:val="24"/>
        </w:rPr>
        <w:t>národnostní menšiny se</w:t>
      </w:r>
      <w:r>
        <w:rPr>
          <w:rFonts w:cs="TimesNewRomanPSMT"/>
          <w:sz w:val="24"/>
          <w:szCs w:val="24"/>
        </w:rPr>
        <w:t xml:space="preserve"> </w:t>
      </w:r>
      <w:r w:rsidRPr="00287FB7">
        <w:rPr>
          <w:rFonts w:cs="TimesNewRomanPSMT"/>
          <w:sz w:val="24"/>
          <w:szCs w:val="24"/>
        </w:rPr>
        <w:t xml:space="preserve">mohou vyskytovat i na </w:t>
      </w:r>
      <w:r>
        <w:rPr>
          <w:rFonts w:cs="TimesNewRomanPSMT"/>
          <w:sz w:val="24"/>
          <w:szCs w:val="24"/>
        </w:rPr>
        <w:t xml:space="preserve">souvislých </w:t>
      </w:r>
      <w:r w:rsidRPr="00287FB7">
        <w:rPr>
          <w:rFonts w:cs="TimesNewRomanPSMT"/>
          <w:sz w:val="24"/>
          <w:szCs w:val="24"/>
        </w:rPr>
        <w:t xml:space="preserve">územích nerespektujících stávající státní hranice </w:t>
      </w:r>
      <w:r>
        <w:rPr>
          <w:rFonts w:cs="TimesNewRomanPSMT"/>
          <w:sz w:val="24"/>
          <w:szCs w:val="24"/>
        </w:rPr>
        <w:t xml:space="preserve">– </w:t>
      </w:r>
      <w:r w:rsidRPr="00287FB7">
        <w:rPr>
          <w:rFonts w:cs="TimesNewRomanPSMT"/>
          <w:sz w:val="24"/>
          <w:szCs w:val="24"/>
        </w:rPr>
        <w:t xml:space="preserve">viz např. zastoupení ruských obyvatel na Ukrajině či kurdské menšiny v Sýrii, Iráku a Turecku). </w:t>
      </w:r>
    </w:p>
    <w:p w:rsidR="008146BD" w:rsidRPr="006D1DC7" w:rsidRDefault="008146BD" w:rsidP="008146BD">
      <w:pPr>
        <w:keepNext/>
        <w:widowControl w:val="0"/>
        <w:suppressLineNumbers/>
        <w:ind w:firstLine="720"/>
        <w:jc w:val="both"/>
        <w:rPr>
          <w:rFonts w:cs="TimesNewRomanPSMT"/>
          <w:sz w:val="24"/>
          <w:szCs w:val="24"/>
        </w:rPr>
      </w:pPr>
      <w:r w:rsidRPr="00354C1F">
        <w:rPr>
          <w:rFonts w:cs="TimesNewRomanPSMT"/>
          <w:sz w:val="24"/>
          <w:szCs w:val="24"/>
        </w:rPr>
        <w:t xml:space="preserve">V českých zemích má zaměstnávání cizinců již dlouholetou tradici. V tomto směru byl patrně prvním významným hybatelem již císař Karel IV., jehož vláda měla evropský charakter a v Praze  tehdy sídlil císařský dvůr přitahující tehdejší elitu. Další významnou atraktivitou byla rozsáhlá stavební činnost, která byla důvodem příchodu mnoha zahraničních architektů a stavitelů </w:t>
      </w:r>
      <w:r w:rsidRPr="002A2F94">
        <w:rPr>
          <w:rFonts w:cs="TimesNewRomanPSMT"/>
          <w:sz w:val="24"/>
          <w:szCs w:val="24"/>
        </w:rPr>
        <w:t>se svými stavebními dílnami. Třetím faktorem determinujícím tehdejší příliv cizinců do českých zemí pak byla kolonizace českého hornatého pohraničí, kam byli zváni především němečtí kolonizátoři (Bobková, 2003). Po dlouhém období husitských revolucí podnítil další migraci nástup Habsburské říše, kdy docházelo k přesunům obyvatelstva mezi jednotlivými zeměmi impéria. Zde je vhodné zmínit období vlády císaře Rudolfa II., který umístil císařský dvůr do Prahy, což mělo vliv na příliv učenců a umělců. Nejmasivnější migrační proudy se ovšem v českých zemíc</w:t>
      </w:r>
      <w:r w:rsidR="00385CD4">
        <w:rPr>
          <w:rFonts w:cs="TimesNewRomanPSMT"/>
          <w:sz w:val="24"/>
          <w:szCs w:val="24"/>
        </w:rPr>
        <w:t>h odehrály v první polovině 20. </w:t>
      </w:r>
      <w:r w:rsidRPr="002A2F94">
        <w:rPr>
          <w:rFonts w:cs="TimesNewRomanPSMT"/>
          <w:sz w:val="24"/>
          <w:szCs w:val="24"/>
        </w:rPr>
        <w:t>století. Již před první světovou válkou se tehdy z českých zemí vystěhovalo asi 1,2 mil. obyvatel (z toho cca 1 mil. české národnosti). Hlavními de</w:t>
      </w:r>
      <w:r w:rsidR="00385CD4">
        <w:rPr>
          <w:rFonts w:cs="TimesNewRomanPSMT"/>
          <w:sz w:val="24"/>
          <w:szCs w:val="24"/>
        </w:rPr>
        <w:t>stinacemi byly Dolní Rakousko a </w:t>
      </w:r>
      <w:r w:rsidRPr="002A2F94">
        <w:rPr>
          <w:rFonts w:cs="TimesNewRomanPSMT"/>
          <w:sz w:val="24"/>
          <w:szCs w:val="24"/>
        </w:rPr>
        <w:t>USA (do každé zamířilo asi 400 tis. obyv.), dalšími cílovými zeměmi bylo Německo (asi 200 tis.), Uhry a Rusko. Tato emigrační vlna byla tlumena z</w:t>
      </w:r>
      <w:r w:rsidR="00385CD4">
        <w:rPr>
          <w:rFonts w:cs="TimesNewRomanPSMT"/>
          <w:sz w:val="24"/>
          <w:szCs w:val="24"/>
        </w:rPr>
        <w:t>pětnou migrací v rozsahu asi 30 </w:t>
      </w:r>
      <w:r w:rsidRPr="002A2F94">
        <w:rPr>
          <w:rFonts w:cs="TimesNewRomanPSMT"/>
          <w:sz w:val="24"/>
          <w:szCs w:val="24"/>
        </w:rPr>
        <w:t xml:space="preserve">% z celkového počtu vystěhovalých. V letech 1918 až 1921 proběhla imigrační vlna </w:t>
      </w:r>
      <w:r w:rsidRPr="005C29F1">
        <w:rPr>
          <w:rFonts w:cs="TimesNewRomanPSMT"/>
          <w:sz w:val="24"/>
          <w:szCs w:val="24"/>
        </w:rPr>
        <w:lastRenderedPageBreak/>
        <w:t>způsobená první světovou válkou – šlo o navrátilce z válečného konfliktu, kdy např. z Ruska se vrátilo asi 10 tis. osob (Ocásková, 2006). Výrazným podnětem k</w:t>
      </w:r>
      <w:r>
        <w:rPr>
          <w:rFonts w:cs="TimesNewRomanPSMT"/>
          <w:sz w:val="24"/>
          <w:szCs w:val="24"/>
        </w:rPr>
        <w:t xml:space="preserve"> různorodým a vnuceným </w:t>
      </w:r>
      <w:r w:rsidRPr="005C29F1">
        <w:rPr>
          <w:rFonts w:cs="TimesNewRomanPSMT"/>
          <w:sz w:val="24"/>
          <w:szCs w:val="24"/>
        </w:rPr>
        <w:t xml:space="preserve">migračním pohybům byla i Mnichovská dohoda (Baršová, Barša, 2005). Nejvýznamnější emigrační proud pak přišel po </w:t>
      </w:r>
      <w:r w:rsidRPr="006D1DC7">
        <w:rPr>
          <w:rFonts w:cs="TimesNewRomanPSMT"/>
          <w:sz w:val="24"/>
          <w:szCs w:val="24"/>
        </w:rPr>
        <w:t>2. světové válce, kdy byl Benešovými dekrety spuštěn proces odsunu e</w:t>
      </w:r>
      <w:r w:rsidR="00CA09E9">
        <w:rPr>
          <w:rFonts w:cs="TimesNewRomanPSMT"/>
          <w:sz w:val="24"/>
          <w:szCs w:val="24"/>
        </w:rPr>
        <w:t>tnických Němců. V letech 1945–</w:t>
      </w:r>
      <w:r w:rsidRPr="006D1DC7">
        <w:rPr>
          <w:rFonts w:cs="TimesNewRomanPSMT"/>
          <w:sz w:val="24"/>
          <w:szCs w:val="24"/>
        </w:rPr>
        <w:t>1947 klesl počet obyvatel německé národno</w:t>
      </w:r>
      <w:r w:rsidR="00CA09E9">
        <w:rPr>
          <w:rFonts w:cs="TimesNewRomanPSMT"/>
          <w:sz w:val="24"/>
          <w:szCs w:val="24"/>
        </w:rPr>
        <w:t xml:space="preserve">sti v Čechách a na Moravě </w:t>
      </w:r>
      <w:proofErr w:type="gramStart"/>
      <w:r w:rsidR="00CA09E9">
        <w:rPr>
          <w:rFonts w:cs="TimesNewRomanPSMT"/>
          <w:sz w:val="24"/>
          <w:szCs w:val="24"/>
        </w:rPr>
        <w:t>ze</w:t>
      </w:r>
      <w:proofErr w:type="gramEnd"/>
      <w:r w:rsidR="00CA09E9">
        <w:rPr>
          <w:rFonts w:cs="TimesNewRomanPSMT"/>
          <w:sz w:val="24"/>
          <w:szCs w:val="24"/>
        </w:rPr>
        <w:t xml:space="preserve"> 3</w:t>
      </w:r>
      <w:r w:rsidRPr="006D1DC7">
        <w:rPr>
          <w:rFonts w:cs="TimesNewRomanPSMT"/>
          <w:sz w:val="24"/>
          <w:szCs w:val="24"/>
        </w:rPr>
        <w:t xml:space="preserve"> mil. na 180 tis. obyv. a na Slovensku z 200 tis. na 24 tis. obyv.</w:t>
      </w:r>
      <w:r>
        <w:rPr>
          <w:rFonts w:cs="TimesNewRomanPSMT"/>
          <w:sz w:val="24"/>
          <w:szCs w:val="24"/>
        </w:rPr>
        <w:t xml:space="preserve"> </w:t>
      </w:r>
      <w:r w:rsidRPr="006D1DC7">
        <w:rPr>
          <w:rFonts w:cs="TimesNewRomanPSMT"/>
          <w:sz w:val="24"/>
          <w:szCs w:val="24"/>
        </w:rPr>
        <w:t xml:space="preserve">(Šašinka, 2012).  </w:t>
      </w:r>
    </w:p>
    <w:p w:rsidR="008146BD" w:rsidRPr="006D1DC7" w:rsidRDefault="008146BD" w:rsidP="008146BD">
      <w:pPr>
        <w:keepNext/>
        <w:widowControl w:val="0"/>
        <w:suppressLineNumbers/>
        <w:ind w:firstLine="720"/>
        <w:jc w:val="both"/>
        <w:rPr>
          <w:rFonts w:cs="TimesNewRomanPSMT"/>
          <w:sz w:val="24"/>
          <w:szCs w:val="24"/>
        </w:rPr>
      </w:pPr>
      <w:r w:rsidRPr="006D1DC7">
        <w:rPr>
          <w:rFonts w:cs="TimesNewRomanPSMT"/>
          <w:sz w:val="24"/>
          <w:szCs w:val="24"/>
        </w:rPr>
        <w:t xml:space="preserve">Konec 2. světové války </w:t>
      </w:r>
      <w:r>
        <w:rPr>
          <w:rFonts w:cs="TimesNewRomanPSMT"/>
          <w:sz w:val="24"/>
          <w:szCs w:val="24"/>
        </w:rPr>
        <w:t xml:space="preserve">potom </w:t>
      </w:r>
      <w:r w:rsidRPr="006D1DC7">
        <w:rPr>
          <w:rFonts w:cs="TimesNewRomanPSMT"/>
          <w:sz w:val="24"/>
          <w:szCs w:val="24"/>
        </w:rPr>
        <w:t>znamenal návrat osob, které odešly do zahraničí – celkový počet v letech 1945 až 1946 však činil pouze asi 64 tis. osob (Ocásková, 2006). V letech 1947 až 1950 pak do Československa mířily migrační proudy z Ukrajiny, Rumunska, Argentiny a dalších zemí – celkový počet přistěhovalců, včetně 13 tis. Řeků vypuzených ze své země občanskou válkou, dosáhl asi 220 tis. osob (Ocásková, 2006). Na druhé straně je třeba zmínit emigraci po únoru 1948</w:t>
      </w:r>
      <w:r>
        <w:rPr>
          <w:rFonts w:cs="TimesNewRomanPSMT"/>
          <w:sz w:val="24"/>
          <w:szCs w:val="24"/>
        </w:rPr>
        <w:t xml:space="preserve"> v objemu </w:t>
      </w:r>
      <w:r w:rsidRPr="006D1DC7">
        <w:rPr>
          <w:rFonts w:cs="TimesNewRomanPSMT"/>
          <w:sz w:val="24"/>
          <w:szCs w:val="24"/>
        </w:rPr>
        <w:t>asi 40 tis. osob a po srpnu 1968 asi 80 tis. osob. V rámci ekonomické migrace b</w:t>
      </w:r>
      <w:r w:rsidR="00CA09E9">
        <w:rPr>
          <w:rFonts w:cs="TimesNewRomanPSMT"/>
          <w:sz w:val="24"/>
          <w:szCs w:val="24"/>
        </w:rPr>
        <w:t>ylo Československo od 60.</w:t>
      </w:r>
      <w:r w:rsidRPr="006D1DC7">
        <w:rPr>
          <w:rFonts w:cs="TimesNewRomanPSMT"/>
          <w:sz w:val="24"/>
          <w:szCs w:val="24"/>
        </w:rPr>
        <w:t xml:space="preserve"> let navázáno na sousední socialistické země. Od 70. let se pak začaly rozvíjet politické vztahy s Vietnamem a již v roce 1983 dosáhl počet Vietnamců v Československu 27 tis. osob (Baršová 2005). Po pádu komunistického režimu </w:t>
      </w:r>
      <w:r>
        <w:rPr>
          <w:rFonts w:cs="TimesNewRomanPSMT"/>
          <w:sz w:val="24"/>
          <w:szCs w:val="24"/>
        </w:rPr>
        <w:t xml:space="preserve">v </w:t>
      </w:r>
      <w:r w:rsidRPr="006D1DC7">
        <w:rPr>
          <w:rFonts w:cs="TimesNewRomanPSMT"/>
          <w:sz w:val="24"/>
          <w:szCs w:val="24"/>
        </w:rPr>
        <w:t>roce 1989</w:t>
      </w:r>
      <w:r>
        <w:rPr>
          <w:rFonts w:cs="TimesNewRomanPSMT"/>
          <w:sz w:val="24"/>
          <w:szCs w:val="24"/>
        </w:rPr>
        <w:t xml:space="preserve"> </w:t>
      </w:r>
      <w:r w:rsidRPr="006D1DC7">
        <w:rPr>
          <w:rFonts w:cs="TimesNewRomanPSMT"/>
          <w:sz w:val="24"/>
          <w:szCs w:val="24"/>
        </w:rPr>
        <w:t>došlo k otevření hranic, které bylo samozřejmě spojené s významným nárůstem emigračních i imigračních proudů. Následující graf zachycuje migrační saldo cizinců za období let 1995 až 2010.</w:t>
      </w:r>
    </w:p>
    <w:p w:rsidR="008146BD" w:rsidRPr="00E63699" w:rsidRDefault="008146BD" w:rsidP="008146BD">
      <w:pPr>
        <w:keepNext/>
        <w:widowControl w:val="0"/>
        <w:suppressLineNumbers/>
        <w:spacing w:before="200"/>
        <w:ind w:firstLine="720"/>
        <w:jc w:val="both"/>
        <w:rPr>
          <w:rFonts w:ascii="Calibri" w:eastAsia="Batang" w:hAnsi="Calibri" w:cs="Calibri"/>
          <w:b/>
          <w:bCs/>
          <w:kern w:val="32"/>
          <w:sz w:val="24"/>
          <w:szCs w:val="24"/>
          <w:lang w:eastAsia="ar-SA"/>
        </w:rPr>
      </w:pPr>
      <w:r w:rsidRPr="00E63699">
        <w:rPr>
          <w:noProof/>
          <w:lang w:val="en-GB" w:eastAsia="en-GB"/>
        </w:rPr>
        <w:drawing>
          <wp:inline distT="0" distB="0" distL="0" distR="0" wp14:anchorId="0C0C6C4E" wp14:editId="53A3976B">
            <wp:extent cx="5114925" cy="2514600"/>
            <wp:effectExtent l="0" t="0" r="0" b="0"/>
            <wp:docPr id="32"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146BD" w:rsidRPr="009C7583" w:rsidRDefault="006B61FE" w:rsidP="006B61FE">
      <w:pPr>
        <w:pStyle w:val="0G-Titulek"/>
        <w:rPr>
          <w:lang w:eastAsia="en-GB"/>
        </w:rPr>
      </w:pPr>
      <w:bookmarkStart w:id="163" w:name="_Toc382326837"/>
      <w:r>
        <w:rPr>
          <w:rFonts w:eastAsia="Batang"/>
        </w:rPr>
        <w:t>Obrázek 33</w:t>
      </w:r>
      <w:r w:rsidR="008146BD" w:rsidRPr="008D0830">
        <w:rPr>
          <w:rFonts w:eastAsia="Batang"/>
        </w:rPr>
        <w:t xml:space="preserve">: Vývoj migračního </w:t>
      </w:r>
      <w:r w:rsidR="008146BD" w:rsidRPr="009C7583">
        <w:rPr>
          <w:rFonts w:eastAsia="Batang"/>
        </w:rPr>
        <w:t>salda cizinců v ČR v období 1995 až 2010</w:t>
      </w:r>
      <w:bookmarkEnd w:id="163"/>
    </w:p>
    <w:p w:rsidR="008146BD" w:rsidRPr="009C7583" w:rsidRDefault="008146BD" w:rsidP="008146BD">
      <w:pPr>
        <w:keepNext/>
        <w:widowControl w:val="0"/>
        <w:suppressLineNumbers/>
        <w:suppressAutoHyphens/>
        <w:spacing w:after="0"/>
        <w:jc w:val="center"/>
        <w:outlineLvl w:val="0"/>
        <w:rPr>
          <w:rFonts w:ascii="Calibri" w:eastAsia="Batang" w:hAnsi="Calibri" w:cs="Calibri"/>
          <w:bCs/>
          <w:i/>
          <w:kern w:val="32"/>
          <w:lang w:eastAsia="ar-SA"/>
        </w:rPr>
      </w:pPr>
      <w:r w:rsidRPr="009C7583">
        <w:rPr>
          <w:rFonts w:ascii="Calibri" w:hAnsi="Calibri" w:cs="Calibri"/>
          <w:i/>
        </w:rPr>
        <w:t>Pramen: ČSÚ, 2014</w:t>
      </w:r>
    </w:p>
    <w:p w:rsidR="008146BD" w:rsidRPr="009A70D8" w:rsidRDefault="008146BD" w:rsidP="00721218">
      <w:pPr>
        <w:keepNext/>
        <w:widowControl w:val="0"/>
        <w:suppressLineNumbers/>
        <w:spacing w:before="200" w:after="120"/>
        <w:ind w:firstLine="720"/>
        <w:jc w:val="both"/>
        <w:rPr>
          <w:rFonts w:cs="TimesNewRomanPSMT"/>
          <w:sz w:val="24"/>
          <w:szCs w:val="24"/>
        </w:rPr>
      </w:pPr>
      <w:r w:rsidRPr="009A70D8">
        <w:rPr>
          <w:rFonts w:cs="TimesNewRomanPSMT"/>
          <w:sz w:val="24"/>
          <w:szCs w:val="24"/>
        </w:rPr>
        <w:t xml:space="preserve">Z grafu je patrné, že v daném období jasně převažují přistěhovalí nad vystěhovalými, přičemž do roku 2000 bylo saldo mírně kladné do 10. tis. přistěhovalých ročně. Rok 2001 pak byl jediný rok, kdy se saldo dostalo do záporných čísel. Od roku 2002 do roku 2007 došlo k poměrně strmému nárůstu a vrcholem v roce 2007, kdy se přistěhovalo více než 84 tis. cizinců. Poté nastal pokles trvající až do konce sledovaného období. V následující tabulce je zachyceno složení přistěhovalců dle státního občanství. První místo zaujímají Ukrajinci (přes 107 tis.), následovaní Vietnamci (42 tis.), Slováky (34 tis.) a Rusy (25 tis.). </w:t>
      </w:r>
    </w:p>
    <w:p w:rsidR="008146BD" w:rsidRPr="009C689A" w:rsidRDefault="008146BD" w:rsidP="006B61FE">
      <w:pPr>
        <w:pStyle w:val="0T-Titulek"/>
      </w:pPr>
      <w:bookmarkStart w:id="164" w:name="_Toc382326472"/>
      <w:r w:rsidRPr="009C689A">
        <w:lastRenderedPageBreak/>
        <w:t>Tabulka 45: Migrační saldo cizinců v ČR dle státního občanství v letech 2003 až 2010</w:t>
      </w:r>
      <w:bookmarkEnd w:id="164"/>
    </w:p>
    <w:tbl>
      <w:tblPr>
        <w:tblW w:w="9071" w:type="dxa"/>
        <w:tblInd w:w="55" w:type="dxa"/>
        <w:tblLayout w:type="fixed"/>
        <w:tblCellMar>
          <w:left w:w="70" w:type="dxa"/>
          <w:right w:w="70" w:type="dxa"/>
        </w:tblCellMar>
        <w:tblLook w:val="04A0" w:firstRow="1" w:lastRow="0" w:firstColumn="1" w:lastColumn="0" w:noHBand="0" w:noVBand="1"/>
      </w:tblPr>
      <w:tblGrid>
        <w:gridCol w:w="1511"/>
        <w:gridCol w:w="833"/>
        <w:gridCol w:w="833"/>
        <w:gridCol w:w="833"/>
        <w:gridCol w:w="833"/>
        <w:gridCol w:w="833"/>
        <w:gridCol w:w="833"/>
        <w:gridCol w:w="833"/>
        <w:gridCol w:w="833"/>
        <w:gridCol w:w="896"/>
      </w:tblGrid>
      <w:tr w:rsidR="008146BD" w:rsidRPr="00E63699" w:rsidTr="00881523">
        <w:trPr>
          <w:trHeight w:hRule="exact" w:val="284"/>
        </w:trPr>
        <w:tc>
          <w:tcPr>
            <w:tcW w:w="1531" w:type="dxa"/>
            <w:tcBorders>
              <w:top w:val="single" w:sz="4" w:space="0" w:color="auto"/>
              <w:left w:val="single" w:sz="4" w:space="0" w:color="auto"/>
              <w:bottom w:val="single" w:sz="4" w:space="0" w:color="auto"/>
              <w:right w:val="single" w:sz="4" w:space="0" w:color="auto"/>
            </w:tcBorders>
            <w:noWrap/>
            <w:vAlign w:val="center"/>
            <w:hideMark/>
          </w:tcPr>
          <w:p w:rsidR="008146BD" w:rsidRPr="009C7583" w:rsidRDefault="008146BD" w:rsidP="007A7D80">
            <w:pPr>
              <w:keepNext/>
              <w:suppressLineNumbers/>
              <w:spacing w:after="0"/>
              <w:rPr>
                <w:rFonts w:asciiTheme="minorHAnsi" w:hAnsiTheme="minorHAnsi" w:cstheme="minorHAnsi"/>
                <w:b/>
                <w:bCs/>
              </w:rPr>
            </w:pPr>
            <w:r w:rsidRPr="009C7583">
              <w:rPr>
                <w:rFonts w:asciiTheme="minorHAnsi" w:hAnsiTheme="minorHAnsi" w:cstheme="minorHAnsi"/>
                <w:b/>
                <w:bCs/>
              </w:rPr>
              <w:t>občanství</w:t>
            </w:r>
          </w:p>
        </w:tc>
        <w:tc>
          <w:tcPr>
            <w:tcW w:w="843" w:type="dxa"/>
            <w:tcBorders>
              <w:top w:val="single" w:sz="4" w:space="0" w:color="auto"/>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rPr>
            </w:pPr>
            <w:r w:rsidRPr="009C7583">
              <w:rPr>
                <w:rFonts w:asciiTheme="minorHAnsi" w:hAnsiTheme="minorHAnsi" w:cstheme="minorHAnsi"/>
                <w:b/>
                <w:bCs/>
              </w:rPr>
              <w:t>2003</w:t>
            </w:r>
          </w:p>
        </w:tc>
        <w:tc>
          <w:tcPr>
            <w:tcW w:w="843" w:type="dxa"/>
            <w:tcBorders>
              <w:top w:val="single" w:sz="4" w:space="0" w:color="auto"/>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rPr>
            </w:pPr>
            <w:r w:rsidRPr="009C7583">
              <w:rPr>
                <w:rFonts w:asciiTheme="minorHAnsi" w:hAnsiTheme="minorHAnsi" w:cstheme="minorHAnsi"/>
                <w:b/>
                <w:bCs/>
              </w:rPr>
              <w:t>2004</w:t>
            </w:r>
          </w:p>
        </w:tc>
        <w:tc>
          <w:tcPr>
            <w:tcW w:w="843" w:type="dxa"/>
            <w:tcBorders>
              <w:top w:val="single" w:sz="4" w:space="0" w:color="auto"/>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rPr>
            </w:pPr>
            <w:r w:rsidRPr="009C7583">
              <w:rPr>
                <w:rFonts w:asciiTheme="minorHAnsi" w:hAnsiTheme="minorHAnsi" w:cstheme="minorHAnsi"/>
                <w:b/>
                <w:bCs/>
              </w:rPr>
              <w:t>2005</w:t>
            </w:r>
          </w:p>
        </w:tc>
        <w:tc>
          <w:tcPr>
            <w:tcW w:w="843" w:type="dxa"/>
            <w:tcBorders>
              <w:top w:val="single" w:sz="4" w:space="0" w:color="auto"/>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rPr>
            </w:pPr>
            <w:r w:rsidRPr="009C7583">
              <w:rPr>
                <w:rFonts w:asciiTheme="minorHAnsi" w:hAnsiTheme="minorHAnsi" w:cstheme="minorHAnsi"/>
                <w:b/>
                <w:bCs/>
              </w:rPr>
              <w:t>2006</w:t>
            </w:r>
          </w:p>
        </w:tc>
        <w:tc>
          <w:tcPr>
            <w:tcW w:w="843" w:type="dxa"/>
            <w:tcBorders>
              <w:top w:val="single" w:sz="4" w:space="0" w:color="auto"/>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rPr>
            </w:pPr>
            <w:r w:rsidRPr="009C7583">
              <w:rPr>
                <w:rFonts w:asciiTheme="minorHAnsi" w:hAnsiTheme="minorHAnsi" w:cstheme="minorHAnsi"/>
                <w:b/>
                <w:bCs/>
              </w:rPr>
              <w:t>2007</w:t>
            </w:r>
          </w:p>
        </w:tc>
        <w:tc>
          <w:tcPr>
            <w:tcW w:w="843" w:type="dxa"/>
            <w:tcBorders>
              <w:top w:val="single" w:sz="4" w:space="0" w:color="auto"/>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rPr>
            </w:pPr>
            <w:r w:rsidRPr="009C7583">
              <w:rPr>
                <w:rFonts w:asciiTheme="minorHAnsi" w:hAnsiTheme="minorHAnsi" w:cstheme="minorHAnsi"/>
                <w:b/>
                <w:bCs/>
              </w:rPr>
              <w:t>2008</w:t>
            </w:r>
          </w:p>
        </w:tc>
        <w:tc>
          <w:tcPr>
            <w:tcW w:w="843" w:type="dxa"/>
            <w:tcBorders>
              <w:top w:val="single" w:sz="4" w:space="0" w:color="auto"/>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rPr>
            </w:pPr>
            <w:r w:rsidRPr="009C7583">
              <w:rPr>
                <w:rFonts w:asciiTheme="minorHAnsi" w:hAnsiTheme="minorHAnsi" w:cstheme="minorHAnsi"/>
                <w:b/>
                <w:bCs/>
              </w:rPr>
              <w:t>2009</w:t>
            </w:r>
          </w:p>
        </w:tc>
        <w:tc>
          <w:tcPr>
            <w:tcW w:w="843" w:type="dxa"/>
            <w:tcBorders>
              <w:top w:val="single" w:sz="4" w:space="0" w:color="auto"/>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rPr>
            </w:pPr>
            <w:r w:rsidRPr="009C7583">
              <w:rPr>
                <w:rFonts w:asciiTheme="minorHAnsi" w:hAnsiTheme="minorHAnsi" w:cstheme="minorHAnsi"/>
                <w:b/>
                <w:bCs/>
              </w:rPr>
              <w:t>2010</w:t>
            </w:r>
          </w:p>
        </w:tc>
        <w:tc>
          <w:tcPr>
            <w:tcW w:w="907" w:type="dxa"/>
            <w:tcBorders>
              <w:top w:val="single" w:sz="4" w:space="0" w:color="auto"/>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rPr>
            </w:pPr>
            <w:r w:rsidRPr="009C7583">
              <w:rPr>
                <w:rFonts w:asciiTheme="minorHAnsi" w:hAnsiTheme="minorHAnsi" w:cstheme="minorHAnsi"/>
                <w:b/>
                <w:bCs/>
              </w:rPr>
              <w:t>Celkem</w:t>
            </w:r>
          </w:p>
        </w:tc>
      </w:tr>
      <w:tr w:rsidR="008146BD" w:rsidRPr="00E63699" w:rsidTr="00881523">
        <w:trPr>
          <w:trHeight w:hRule="exact" w:val="284"/>
        </w:trPr>
        <w:tc>
          <w:tcPr>
            <w:tcW w:w="1531" w:type="dxa"/>
            <w:tcBorders>
              <w:top w:val="nil"/>
              <w:left w:val="single" w:sz="4" w:space="0" w:color="auto"/>
              <w:bottom w:val="single" w:sz="4" w:space="0" w:color="auto"/>
              <w:right w:val="single" w:sz="4" w:space="0" w:color="auto"/>
            </w:tcBorders>
            <w:noWrap/>
            <w:vAlign w:val="center"/>
            <w:hideMark/>
          </w:tcPr>
          <w:p w:rsidR="008146BD" w:rsidRPr="009C7583" w:rsidRDefault="008146BD" w:rsidP="007A7D80">
            <w:pPr>
              <w:keepNext/>
              <w:suppressLineNumbers/>
              <w:spacing w:after="0"/>
              <w:rPr>
                <w:rFonts w:asciiTheme="minorHAnsi" w:hAnsiTheme="minorHAnsi" w:cstheme="minorHAnsi"/>
              </w:rPr>
            </w:pPr>
            <w:r w:rsidRPr="009C7583">
              <w:rPr>
                <w:rFonts w:asciiTheme="minorHAnsi" w:hAnsiTheme="minorHAnsi" w:cstheme="minorHAnsi"/>
              </w:rPr>
              <w:t>Ukrajina</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10 062</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11 357</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12 483</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12 993</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30 902</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18 575</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8 051</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3 432</w:t>
            </w:r>
          </w:p>
        </w:tc>
        <w:tc>
          <w:tcPr>
            <w:tcW w:w="907"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107 855</w:t>
            </w:r>
          </w:p>
        </w:tc>
      </w:tr>
      <w:tr w:rsidR="008146BD" w:rsidRPr="00E63699" w:rsidTr="00881523">
        <w:trPr>
          <w:trHeight w:hRule="exact" w:val="284"/>
        </w:trPr>
        <w:tc>
          <w:tcPr>
            <w:tcW w:w="1418" w:type="dxa"/>
            <w:tcBorders>
              <w:top w:val="nil"/>
              <w:left w:val="single" w:sz="4" w:space="0" w:color="auto"/>
              <w:bottom w:val="single" w:sz="4" w:space="0" w:color="auto"/>
              <w:right w:val="single" w:sz="4" w:space="0" w:color="auto"/>
            </w:tcBorders>
            <w:noWrap/>
            <w:vAlign w:val="center"/>
            <w:hideMark/>
          </w:tcPr>
          <w:p w:rsidR="008146BD" w:rsidRPr="009C7583" w:rsidRDefault="008146BD" w:rsidP="007A7D80">
            <w:pPr>
              <w:keepNext/>
              <w:suppressLineNumbers/>
              <w:spacing w:after="0"/>
              <w:rPr>
                <w:rFonts w:asciiTheme="minorHAnsi" w:hAnsiTheme="minorHAnsi" w:cstheme="minorHAnsi"/>
              </w:rPr>
            </w:pPr>
            <w:r w:rsidRPr="009C7583">
              <w:rPr>
                <w:rFonts w:asciiTheme="minorHAnsi" w:hAnsiTheme="minorHAnsi" w:cstheme="minorHAnsi"/>
              </w:rPr>
              <w:t>Vietnam</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2 649</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3 687</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3 489</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4 083</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11 281</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13 299</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2 269</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1 386</w:t>
            </w:r>
          </w:p>
        </w:tc>
        <w:tc>
          <w:tcPr>
            <w:tcW w:w="907"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42 143</w:t>
            </w:r>
          </w:p>
        </w:tc>
      </w:tr>
      <w:tr w:rsidR="008146BD" w:rsidRPr="00E63699" w:rsidTr="00881523">
        <w:trPr>
          <w:trHeight w:hRule="exact" w:val="284"/>
        </w:trPr>
        <w:tc>
          <w:tcPr>
            <w:tcW w:w="1418" w:type="dxa"/>
            <w:tcBorders>
              <w:top w:val="nil"/>
              <w:left w:val="single" w:sz="4" w:space="0" w:color="auto"/>
              <w:bottom w:val="single" w:sz="4" w:space="0" w:color="auto"/>
              <w:right w:val="single" w:sz="4" w:space="0" w:color="auto"/>
            </w:tcBorders>
            <w:noWrap/>
            <w:vAlign w:val="center"/>
            <w:hideMark/>
          </w:tcPr>
          <w:p w:rsidR="008146BD" w:rsidRPr="009C7583" w:rsidRDefault="008146BD" w:rsidP="007A7D80">
            <w:pPr>
              <w:keepNext/>
              <w:suppressLineNumbers/>
              <w:spacing w:after="0"/>
              <w:rPr>
                <w:rFonts w:asciiTheme="minorHAnsi" w:hAnsiTheme="minorHAnsi" w:cstheme="minorHAnsi"/>
              </w:rPr>
            </w:pPr>
            <w:r w:rsidRPr="009C7583">
              <w:rPr>
                <w:rFonts w:asciiTheme="minorHAnsi" w:hAnsiTheme="minorHAnsi" w:cstheme="minorHAnsi"/>
              </w:rPr>
              <w:t>Slovensko</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5 573</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-6 078</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8 161</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6 152</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13 129</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7 007</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1 442</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-1 338</w:t>
            </w:r>
          </w:p>
        </w:tc>
        <w:tc>
          <w:tcPr>
            <w:tcW w:w="907"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34 048</w:t>
            </w:r>
          </w:p>
        </w:tc>
      </w:tr>
      <w:tr w:rsidR="008146BD" w:rsidRPr="00E63699" w:rsidTr="00881523">
        <w:trPr>
          <w:trHeight w:hRule="exact" w:val="284"/>
        </w:trPr>
        <w:tc>
          <w:tcPr>
            <w:tcW w:w="1418" w:type="dxa"/>
            <w:tcBorders>
              <w:top w:val="nil"/>
              <w:left w:val="single" w:sz="4" w:space="0" w:color="auto"/>
              <w:bottom w:val="single" w:sz="4" w:space="0" w:color="auto"/>
              <w:right w:val="single" w:sz="4" w:space="0" w:color="auto"/>
            </w:tcBorders>
            <w:noWrap/>
            <w:vAlign w:val="center"/>
            <w:hideMark/>
          </w:tcPr>
          <w:p w:rsidR="008146BD" w:rsidRPr="009C7583" w:rsidRDefault="008146BD" w:rsidP="007A7D80">
            <w:pPr>
              <w:keepNext/>
              <w:suppressLineNumbers/>
              <w:spacing w:after="0"/>
              <w:rPr>
                <w:rFonts w:asciiTheme="minorHAnsi" w:hAnsiTheme="minorHAnsi" w:cstheme="minorHAnsi"/>
              </w:rPr>
            </w:pPr>
            <w:r w:rsidRPr="009C7583">
              <w:rPr>
                <w:rFonts w:asciiTheme="minorHAnsi" w:hAnsiTheme="minorHAnsi" w:cstheme="minorHAnsi"/>
              </w:rPr>
              <w:t>Ruská federace</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834</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1 316</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1 994</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2 214</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5 765</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5 728</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4 106</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3 670</w:t>
            </w:r>
          </w:p>
        </w:tc>
        <w:tc>
          <w:tcPr>
            <w:tcW w:w="907"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25 627</w:t>
            </w:r>
          </w:p>
        </w:tc>
      </w:tr>
      <w:tr w:rsidR="008146BD" w:rsidRPr="00E63699" w:rsidTr="00881523">
        <w:trPr>
          <w:trHeight w:hRule="exact" w:val="284"/>
        </w:trPr>
        <w:tc>
          <w:tcPr>
            <w:tcW w:w="1418" w:type="dxa"/>
            <w:tcBorders>
              <w:top w:val="nil"/>
              <w:left w:val="single" w:sz="4" w:space="0" w:color="auto"/>
              <w:bottom w:val="single" w:sz="4" w:space="0" w:color="auto"/>
              <w:right w:val="single" w:sz="4" w:space="0" w:color="auto"/>
            </w:tcBorders>
            <w:noWrap/>
            <w:vAlign w:val="center"/>
            <w:hideMark/>
          </w:tcPr>
          <w:p w:rsidR="008146BD" w:rsidRPr="009C7583" w:rsidRDefault="008146BD" w:rsidP="007A7D80">
            <w:pPr>
              <w:keepNext/>
              <w:suppressLineNumbers/>
              <w:spacing w:after="0"/>
              <w:rPr>
                <w:rFonts w:asciiTheme="minorHAnsi" w:hAnsiTheme="minorHAnsi" w:cstheme="minorHAnsi"/>
              </w:rPr>
            </w:pPr>
            <w:r w:rsidRPr="009C7583">
              <w:rPr>
                <w:rFonts w:asciiTheme="minorHAnsi" w:hAnsiTheme="minorHAnsi" w:cstheme="minorHAnsi"/>
              </w:rPr>
              <w:t>Moldávie</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707</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527</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891</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1 143</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2 455</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3 313</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1 338</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353</w:t>
            </w:r>
          </w:p>
        </w:tc>
        <w:tc>
          <w:tcPr>
            <w:tcW w:w="907"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10 727</w:t>
            </w:r>
          </w:p>
        </w:tc>
      </w:tr>
      <w:tr w:rsidR="008146BD" w:rsidRPr="00E63699" w:rsidTr="00881523">
        <w:trPr>
          <w:trHeight w:hRule="exact" w:val="284"/>
        </w:trPr>
        <w:tc>
          <w:tcPr>
            <w:tcW w:w="1418" w:type="dxa"/>
            <w:tcBorders>
              <w:top w:val="nil"/>
              <w:left w:val="single" w:sz="4" w:space="0" w:color="auto"/>
              <w:bottom w:val="single" w:sz="4" w:space="0" w:color="auto"/>
              <w:right w:val="single" w:sz="4" w:space="0" w:color="auto"/>
            </w:tcBorders>
            <w:noWrap/>
            <w:vAlign w:val="center"/>
            <w:hideMark/>
          </w:tcPr>
          <w:p w:rsidR="008146BD" w:rsidRPr="009C7583" w:rsidRDefault="008146BD" w:rsidP="007A7D80">
            <w:pPr>
              <w:keepNext/>
              <w:suppressLineNumbers/>
              <w:spacing w:after="0"/>
              <w:rPr>
                <w:rFonts w:asciiTheme="minorHAnsi" w:hAnsiTheme="minorHAnsi" w:cstheme="minorHAnsi"/>
              </w:rPr>
            </w:pPr>
            <w:r w:rsidRPr="009C7583">
              <w:rPr>
                <w:rFonts w:asciiTheme="minorHAnsi" w:hAnsiTheme="minorHAnsi" w:cstheme="minorHAnsi"/>
              </w:rPr>
              <w:t>Mongolsko</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241</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305</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654</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1 075</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2 879</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3 497</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511</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327</w:t>
            </w:r>
          </w:p>
        </w:tc>
        <w:tc>
          <w:tcPr>
            <w:tcW w:w="907"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9 489</w:t>
            </w:r>
          </w:p>
        </w:tc>
      </w:tr>
      <w:tr w:rsidR="008146BD" w:rsidRPr="00E63699" w:rsidTr="00881523">
        <w:trPr>
          <w:trHeight w:hRule="exact" w:val="284"/>
        </w:trPr>
        <w:tc>
          <w:tcPr>
            <w:tcW w:w="1418" w:type="dxa"/>
            <w:tcBorders>
              <w:top w:val="nil"/>
              <w:left w:val="single" w:sz="4" w:space="0" w:color="auto"/>
              <w:bottom w:val="single" w:sz="4" w:space="0" w:color="auto"/>
              <w:right w:val="single" w:sz="4" w:space="0" w:color="auto"/>
            </w:tcBorders>
            <w:noWrap/>
            <w:vAlign w:val="center"/>
            <w:hideMark/>
          </w:tcPr>
          <w:p w:rsidR="008146BD" w:rsidRPr="009C7583" w:rsidRDefault="008146BD" w:rsidP="007A7D80">
            <w:pPr>
              <w:keepNext/>
              <w:suppressLineNumbers/>
              <w:spacing w:after="0"/>
              <w:rPr>
                <w:rFonts w:asciiTheme="minorHAnsi" w:hAnsiTheme="minorHAnsi" w:cstheme="minorHAnsi"/>
              </w:rPr>
            </w:pPr>
            <w:r w:rsidRPr="009C7583">
              <w:rPr>
                <w:rFonts w:asciiTheme="minorHAnsi" w:hAnsiTheme="minorHAnsi" w:cstheme="minorHAnsi"/>
              </w:rPr>
              <w:t>Spojené státy</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273</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158</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628</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542</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867</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2 200</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2 454</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1 673</w:t>
            </w:r>
          </w:p>
        </w:tc>
        <w:tc>
          <w:tcPr>
            <w:tcW w:w="907"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8 795</w:t>
            </w:r>
          </w:p>
        </w:tc>
      </w:tr>
      <w:tr w:rsidR="008146BD" w:rsidRPr="00E63699" w:rsidTr="00881523">
        <w:trPr>
          <w:trHeight w:hRule="exact" w:val="284"/>
        </w:trPr>
        <w:tc>
          <w:tcPr>
            <w:tcW w:w="1418" w:type="dxa"/>
            <w:tcBorders>
              <w:top w:val="nil"/>
              <w:left w:val="single" w:sz="4" w:space="0" w:color="auto"/>
              <w:bottom w:val="single" w:sz="4" w:space="0" w:color="auto"/>
              <w:right w:val="single" w:sz="4" w:space="0" w:color="auto"/>
            </w:tcBorders>
            <w:noWrap/>
            <w:vAlign w:val="center"/>
            <w:hideMark/>
          </w:tcPr>
          <w:p w:rsidR="008146BD" w:rsidRPr="009C7583" w:rsidRDefault="008146BD" w:rsidP="007A7D80">
            <w:pPr>
              <w:keepNext/>
              <w:suppressLineNumbers/>
              <w:spacing w:after="0"/>
              <w:rPr>
                <w:rFonts w:asciiTheme="minorHAnsi" w:hAnsiTheme="minorHAnsi" w:cstheme="minorHAnsi"/>
              </w:rPr>
            </w:pPr>
            <w:r w:rsidRPr="009C7583">
              <w:rPr>
                <w:rFonts w:asciiTheme="minorHAnsi" w:hAnsiTheme="minorHAnsi" w:cstheme="minorHAnsi"/>
              </w:rPr>
              <w:t>Německo</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194</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657</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1 332</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734</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1 731</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2 274</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173</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364</w:t>
            </w:r>
          </w:p>
        </w:tc>
        <w:tc>
          <w:tcPr>
            <w:tcW w:w="907"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7 459</w:t>
            </w:r>
          </w:p>
        </w:tc>
      </w:tr>
      <w:tr w:rsidR="008146BD" w:rsidRPr="00E63699" w:rsidTr="00881523">
        <w:trPr>
          <w:trHeight w:hRule="exact" w:val="284"/>
        </w:trPr>
        <w:tc>
          <w:tcPr>
            <w:tcW w:w="1418" w:type="dxa"/>
            <w:tcBorders>
              <w:top w:val="nil"/>
              <w:left w:val="single" w:sz="4" w:space="0" w:color="auto"/>
              <w:bottom w:val="single" w:sz="4" w:space="0" w:color="auto"/>
              <w:right w:val="single" w:sz="4" w:space="0" w:color="auto"/>
            </w:tcBorders>
            <w:noWrap/>
            <w:vAlign w:val="center"/>
            <w:hideMark/>
          </w:tcPr>
          <w:p w:rsidR="008146BD" w:rsidRPr="009C7583" w:rsidRDefault="008146BD" w:rsidP="007A7D80">
            <w:pPr>
              <w:keepNext/>
              <w:suppressLineNumbers/>
              <w:spacing w:after="0"/>
              <w:rPr>
                <w:rFonts w:asciiTheme="minorHAnsi" w:hAnsiTheme="minorHAnsi" w:cstheme="minorHAnsi"/>
              </w:rPr>
            </w:pPr>
            <w:r w:rsidRPr="009C7583">
              <w:rPr>
                <w:rFonts w:asciiTheme="minorHAnsi" w:hAnsiTheme="minorHAnsi" w:cstheme="minorHAnsi"/>
              </w:rPr>
              <w:t>Čína</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235</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387</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426</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777</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685</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935</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590</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453</w:t>
            </w:r>
          </w:p>
        </w:tc>
        <w:tc>
          <w:tcPr>
            <w:tcW w:w="907"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4 488</w:t>
            </w:r>
          </w:p>
        </w:tc>
      </w:tr>
      <w:tr w:rsidR="008146BD" w:rsidRPr="00E63699" w:rsidTr="00881523">
        <w:trPr>
          <w:trHeight w:hRule="exact" w:val="284"/>
        </w:trPr>
        <w:tc>
          <w:tcPr>
            <w:tcW w:w="1418" w:type="dxa"/>
            <w:tcBorders>
              <w:top w:val="nil"/>
              <w:left w:val="single" w:sz="4" w:space="0" w:color="auto"/>
              <w:bottom w:val="single" w:sz="4" w:space="0" w:color="auto"/>
              <w:right w:val="single" w:sz="4" w:space="0" w:color="auto"/>
            </w:tcBorders>
            <w:noWrap/>
            <w:vAlign w:val="center"/>
            <w:hideMark/>
          </w:tcPr>
          <w:p w:rsidR="008146BD" w:rsidRPr="009C7583" w:rsidRDefault="008146BD" w:rsidP="007A7D80">
            <w:pPr>
              <w:keepNext/>
              <w:suppressLineNumbers/>
              <w:spacing w:after="0"/>
              <w:rPr>
                <w:rFonts w:asciiTheme="minorHAnsi" w:hAnsiTheme="minorHAnsi" w:cstheme="minorHAnsi"/>
              </w:rPr>
            </w:pPr>
            <w:r w:rsidRPr="009C7583">
              <w:rPr>
                <w:rFonts w:asciiTheme="minorHAnsi" w:hAnsiTheme="minorHAnsi" w:cstheme="minorHAnsi"/>
              </w:rPr>
              <w:t>Polsko</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540</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747</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1 119</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853</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2 233</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1 156</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-1 116</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-1 605</w:t>
            </w:r>
          </w:p>
        </w:tc>
        <w:tc>
          <w:tcPr>
            <w:tcW w:w="907"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3 927</w:t>
            </w:r>
          </w:p>
        </w:tc>
      </w:tr>
      <w:tr w:rsidR="008146BD" w:rsidRPr="00E63699" w:rsidTr="00881523">
        <w:trPr>
          <w:trHeight w:hRule="exact" w:val="284"/>
        </w:trPr>
        <w:tc>
          <w:tcPr>
            <w:tcW w:w="1418" w:type="dxa"/>
            <w:tcBorders>
              <w:top w:val="nil"/>
              <w:left w:val="single" w:sz="4" w:space="0" w:color="auto"/>
              <w:bottom w:val="single" w:sz="4" w:space="0" w:color="auto"/>
              <w:right w:val="single" w:sz="4" w:space="0" w:color="auto"/>
            </w:tcBorders>
            <w:noWrap/>
            <w:vAlign w:val="center"/>
            <w:hideMark/>
          </w:tcPr>
          <w:p w:rsidR="008146BD" w:rsidRPr="009C7583" w:rsidRDefault="008146BD" w:rsidP="007A7D80">
            <w:pPr>
              <w:keepNext/>
              <w:suppressLineNumbers/>
              <w:spacing w:after="0"/>
              <w:rPr>
                <w:rFonts w:asciiTheme="minorHAnsi" w:hAnsiTheme="minorHAnsi" w:cstheme="minorHAnsi"/>
              </w:rPr>
            </w:pPr>
            <w:r w:rsidRPr="009C7583">
              <w:rPr>
                <w:rFonts w:asciiTheme="minorHAnsi" w:hAnsiTheme="minorHAnsi" w:cstheme="minorHAnsi"/>
              </w:rPr>
              <w:t>Kazachstán</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104</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180</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185</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191</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847</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702</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777</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712</w:t>
            </w:r>
          </w:p>
        </w:tc>
        <w:tc>
          <w:tcPr>
            <w:tcW w:w="907"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rPr>
            </w:pPr>
            <w:r w:rsidRPr="009C7583">
              <w:rPr>
                <w:rFonts w:asciiTheme="minorHAnsi" w:hAnsiTheme="minorHAnsi" w:cstheme="minorHAnsi"/>
              </w:rPr>
              <w:t>3 698</w:t>
            </w:r>
          </w:p>
        </w:tc>
      </w:tr>
      <w:tr w:rsidR="008146BD" w:rsidRPr="00E63699" w:rsidTr="00881523">
        <w:trPr>
          <w:trHeight w:hRule="exact" w:val="284"/>
        </w:trPr>
        <w:tc>
          <w:tcPr>
            <w:tcW w:w="1418" w:type="dxa"/>
            <w:tcBorders>
              <w:top w:val="nil"/>
              <w:left w:val="single" w:sz="4" w:space="0" w:color="auto"/>
              <w:bottom w:val="single" w:sz="4" w:space="0" w:color="auto"/>
              <w:right w:val="single" w:sz="4" w:space="0" w:color="auto"/>
            </w:tcBorders>
            <w:noWrap/>
            <w:vAlign w:val="center"/>
            <w:hideMark/>
          </w:tcPr>
          <w:p w:rsidR="008146BD" w:rsidRPr="009C7583" w:rsidRDefault="008146BD" w:rsidP="007A7D80">
            <w:pPr>
              <w:keepNext/>
              <w:suppressLineNumbers/>
              <w:spacing w:after="0"/>
              <w:rPr>
                <w:rFonts w:asciiTheme="minorHAnsi" w:hAnsiTheme="minorHAnsi" w:cstheme="minorHAnsi"/>
                <w:b/>
                <w:bCs/>
                <w:i/>
              </w:rPr>
            </w:pPr>
            <w:r w:rsidRPr="009C7583">
              <w:rPr>
                <w:rFonts w:asciiTheme="minorHAnsi" w:hAnsiTheme="minorHAnsi" w:cstheme="minorHAnsi"/>
                <w:b/>
                <w:bCs/>
                <w:i/>
              </w:rPr>
              <w:t>Celkem</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i/>
              </w:rPr>
            </w:pPr>
            <w:r w:rsidRPr="009C7583">
              <w:rPr>
                <w:rFonts w:asciiTheme="minorHAnsi" w:hAnsiTheme="minorHAnsi" w:cstheme="minorHAnsi"/>
                <w:b/>
                <w:bCs/>
                <w:i/>
              </w:rPr>
              <w:t>24 235</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i/>
              </w:rPr>
            </w:pPr>
            <w:r w:rsidRPr="009C7583">
              <w:rPr>
                <w:rFonts w:asciiTheme="minorHAnsi" w:hAnsiTheme="minorHAnsi" w:cstheme="minorHAnsi"/>
                <w:b/>
                <w:bCs/>
                <w:i/>
              </w:rPr>
              <w:t>17 020</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i/>
              </w:rPr>
            </w:pPr>
            <w:r w:rsidRPr="009C7583">
              <w:rPr>
                <w:rFonts w:asciiTheme="minorHAnsi" w:hAnsiTheme="minorHAnsi" w:cstheme="minorHAnsi"/>
                <w:b/>
                <w:bCs/>
                <w:i/>
              </w:rPr>
              <w:t>36 780</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i/>
              </w:rPr>
            </w:pPr>
            <w:r w:rsidRPr="009C7583">
              <w:rPr>
                <w:rFonts w:asciiTheme="minorHAnsi" w:hAnsiTheme="minorHAnsi" w:cstheme="minorHAnsi"/>
                <w:b/>
                <w:bCs/>
                <w:i/>
              </w:rPr>
              <w:t>34 737</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i/>
              </w:rPr>
            </w:pPr>
            <w:r w:rsidRPr="009C7583">
              <w:rPr>
                <w:rFonts w:asciiTheme="minorHAnsi" w:hAnsiTheme="minorHAnsi" w:cstheme="minorHAnsi"/>
                <w:b/>
                <w:bCs/>
                <w:i/>
              </w:rPr>
              <w:t>84 087</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i/>
              </w:rPr>
            </w:pPr>
            <w:r w:rsidRPr="009C7583">
              <w:rPr>
                <w:rFonts w:asciiTheme="minorHAnsi" w:hAnsiTheme="minorHAnsi" w:cstheme="minorHAnsi"/>
                <w:b/>
                <w:bCs/>
                <w:i/>
              </w:rPr>
              <w:t>72 330</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i/>
              </w:rPr>
            </w:pPr>
            <w:r w:rsidRPr="009C7583">
              <w:rPr>
                <w:rFonts w:asciiTheme="minorHAnsi" w:hAnsiTheme="minorHAnsi" w:cstheme="minorHAnsi"/>
                <w:b/>
                <w:bCs/>
                <w:i/>
              </w:rPr>
              <w:t>28 849</w:t>
            </w:r>
          </w:p>
        </w:tc>
        <w:tc>
          <w:tcPr>
            <w:tcW w:w="843"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i/>
              </w:rPr>
            </w:pPr>
            <w:r w:rsidRPr="009C7583">
              <w:rPr>
                <w:rFonts w:asciiTheme="minorHAnsi" w:hAnsiTheme="minorHAnsi" w:cstheme="minorHAnsi"/>
                <w:b/>
                <w:bCs/>
                <w:i/>
              </w:rPr>
              <w:t>15 565</w:t>
            </w:r>
          </w:p>
        </w:tc>
        <w:tc>
          <w:tcPr>
            <w:tcW w:w="907" w:type="dxa"/>
            <w:tcBorders>
              <w:top w:val="nil"/>
              <w:left w:val="nil"/>
              <w:bottom w:val="single" w:sz="4" w:space="0" w:color="auto"/>
              <w:right w:val="single" w:sz="4" w:space="0" w:color="auto"/>
            </w:tcBorders>
            <w:noWrap/>
            <w:vAlign w:val="center"/>
            <w:hideMark/>
          </w:tcPr>
          <w:p w:rsidR="008146BD" w:rsidRPr="009C7583" w:rsidRDefault="008146BD" w:rsidP="007A7D80">
            <w:pPr>
              <w:keepNext/>
              <w:suppressLineNumbers/>
              <w:spacing w:after="0"/>
              <w:jc w:val="center"/>
              <w:rPr>
                <w:rFonts w:asciiTheme="minorHAnsi" w:hAnsiTheme="minorHAnsi" w:cstheme="minorHAnsi"/>
                <w:b/>
                <w:bCs/>
                <w:i/>
              </w:rPr>
            </w:pPr>
            <w:r w:rsidRPr="009C7583">
              <w:rPr>
                <w:rFonts w:asciiTheme="minorHAnsi" w:hAnsiTheme="minorHAnsi" w:cstheme="minorHAnsi"/>
                <w:b/>
                <w:bCs/>
                <w:i/>
              </w:rPr>
              <w:t>313 603</w:t>
            </w:r>
          </w:p>
        </w:tc>
      </w:tr>
    </w:tbl>
    <w:p w:rsidR="008146BD" w:rsidRPr="00E63699" w:rsidRDefault="008146BD" w:rsidP="008146BD">
      <w:pPr>
        <w:keepNext/>
        <w:suppressLineNumbers/>
        <w:spacing w:after="0"/>
        <w:jc w:val="center"/>
        <w:rPr>
          <w:rFonts w:ascii="Calibri" w:hAnsi="Calibri" w:cs="Calibri"/>
          <w:i/>
          <w:color w:val="0000FF"/>
        </w:rPr>
      </w:pPr>
      <w:r w:rsidRPr="00E63699">
        <w:rPr>
          <w:rFonts w:cs="TimesNewRomanPSMT"/>
          <w:color w:val="0000FF"/>
          <w:sz w:val="24"/>
          <w:szCs w:val="24"/>
        </w:rPr>
        <w:t xml:space="preserve"> </w:t>
      </w:r>
      <w:r w:rsidRPr="009C7583">
        <w:rPr>
          <w:rFonts w:ascii="Calibri" w:hAnsi="Calibri" w:cs="Calibri"/>
          <w:i/>
        </w:rPr>
        <w:t>Pramen: ČSÚ, 2014.</w:t>
      </w:r>
    </w:p>
    <w:p w:rsidR="008146BD" w:rsidRPr="00223C15" w:rsidRDefault="008146BD" w:rsidP="00721218">
      <w:pPr>
        <w:keepNext/>
        <w:suppressLineNumbers/>
        <w:spacing w:before="200" w:after="0"/>
        <w:ind w:firstLine="720"/>
        <w:jc w:val="both"/>
        <w:rPr>
          <w:rFonts w:cs="TimesNewRomanPSMT"/>
          <w:sz w:val="24"/>
          <w:szCs w:val="24"/>
        </w:rPr>
      </w:pPr>
      <w:r w:rsidRPr="00223C15">
        <w:rPr>
          <w:rFonts w:cs="TimesNewRomanPSMT"/>
          <w:sz w:val="24"/>
          <w:szCs w:val="24"/>
        </w:rPr>
        <w:t>Dalším významným pohledem je srovnání aktuálního počtu evidovaných cizinců s trvalým a přechodným pobytem s počtem zaměstnaných cizinců. Hned u prvních čtyř nejvýznamnějších skupin cizinců jsou zřejmé dva základní případy. Zatímco u Ukrajinců, Vietnamců a Rusů převažuje počet obyvatel s trvalým či přechodným pobytem, u Slováků dochází k opačnému jevu, což lze vysvětlit jejich dojížděním za zaměstnáním</w:t>
      </w:r>
      <w:r>
        <w:rPr>
          <w:rFonts w:cs="TimesNewRomanPSMT"/>
          <w:sz w:val="24"/>
          <w:szCs w:val="24"/>
        </w:rPr>
        <w:t xml:space="preserve"> do České republiky</w:t>
      </w:r>
      <w:r w:rsidRPr="00223C15">
        <w:rPr>
          <w:rFonts w:cs="TimesNewRomanPSMT"/>
          <w:sz w:val="24"/>
          <w:szCs w:val="24"/>
        </w:rPr>
        <w:t xml:space="preserve">. </w:t>
      </w:r>
    </w:p>
    <w:p w:rsidR="008146BD" w:rsidRPr="00740291" w:rsidRDefault="008146BD" w:rsidP="006B61FE">
      <w:pPr>
        <w:pStyle w:val="0T-Titulek"/>
      </w:pPr>
      <w:bookmarkStart w:id="165" w:name="_Toc382326473"/>
      <w:r w:rsidRPr="00740291">
        <w:t>Tabulka 46: Srovnání cizinců žijících v ČR v roce 2011 dle státní příslušnosti</w:t>
      </w:r>
      <w:bookmarkEnd w:id="165"/>
    </w:p>
    <w:tbl>
      <w:tblPr>
        <w:tblW w:w="5670" w:type="dxa"/>
        <w:tblInd w:w="986" w:type="dxa"/>
        <w:tblCellMar>
          <w:left w:w="70" w:type="dxa"/>
          <w:right w:w="70" w:type="dxa"/>
        </w:tblCellMar>
        <w:tblLook w:val="04A0" w:firstRow="1" w:lastRow="0" w:firstColumn="1" w:lastColumn="0" w:noHBand="0" w:noVBand="1"/>
      </w:tblPr>
      <w:tblGrid>
        <w:gridCol w:w="2860"/>
        <w:gridCol w:w="1300"/>
        <w:gridCol w:w="1660"/>
        <w:gridCol w:w="1300"/>
      </w:tblGrid>
      <w:tr w:rsidR="008146BD" w:rsidRPr="00E63699" w:rsidTr="00881523">
        <w:trPr>
          <w:trHeight w:hRule="exact" w:val="284"/>
        </w:trPr>
        <w:tc>
          <w:tcPr>
            <w:tcW w:w="2860" w:type="dxa"/>
            <w:tcBorders>
              <w:top w:val="single" w:sz="4" w:space="0" w:color="auto"/>
              <w:left w:val="single" w:sz="4" w:space="0" w:color="auto"/>
              <w:bottom w:val="single" w:sz="4" w:space="0" w:color="auto"/>
              <w:right w:val="single" w:sz="4" w:space="0" w:color="auto"/>
            </w:tcBorders>
            <w:noWrap/>
            <w:vAlign w:val="bottom"/>
            <w:hideMark/>
          </w:tcPr>
          <w:p w:rsidR="008146BD" w:rsidRPr="004070A3" w:rsidRDefault="008146BD" w:rsidP="007A7D80">
            <w:pPr>
              <w:keepNext/>
              <w:suppressLineNumbers/>
              <w:spacing w:after="0"/>
              <w:rPr>
                <w:rFonts w:asciiTheme="minorHAnsi" w:hAnsiTheme="minorHAnsi" w:cstheme="minorHAnsi"/>
                <w:b/>
              </w:rPr>
            </w:pPr>
            <w:r w:rsidRPr="004070A3">
              <w:rPr>
                <w:rFonts w:asciiTheme="minorHAnsi" w:hAnsiTheme="minorHAnsi" w:cstheme="minorHAnsi"/>
                <w:b/>
                <w:bCs/>
              </w:rPr>
              <w:t>občanství</w:t>
            </w:r>
          </w:p>
        </w:tc>
        <w:tc>
          <w:tcPr>
            <w:tcW w:w="1300" w:type="dxa"/>
            <w:tcBorders>
              <w:top w:val="single" w:sz="4" w:space="0" w:color="auto"/>
              <w:left w:val="nil"/>
              <w:bottom w:val="single" w:sz="4" w:space="0" w:color="auto"/>
              <w:right w:val="single" w:sz="4" w:space="0" w:color="auto"/>
            </w:tcBorders>
            <w:noWrap/>
            <w:vAlign w:val="bottom"/>
            <w:hideMark/>
          </w:tcPr>
          <w:p w:rsidR="008146BD" w:rsidRPr="004070A3" w:rsidRDefault="008146BD" w:rsidP="007A7D80">
            <w:pPr>
              <w:keepNext/>
              <w:suppressLineNumbers/>
              <w:spacing w:after="0"/>
              <w:jc w:val="center"/>
              <w:rPr>
                <w:rFonts w:asciiTheme="minorHAnsi" w:hAnsiTheme="minorHAnsi" w:cstheme="minorHAnsi"/>
                <w:b/>
              </w:rPr>
            </w:pPr>
            <w:r w:rsidRPr="004070A3">
              <w:rPr>
                <w:rFonts w:asciiTheme="minorHAnsi" w:hAnsiTheme="minorHAnsi" w:cstheme="minorHAnsi"/>
                <w:b/>
              </w:rPr>
              <w:t>zaměstnaní</w:t>
            </w:r>
          </w:p>
        </w:tc>
        <w:tc>
          <w:tcPr>
            <w:tcW w:w="1660" w:type="dxa"/>
            <w:tcBorders>
              <w:top w:val="single" w:sz="4" w:space="0" w:color="auto"/>
              <w:left w:val="nil"/>
              <w:bottom w:val="single" w:sz="4" w:space="0" w:color="auto"/>
              <w:right w:val="single" w:sz="4" w:space="0" w:color="auto"/>
            </w:tcBorders>
            <w:noWrap/>
            <w:vAlign w:val="bottom"/>
            <w:hideMark/>
          </w:tcPr>
          <w:p w:rsidR="008146BD" w:rsidRPr="004070A3" w:rsidRDefault="008146BD" w:rsidP="007A7D80">
            <w:pPr>
              <w:keepNext/>
              <w:suppressLineNumbers/>
              <w:spacing w:after="0"/>
              <w:jc w:val="center"/>
              <w:rPr>
                <w:rFonts w:asciiTheme="minorHAnsi" w:hAnsiTheme="minorHAnsi" w:cstheme="minorHAnsi"/>
                <w:b/>
              </w:rPr>
            </w:pPr>
            <w:r w:rsidRPr="004070A3">
              <w:rPr>
                <w:rFonts w:asciiTheme="minorHAnsi" w:hAnsiTheme="minorHAnsi" w:cstheme="minorHAnsi"/>
                <w:b/>
              </w:rPr>
              <w:t>pobyt celkem</w:t>
            </w:r>
          </w:p>
        </w:tc>
        <w:tc>
          <w:tcPr>
            <w:tcW w:w="1300" w:type="dxa"/>
            <w:tcBorders>
              <w:top w:val="single" w:sz="4" w:space="0" w:color="auto"/>
              <w:left w:val="nil"/>
              <w:bottom w:val="single" w:sz="4" w:space="0" w:color="auto"/>
              <w:right w:val="single" w:sz="4" w:space="0" w:color="auto"/>
            </w:tcBorders>
            <w:noWrap/>
            <w:vAlign w:val="bottom"/>
            <w:hideMark/>
          </w:tcPr>
          <w:p w:rsidR="008146BD" w:rsidRPr="004070A3" w:rsidRDefault="008146BD" w:rsidP="007A7D80">
            <w:pPr>
              <w:keepNext/>
              <w:suppressLineNumbers/>
              <w:spacing w:after="0"/>
              <w:jc w:val="center"/>
              <w:rPr>
                <w:rFonts w:asciiTheme="minorHAnsi" w:hAnsiTheme="minorHAnsi" w:cstheme="minorHAnsi"/>
                <w:b/>
              </w:rPr>
            </w:pPr>
            <w:r w:rsidRPr="004070A3">
              <w:rPr>
                <w:rFonts w:asciiTheme="minorHAnsi" w:hAnsiTheme="minorHAnsi" w:cstheme="minorHAnsi"/>
                <w:b/>
              </w:rPr>
              <w:t>z toho ženy</w:t>
            </w:r>
          </w:p>
        </w:tc>
      </w:tr>
      <w:tr w:rsidR="008146BD" w:rsidRPr="00E63699" w:rsidTr="00881523">
        <w:trPr>
          <w:trHeight w:hRule="exact" w:val="284"/>
        </w:trPr>
        <w:tc>
          <w:tcPr>
            <w:tcW w:w="2860" w:type="dxa"/>
            <w:tcBorders>
              <w:top w:val="nil"/>
              <w:left w:val="single" w:sz="4" w:space="0" w:color="auto"/>
              <w:bottom w:val="single" w:sz="4" w:space="0" w:color="auto"/>
              <w:right w:val="single" w:sz="4" w:space="0" w:color="auto"/>
            </w:tcBorders>
            <w:noWrap/>
            <w:vAlign w:val="bottom"/>
            <w:hideMark/>
          </w:tcPr>
          <w:p w:rsidR="008146BD" w:rsidRPr="004070A3" w:rsidRDefault="008146BD" w:rsidP="007A7D80">
            <w:pPr>
              <w:keepNext/>
              <w:suppressLineNumbers/>
              <w:spacing w:after="0"/>
              <w:rPr>
                <w:rFonts w:asciiTheme="minorHAnsi" w:hAnsiTheme="minorHAnsi" w:cstheme="minorHAnsi"/>
              </w:rPr>
            </w:pPr>
            <w:r w:rsidRPr="004070A3">
              <w:rPr>
                <w:rFonts w:asciiTheme="minorHAnsi" w:hAnsiTheme="minorHAnsi" w:cstheme="minorHAnsi"/>
              </w:rPr>
              <w:t>Ukrajina</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35 250</w:t>
            </w:r>
          </w:p>
        </w:tc>
        <w:tc>
          <w:tcPr>
            <w:tcW w:w="166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119 025</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52 053</w:t>
            </w:r>
          </w:p>
        </w:tc>
      </w:tr>
      <w:tr w:rsidR="008146BD" w:rsidRPr="00E63699" w:rsidTr="00881523">
        <w:trPr>
          <w:trHeight w:hRule="exact" w:val="284"/>
        </w:trPr>
        <w:tc>
          <w:tcPr>
            <w:tcW w:w="2860" w:type="dxa"/>
            <w:tcBorders>
              <w:top w:val="nil"/>
              <w:left w:val="single" w:sz="4" w:space="0" w:color="auto"/>
              <w:bottom w:val="single" w:sz="4" w:space="0" w:color="auto"/>
              <w:right w:val="single" w:sz="4" w:space="0" w:color="auto"/>
            </w:tcBorders>
            <w:noWrap/>
            <w:vAlign w:val="bottom"/>
            <w:hideMark/>
          </w:tcPr>
          <w:p w:rsidR="008146BD" w:rsidRPr="004070A3" w:rsidRDefault="008146BD" w:rsidP="007A7D80">
            <w:pPr>
              <w:keepNext/>
              <w:suppressLineNumbers/>
              <w:spacing w:after="0"/>
              <w:rPr>
                <w:rFonts w:asciiTheme="minorHAnsi" w:hAnsiTheme="minorHAnsi" w:cstheme="minorHAnsi"/>
              </w:rPr>
            </w:pPr>
            <w:r w:rsidRPr="004070A3">
              <w:rPr>
                <w:rFonts w:asciiTheme="minorHAnsi" w:hAnsiTheme="minorHAnsi" w:cstheme="minorHAnsi"/>
              </w:rPr>
              <w:t>Slovensko</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106 425</w:t>
            </w:r>
          </w:p>
        </w:tc>
        <w:tc>
          <w:tcPr>
            <w:tcW w:w="166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81 253</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36 750</w:t>
            </w:r>
          </w:p>
        </w:tc>
      </w:tr>
      <w:tr w:rsidR="008146BD" w:rsidRPr="00E63699" w:rsidTr="00881523">
        <w:trPr>
          <w:trHeight w:hRule="exact" w:val="284"/>
        </w:trPr>
        <w:tc>
          <w:tcPr>
            <w:tcW w:w="2860" w:type="dxa"/>
            <w:tcBorders>
              <w:top w:val="nil"/>
              <w:left w:val="single" w:sz="4" w:space="0" w:color="auto"/>
              <w:bottom w:val="single" w:sz="4" w:space="0" w:color="auto"/>
              <w:right w:val="single" w:sz="4" w:space="0" w:color="auto"/>
            </w:tcBorders>
            <w:noWrap/>
            <w:vAlign w:val="bottom"/>
            <w:hideMark/>
          </w:tcPr>
          <w:p w:rsidR="008146BD" w:rsidRPr="004070A3" w:rsidRDefault="008146BD" w:rsidP="007A7D80">
            <w:pPr>
              <w:keepNext/>
              <w:suppressLineNumbers/>
              <w:spacing w:after="0"/>
              <w:rPr>
                <w:rFonts w:asciiTheme="minorHAnsi" w:hAnsiTheme="minorHAnsi" w:cstheme="minorHAnsi"/>
              </w:rPr>
            </w:pPr>
            <w:r w:rsidRPr="004070A3">
              <w:rPr>
                <w:rFonts w:asciiTheme="minorHAnsi" w:hAnsiTheme="minorHAnsi" w:cstheme="minorHAnsi"/>
              </w:rPr>
              <w:t>Vietnam</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2 776</w:t>
            </w:r>
          </w:p>
        </w:tc>
        <w:tc>
          <w:tcPr>
            <w:tcW w:w="166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58 265</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24 720</w:t>
            </w:r>
          </w:p>
        </w:tc>
      </w:tr>
      <w:tr w:rsidR="008146BD" w:rsidRPr="00E63699" w:rsidTr="00881523">
        <w:trPr>
          <w:trHeight w:hRule="exact" w:val="284"/>
        </w:trPr>
        <w:tc>
          <w:tcPr>
            <w:tcW w:w="2860" w:type="dxa"/>
            <w:tcBorders>
              <w:top w:val="nil"/>
              <w:left w:val="single" w:sz="4" w:space="0" w:color="auto"/>
              <w:bottom w:val="single" w:sz="4" w:space="0" w:color="auto"/>
              <w:right w:val="single" w:sz="4" w:space="0" w:color="auto"/>
            </w:tcBorders>
            <w:noWrap/>
            <w:vAlign w:val="bottom"/>
            <w:hideMark/>
          </w:tcPr>
          <w:p w:rsidR="008146BD" w:rsidRPr="004070A3" w:rsidRDefault="008146BD" w:rsidP="007A7D80">
            <w:pPr>
              <w:keepNext/>
              <w:suppressLineNumbers/>
              <w:spacing w:after="0"/>
              <w:rPr>
                <w:rFonts w:asciiTheme="minorHAnsi" w:hAnsiTheme="minorHAnsi" w:cstheme="minorHAnsi"/>
              </w:rPr>
            </w:pPr>
            <w:r w:rsidRPr="004070A3">
              <w:rPr>
                <w:rFonts w:asciiTheme="minorHAnsi" w:hAnsiTheme="minorHAnsi" w:cstheme="minorHAnsi"/>
              </w:rPr>
              <w:t>Ruská federace</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3 931</w:t>
            </w:r>
          </w:p>
        </w:tc>
        <w:tc>
          <w:tcPr>
            <w:tcW w:w="166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32 708</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17 869</w:t>
            </w:r>
          </w:p>
        </w:tc>
      </w:tr>
      <w:tr w:rsidR="008146BD" w:rsidRPr="00E63699" w:rsidTr="00881523">
        <w:trPr>
          <w:trHeight w:hRule="exact" w:val="284"/>
        </w:trPr>
        <w:tc>
          <w:tcPr>
            <w:tcW w:w="2860" w:type="dxa"/>
            <w:tcBorders>
              <w:top w:val="nil"/>
              <w:left w:val="single" w:sz="4" w:space="0" w:color="auto"/>
              <w:bottom w:val="single" w:sz="4" w:space="0" w:color="auto"/>
              <w:right w:val="single" w:sz="4" w:space="0" w:color="auto"/>
            </w:tcBorders>
            <w:noWrap/>
            <w:vAlign w:val="bottom"/>
            <w:hideMark/>
          </w:tcPr>
          <w:p w:rsidR="008146BD" w:rsidRPr="004070A3" w:rsidRDefault="008146BD" w:rsidP="007A7D80">
            <w:pPr>
              <w:keepNext/>
              <w:suppressLineNumbers/>
              <w:spacing w:after="0"/>
              <w:rPr>
                <w:rFonts w:asciiTheme="minorHAnsi" w:hAnsiTheme="minorHAnsi" w:cstheme="minorHAnsi"/>
              </w:rPr>
            </w:pPr>
            <w:r w:rsidRPr="004070A3">
              <w:rPr>
                <w:rFonts w:asciiTheme="minorHAnsi" w:hAnsiTheme="minorHAnsi" w:cstheme="minorHAnsi"/>
              </w:rPr>
              <w:t>Polsko</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19 718</w:t>
            </w:r>
          </w:p>
        </w:tc>
        <w:tc>
          <w:tcPr>
            <w:tcW w:w="166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19 058</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9 826</w:t>
            </w:r>
          </w:p>
        </w:tc>
      </w:tr>
      <w:tr w:rsidR="008146BD" w:rsidRPr="00E63699" w:rsidTr="00881523">
        <w:trPr>
          <w:trHeight w:hRule="exact" w:val="284"/>
        </w:trPr>
        <w:tc>
          <w:tcPr>
            <w:tcW w:w="2860" w:type="dxa"/>
            <w:tcBorders>
              <w:top w:val="nil"/>
              <w:left w:val="single" w:sz="4" w:space="0" w:color="auto"/>
              <w:bottom w:val="single" w:sz="4" w:space="0" w:color="auto"/>
              <w:right w:val="single" w:sz="4" w:space="0" w:color="auto"/>
            </w:tcBorders>
            <w:noWrap/>
            <w:vAlign w:val="bottom"/>
            <w:hideMark/>
          </w:tcPr>
          <w:p w:rsidR="008146BD" w:rsidRPr="004070A3" w:rsidRDefault="008146BD" w:rsidP="007A7D80">
            <w:pPr>
              <w:keepNext/>
              <w:suppressLineNumbers/>
              <w:spacing w:after="0"/>
              <w:rPr>
                <w:rFonts w:asciiTheme="minorHAnsi" w:hAnsiTheme="minorHAnsi" w:cstheme="minorHAnsi"/>
              </w:rPr>
            </w:pPr>
            <w:r w:rsidRPr="004070A3">
              <w:rPr>
                <w:rFonts w:asciiTheme="minorHAnsi" w:hAnsiTheme="minorHAnsi" w:cstheme="minorHAnsi"/>
              </w:rPr>
              <w:t>Německo</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3 194</w:t>
            </w:r>
          </w:p>
        </w:tc>
        <w:tc>
          <w:tcPr>
            <w:tcW w:w="166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15 763</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3 287</w:t>
            </w:r>
          </w:p>
        </w:tc>
      </w:tr>
      <w:tr w:rsidR="008146BD" w:rsidRPr="00E63699" w:rsidTr="00881523">
        <w:trPr>
          <w:trHeight w:hRule="exact" w:val="284"/>
        </w:trPr>
        <w:tc>
          <w:tcPr>
            <w:tcW w:w="2860" w:type="dxa"/>
            <w:tcBorders>
              <w:top w:val="nil"/>
              <w:left w:val="single" w:sz="4" w:space="0" w:color="auto"/>
              <w:bottom w:val="single" w:sz="4" w:space="0" w:color="auto"/>
              <w:right w:val="single" w:sz="4" w:space="0" w:color="auto"/>
            </w:tcBorders>
            <w:noWrap/>
            <w:vAlign w:val="bottom"/>
            <w:hideMark/>
          </w:tcPr>
          <w:p w:rsidR="008146BD" w:rsidRPr="004070A3" w:rsidRDefault="008146BD" w:rsidP="007A7D80">
            <w:pPr>
              <w:keepNext/>
              <w:suppressLineNumbers/>
              <w:spacing w:after="0"/>
              <w:rPr>
                <w:rFonts w:asciiTheme="minorHAnsi" w:hAnsiTheme="minorHAnsi" w:cstheme="minorHAnsi"/>
              </w:rPr>
            </w:pPr>
            <w:r w:rsidRPr="004070A3">
              <w:rPr>
                <w:rFonts w:asciiTheme="minorHAnsi" w:hAnsiTheme="minorHAnsi" w:cstheme="minorHAnsi"/>
              </w:rPr>
              <w:t>Moldavsko</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2 643</w:t>
            </w:r>
          </w:p>
        </w:tc>
        <w:tc>
          <w:tcPr>
            <w:tcW w:w="166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7 608</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3 075</w:t>
            </w:r>
          </w:p>
        </w:tc>
      </w:tr>
      <w:tr w:rsidR="008146BD" w:rsidRPr="00E63699" w:rsidTr="00881523">
        <w:trPr>
          <w:trHeight w:hRule="exact" w:val="284"/>
        </w:trPr>
        <w:tc>
          <w:tcPr>
            <w:tcW w:w="2860" w:type="dxa"/>
            <w:tcBorders>
              <w:top w:val="nil"/>
              <w:left w:val="single" w:sz="4" w:space="0" w:color="auto"/>
              <w:bottom w:val="single" w:sz="4" w:space="0" w:color="auto"/>
              <w:right w:val="single" w:sz="4" w:space="0" w:color="auto"/>
            </w:tcBorders>
            <w:noWrap/>
            <w:vAlign w:val="bottom"/>
            <w:hideMark/>
          </w:tcPr>
          <w:p w:rsidR="008146BD" w:rsidRPr="004070A3" w:rsidRDefault="008146BD" w:rsidP="007A7D80">
            <w:pPr>
              <w:keepNext/>
              <w:suppressLineNumbers/>
              <w:spacing w:after="0"/>
              <w:rPr>
                <w:rFonts w:asciiTheme="minorHAnsi" w:hAnsiTheme="minorHAnsi" w:cstheme="minorHAnsi"/>
              </w:rPr>
            </w:pPr>
            <w:r w:rsidRPr="004070A3">
              <w:rPr>
                <w:rFonts w:asciiTheme="minorHAnsi" w:hAnsiTheme="minorHAnsi" w:cstheme="minorHAnsi"/>
              </w:rPr>
              <w:t>Bulharsko</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7 007</w:t>
            </w:r>
          </w:p>
        </w:tc>
        <w:tc>
          <w:tcPr>
            <w:tcW w:w="166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7 435</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2 761</w:t>
            </w:r>
          </w:p>
        </w:tc>
      </w:tr>
      <w:tr w:rsidR="008146BD" w:rsidRPr="00E63699" w:rsidTr="00881523">
        <w:trPr>
          <w:trHeight w:hRule="exact" w:val="284"/>
        </w:trPr>
        <w:tc>
          <w:tcPr>
            <w:tcW w:w="2860" w:type="dxa"/>
            <w:tcBorders>
              <w:top w:val="nil"/>
              <w:left w:val="single" w:sz="4" w:space="0" w:color="auto"/>
              <w:bottom w:val="single" w:sz="4" w:space="0" w:color="auto"/>
              <w:right w:val="single" w:sz="4" w:space="0" w:color="auto"/>
            </w:tcBorders>
            <w:noWrap/>
            <w:vAlign w:val="bottom"/>
            <w:hideMark/>
          </w:tcPr>
          <w:p w:rsidR="008146BD" w:rsidRPr="004070A3" w:rsidRDefault="008146BD" w:rsidP="007A7D80">
            <w:pPr>
              <w:keepNext/>
              <w:suppressLineNumbers/>
              <w:spacing w:after="0"/>
              <w:rPr>
                <w:rFonts w:asciiTheme="minorHAnsi" w:hAnsiTheme="minorHAnsi" w:cstheme="minorHAnsi"/>
              </w:rPr>
            </w:pPr>
            <w:r w:rsidRPr="004070A3">
              <w:rPr>
                <w:rFonts w:asciiTheme="minorHAnsi" w:hAnsiTheme="minorHAnsi" w:cstheme="minorHAnsi"/>
              </w:rPr>
              <w:t>Spojené státy</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1 672</w:t>
            </w:r>
          </w:p>
        </w:tc>
        <w:tc>
          <w:tcPr>
            <w:tcW w:w="166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7 318</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2 984</w:t>
            </w:r>
          </w:p>
        </w:tc>
      </w:tr>
      <w:tr w:rsidR="008146BD" w:rsidRPr="00E63699" w:rsidTr="00881523">
        <w:trPr>
          <w:trHeight w:hRule="exact" w:val="284"/>
        </w:trPr>
        <w:tc>
          <w:tcPr>
            <w:tcW w:w="2860" w:type="dxa"/>
            <w:tcBorders>
              <w:top w:val="nil"/>
              <w:left w:val="single" w:sz="4" w:space="0" w:color="auto"/>
              <w:bottom w:val="single" w:sz="4" w:space="0" w:color="auto"/>
              <w:right w:val="single" w:sz="4" w:space="0" w:color="auto"/>
            </w:tcBorders>
            <w:noWrap/>
            <w:vAlign w:val="bottom"/>
            <w:hideMark/>
          </w:tcPr>
          <w:p w:rsidR="008146BD" w:rsidRPr="004070A3" w:rsidRDefault="008146BD" w:rsidP="007A7D80">
            <w:pPr>
              <w:keepNext/>
              <w:suppressLineNumbers/>
              <w:spacing w:after="0"/>
              <w:rPr>
                <w:rFonts w:asciiTheme="minorHAnsi" w:hAnsiTheme="minorHAnsi" w:cstheme="minorHAnsi"/>
              </w:rPr>
            </w:pPr>
            <w:r w:rsidRPr="004070A3">
              <w:rPr>
                <w:rFonts w:asciiTheme="minorHAnsi" w:hAnsiTheme="minorHAnsi" w:cstheme="minorHAnsi"/>
              </w:rPr>
              <w:t>Čína</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1 317</w:t>
            </w:r>
          </w:p>
        </w:tc>
        <w:tc>
          <w:tcPr>
            <w:tcW w:w="166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5 587</w:t>
            </w:r>
          </w:p>
        </w:tc>
        <w:tc>
          <w:tcPr>
            <w:tcW w:w="1300" w:type="dxa"/>
            <w:tcBorders>
              <w:top w:val="nil"/>
              <w:left w:val="nil"/>
              <w:bottom w:val="single" w:sz="4" w:space="0" w:color="auto"/>
              <w:right w:val="single" w:sz="4" w:space="0" w:color="auto"/>
            </w:tcBorders>
            <w:noWrap/>
            <w:vAlign w:val="bottom"/>
            <w:hideMark/>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2 572</w:t>
            </w:r>
          </w:p>
        </w:tc>
      </w:tr>
      <w:tr w:rsidR="008146BD" w:rsidRPr="00E63699" w:rsidTr="00881523">
        <w:trPr>
          <w:trHeight w:hRule="exact" w:val="284"/>
        </w:trPr>
        <w:tc>
          <w:tcPr>
            <w:tcW w:w="2860" w:type="dxa"/>
            <w:tcBorders>
              <w:top w:val="nil"/>
              <w:left w:val="single" w:sz="4" w:space="0" w:color="auto"/>
              <w:bottom w:val="single" w:sz="4" w:space="0" w:color="auto"/>
              <w:right w:val="single" w:sz="4" w:space="0" w:color="auto"/>
            </w:tcBorders>
            <w:noWrap/>
            <w:vAlign w:val="bottom"/>
          </w:tcPr>
          <w:p w:rsidR="008146BD" w:rsidRPr="004070A3" w:rsidRDefault="008146BD" w:rsidP="007A7D80">
            <w:pPr>
              <w:keepNext/>
              <w:suppressLineNumbers/>
              <w:spacing w:after="0"/>
              <w:rPr>
                <w:rFonts w:asciiTheme="minorHAnsi" w:hAnsiTheme="minorHAnsi" w:cstheme="minorHAnsi"/>
              </w:rPr>
            </w:pPr>
            <w:r w:rsidRPr="004070A3">
              <w:rPr>
                <w:rFonts w:asciiTheme="minorHAnsi" w:hAnsiTheme="minorHAnsi" w:cstheme="minorHAnsi"/>
              </w:rPr>
              <w:t>Mongolsko</w:t>
            </w:r>
          </w:p>
        </w:tc>
        <w:tc>
          <w:tcPr>
            <w:tcW w:w="1300" w:type="dxa"/>
            <w:tcBorders>
              <w:top w:val="nil"/>
              <w:left w:val="nil"/>
              <w:bottom w:val="single" w:sz="4" w:space="0" w:color="auto"/>
              <w:right w:val="single" w:sz="4" w:space="0" w:color="auto"/>
            </w:tcBorders>
            <w:noWrap/>
            <w:vAlign w:val="bottom"/>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2 827</w:t>
            </w:r>
          </w:p>
        </w:tc>
        <w:tc>
          <w:tcPr>
            <w:tcW w:w="1660" w:type="dxa"/>
            <w:tcBorders>
              <w:top w:val="nil"/>
              <w:left w:val="nil"/>
              <w:bottom w:val="single" w:sz="4" w:space="0" w:color="auto"/>
              <w:right w:val="single" w:sz="4" w:space="0" w:color="auto"/>
            </w:tcBorders>
            <w:noWrap/>
            <w:vAlign w:val="bottom"/>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5 386</w:t>
            </w:r>
          </w:p>
        </w:tc>
        <w:tc>
          <w:tcPr>
            <w:tcW w:w="1300" w:type="dxa"/>
            <w:tcBorders>
              <w:top w:val="nil"/>
              <w:left w:val="nil"/>
              <w:bottom w:val="single" w:sz="4" w:space="0" w:color="auto"/>
              <w:right w:val="single" w:sz="4" w:space="0" w:color="auto"/>
            </w:tcBorders>
            <w:noWrap/>
            <w:vAlign w:val="bottom"/>
          </w:tcPr>
          <w:p w:rsidR="008146BD" w:rsidRPr="0009511A" w:rsidRDefault="008146BD" w:rsidP="007A7D80">
            <w:pPr>
              <w:keepNext/>
              <w:suppressLineNumbers/>
              <w:spacing w:after="0"/>
              <w:jc w:val="center"/>
              <w:rPr>
                <w:rFonts w:asciiTheme="minorHAnsi" w:hAnsiTheme="minorHAnsi" w:cstheme="minorHAnsi"/>
              </w:rPr>
            </w:pPr>
            <w:r w:rsidRPr="0009511A">
              <w:rPr>
                <w:rFonts w:asciiTheme="minorHAnsi" w:hAnsiTheme="minorHAnsi" w:cstheme="minorHAnsi"/>
              </w:rPr>
              <w:t>3 191</w:t>
            </w:r>
          </w:p>
        </w:tc>
      </w:tr>
      <w:tr w:rsidR="008146BD" w:rsidRPr="00E63699" w:rsidTr="00881523">
        <w:trPr>
          <w:trHeight w:hRule="exact" w:val="284"/>
        </w:trPr>
        <w:tc>
          <w:tcPr>
            <w:tcW w:w="2860" w:type="dxa"/>
            <w:tcBorders>
              <w:top w:val="nil"/>
              <w:left w:val="single" w:sz="4" w:space="0" w:color="auto"/>
              <w:bottom w:val="single" w:sz="4" w:space="0" w:color="auto"/>
              <w:right w:val="single" w:sz="4" w:space="0" w:color="auto"/>
            </w:tcBorders>
            <w:noWrap/>
            <w:vAlign w:val="bottom"/>
          </w:tcPr>
          <w:p w:rsidR="008146BD" w:rsidRPr="004070A3" w:rsidRDefault="008146BD" w:rsidP="007A7D80">
            <w:pPr>
              <w:keepNext/>
              <w:suppressLineNumbers/>
              <w:spacing w:after="0"/>
              <w:rPr>
                <w:rFonts w:asciiTheme="minorHAnsi" w:hAnsiTheme="minorHAnsi" w:cstheme="minorHAnsi"/>
                <w:b/>
                <w:i/>
              </w:rPr>
            </w:pPr>
            <w:r w:rsidRPr="004070A3">
              <w:rPr>
                <w:rFonts w:asciiTheme="minorHAnsi" w:hAnsiTheme="minorHAnsi" w:cstheme="minorHAnsi"/>
                <w:b/>
                <w:i/>
              </w:rPr>
              <w:t>Celkem</w:t>
            </w:r>
          </w:p>
        </w:tc>
        <w:tc>
          <w:tcPr>
            <w:tcW w:w="1300" w:type="dxa"/>
            <w:tcBorders>
              <w:top w:val="nil"/>
              <w:left w:val="nil"/>
              <w:bottom w:val="single" w:sz="4" w:space="0" w:color="auto"/>
              <w:right w:val="single" w:sz="4" w:space="0" w:color="auto"/>
            </w:tcBorders>
            <w:noWrap/>
            <w:vAlign w:val="bottom"/>
          </w:tcPr>
          <w:p w:rsidR="008146BD" w:rsidRPr="0009511A" w:rsidRDefault="008146BD" w:rsidP="007A7D80">
            <w:pPr>
              <w:keepNext/>
              <w:suppressLineNumbers/>
              <w:spacing w:after="0"/>
              <w:jc w:val="center"/>
              <w:rPr>
                <w:rFonts w:asciiTheme="minorHAnsi" w:hAnsiTheme="minorHAnsi" w:cstheme="minorHAnsi"/>
                <w:b/>
              </w:rPr>
            </w:pPr>
            <w:r w:rsidRPr="0009511A">
              <w:rPr>
                <w:rFonts w:asciiTheme="minorHAnsi" w:hAnsiTheme="minorHAnsi" w:cstheme="minorHAnsi"/>
                <w:b/>
              </w:rPr>
              <w:t>217 862</w:t>
            </w:r>
          </w:p>
        </w:tc>
        <w:tc>
          <w:tcPr>
            <w:tcW w:w="1660" w:type="dxa"/>
            <w:tcBorders>
              <w:top w:val="nil"/>
              <w:left w:val="nil"/>
              <w:bottom w:val="single" w:sz="4" w:space="0" w:color="auto"/>
              <w:right w:val="single" w:sz="4" w:space="0" w:color="auto"/>
            </w:tcBorders>
            <w:noWrap/>
            <w:vAlign w:val="bottom"/>
          </w:tcPr>
          <w:p w:rsidR="008146BD" w:rsidRPr="0009511A" w:rsidRDefault="008146BD" w:rsidP="007A7D80">
            <w:pPr>
              <w:keepNext/>
              <w:suppressLineNumbers/>
              <w:spacing w:after="0"/>
              <w:jc w:val="center"/>
              <w:rPr>
                <w:rFonts w:asciiTheme="minorHAnsi" w:hAnsiTheme="minorHAnsi" w:cstheme="minorHAnsi"/>
                <w:b/>
              </w:rPr>
            </w:pPr>
            <w:r w:rsidRPr="0009511A">
              <w:rPr>
                <w:rFonts w:asciiTheme="minorHAnsi" w:hAnsiTheme="minorHAnsi" w:cstheme="minorHAnsi"/>
                <w:b/>
              </w:rPr>
              <w:t>436 389</w:t>
            </w:r>
          </w:p>
        </w:tc>
        <w:tc>
          <w:tcPr>
            <w:tcW w:w="1300" w:type="dxa"/>
            <w:tcBorders>
              <w:top w:val="nil"/>
              <w:left w:val="nil"/>
              <w:bottom w:val="single" w:sz="4" w:space="0" w:color="auto"/>
              <w:right w:val="single" w:sz="4" w:space="0" w:color="auto"/>
            </w:tcBorders>
            <w:noWrap/>
            <w:vAlign w:val="bottom"/>
          </w:tcPr>
          <w:p w:rsidR="008146BD" w:rsidRPr="0009511A" w:rsidRDefault="008146BD" w:rsidP="007A7D80">
            <w:pPr>
              <w:keepNext/>
              <w:suppressLineNumbers/>
              <w:spacing w:after="0"/>
              <w:jc w:val="center"/>
              <w:rPr>
                <w:rFonts w:asciiTheme="minorHAnsi" w:hAnsiTheme="minorHAnsi" w:cstheme="minorHAnsi"/>
                <w:b/>
              </w:rPr>
            </w:pPr>
            <w:r w:rsidRPr="0009511A">
              <w:rPr>
                <w:rFonts w:asciiTheme="minorHAnsi" w:hAnsiTheme="minorHAnsi" w:cstheme="minorHAnsi"/>
                <w:b/>
              </w:rPr>
              <w:t>186 104</w:t>
            </w:r>
          </w:p>
        </w:tc>
      </w:tr>
    </w:tbl>
    <w:p w:rsidR="008146BD" w:rsidRDefault="008146BD" w:rsidP="008146BD">
      <w:pPr>
        <w:keepNext/>
        <w:suppressLineNumbers/>
        <w:spacing w:after="0" w:line="240" w:lineRule="auto"/>
        <w:jc w:val="center"/>
        <w:rPr>
          <w:rFonts w:ascii="Calibri" w:hAnsi="Calibri" w:cs="Calibri"/>
          <w:i/>
        </w:rPr>
      </w:pPr>
      <w:r w:rsidRPr="004070A3">
        <w:rPr>
          <w:rFonts w:ascii="Calibri" w:hAnsi="Calibri" w:cs="Calibri"/>
          <w:i/>
        </w:rPr>
        <w:t>Pramen: Statistika zaměstnanosti cizincův ČR - MPSV, statistika trvalého a přechodného pobytu cizinců v ČR - Oddělení analýzy rizik  ŘSCP PČR, 2014.</w:t>
      </w:r>
    </w:p>
    <w:p w:rsidR="008146BD" w:rsidRPr="008146BD" w:rsidRDefault="008146BD" w:rsidP="008146BD">
      <w:pPr>
        <w:keepNext/>
        <w:suppressLineNumbers/>
        <w:spacing w:after="0" w:line="240" w:lineRule="auto"/>
        <w:jc w:val="center"/>
        <w:rPr>
          <w:rFonts w:ascii="Calibri" w:hAnsi="Calibri" w:cs="Calibri"/>
          <w:i/>
        </w:rPr>
      </w:pPr>
    </w:p>
    <w:p w:rsidR="008146BD" w:rsidRPr="00A91347" w:rsidRDefault="00D84BEB" w:rsidP="00890421">
      <w:pPr>
        <w:pStyle w:val="02-Nadpis2"/>
      </w:pPr>
      <w:bookmarkStart w:id="166" w:name="_Toc382327224"/>
      <w:r w:rsidRPr="00A91347">
        <w:t>5.6. Praktické příklady</w:t>
      </w:r>
      <w:bookmarkEnd w:id="166"/>
    </w:p>
    <w:p w:rsidR="006006A4" w:rsidRDefault="006006A4" w:rsidP="00F172A0">
      <w:pPr>
        <w:pStyle w:val="03-Nadpis3"/>
      </w:pPr>
      <w:bookmarkStart w:id="167" w:name="_Toc382327225"/>
      <w:r w:rsidRPr="00A91347">
        <w:t xml:space="preserve">5.6.1. </w:t>
      </w:r>
      <w:r w:rsidR="00D449D4">
        <w:t>Hodnocení teritoriální konkurenceschopnosti</w:t>
      </w:r>
      <w:bookmarkEnd w:id="167"/>
    </w:p>
    <w:p w:rsidR="008146BD" w:rsidRPr="00F90182" w:rsidRDefault="008146BD" w:rsidP="008146BD">
      <w:pPr>
        <w:keepNext/>
        <w:widowControl w:val="0"/>
        <w:suppressLineNumbers/>
        <w:spacing w:after="0"/>
        <w:ind w:firstLine="720"/>
        <w:jc w:val="both"/>
        <w:rPr>
          <w:sz w:val="24"/>
          <w:szCs w:val="24"/>
        </w:rPr>
      </w:pPr>
      <w:r w:rsidRPr="00F90182">
        <w:rPr>
          <w:sz w:val="24"/>
          <w:szCs w:val="24"/>
        </w:rPr>
        <w:t xml:space="preserve">Hodnocení konkurenceschopnosti ve světovém měřítku je obvykle prováděno pomocí </w:t>
      </w:r>
      <w:r>
        <w:rPr>
          <w:sz w:val="24"/>
          <w:szCs w:val="24"/>
        </w:rPr>
        <w:t xml:space="preserve">účelového </w:t>
      </w:r>
      <w:r w:rsidRPr="00F90182">
        <w:rPr>
          <w:sz w:val="24"/>
          <w:szCs w:val="24"/>
        </w:rPr>
        <w:t xml:space="preserve">kompozitního indexu, což je agregovaný index skládající se z individuálních ukazatelů a </w:t>
      </w:r>
      <w:r>
        <w:rPr>
          <w:sz w:val="24"/>
          <w:szCs w:val="24"/>
        </w:rPr>
        <w:t xml:space="preserve">dále </w:t>
      </w:r>
      <w:r w:rsidRPr="00F90182">
        <w:rPr>
          <w:sz w:val="24"/>
          <w:szCs w:val="24"/>
        </w:rPr>
        <w:t>jejich vah</w:t>
      </w:r>
      <w:r>
        <w:rPr>
          <w:sz w:val="24"/>
          <w:szCs w:val="24"/>
        </w:rPr>
        <w:t>, které</w:t>
      </w:r>
      <w:r w:rsidRPr="00F90182">
        <w:rPr>
          <w:sz w:val="24"/>
          <w:szCs w:val="24"/>
        </w:rPr>
        <w:t xml:space="preserve"> vyjadřují</w:t>
      </w:r>
      <w:r>
        <w:rPr>
          <w:sz w:val="24"/>
          <w:szCs w:val="24"/>
        </w:rPr>
        <w:t xml:space="preserve">cí </w:t>
      </w:r>
      <w:r w:rsidRPr="00F90182">
        <w:rPr>
          <w:sz w:val="24"/>
          <w:szCs w:val="24"/>
        </w:rPr>
        <w:t>relativní význam</w:t>
      </w:r>
      <w:r>
        <w:rPr>
          <w:sz w:val="24"/>
          <w:szCs w:val="24"/>
        </w:rPr>
        <w:t xml:space="preserve"> </w:t>
      </w:r>
      <w:r w:rsidRPr="00F90182">
        <w:rPr>
          <w:sz w:val="24"/>
          <w:szCs w:val="24"/>
        </w:rPr>
        <w:t>každého ukazatele. Na jeho základě je určováno pořadí zemí. Kompozitní ind</w:t>
      </w:r>
      <w:r>
        <w:rPr>
          <w:sz w:val="24"/>
          <w:szCs w:val="24"/>
        </w:rPr>
        <w:t>ex</w:t>
      </w:r>
      <w:r w:rsidRPr="00F90182">
        <w:rPr>
          <w:sz w:val="24"/>
          <w:szCs w:val="24"/>
        </w:rPr>
        <w:t xml:space="preserve"> je na jedné straně velmi přehledný ukazatel, na druhé straně se za ním skrývá mnoho metodických úskalí. Jedná se především </w:t>
      </w:r>
      <w:r w:rsidRPr="00F90182">
        <w:rPr>
          <w:sz w:val="24"/>
          <w:szCs w:val="24"/>
        </w:rPr>
        <w:lastRenderedPageBreak/>
        <w:t>o</w:t>
      </w:r>
      <w:r w:rsidR="00385CD4">
        <w:rPr>
          <w:sz w:val="24"/>
          <w:szCs w:val="24"/>
        </w:rPr>
        <w:t> </w:t>
      </w:r>
      <w:r w:rsidRPr="00F90182">
        <w:rPr>
          <w:sz w:val="24"/>
          <w:szCs w:val="24"/>
        </w:rPr>
        <w:t>nastavení vah, převedení dat na stejný základ a dopočet chybějících d</w:t>
      </w:r>
      <w:r w:rsidR="0009511A">
        <w:rPr>
          <w:sz w:val="24"/>
          <w:szCs w:val="24"/>
        </w:rPr>
        <w:t>at. V níže uvedených hodnocení</w:t>
      </w:r>
      <w:r w:rsidRPr="00F90182">
        <w:rPr>
          <w:sz w:val="24"/>
          <w:szCs w:val="24"/>
        </w:rPr>
        <w:t xml:space="preserve"> jsou váhy obvykle nastaveny podle vyspělosti země, což může samozřejmě ovlivnit pořadí zemí. Globální konkurenceschopnost každoročně hodnotí Světové ekonomické fórum a Institut pro rozvoj managementu. Konkurenceschopnost souvisí </w:t>
      </w:r>
      <w:r>
        <w:rPr>
          <w:sz w:val="24"/>
          <w:szCs w:val="24"/>
        </w:rPr>
        <w:t>i</w:t>
      </w:r>
      <w:r w:rsidRPr="00F90182">
        <w:rPr>
          <w:sz w:val="24"/>
          <w:szCs w:val="24"/>
        </w:rPr>
        <w:t xml:space="preserve"> s kvalitou podnikatelského prostředí</w:t>
      </w:r>
      <w:r w:rsidR="0009511A">
        <w:rPr>
          <w:sz w:val="24"/>
          <w:szCs w:val="24"/>
        </w:rPr>
        <w:t>,</w:t>
      </w:r>
      <w:r w:rsidRPr="00F90182">
        <w:rPr>
          <w:sz w:val="24"/>
          <w:szCs w:val="24"/>
        </w:rPr>
        <w:t xml:space="preserve"> a proto zde uvádíme i hodnocení Světové banky Doing Business</w:t>
      </w:r>
      <w:r w:rsidR="00B82F36">
        <w:rPr>
          <w:sz w:val="24"/>
          <w:szCs w:val="24"/>
        </w:rPr>
        <w:t xml:space="preserve"> (DB)</w:t>
      </w:r>
      <w:r w:rsidRPr="00F90182">
        <w:rPr>
          <w:sz w:val="24"/>
          <w:szCs w:val="24"/>
        </w:rPr>
        <w:t>. Dlouhodobě konkurenceschopné jsou země orientované na zn</w:t>
      </w:r>
      <w:r w:rsidR="00385CD4">
        <w:rPr>
          <w:sz w:val="24"/>
          <w:szCs w:val="24"/>
        </w:rPr>
        <w:t>alostní ekonomiku a </w:t>
      </w:r>
      <w:r w:rsidRPr="00F90182">
        <w:rPr>
          <w:sz w:val="24"/>
          <w:szCs w:val="24"/>
        </w:rPr>
        <w:t>inovace. Proto je v textu zařazeno i jedno hodnocení znalostní ekonomiky a dvě hodnocení inovační výkonnosti.</w:t>
      </w:r>
    </w:p>
    <w:p w:rsidR="008146BD" w:rsidRPr="00F90182" w:rsidRDefault="008146BD" w:rsidP="008146BD">
      <w:pPr>
        <w:keepNext/>
        <w:widowControl w:val="0"/>
        <w:suppressLineNumbers/>
        <w:spacing w:before="200" w:after="100"/>
        <w:jc w:val="both"/>
        <w:rPr>
          <w:b/>
          <w:sz w:val="24"/>
          <w:szCs w:val="24"/>
        </w:rPr>
      </w:pPr>
      <w:r w:rsidRPr="00F90182">
        <w:rPr>
          <w:b/>
          <w:sz w:val="24"/>
          <w:szCs w:val="24"/>
        </w:rPr>
        <w:t>Světové ekonomické fórum a index GCI</w:t>
      </w:r>
    </w:p>
    <w:p w:rsidR="008146BD" w:rsidRPr="00F90182" w:rsidRDefault="008146BD" w:rsidP="00721218">
      <w:pPr>
        <w:keepNext/>
        <w:widowControl w:val="0"/>
        <w:suppressLineNumbers/>
        <w:spacing w:after="120"/>
        <w:ind w:firstLine="720"/>
        <w:jc w:val="both"/>
        <w:rPr>
          <w:sz w:val="24"/>
          <w:szCs w:val="24"/>
        </w:rPr>
      </w:pPr>
      <w:r w:rsidRPr="00F90182">
        <w:rPr>
          <w:sz w:val="24"/>
          <w:szCs w:val="24"/>
        </w:rPr>
        <w:t xml:space="preserve">Světové ekonomické fórum (WEF) definuje konkurenceschopnost jako soubor institucí, politik a faktorů </w:t>
      </w:r>
      <w:r>
        <w:rPr>
          <w:sz w:val="24"/>
          <w:szCs w:val="24"/>
        </w:rPr>
        <w:t>určujících</w:t>
      </w:r>
      <w:r w:rsidRPr="00F90182">
        <w:rPr>
          <w:sz w:val="24"/>
          <w:szCs w:val="24"/>
        </w:rPr>
        <w:t xml:space="preserve"> úroveň produktivity </w:t>
      </w:r>
      <w:r>
        <w:rPr>
          <w:sz w:val="24"/>
          <w:szCs w:val="24"/>
        </w:rPr>
        <w:t xml:space="preserve">jednotlivých </w:t>
      </w:r>
      <w:r w:rsidRPr="00F90182">
        <w:rPr>
          <w:sz w:val="24"/>
          <w:szCs w:val="24"/>
        </w:rPr>
        <w:t>zem</w:t>
      </w:r>
      <w:r>
        <w:rPr>
          <w:sz w:val="24"/>
          <w:szCs w:val="24"/>
        </w:rPr>
        <w:t>í</w:t>
      </w:r>
      <w:r w:rsidRPr="00F90182">
        <w:rPr>
          <w:sz w:val="24"/>
          <w:szCs w:val="24"/>
        </w:rPr>
        <w:t xml:space="preserve">. WEF každoročně hodnotí konkurenceschopnost </w:t>
      </w:r>
      <w:r>
        <w:rPr>
          <w:sz w:val="24"/>
          <w:szCs w:val="24"/>
        </w:rPr>
        <w:t xml:space="preserve">přibližně </w:t>
      </w:r>
      <w:r w:rsidRPr="00F90182">
        <w:rPr>
          <w:sz w:val="24"/>
          <w:szCs w:val="24"/>
        </w:rPr>
        <w:t>140 zemí a výsledný Index globální konkurenceschopnosti sestavov</w:t>
      </w:r>
      <w:r>
        <w:rPr>
          <w:sz w:val="24"/>
          <w:szCs w:val="24"/>
        </w:rPr>
        <w:t>aný</w:t>
      </w:r>
      <w:r w:rsidRPr="00F90182">
        <w:rPr>
          <w:sz w:val="24"/>
          <w:szCs w:val="24"/>
        </w:rPr>
        <w:t xml:space="preserve"> jako kompozitní index (GCI – Global Competitiveness Index) je publikován v</w:t>
      </w:r>
      <w:r>
        <w:rPr>
          <w:sz w:val="24"/>
          <w:szCs w:val="24"/>
        </w:rPr>
        <w:t>e</w:t>
      </w:r>
      <w:r w:rsidRPr="00F90182">
        <w:rPr>
          <w:sz w:val="24"/>
          <w:szCs w:val="24"/>
        </w:rPr>
        <w:t xml:space="preserve"> Zpráv</w:t>
      </w:r>
      <w:r>
        <w:rPr>
          <w:sz w:val="24"/>
          <w:szCs w:val="24"/>
        </w:rPr>
        <w:t>ě</w:t>
      </w:r>
      <w:r w:rsidRPr="00F90182">
        <w:rPr>
          <w:sz w:val="24"/>
          <w:szCs w:val="24"/>
        </w:rPr>
        <w:t xml:space="preserve"> o globální konkurenceschopnosti. Poslední zpráva hodnotí konkurenceschopnost 148 zemí pomocí 118 ukazatelů. Data po</w:t>
      </w:r>
      <w:r w:rsidR="00385CD4">
        <w:rPr>
          <w:sz w:val="24"/>
          <w:szCs w:val="24"/>
        </w:rPr>
        <w:t>chází ze statistických zdrojů i </w:t>
      </w:r>
      <w:r w:rsidRPr="00F90182">
        <w:rPr>
          <w:sz w:val="24"/>
          <w:szCs w:val="24"/>
        </w:rPr>
        <w:t xml:space="preserve">z vlastního šetření mezi podnikateli.  Ukazatele jsou sdruženy do 12 pilířů a tří subindexů: </w:t>
      </w:r>
      <w:r>
        <w:rPr>
          <w:sz w:val="24"/>
          <w:szCs w:val="24"/>
        </w:rPr>
        <w:t>z</w:t>
      </w:r>
      <w:r w:rsidRPr="00F90182">
        <w:rPr>
          <w:sz w:val="24"/>
          <w:szCs w:val="24"/>
        </w:rPr>
        <w:t xml:space="preserve">ákladní požadavky, </w:t>
      </w:r>
      <w:r>
        <w:rPr>
          <w:sz w:val="24"/>
          <w:szCs w:val="24"/>
        </w:rPr>
        <w:t>z</w:t>
      </w:r>
      <w:r w:rsidRPr="00F90182">
        <w:rPr>
          <w:sz w:val="24"/>
          <w:szCs w:val="24"/>
        </w:rPr>
        <w:t xml:space="preserve">droje efektivnosti a </w:t>
      </w:r>
      <w:r>
        <w:rPr>
          <w:sz w:val="24"/>
          <w:szCs w:val="24"/>
        </w:rPr>
        <w:t>i</w:t>
      </w:r>
      <w:r w:rsidRPr="00F90182">
        <w:rPr>
          <w:sz w:val="24"/>
          <w:szCs w:val="24"/>
        </w:rPr>
        <w:t>novace a sofistikované faktory (</w:t>
      </w:r>
      <w:r w:rsidRPr="00F90182">
        <w:rPr>
          <w:sz w:val="24"/>
        </w:rPr>
        <w:t>Schwab, K., Sala-i-Martín, X., 2013</w:t>
      </w:r>
      <w:r w:rsidRPr="00F90182">
        <w:rPr>
          <w:sz w:val="24"/>
          <w:szCs w:val="24"/>
        </w:rPr>
        <w:t xml:space="preserve">). </w:t>
      </w:r>
    </w:p>
    <w:tbl>
      <w:tblPr>
        <w:tblStyle w:val="Mkatabulky16"/>
        <w:tblW w:w="0" w:type="auto"/>
        <w:tblLook w:val="04A0" w:firstRow="1" w:lastRow="0" w:firstColumn="1" w:lastColumn="0" w:noHBand="0" w:noVBand="1"/>
      </w:tblPr>
      <w:tblGrid>
        <w:gridCol w:w="851"/>
        <w:gridCol w:w="391"/>
        <w:gridCol w:w="1480"/>
        <w:gridCol w:w="80"/>
        <w:gridCol w:w="374"/>
        <w:gridCol w:w="851"/>
        <w:gridCol w:w="476"/>
        <w:gridCol w:w="1395"/>
        <w:gridCol w:w="454"/>
        <w:gridCol w:w="851"/>
        <w:gridCol w:w="560"/>
        <w:gridCol w:w="1311"/>
      </w:tblGrid>
      <w:tr w:rsidR="008146BD" w:rsidRPr="00F90182" w:rsidTr="00721218">
        <w:trPr>
          <w:trHeight w:val="756"/>
        </w:trPr>
        <w:tc>
          <w:tcPr>
            <w:tcW w:w="2802" w:type="dxa"/>
            <w:gridSpan w:val="4"/>
            <w:tcBorders>
              <w:top w:val="nil"/>
              <w:left w:val="nil"/>
              <w:bottom w:val="nil"/>
              <w:right w:val="single" w:sz="4" w:space="0" w:color="auto"/>
            </w:tcBorders>
            <w:vAlign w:val="center"/>
          </w:tcPr>
          <w:p w:rsidR="008146BD" w:rsidRPr="00F90182" w:rsidRDefault="008146BD" w:rsidP="00721218">
            <w:pPr>
              <w:keepNext/>
              <w:widowControl w:val="0"/>
              <w:suppressLineNumbers/>
              <w:spacing w:line="240" w:lineRule="auto"/>
              <w:jc w:val="center"/>
              <w:rPr>
                <w:rFonts w:ascii="Arial Narrow" w:eastAsia="Times New Roman" w:hAnsi="Arial Narrow"/>
              </w:rPr>
            </w:pPr>
          </w:p>
          <w:p w:rsidR="008146BD" w:rsidRPr="00F90182" w:rsidRDefault="008146BD" w:rsidP="00721218">
            <w:pPr>
              <w:keepNext/>
              <w:widowControl w:val="0"/>
              <w:suppressLineNumbers/>
              <w:spacing w:line="240" w:lineRule="auto"/>
              <w:rPr>
                <w:rFonts w:ascii="Arial Narrow" w:eastAsia="Times New Roman" w:hAnsi="Arial Narrow"/>
              </w:rPr>
            </w:pPr>
          </w:p>
        </w:tc>
        <w:tc>
          <w:tcPr>
            <w:tcW w:w="3550" w:type="dxa"/>
            <w:gridSpan w:val="5"/>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46BD" w:rsidRPr="00721218" w:rsidRDefault="008146BD" w:rsidP="00721218">
            <w:pPr>
              <w:keepNext/>
              <w:widowControl w:val="0"/>
              <w:suppressLineNumbers/>
              <w:spacing w:line="240" w:lineRule="auto"/>
              <w:jc w:val="center"/>
              <w:rPr>
                <w:rFonts w:ascii="Arial Narrow" w:eastAsia="Times New Roman" w:hAnsi="Arial Narrow"/>
                <w:caps/>
                <w:sz w:val="20"/>
                <w:szCs w:val="20"/>
              </w:rPr>
            </w:pPr>
            <w:r w:rsidRPr="00721218">
              <w:rPr>
                <w:rFonts w:ascii="Arial Narrow" w:hAnsi="Arial Narrow"/>
                <w:caps/>
                <w:sz w:val="20"/>
                <w:szCs w:val="20"/>
              </w:rPr>
              <w:t>Index globální konkurenceschopnosti GCI</w:t>
            </w:r>
          </w:p>
        </w:tc>
        <w:tc>
          <w:tcPr>
            <w:tcW w:w="2722" w:type="dxa"/>
            <w:gridSpan w:val="3"/>
            <w:tcBorders>
              <w:top w:val="nil"/>
              <w:left w:val="nil"/>
              <w:bottom w:val="nil"/>
              <w:right w:val="nil"/>
            </w:tcBorders>
            <w:vAlign w:val="center"/>
          </w:tcPr>
          <w:p w:rsidR="008146BD" w:rsidRPr="00721218" w:rsidRDefault="008146BD" w:rsidP="00721218">
            <w:pPr>
              <w:keepNext/>
              <w:widowControl w:val="0"/>
              <w:suppressLineNumbers/>
              <w:spacing w:line="240" w:lineRule="auto"/>
              <w:jc w:val="center"/>
              <w:rPr>
                <w:rFonts w:ascii="Arial Narrow" w:eastAsia="Times New Roman" w:hAnsi="Arial Narrow"/>
                <w:sz w:val="20"/>
                <w:szCs w:val="20"/>
              </w:rPr>
            </w:pPr>
          </w:p>
        </w:tc>
      </w:tr>
      <w:tr w:rsidR="008146BD" w:rsidRPr="00F90182" w:rsidTr="00721218">
        <w:trPr>
          <w:trHeight w:val="130"/>
        </w:trPr>
        <w:tc>
          <w:tcPr>
            <w:tcW w:w="1242" w:type="dxa"/>
            <w:gridSpan w:val="2"/>
            <w:tcBorders>
              <w:top w:val="nil"/>
              <w:left w:val="nil"/>
              <w:bottom w:val="nil"/>
              <w:right w:val="nil"/>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1480" w:type="dxa"/>
            <w:tcBorders>
              <w:top w:val="nil"/>
              <w:left w:val="nil"/>
              <w:bottom w:val="single" w:sz="4" w:space="0" w:color="auto"/>
              <w:right w:val="nil"/>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454" w:type="dxa"/>
            <w:gridSpan w:val="2"/>
            <w:tcBorders>
              <w:top w:val="nil"/>
              <w:left w:val="nil"/>
              <w:bottom w:val="single" w:sz="4" w:space="0" w:color="auto"/>
              <w:right w:val="nil"/>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1327" w:type="dxa"/>
            <w:gridSpan w:val="2"/>
            <w:tcBorders>
              <w:top w:val="single" w:sz="4" w:space="0" w:color="auto"/>
              <w:left w:val="nil"/>
              <w:bottom w:val="single" w:sz="4" w:space="0" w:color="auto"/>
              <w:right w:val="single" w:sz="4" w:space="0" w:color="auto"/>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c>
          <w:tcPr>
            <w:tcW w:w="1395" w:type="dxa"/>
            <w:tcBorders>
              <w:top w:val="single" w:sz="4" w:space="0" w:color="auto"/>
              <w:left w:val="single" w:sz="4" w:space="0" w:color="auto"/>
              <w:bottom w:val="single" w:sz="4" w:space="0" w:color="auto"/>
              <w:right w:val="nil"/>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c>
          <w:tcPr>
            <w:tcW w:w="454" w:type="dxa"/>
            <w:tcBorders>
              <w:top w:val="nil"/>
              <w:left w:val="nil"/>
              <w:bottom w:val="single" w:sz="4" w:space="0" w:color="auto"/>
              <w:right w:val="nil"/>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c>
          <w:tcPr>
            <w:tcW w:w="1411" w:type="dxa"/>
            <w:gridSpan w:val="2"/>
            <w:tcBorders>
              <w:top w:val="nil"/>
              <w:left w:val="nil"/>
              <w:bottom w:val="single" w:sz="4" w:space="0" w:color="auto"/>
              <w:right w:val="nil"/>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c>
          <w:tcPr>
            <w:tcW w:w="1311" w:type="dxa"/>
            <w:tcBorders>
              <w:top w:val="nil"/>
              <w:left w:val="nil"/>
              <w:bottom w:val="nil"/>
              <w:right w:val="nil"/>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r>
      <w:tr w:rsidR="008146BD" w:rsidRPr="00F90182" w:rsidTr="00721218">
        <w:tc>
          <w:tcPr>
            <w:tcW w:w="1242" w:type="dxa"/>
            <w:gridSpan w:val="2"/>
            <w:tcBorders>
              <w:top w:val="nil"/>
              <w:left w:val="nil"/>
              <w:bottom w:val="single" w:sz="4" w:space="0" w:color="auto"/>
              <w:right w:val="single" w:sz="4" w:space="0" w:color="auto"/>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1480" w:type="dxa"/>
            <w:tcBorders>
              <w:top w:val="single" w:sz="4" w:space="0" w:color="auto"/>
              <w:left w:val="single" w:sz="4" w:space="0" w:color="auto"/>
              <w:bottom w:val="single" w:sz="4" w:space="0" w:color="auto"/>
              <w:right w:val="nil"/>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454" w:type="dxa"/>
            <w:gridSpan w:val="2"/>
            <w:tcBorders>
              <w:top w:val="single" w:sz="4" w:space="0" w:color="auto"/>
              <w:left w:val="nil"/>
              <w:bottom w:val="nil"/>
              <w:right w:val="nil"/>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1327" w:type="dxa"/>
            <w:gridSpan w:val="2"/>
            <w:tcBorders>
              <w:top w:val="single" w:sz="4" w:space="0" w:color="auto"/>
              <w:left w:val="nil"/>
              <w:bottom w:val="single" w:sz="4" w:space="0" w:color="auto"/>
              <w:right w:val="single" w:sz="4" w:space="0" w:color="auto"/>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c>
          <w:tcPr>
            <w:tcW w:w="1395" w:type="dxa"/>
            <w:tcBorders>
              <w:top w:val="single" w:sz="4" w:space="0" w:color="auto"/>
              <w:left w:val="single" w:sz="4" w:space="0" w:color="auto"/>
              <w:bottom w:val="single" w:sz="4" w:space="0" w:color="auto"/>
              <w:right w:val="nil"/>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c>
          <w:tcPr>
            <w:tcW w:w="454" w:type="dxa"/>
            <w:tcBorders>
              <w:top w:val="single" w:sz="4" w:space="0" w:color="auto"/>
              <w:left w:val="nil"/>
              <w:bottom w:val="nil"/>
              <w:right w:val="nil"/>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c>
          <w:tcPr>
            <w:tcW w:w="1411" w:type="dxa"/>
            <w:gridSpan w:val="2"/>
            <w:tcBorders>
              <w:top w:val="single" w:sz="4" w:space="0" w:color="auto"/>
              <w:left w:val="nil"/>
              <w:bottom w:val="single" w:sz="4" w:space="0" w:color="auto"/>
              <w:right w:val="single" w:sz="4" w:space="0" w:color="auto"/>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c>
          <w:tcPr>
            <w:tcW w:w="1311" w:type="dxa"/>
            <w:tcBorders>
              <w:top w:val="nil"/>
              <w:left w:val="single" w:sz="4" w:space="0" w:color="auto"/>
              <w:bottom w:val="single" w:sz="4" w:space="0" w:color="auto"/>
              <w:right w:val="nil"/>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r>
      <w:tr w:rsidR="008146BD" w:rsidRPr="00F90182" w:rsidTr="00721218">
        <w:trPr>
          <w:trHeight w:val="284"/>
        </w:trPr>
        <w:tc>
          <w:tcPr>
            <w:tcW w:w="272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46BD" w:rsidRPr="00721218" w:rsidRDefault="008146BD" w:rsidP="00721218">
            <w:pPr>
              <w:keepNext/>
              <w:widowControl w:val="0"/>
              <w:suppressLineNumbers/>
              <w:spacing w:line="240" w:lineRule="auto"/>
              <w:jc w:val="center"/>
              <w:rPr>
                <w:rFonts w:ascii="Arial Narrow" w:eastAsia="Times New Roman" w:hAnsi="Arial Narrow"/>
                <w:sz w:val="20"/>
                <w:szCs w:val="20"/>
              </w:rPr>
            </w:pPr>
            <w:r w:rsidRPr="00721218">
              <w:rPr>
                <w:rFonts w:ascii="Arial Narrow" w:hAnsi="Arial Narrow"/>
                <w:sz w:val="20"/>
                <w:szCs w:val="20"/>
              </w:rPr>
              <w:t xml:space="preserve">Subindex 1:  </w:t>
            </w:r>
          </w:p>
          <w:p w:rsidR="008146BD" w:rsidRPr="00721218" w:rsidRDefault="008146BD" w:rsidP="00721218">
            <w:pPr>
              <w:keepNext/>
              <w:widowControl w:val="0"/>
              <w:suppressLineNumbers/>
              <w:spacing w:line="240" w:lineRule="auto"/>
              <w:jc w:val="center"/>
              <w:rPr>
                <w:rFonts w:ascii="Arial Narrow" w:eastAsia="Times New Roman" w:hAnsi="Arial Narrow"/>
                <w:sz w:val="20"/>
                <w:szCs w:val="20"/>
              </w:rPr>
            </w:pPr>
            <w:r w:rsidRPr="00721218">
              <w:rPr>
                <w:rFonts w:ascii="Arial Narrow" w:hAnsi="Arial Narrow"/>
                <w:sz w:val="20"/>
                <w:szCs w:val="20"/>
              </w:rPr>
              <w:t>Základní požadavky</w:t>
            </w:r>
          </w:p>
        </w:tc>
        <w:tc>
          <w:tcPr>
            <w:tcW w:w="454" w:type="dxa"/>
            <w:gridSpan w:val="2"/>
            <w:tcBorders>
              <w:top w:val="nil"/>
              <w:left w:val="single" w:sz="4" w:space="0" w:color="auto"/>
              <w:bottom w:val="nil"/>
              <w:right w:val="single" w:sz="4" w:space="0" w:color="auto"/>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272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46BD" w:rsidRPr="00721218" w:rsidRDefault="008146BD" w:rsidP="00721218">
            <w:pPr>
              <w:keepNext/>
              <w:widowControl w:val="0"/>
              <w:suppressLineNumbers/>
              <w:spacing w:line="240" w:lineRule="auto"/>
              <w:jc w:val="center"/>
              <w:rPr>
                <w:rFonts w:ascii="Arial Narrow" w:eastAsia="Times New Roman" w:hAnsi="Arial Narrow"/>
                <w:sz w:val="20"/>
                <w:szCs w:val="20"/>
              </w:rPr>
            </w:pPr>
            <w:r w:rsidRPr="00721218">
              <w:rPr>
                <w:rFonts w:ascii="Arial Narrow" w:hAnsi="Arial Narrow"/>
                <w:sz w:val="20"/>
                <w:szCs w:val="20"/>
              </w:rPr>
              <w:t xml:space="preserve">Subindex 2: </w:t>
            </w:r>
          </w:p>
          <w:p w:rsidR="008146BD" w:rsidRPr="00721218" w:rsidRDefault="008146BD" w:rsidP="00721218">
            <w:pPr>
              <w:keepNext/>
              <w:widowControl w:val="0"/>
              <w:suppressLineNumbers/>
              <w:spacing w:line="240" w:lineRule="auto"/>
              <w:jc w:val="center"/>
              <w:rPr>
                <w:rFonts w:ascii="Arial Narrow" w:eastAsia="Times New Roman" w:hAnsi="Arial Narrow"/>
                <w:sz w:val="20"/>
                <w:szCs w:val="20"/>
              </w:rPr>
            </w:pPr>
            <w:r w:rsidRPr="00721218">
              <w:rPr>
                <w:rFonts w:ascii="Arial Narrow" w:hAnsi="Arial Narrow"/>
                <w:sz w:val="20"/>
                <w:szCs w:val="20"/>
              </w:rPr>
              <w:t>Zdroje efektivnosti</w:t>
            </w:r>
          </w:p>
        </w:tc>
        <w:tc>
          <w:tcPr>
            <w:tcW w:w="454" w:type="dxa"/>
            <w:tcBorders>
              <w:top w:val="nil"/>
              <w:left w:val="single" w:sz="4" w:space="0" w:color="auto"/>
              <w:bottom w:val="nil"/>
              <w:right w:val="single" w:sz="4" w:space="0" w:color="auto"/>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c>
          <w:tcPr>
            <w:tcW w:w="272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46BD" w:rsidRPr="00721218" w:rsidRDefault="008146BD" w:rsidP="00721218">
            <w:pPr>
              <w:keepNext/>
              <w:widowControl w:val="0"/>
              <w:suppressLineNumbers/>
              <w:spacing w:line="240" w:lineRule="auto"/>
              <w:jc w:val="center"/>
              <w:rPr>
                <w:rFonts w:ascii="Arial Narrow" w:eastAsia="Times New Roman" w:hAnsi="Arial Narrow"/>
                <w:sz w:val="20"/>
                <w:szCs w:val="20"/>
              </w:rPr>
            </w:pPr>
            <w:r w:rsidRPr="00721218">
              <w:rPr>
                <w:rFonts w:ascii="Arial Narrow" w:hAnsi="Arial Narrow"/>
                <w:sz w:val="20"/>
                <w:szCs w:val="20"/>
              </w:rPr>
              <w:t xml:space="preserve">Subindex 3: </w:t>
            </w:r>
          </w:p>
          <w:p w:rsidR="008146BD" w:rsidRPr="00721218" w:rsidRDefault="008146BD" w:rsidP="00721218">
            <w:pPr>
              <w:keepNext/>
              <w:widowControl w:val="0"/>
              <w:suppressLineNumbers/>
              <w:spacing w:line="240" w:lineRule="auto"/>
              <w:jc w:val="center"/>
              <w:rPr>
                <w:rFonts w:ascii="Arial Narrow" w:eastAsia="Times New Roman" w:hAnsi="Arial Narrow"/>
                <w:sz w:val="20"/>
                <w:szCs w:val="20"/>
              </w:rPr>
            </w:pPr>
            <w:r w:rsidRPr="00721218">
              <w:rPr>
                <w:rFonts w:ascii="Arial Narrow" w:hAnsi="Arial Narrow"/>
                <w:sz w:val="20"/>
                <w:szCs w:val="20"/>
              </w:rPr>
              <w:t>Inovace a sofistikované faktory</w:t>
            </w:r>
          </w:p>
        </w:tc>
      </w:tr>
      <w:tr w:rsidR="008146BD" w:rsidRPr="00F90182" w:rsidTr="00721218">
        <w:trPr>
          <w:trHeight w:hRule="exact" w:val="284"/>
        </w:trPr>
        <w:tc>
          <w:tcPr>
            <w:tcW w:w="851" w:type="dxa"/>
            <w:tcBorders>
              <w:top w:val="single" w:sz="4" w:space="0" w:color="auto"/>
              <w:left w:val="single" w:sz="4" w:space="0" w:color="auto"/>
              <w:bottom w:val="nil"/>
              <w:right w:val="nil"/>
            </w:tcBorders>
            <w:hideMark/>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r w:rsidRPr="00721218">
              <w:rPr>
                <w:rFonts w:ascii="Arial Narrow" w:hAnsi="Arial Narrow"/>
                <w:sz w:val="20"/>
                <w:szCs w:val="20"/>
              </w:rPr>
              <w:t>Pilíř 1</w:t>
            </w:r>
          </w:p>
        </w:tc>
        <w:tc>
          <w:tcPr>
            <w:tcW w:w="1871" w:type="dxa"/>
            <w:gridSpan w:val="2"/>
            <w:tcBorders>
              <w:top w:val="single" w:sz="4" w:space="0" w:color="auto"/>
              <w:left w:val="nil"/>
              <w:bottom w:val="nil"/>
              <w:right w:val="single" w:sz="4" w:space="0" w:color="auto"/>
            </w:tcBorders>
            <w:hideMark/>
          </w:tcPr>
          <w:p w:rsidR="008146BD" w:rsidRPr="00721218" w:rsidRDefault="008146BD" w:rsidP="00721218">
            <w:pPr>
              <w:keepNext/>
              <w:widowControl w:val="0"/>
              <w:suppressLineNumbers/>
              <w:spacing w:line="240" w:lineRule="auto"/>
              <w:rPr>
                <w:rFonts w:ascii="Arial Narrow" w:eastAsia="Times New Roman" w:hAnsi="Arial Narrow"/>
                <w:sz w:val="20"/>
                <w:szCs w:val="20"/>
              </w:rPr>
            </w:pPr>
            <w:r w:rsidRPr="00721218">
              <w:rPr>
                <w:rFonts w:ascii="Arial Narrow" w:hAnsi="Arial Narrow"/>
                <w:sz w:val="20"/>
                <w:szCs w:val="20"/>
              </w:rPr>
              <w:t>Instituce</w:t>
            </w:r>
          </w:p>
        </w:tc>
        <w:tc>
          <w:tcPr>
            <w:tcW w:w="454" w:type="dxa"/>
            <w:gridSpan w:val="2"/>
            <w:tcBorders>
              <w:top w:val="nil"/>
              <w:left w:val="single" w:sz="4" w:space="0" w:color="auto"/>
              <w:bottom w:val="nil"/>
              <w:right w:val="single" w:sz="4" w:space="0" w:color="auto"/>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851" w:type="dxa"/>
            <w:vMerge w:val="restart"/>
            <w:tcBorders>
              <w:top w:val="single" w:sz="4" w:space="0" w:color="auto"/>
              <w:left w:val="single" w:sz="4" w:space="0" w:color="auto"/>
              <w:bottom w:val="single" w:sz="4" w:space="0" w:color="auto"/>
              <w:right w:val="nil"/>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r w:rsidRPr="00721218">
              <w:rPr>
                <w:rFonts w:ascii="Arial Narrow" w:hAnsi="Arial Narrow"/>
                <w:sz w:val="20"/>
                <w:szCs w:val="20"/>
              </w:rPr>
              <w:t>Pilíř 5</w:t>
            </w:r>
          </w:p>
          <w:p w:rsidR="008146BD" w:rsidRPr="00721218" w:rsidRDefault="008146BD" w:rsidP="00721218">
            <w:pPr>
              <w:keepNext/>
              <w:widowControl w:val="0"/>
              <w:suppressLineNumbers/>
              <w:spacing w:line="240" w:lineRule="auto"/>
              <w:jc w:val="both"/>
              <w:rPr>
                <w:rFonts w:ascii="Arial Narrow" w:hAnsi="Arial Narrow"/>
                <w:sz w:val="20"/>
                <w:szCs w:val="20"/>
              </w:rPr>
            </w:pPr>
            <w:r w:rsidRPr="00721218">
              <w:rPr>
                <w:rFonts w:ascii="Arial Narrow" w:hAnsi="Arial Narrow"/>
                <w:sz w:val="20"/>
                <w:szCs w:val="20"/>
              </w:rPr>
              <w:t>Pilíř 6</w:t>
            </w:r>
          </w:p>
          <w:p w:rsidR="008146BD" w:rsidRPr="00721218" w:rsidRDefault="008146BD" w:rsidP="00721218">
            <w:pPr>
              <w:keepNext/>
              <w:widowControl w:val="0"/>
              <w:suppressLineNumbers/>
              <w:spacing w:line="240" w:lineRule="auto"/>
              <w:jc w:val="both"/>
              <w:rPr>
                <w:rFonts w:ascii="Arial Narrow" w:hAnsi="Arial Narrow"/>
                <w:sz w:val="20"/>
                <w:szCs w:val="20"/>
              </w:rPr>
            </w:pPr>
            <w:r w:rsidRPr="00721218">
              <w:rPr>
                <w:rFonts w:ascii="Arial Narrow" w:hAnsi="Arial Narrow"/>
                <w:sz w:val="20"/>
                <w:szCs w:val="20"/>
              </w:rPr>
              <w:t>Pilíř 7</w:t>
            </w:r>
          </w:p>
          <w:p w:rsidR="008146BD" w:rsidRPr="00721218" w:rsidRDefault="008146BD" w:rsidP="00721218">
            <w:pPr>
              <w:keepNext/>
              <w:widowControl w:val="0"/>
              <w:suppressLineNumbers/>
              <w:spacing w:line="240" w:lineRule="auto"/>
              <w:jc w:val="both"/>
              <w:rPr>
                <w:rFonts w:ascii="Arial Narrow" w:hAnsi="Arial Narrow"/>
                <w:sz w:val="20"/>
                <w:szCs w:val="20"/>
              </w:rPr>
            </w:pPr>
            <w:r w:rsidRPr="00721218">
              <w:rPr>
                <w:rFonts w:ascii="Arial Narrow" w:hAnsi="Arial Narrow"/>
                <w:sz w:val="20"/>
                <w:szCs w:val="20"/>
              </w:rPr>
              <w:t>Pilíř 8</w:t>
            </w:r>
          </w:p>
          <w:p w:rsidR="008146BD" w:rsidRPr="00721218" w:rsidRDefault="008146BD" w:rsidP="00721218">
            <w:pPr>
              <w:keepNext/>
              <w:widowControl w:val="0"/>
              <w:suppressLineNumbers/>
              <w:spacing w:line="240" w:lineRule="auto"/>
              <w:jc w:val="both"/>
              <w:rPr>
                <w:rFonts w:ascii="Arial Narrow" w:hAnsi="Arial Narrow"/>
                <w:sz w:val="20"/>
                <w:szCs w:val="20"/>
              </w:rPr>
            </w:pPr>
            <w:r w:rsidRPr="00721218">
              <w:rPr>
                <w:rFonts w:ascii="Arial Narrow" w:hAnsi="Arial Narrow"/>
                <w:sz w:val="20"/>
                <w:szCs w:val="20"/>
              </w:rPr>
              <w:t>Pilíř 9</w:t>
            </w:r>
          </w:p>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r w:rsidRPr="00721218">
              <w:rPr>
                <w:rFonts w:ascii="Arial Narrow" w:hAnsi="Arial Narrow"/>
                <w:sz w:val="20"/>
                <w:szCs w:val="20"/>
              </w:rPr>
              <w:t>Pilíř 10</w:t>
            </w:r>
          </w:p>
        </w:tc>
        <w:tc>
          <w:tcPr>
            <w:tcW w:w="1871" w:type="dxa"/>
            <w:gridSpan w:val="2"/>
            <w:vMerge w:val="restart"/>
            <w:tcBorders>
              <w:top w:val="single" w:sz="4" w:space="0" w:color="auto"/>
              <w:left w:val="nil"/>
              <w:bottom w:val="single" w:sz="4" w:space="0" w:color="auto"/>
              <w:right w:val="single" w:sz="4" w:space="0" w:color="auto"/>
            </w:tcBorders>
            <w:hideMark/>
          </w:tcPr>
          <w:p w:rsidR="008146BD" w:rsidRPr="00721218" w:rsidRDefault="008146BD" w:rsidP="00721218">
            <w:pPr>
              <w:keepNext/>
              <w:widowControl w:val="0"/>
              <w:suppressLineNumbers/>
              <w:spacing w:line="240" w:lineRule="auto"/>
              <w:rPr>
                <w:rFonts w:ascii="Arial Narrow" w:eastAsia="Times New Roman" w:hAnsi="Arial Narrow"/>
                <w:sz w:val="20"/>
                <w:szCs w:val="20"/>
              </w:rPr>
            </w:pPr>
            <w:r w:rsidRPr="00721218">
              <w:rPr>
                <w:rFonts w:ascii="Arial Narrow" w:hAnsi="Arial Narrow"/>
                <w:sz w:val="20"/>
                <w:szCs w:val="20"/>
              </w:rPr>
              <w:t>Vyšší vzdělávání</w:t>
            </w:r>
          </w:p>
          <w:p w:rsidR="008146BD" w:rsidRPr="00721218" w:rsidRDefault="008146BD" w:rsidP="00721218">
            <w:pPr>
              <w:keepNext/>
              <w:widowControl w:val="0"/>
              <w:suppressLineNumbers/>
              <w:spacing w:line="240" w:lineRule="auto"/>
              <w:rPr>
                <w:rFonts w:ascii="Arial Narrow" w:hAnsi="Arial Narrow"/>
                <w:sz w:val="20"/>
                <w:szCs w:val="20"/>
              </w:rPr>
            </w:pPr>
            <w:r w:rsidRPr="00721218">
              <w:rPr>
                <w:rFonts w:ascii="Arial Narrow" w:hAnsi="Arial Narrow"/>
                <w:sz w:val="20"/>
                <w:szCs w:val="20"/>
              </w:rPr>
              <w:t>Efektiv. trhu zboží</w:t>
            </w:r>
          </w:p>
          <w:p w:rsidR="008146BD" w:rsidRPr="00721218" w:rsidRDefault="008146BD" w:rsidP="00721218">
            <w:pPr>
              <w:keepNext/>
              <w:widowControl w:val="0"/>
              <w:suppressLineNumbers/>
              <w:spacing w:line="240" w:lineRule="auto"/>
              <w:rPr>
                <w:rFonts w:ascii="Arial Narrow" w:hAnsi="Arial Narrow"/>
                <w:sz w:val="20"/>
                <w:szCs w:val="20"/>
              </w:rPr>
            </w:pPr>
            <w:r w:rsidRPr="00721218">
              <w:rPr>
                <w:rFonts w:ascii="Arial Narrow" w:hAnsi="Arial Narrow"/>
                <w:sz w:val="20"/>
                <w:szCs w:val="20"/>
              </w:rPr>
              <w:t>Efektiv. trhu práce</w:t>
            </w:r>
          </w:p>
          <w:p w:rsidR="008146BD" w:rsidRPr="00721218" w:rsidRDefault="008146BD" w:rsidP="00721218">
            <w:pPr>
              <w:keepNext/>
              <w:widowControl w:val="0"/>
              <w:suppressLineNumbers/>
              <w:spacing w:line="240" w:lineRule="auto"/>
              <w:rPr>
                <w:rFonts w:ascii="Arial Narrow" w:hAnsi="Arial Narrow"/>
                <w:sz w:val="20"/>
                <w:szCs w:val="20"/>
              </w:rPr>
            </w:pPr>
            <w:r w:rsidRPr="00721218">
              <w:rPr>
                <w:rFonts w:ascii="Arial Narrow" w:hAnsi="Arial Narrow"/>
                <w:sz w:val="20"/>
                <w:szCs w:val="20"/>
              </w:rPr>
              <w:t xml:space="preserve">Rozvoj fin. </w:t>
            </w:r>
            <w:proofErr w:type="gramStart"/>
            <w:r w:rsidRPr="00721218">
              <w:rPr>
                <w:rFonts w:ascii="Arial Narrow" w:hAnsi="Arial Narrow"/>
                <w:sz w:val="20"/>
                <w:szCs w:val="20"/>
              </w:rPr>
              <w:t>trhu</w:t>
            </w:r>
            <w:proofErr w:type="gramEnd"/>
          </w:p>
          <w:p w:rsidR="008146BD" w:rsidRPr="00721218" w:rsidRDefault="008146BD" w:rsidP="00721218">
            <w:pPr>
              <w:keepNext/>
              <w:widowControl w:val="0"/>
              <w:suppressLineNumbers/>
              <w:spacing w:line="240" w:lineRule="auto"/>
              <w:rPr>
                <w:rFonts w:ascii="Arial Narrow" w:hAnsi="Arial Narrow"/>
                <w:sz w:val="20"/>
                <w:szCs w:val="20"/>
              </w:rPr>
            </w:pPr>
            <w:r w:rsidRPr="00721218">
              <w:rPr>
                <w:rFonts w:ascii="Arial Narrow" w:hAnsi="Arial Narrow"/>
                <w:sz w:val="20"/>
                <w:szCs w:val="20"/>
              </w:rPr>
              <w:t>Technol. připrav.</w:t>
            </w:r>
          </w:p>
          <w:p w:rsidR="008146BD" w:rsidRPr="00721218" w:rsidRDefault="008146BD" w:rsidP="00721218">
            <w:pPr>
              <w:keepNext/>
              <w:widowControl w:val="0"/>
              <w:suppressLineNumbers/>
              <w:spacing w:line="240" w:lineRule="auto"/>
              <w:rPr>
                <w:rFonts w:ascii="Arial Narrow" w:eastAsia="Times New Roman" w:hAnsi="Arial Narrow"/>
                <w:sz w:val="20"/>
                <w:szCs w:val="20"/>
              </w:rPr>
            </w:pPr>
            <w:r w:rsidRPr="00721218">
              <w:rPr>
                <w:rFonts w:ascii="Arial Narrow" w:hAnsi="Arial Narrow"/>
                <w:sz w:val="20"/>
                <w:szCs w:val="20"/>
              </w:rPr>
              <w:t>Velikost trhu</w:t>
            </w:r>
          </w:p>
        </w:tc>
        <w:tc>
          <w:tcPr>
            <w:tcW w:w="454" w:type="dxa"/>
            <w:tcBorders>
              <w:top w:val="nil"/>
              <w:left w:val="single" w:sz="4" w:space="0" w:color="auto"/>
              <w:bottom w:val="nil"/>
              <w:right w:val="single" w:sz="4" w:space="0" w:color="auto"/>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c>
          <w:tcPr>
            <w:tcW w:w="851" w:type="dxa"/>
            <w:tcBorders>
              <w:top w:val="single" w:sz="4" w:space="0" w:color="auto"/>
              <w:left w:val="single" w:sz="4" w:space="0" w:color="auto"/>
              <w:bottom w:val="nil"/>
              <w:right w:val="nil"/>
            </w:tcBorders>
            <w:hideMark/>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r w:rsidRPr="00721218">
              <w:rPr>
                <w:rFonts w:ascii="Arial Narrow" w:hAnsi="Arial Narrow"/>
                <w:sz w:val="20"/>
                <w:szCs w:val="20"/>
              </w:rPr>
              <w:t>Pilíř 11</w:t>
            </w:r>
          </w:p>
        </w:tc>
        <w:tc>
          <w:tcPr>
            <w:tcW w:w="1871" w:type="dxa"/>
            <w:gridSpan w:val="2"/>
            <w:tcBorders>
              <w:top w:val="single" w:sz="4" w:space="0" w:color="auto"/>
              <w:left w:val="nil"/>
              <w:bottom w:val="nil"/>
              <w:right w:val="single" w:sz="4" w:space="0" w:color="auto"/>
            </w:tcBorders>
            <w:hideMark/>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r w:rsidRPr="00721218">
              <w:rPr>
                <w:rFonts w:ascii="Arial Narrow" w:hAnsi="Arial Narrow"/>
                <w:sz w:val="20"/>
                <w:szCs w:val="20"/>
              </w:rPr>
              <w:t>Sofistikace podniků</w:t>
            </w:r>
          </w:p>
        </w:tc>
      </w:tr>
      <w:tr w:rsidR="008146BD" w:rsidRPr="00F90182" w:rsidTr="00721218">
        <w:trPr>
          <w:trHeight w:hRule="exact" w:val="284"/>
        </w:trPr>
        <w:tc>
          <w:tcPr>
            <w:tcW w:w="851" w:type="dxa"/>
            <w:tcBorders>
              <w:top w:val="nil"/>
              <w:left w:val="single" w:sz="4" w:space="0" w:color="auto"/>
              <w:bottom w:val="nil"/>
              <w:right w:val="nil"/>
            </w:tcBorders>
            <w:hideMark/>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r w:rsidRPr="00721218">
              <w:rPr>
                <w:rFonts w:ascii="Arial Narrow" w:hAnsi="Arial Narrow"/>
                <w:sz w:val="20"/>
                <w:szCs w:val="20"/>
              </w:rPr>
              <w:t>Pilíř 2</w:t>
            </w:r>
          </w:p>
        </w:tc>
        <w:tc>
          <w:tcPr>
            <w:tcW w:w="1871" w:type="dxa"/>
            <w:gridSpan w:val="2"/>
            <w:tcBorders>
              <w:top w:val="nil"/>
              <w:left w:val="nil"/>
              <w:bottom w:val="nil"/>
              <w:right w:val="single" w:sz="4" w:space="0" w:color="auto"/>
            </w:tcBorders>
            <w:hideMark/>
          </w:tcPr>
          <w:p w:rsidR="008146BD" w:rsidRPr="00721218" w:rsidRDefault="008146BD" w:rsidP="00721218">
            <w:pPr>
              <w:keepNext/>
              <w:widowControl w:val="0"/>
              <w:suppressLineNumbers/>
              <w:spacing w:line="240" w:lineRule="auto"/>
              <w:rPr>
                <w:rFonts w:ascii="Arial Narrow" w:eastAsia="Times New Roman" w:hAnsi="Arial Narrow"/>
                <w:sz w:val="20"/>
                <w:szCs w:val="20"/>
              </w:rPr>
            </w:pPr>
            <w:r w:rsidRPr="00721218">
              <w:rPr>
                <w:rFonts w:ascii="Arial Narrow" w:hAnsi="Arial Narrow"/>
                <w:sz w:val="20"/>
                <w:szCs w:val="20"/>
              </w:rPr>
              <w:t>Infrastruktura</w:t>
            </w:r>
          </w:p>
        </w:tc>
        <w:tc>
          <w:tcPr>
            <w:tcW w:w="454" w:type="dxa"/>
            <w:gridSpan w:val="2"/>
            <w:tcBorders>
              <w:top w:val="nil"/>
              <w:left w:val="single" w:sz="4" w:space="0" w:color="auto"/>
              <w:bottom w:val="nil"/>
              <w:right w:val="single" w:sz="4" w:space="0" w:color="auto"/>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0" w:type="auto"/>
            <w:vMerge/>
            <w:tcBorders>
              <w:top w:val="single" w:sz="4" w:space="0" w:color="auto"/>
              <w:left w:val="single" w:sz="4" w:space="0" w:color="auto"/>
              <w:bottom w:val="single" w:sz="4" w:space="0" w:color="auto"/>
              <w:right w:val="nil"/>
            </w:tcBorders>
            <w:vAlign w:val="center"/>
            <w:hideMark/>
          </w:tcPr>
          <w:p w:rsidR="008146BD" w:rsidRPr="00721218" w:rsidRDefault="008146BD" w:rsidP="00721218">
            <w:pPr>
              <w:keepNext/>
              <w:suppressLineNumbers/>
              <w:spacing w:line="240" w:lineRule="auto"/>
              <w:rPr>
                <w:rFonts w:ascii="Arial Narrow" w:eastAsia="Times New Roman" w:hAnsi="Arial Narrow"/>
                <w:sz w:val="20"/>
                <w:szCs w:val="20"/>
              </w:rPr>
            </w:pPr>
          </w:p>
        </w:tc>
        <w:tc>
          <w:tcPr>
            <w:tcW w:w="0" w:type="auto"/>
            <w:gridSpan w:val="2"/>
            <w:vMerge/>
            <w:tcBorders>
              <w:top w:val="single" w:sz="4" w:space="0" w:color="auto"/>
              <w:left w:val="nil"/>
              <w:bottom w:val="single" w:sz="4" w:space="0" w:color="auto"/>
              <w:right w:val="single" w:sz="4" w:space="0" w:color="auto"/>
            </w:tcBorders>
            <w:vAlign w:val="center"/>
            <w:hideMark/>
          </w:tcPr>
          <w:p w:rsidR="008146BD" w:rsidRPr="00721218" w:rsidRDefault="008146BD" w:rsidP="00721218">
            <w:pPr>
              <w:keepNext/>
              <w:suppressLineNumbers/>
              <w:spacing w:line="240" w:lineRule="auto"/>
              <w:rPr>
                <w:rFonts w:ascii="Arial Narrow" w:eastAsia="Times New Roman" w:hAnsi="Arial Narrow"/>
                <w:sz w:val="20"/>
                <w:szCs w:val="20"/>
              </w:rPr>
            </w:pPr>
          </w:p>
        </w:tc>
        <w:tc>
          <w:tcPr>
            <w:tcW w:w="454" w:type="dxa"/>
            <w:tcBorders>
              <w:top w:val="nil"/>
              <w:left w:val="single" w:sz="4" w:space="0" w:color="auto"/>
              <w:bottom w:val="nil"/>
              <w:right w:val="single" w:sz="4" w:space="0" w:color="auto"/>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c>
          <w:tcPr>
            <w:tcW w:w="851" w:type="dxa"/>
            <w:tcBorders>
              <w:top w:val="nil"/>
              <w:left w:val="single" w:sz="4" w:space="0" w:color="auto"/>
              <w:bottom w:val="nil"/>
              <w:right w:val="nil"/>
            </w:tcBorders>
            <w:hideMark/>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r w:rsidRPr="00721218">
              <w:rPr>
                <w:rFonts w:ascii="Arial Narrow" w:hAnsi="Arial Narrow"/>
                <w:sz w:val="20"/>
                <w:szCs w:val="20"/>
              </w:rPr>
              <w:t>Pilíř 12</w:t>
            </w:r>
          </w:p>
        </w:tc>
        <w:tc>
          <w:tcPr>
            <w:tcW w:w="1871" w:type="dxa"/>
            <w:gridSpan w:val="2"/>
            <w:tcBorders>
              <w:top w:val="nil"/>
              <w:left w:val="nil"/>
              <w:bottom w:val="nil"/>
              <w:right w:val="single" w:sz="4" w:space="0" w:color="auto"/>
            </w:tcBorders>
            <w:hideMark/>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r w:rsidRPr="00721218">
              <w:rPr>
                <w:rFonts w:ascii="Arial Narrow" w:hAnsi="Arial Narrow"/>
                <w:sz w:val="20"/>
                <w:szCs w:val="20"/>
              </w:rPr>
              <w:t>Inovace</w:t>
            </w:r>
          </w:p>
        </w:tc>
      </w:tr>
      <w:tr w:rsidR="008146BD" w:rsidRPr="00F90182" w:rsidTr="00721218">
        <w:trPr>
          <w:trHeight w:hRule="exact" w:val="284"/>
        </w:trPr>
        <w:tc>
          <w:tcPr>
            <w:tcW w:w="851" w:type="dxa"/>
            <w:tcBorders>
              <w:top w:val="nil"/>
              <w:left w:val="single" w:sz="4" w:space="0" w:color="auto"/>
              <w:bottom w:val="nil"/>
              <w:right w:val="nil"/>
            </w:tcBorders>
            <w:hideMark/>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r w:rsidRPr="00721218">
              <w:rPr>
                <w:rFonts w:ascii="Arial Narrow" w:hAnsi="Arial Narrow"/>
                <w:sz w:val="20"/>
                <w:szCs w:val="20"/>
              </w:rPr>
              <w:t>Pilíř 3</w:t>
            </w:r>
          </w:p>
        </w:tc>
        <w:tc>
          <w:tcPr>
            <w:tcW w:w="1871" w:type="dxa"/>
            <w:gridSpan w:val="2"/>
            <w:tcBorders>
              <w:top w:val="nil"/>
              <w:left w:val="nil"/>
              <w:bottom w:val="nil"/>
              <w:right w:val="single" w:sz="4" w:space="0" w:color="auto"/>
            </w:tcBorders>
            <w:hideMark/>
          </w:tcPr>
          <w:p w:rsidR="008146BD" w:rsidRPr="00721218" w:rsidRDefault="008146BD" w:rsidP="00721218">
            <w:pPr>
              <w:keepNext/>
              <w:widowControl w:val="0"/>
              <w:suppressLineNumbers/>
              <w:spacing w:line="240" w:lineRule="auto"/>
              <w:rPr>
                <w:rFonts w:ascii="Arial Narrow" w:eastAsia="Times New Roman" w:hAnsi="Arial Narrow"/>
                <w:sz w:val="20"/>
                <w:szCs w:val="20"/>
              </w:rPr>
            </w:pPr>
            <w:r w:rsidRPr="00721218">
              <w:rPr>
                <w:rFonts w:ascii="Arial Narrow" w:hAnsi="Arial Narrow"/>
                <w:sz w:val="20"/>
                <w:szCs w:val="20"/>
              </w:rPr>
              <w:t>Makroek. prostředí</w:t>
            </w:r>
          </w:p>
        </w:tc>
        <w:tc>
          <w:tcPr>
            <w:tcW w:w="454" w:type="dxa"/>
            <w:gridSpan w:val="2"/>
            <w:tcBorders>
              <w:top w:val="nil"/>
              <w:left w:val="single" w:sz="4" w:space="0" w:color="auto"/>
              <w:bottom w:val="nil"/>
              <w:right w:val="single" w:sz="4" w:space="0" w:color="auto"/>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0" w:type="auto"/>
            <w:vMerge/>
            <w:tcBorders>
              <w:top w:val="single" w:sz="4" w:space="0" w:color="auto"/>
              <w:left w:val="single" w:sz="4" w:space="0" w:color="auto"/>
              <w:bottom w:val="single" w:sz="4" w:space="0" w:color="auto"/>
              <w:right w:val="nil"/>
            </w:tcBorders>
            <w:vAlign w:val="center"/>
            <w:hideMark/>
          </w:tcPr>
          <w:p w:rsidR="008146BD" w:rsidRPr="00721218" w:rsidRDefault="008146BD" w:rsidP="00721218">
            <w:pPr>
              <w:keepNext/>
              <w:suppressLineNumbers/>
              <w:spacing w:line="240" w:lineRule="auto"/>
              <w:rPr>
                <w:rFonts w:ascii="Arial Narrow" w:eastAsia="Times New Roman" w:hAnsi="Arial Narrow"/>
                <w:sz w:val="20"/>
                <w:szCs w:val="20"/>
              </w:rPr>
            </w:pPr>
          </w:p>
        </w:tc>
        <w:tc>
          <w:tcPr>
            <w:tcW w:w="0" w:type="auto"/>
            <w:gridSpan w:val="2"/>
            <w:vMerge/>
            <w:tcBorders>
              <w:top w:val="single" w:sz="4" w:space="0" w:color="auto"/>
              <w:left w:val="nil"/>
              <w:bottom w:val="single" w:sz="4" w:space="0" w:color="auto"/>
              <w:right w:val="single" w:sz="4" w:space="0" w:color="auto"/>
            </w:tcBorders>
            <w:vAlign w:val="center"/>
            <w:hideMark/>
          </w:tcPr>
          <w:p w:rsidR="008146BD" w:rsidRPr="00721218" w:rsidRDefault="008146BD" w:rsidP="00721218">
            <w:pPr>
              <w:keepNext/>
              <w:suppressLineNumbers/>
              <w:spacing w:line="240" w:lineRule="auto"/>
              <w:rPr>
                <w:rFonts w:ascii="Arial Narrow" w:eastAsia="Times New Roman" w:hAnsi="Arial Narrow"/>
                <w:sz w:val="20"/>
                <w:szCs w:val="20"/>
              </w:rPr>
            </w:pPr>
          </w:p>
        </w:tc>
        <w:tc>
          <w:tcPr>
            <w:tcW w:w="454" w:type="dxa"/>
            <w:tcBorders>
              <w:top w:val="nil"/>
              <w:left w:val="single" w:sz="4" w:space="0" w:color="auto"/>
              <w:bottom w:val="nil"/>
              <w:right w:val="single" w:sz="4" w:space="0" w:color="auto"/>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c>
          <w:tcPr>
            <w:tcW w:w="2722" w:type="dxa"/>
            <w:gridSpan w:val="3"/>
            <w:vMerge w:val="restart"/>
            <w:tcBorders>
              <w:top w:val="nil"/>
              <w:left w:val="single" w:sz="4" w:space="0" w:color="auto"/>
              <w:bottom w:val="single" w:sz="4" w:space="0" w:color="auto"/>
              <w:right w:val="single" w:sz="4" w:space="0" w:color="auto"/>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r>
      <w:tr w:rsidR="008146BD" w:rsidRPr="00F90182" w:rsidTr="00721218">
        <w:tc>
          <w:tcPr>
            <w:tcW w:w="851" w:type="dxa"/>
            <w:tcBorders>
              <w:top w:val="nil"/>
              <w:left w:val="single" w:sz="4" w:space="0" w:color="auto"/>
              <w:bottom w:val="nil"/>
              <w:right w:val="nil"/>
            </w:tcBorders>
            <w:hideMark/>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r w:rsidRPr="00721218">
              <w:rPr>
                <w:rFonts w:ascii="Arial Narrow" w:hAnsi="Arial Narrow"/>
                <w:sz w:val="20"/>
                <w:szCs w:val="20"/>
              </w:rPr>
              <w:t>Pilíř 4</w:t>
            </w:r>
          </w:p>
        </w:tc>
        <w:tc>
          <w:tcPr>
            <w:tcW w:w="1871" w:type="dxa"/>
            <w:gridSpan w:val="2"/>
            <w:tcBorders>
              <w:top w:val="nil"/>
              <w:left w:val="nil"/>
              <w:bottom w:val="nil"/>
              <w:right w:val="single" w:sz="4" w:space="0" w:color="auto"/>
            </w:tcBorders>
            <w:hideMark/>
          </w:tcPr>
          <w:p w:rsidR="008146BD" w:rsidRPr="00721218" w:rsidRDefault="008146BD" w:rsidP="00721218">
            <w:pPr>
              <w:keepNext/>
              <w:widowControl w:val="0"/>
              <w:suppressLineNumbers/>
              <w:spacing w:line="240" w:lineRule="auto"/>
              <w:rPr>
                <w:rFonts w:ascii="Arial Narrow" w:eastAsia="Times New Roman" w:hAnsi="Arial Narrow"/>
                <w:sz w:val="20"/>
                <w:szCs w:val="20"/>
              </w:rPr>
            </w:pPr>
            <w:r w:rsidRPr="00721218">
              <w:rPr>
                <w:rFonts w:ascii="Arial Narrow" w:hAnsi="Arial Narrow"/>
                <w:sz w:val="20"/>
                <w:szCs w:val="20"/>
              </w:rPr>
              <w:t>Zdraví a základní vzdělávání</w:t>
            </w:r>
          </w:p>
        </w:tc>
        <w:tc>
          <w:tcPr>
            <w:tcW w:w="454" w:type="dxa"/>
            <w:gridSpan w:val="2"/>
            <w:tcBorders>
              <w:top w:val="nil"/>
              <w:left w:val="single" w:sz="4" w:space="0" w:color="auto"/>
              <w:bottom w:val="nil"/>
              <w:right w:val="single" w:sz="4" w:space="0" w:color="auto"/>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0" w:type="auto"/>
            <w:vMerge/>
            <w:tcBorders>
              <w:top w:val="single" w:sz="4" w:space="0" w:color="auto"/>
              <w:left w:val="single" w:sz="4" w:space="0" w:color="auto"/>
              <w:bottom w:val="single" w:sz="4" w:space="0" w:color="auto"/>
              <w:right w:val="nil"/>
            </w:tcBorders>
            <w:vAlign w:val="center"/>
            <w:hideMark/>
          </w:tcPr>
          <w:p w:rsidR="008146BD" w:rsidRPr="00F90182" w:rsidRDefault="008146BD" w:rsidP="00721218">
            <w:pPr>
              <w:keepNext/>
              <w:suppressLineNumbers/>
              <w:spacing w:line="240" w:lineRule="auto"/>
              <w:rPr>
                <w:rFonts w:ascii="Arial Narrow" w:eastAsia="Times New Roman" w:hAnsi="Arial Narrow"/>
              </w:rPr>
            </w:pPr>
          </w:p>
        </w:tc>
        <w:tc>
          <w:tcPr>
            <w:tcW w:w="0" w:type="auto"/>
            <w:gridSpan w:val="2"/>
            <w:vMerge/>
            <w:tcBorders>
              <w:top w:val="single" w:sz="4" w:space="0" w:color="auto"/>
              <w:left w:val="nil"/>
              <w:bottom w:val="single" w:sz="4" w:space="0" w:color="auto"/>
              <w:right w:val="single" w:sz="4" w:space="0" w:color="auto"/>
            </w:tcBorders>
            <w:vAlign w:val="center"/>
            <w:hideMark/>
          </w:tcPr>
          <w:p w:rsidR="008146BD" w:rsidRPr="00F90182" w:rsidRDefault="008146BD" w:rsidP="00721218">
            <w:pPr>
              <w:keepNext/>
              <w:suppressLineNumbers/>
              <w:spacing w:line="240" w:lineRule="auto"/>
              <w:rPr>
                <w:rFonts w:ascii="Arial Narrow" w:eastAsia="Times New Roman" w:hAnsi="Arial Narrow"/>
              </w:rPr>
            </w:pPr>
          </w:p>
        </w:tc>
        <w:tc>
          <w:tcPr>
            <w:tcW w:w="454" w:type="dxa"/>
            <w:tcBorders>
              <w:top w:val="nil"/>
              <w:left w:val="single" w:sz="4" w:space="0" w:color="auto"/>
              <w:bottom w:val="nil"/>
              <w:right w:val="single" w:sz="4" w:space="0" w:color="auto"/>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0" w:type="auto"/>
            <w:gridSpan w:val="3"/>
            <w:vMerge/>
            <w:tcBorders>
              <w:top w:val="nil"/>
              <w:left w:val="single" w:sz="4" w:space="0" w:color="auto"/>
              <w:bottom w:val="nil"/>
              <w:right w:val="single" w:sz="4" w:space="0" w:color="auto"/>
            </w:tcBorders>
            <w:vAlign w:val="center"/>
            <w:hideMark/>
          </w:tcPr>
          <w:p w:rsidR="008146BD" w:rsidRPr="00F90182" w:rsidRDefault="008146BD" w:rsidP="00721218">
            <w:pPr>
              <w:keepNext/>
              <w:suppressLineNumbers/>
              <w:spacing w:line="240" w:lineRule="auto"/>
              <w:rPr>
                <w:rFonts w:ascii="Arial Narrow" w:eastAsia="Times New Roman" w:hAnsi="Arial Narrow"/>
              </w:rPr>
            </w:pPr>
          </w:p>
        </w:tc>
      </w:tr>
      <w:tr w:rsidR="008146BD" w:rsidRPr="00F90182" w:rsidTr="00721218">
        <w:trPr>
          <w:trHeight w:val="57"/>
        </w:trPr>
        <w:tc>
          <w:tcPr>
            <w:tcW w:w="2722" w:type="dxa"/>
            <w:gridSpan w:val="3"/>
            <w:vMerge w:val="restart"/>
            <w:tcBorders>
              <w:top w:val="nil"/>
              <w:left w:val="single" w:sz="4" w:space="0" w:color="auto"/>
              <w:bottom w:val="single" w:sz="4" w:space="0" w:color="auto"/>
              <w:right w:val="single" w:sz="4" w:space="0" w:color="auto"/>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454" w:type="dxa"/>
            <w:gridSpan w:val="2"/>
            <w:tcBorders>
              <w:top w:val="nil"/>
              <w:left w:val="single" w:sz="4" w:space="0" w:color="auto"/>
              <w:bottom w:val="nil"/>
              <w:right w:val="single" w:sz="4" w:space="0" w:color="auto"/>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0" w:type="auto"/>
            <w:vMerge/>
            <w:tcBorders>
              <w:top w:val="single" w:sz="4" w:space="0" w:color="auto"/>
              <w:left w:val="single" w:sz="4" w:space="0" w:color="auto"/>
              <w:bottom w:val="single" w:sz="4" w:space="0" w:color="auto"/>
              <w:right w:val="nil"/>
            </w:tcBorders>
            <w:vAlign w:val="center"/>
            <w:hideMark/>
          </w:tcPr>
          <w:p w:rsidR="008146BD" w:rsidRPr="00F90182" w:rsidRDefault="008146BD" w:rsidP="00721218">
            <w:pPr>
              <w:keepNext/>
              <w:suppressLineNumbers/>
              <w:spacing w:line="240" w:lineRule="auto"/>
              <w:rPr>
                <w:rFonts w:ascii="Arial Narrow" w:eastAsia="Times New Roman" w:hAnsi="Arial Narrow"/>
              </w:rPr>
            </w:pPr>
          </w:p>
        </w:tc>
        <w:tc>
          <w:tcPr>
            <w:tcW w:w="0" w:type="auto"/>
            <w:gridSpan w:val="2"/>
            <w:vMerge/>
            <w:tcBorders>
              <w:top w:val="single" w:sz="4" w:space="0" w:color="auto"/>
              <w:left w:val="nil"/>
              <w:bottom w:val="single" w:sz="4" w:space="0" w:color="auto"/>
              <w:right w:val="single" w:sz="4" w:space="0" w:color="auto"/>
            </w:tcBorders>
            <w:vAlign w:val="center"/>
            <w:hideMark/>
          </w:tcPr>
          <w:p w:rsidR="008146BD" w:rsidRPr="00F90182" w:rsidRDefault="008146BD" w:rsidP="00721218">
            <w:pPr>
              <w:keepNext/>
              <w:suppressLineNumbers/>
              <w:spacing w:line="240" w:lineRule="auto"/>
              <w:rPr>
                <w:rFonts w:ascii="Arial Narrow" w:eastAsia="Times New Roman" w:hAnsi="Arial Narrow"/>
              </w:rPr>
            </w:pPr>
          </w:p>
        </w:tc>
        <w:tc>
          <w:tcPr>
            <w:tcW w:w="454" w:type="dxa"/>
            <w:tcBorders>
              <w:top w:val="nil"/>
              <w:left w:val="single" w:sz="4" w:space="0" w:color="auto"/>
              <w:bottom w:val="nil"/>
              <w:right w:val="single" w:sz="4" w:space="0" w:color="auto"/>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0" w:type="auto"/>
            <w:gridSpan w:val="3"/>
            <w:vMerge/>
            <w:tcBorders>
              <w:top w:val="nil"/>
              <w:left w:val="single" w:sz="4" w:space="0" w:color="auto"/>
              <w:bottom w:val="nil"/>
              <w:right w:val="single" w:sz="4" w:space="0" w:color="auto"/>
            </w:tcBorders>
            <w:vAlign w:val="center"/>
            <w:hideMark/>
          </w:tcPr>
          <w:p w:rsidR="008146BD" w:rsidRPr="00F90182" w:rsidRDefault="008146BD" w:rsidP="00721218">
            <w:pPr>
              <w:keepNext/>
              <w:suppressLineNumbers/>
              <w:spacing w:line="240" w:lineRule="auto"/>
              <w:rPr>
                <w:rFonts w:ascii="Arial Narrow" w:eastAsia="Times New Roman" w:hAnsi="Arial Narrow"/>
              </w:rPr>
            </w:pPr>
          </w:p>
        </w:tc>
      </w:tr>
      <w:tr w:rsidR="008146BD" w:rsidRPr="00F90182" w:rsidTr="00721218">
        <w:tc>
          <w:tcPr>
            <w:tcW w:w="0" w:type="auto"/>
            <w:gridSpan w:val="3"/>
            <w:vMerge/>
            <w:tcBorders>
              <w:top w:val="nil"/>
              <w:left w:val="single" w:sz="4" w:space="0" w:color="auto"/>
              <w:bottom w:val="single" w:sz="4" w:space="0" w:color="auto"/>
              <w:right w:val="single" w:sz="4" w:space="0" w:color="auto"/>
            </w:tcBorders>
            <w:vAlign w:val="center"/>
            <w:hideMark/>
          </w:tcPr>
          <w:p w:rsidR="008146BD" w:rsidRPr="00F90182" w:rsidRDefault="008146BD" w:rsidP="00721218">
            <w:pPr>
              <w:keepNext/>
              <w:suppressLineNumbers/>
              <w:spacing w:line="240" w:lineRule="auto"/>
              <w:rPr>
                <w:rFonts w:ascii="Arial Narrow" w:eastAsia="Times New Roman" w:hAnsi="Arial Narrow"/>
              </w:rPr>
            </w:pPr>
          </w:p>
        </w:tc>
        <w:tc>
          <w:tcPr>
            <w:tcW w:w="454" w:type="dxa"/>
            <w:gridSpan w:val="2"/>
            <w:tcBorders>
              <w:top w:val="nil"/>
              <w:left w:val="single" w:sz="4" w:space="0" w:color="auto"/>
              <w:bottom w:val="nil"/>
              <w:right w:val="single" w:sz="4" w:space="0" w:color="auto"/>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0" w:type="auto"/>
            <w:vMerge/>
            <w:tcBorders>
              <w:top w:val="single" w:sz="4" w:space="0" w:color="auto"/>
              <w:left w:val="single" w:sz="4" w:space="0" w:color="auto"/>
              <w:bottom w:val="single" w:sz="4" w:space="0" w:color="auto"/>
              <w:right w:val="nil"/>
            </w:tcBorders>
            <w:vAlign w:val="center"/>
            <w:hideMark/>
          </w:tcPr>
          <w:p w:rsidR="008146BD" w:rsidRPr="00F90182" w:rsidRDefault="008146BD" w:rsidP="00721218">
            <w:pPr>
              <w:keepNext/>
              <w:suppressLineNumbers/>
              <w:spacing w:line="240" w:lineRule="auto"/>
              <w:rPr>
                <w:rFonts w:ascii="Arial Narrow" w:eastAsia="Times New Roman" w:hAnsi="Arial Narrow"/>
              </w:rPr>
            </w:pPr>
          </w:p>
        </w:tc>
        <w:tc>
          <w:tcPr>
            <w:tcW w:w="0" w:type="auto"/>
            <w:gridSpan w:val="2"/>
            <w:vMerge/>
            <w:tcBorders>
              <w:top w:val="single" w:sz="4" w:space="0" w:color="auto"/>
              <w:left w:val="nil"/>
              <w:bottom w:val="single" w:sz="4" w:space="0" w:color="auto"/>
              <w:right w:val="single" w:sz="4" w:space="0" w:color="auto"/>
            </w:tcBorders>
            <w:vAlign w:val="center"/>
            <w:hideMark/>
          </w:tcPr>
          <w:p w:rsidR="008146BD" w:rsidRPr="00F90182" w:rsidRDefault="008146BD" w:rsidP="00721218">
            <w:pPr>
              <w:keepNext/>
              <w:suppressLineNumbers/>
              <w:spacing w:line="240" w:lineRule="auto"/>
              <w:rPr>
                <w:rFonts w:ascii="Arial Narrow" w:eastAsia="Times New Roman" w:hAnsi="Arial Narrow"/>
              </w:rPr>
            </w:pPr>
          </w:p>
        </w:tc>
        <w:tc>
          <w:tcPr>
            <w:tcW w:w="454" w:type="dxa"/>
            <w:tcBorders>
              <w:top w:val="nil"/>
              <w:left w:val="single" w:sz="4" w:space="0" w:color="auto"/>
              <w:bottom w:val="nil"/>
              <w:right w:val="single" w:sz="4" w:space="0" w:color="auto"/>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0" w:type="auto"/>
            <w:gridSpan w:val="3"/>
            <w:vMerge/>
            <w:tcBorders>
              <w:top w:val="nil"/>
              <w:left w:val="single" w:sz="4" w:space="0" w:color="auto"/>
              <w:bottom w:val="nil"/>
              <w:right w:val="single" w:sz="4" w:space="0" w:color="auto"/>
            </w:tcBorders>
            <w:vAlign w:val="center"/>
            <w:hideMark/>
          </w:tcPr>
          <w:p w:rsidR="008146BD" w:rsidRPr="00F90182" w:rsidRDefault="008146BD" w:rsidP="00721218">
            <w:pPr>
              <w:keepNext/>
              <w:suppressLineNumbers/>
              <w:spacing w:line="240" w:lineRule="auto"/>
              <w:rPr>
                <w:rFonts w:ascii="Arial Narrow" w:eastAsia="Times New Roman" w:hAnsi="Arial Narrow"/>
              </w:rPr>
            </w:pPr>
          </w:p>
        </w:tc>
      </w:tr>
      <w:tr w:rsidR="008146BD" w:rsidRPr="00F90182" w:rsidTr="00721218">
        <w:trPr>
          <w:trHeight w:val="567"/>
        </w:trPr>
        <w:tc>
          <w:tcPr>
            <w:tcW w:w="2722" w:type="dxa"/>
            <w:gridSpan w:val="3"/>
            <w:tcBorders>
              <w:top w:val="single" w:sz="4" w:space="0" w:color="auto"/>
              <w:left w:val="nil"/>
              <w:bottom w:val="single" w:sz="4" w:space="0" w:color="auto"/>
              <w:right w:val="nil"/>
            </w:tcBorders>
            <w:hideMark/>
          </w:tcPr>
          <w:p w:rsidR="008146BD" w:rsidRPr="00F90182" w:rsidRDefault="00B40349" w:rsidP="00721218">
            <w:pPr>
              <w:keepNext/>
              <w:widowControl w:val="0"/>
              <w:suppressLineNumbers/>
              <w:spacing w:line="240" w:lineRule="auto"/>
              <w:jc w:val="both"/>
              <w:rPr>
                <w:rFonts w:ascii="Arial Narrow" w:eastAsia="Times New Roman" w:hAnsi="Arial Narrow"/>
              </w:rPr>
            </w:pPr>
            <w:r>
              <w:rPr>
                <w:rFonts w:ascii="Times New Roman" w:hAnsi="Times New Roman"/>
                <w:noProof/>
                <w:lang w:eastAsia="cs-CZ"/>
              </w:rPr>
              <w:pict>
                <v:group id="Skupina 5" o:spid="_x0000_s1121" style="position:absolute;left:0;text-align:left;margin-left:48.4pt;margin-top:.85pt;width:352.9pt;height:25.5pt;z-index:251755520;mso-position-horizontal-relative:text;mso-position-vertical-relative:text" coordsize="44819,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4" o:spid="_x0000_s1122" type="#_x0000_t67" style="position:absolute;width:3379;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DcQA&#10;AADbAAAADwAAAGRycy9kb3ducmV2LnhtbESPW4vCMBSE3xf8D+EIvq2pF0S6jbIIXkBQvIDs26E5&#10;vbDNSWlirf/eCAv7OMzMN0yy7EwlWmpcaVnBaBiBIE6tLjlXcL2sP+cgnEfWWFkmBU9ysFz0PhKM&#10;tX3widqzz0WAsItRQeF9HUvp0oIMuqGtiYOX2cagD7LJpW7wEeCmkuMomkmDJYeFAmtaFZT+nu9G&#10;QTqZ3lb0c9jfaLY9tmOdbS50VGrQ776/QHjq/H/4r73TCiZTeH8JP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uQ3EAAAA2wAAAA8AAAAAAAAAAAAAAAAAmAIAAGRycy9k&#10;b3ducmV2LnhtbFBLBQYAAAAABAAEAPUAAACJAwAAAAA=&#10;" adj="11400" fillcolor="#bcbcbc">
                    <v:fill color2="#ededed" rotate="t" angle="180" colors="0 #bcbcbc;22938f #d0d0d0;1 #ededed" focus="100%" type="gradient"/>
                    <v:shadow on="t" color="black" opacity="24903f" origin=",.5" offset="0,.55556mm"/>
                    <v:textbox style="mso-next-textbox:#Šipka dolů 34">
                      <w:txbxContent>
                        <w:p w:rsidR="00B40349" w:rsidRDefault="00B40349" w:rsidP="008146BD"/>
                      </w:txbxContent>
                    </v:textbox>
                  </v:shape>
                  <v:group id="Skupina 35" o:spid="_x0000_s1123" style="position:absolute;left:20136;width:24683;height:3578" coordorigin="20136" coordsize="24682,3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Šipka dolů 36" o:spid="_x0000_s1124" type="#_x0000_t67" style="position:absolute;left:20136;width:3379;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C4cUA&#10;AADbAAAADwAAAGRycy9kb3ducmV2LnhtbESPW2vCQBSE3wv+h+UIvtWNWkJJ3YgIXkBoqBakb4fs&#10;yYVmz4bsmsR/3y0U+jjMzDfMejOaRvTUudqygsU8AkGcW11zqeDzun9+BeE8ssbGMil4kINNOnla&#10;Y6LtwB/UX3wpAoRdggoq79tESpdXZNDNbUscvMJ2Bn2QXSl1h0OAm0YuoyiWBmsOCxW2tKso/77c&#10;jYJ89XLb0df7+UbxMeuXujhcKVNqNh23byA8jf4//Nc+aQWrGH6/hB8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YLhxQAAANsAAAAPAAAAAAAAAAAAAAAAAJgCAABkcnMv&#10;ZG93bnJldi54bWxQSwUGAAAAAAQABAD1AAAAigMAAAAA&#10;" adj="11400" fillcolor="#bcbcbc">
                      <v:fill color2="#ededed" rotate="t" angle="180" colors="0 #bcbcbc;22938f #d0d0d0;1 #ededed" focus="100%" type="gradient"/>
                      <v:shadow on="t" color="black" opacity="24903f" origin=",.5" offset="0,.55556mm"/>
                      <v:textbox style="mso-next-textbox:#Šipka dolů 36">
                        <w:txbxContent>
                          <w:p w:rsidR="00B40349" w:rsidRDefault="00B40349" w:rsidP="008146BD"/>
                        </w:txbxContent>
                      </v:textbox>
                    </v:shape>
                    <v:shape id="Šipka dolů 37" o:spid="_x0000_s1125" type="#_x0000_t67" style="position:absolute;left:41439;width:3380;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nesMA&#10;AADbAAAADwAAAGRycy9kb3ducmV2LnhtbESP3YrCMBSE7wXfIRzBO03VRaUaRQR1YWHFHxDvDs2x&#10;LTYnpYm1vr1ZWPBymJlvmPmyMYWoqXK5ZQWDfgSCOLE651TB+bTpTUE4j6yxsEwKXuRguWi35hhr&#10;++QD1UefigBhF6OCzPsyltIlGRl0fVsSB+9mK4M+yCqVusJngJtCDqNoLA3mHBYyLGmdUXI/PoyC&#10;ZPR1WdP19+dC492+Hurb9kR7pbqdZjUD4anxn/B/+1srGE3g70v4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UnesMAAADbAAAADwAAAAAAAAAAAAAAAACYAgAAZHJzL2Rv&#10;d25yZXYueG1sUEsFBgAAAAAEAAQA9QAAAIgDAAAAAA==&#10;" adj="11400" fillcolor="#bcbcbc">
                      <v:fill color2="#ededed" rotate="t" angle="180" colors="0 #bcbcbc;22938f #d0d0d0;1 #ededed" focus="100%" type="gradient"/>
                      <v:shadow on="t" color="black" opacity="24903f" origin=",.5" offset="0,.55556mm"/>
                      <v:textbox style="mso-next-textbox:#Šipka dolů 37">
                        <w:txbxContent>
                          <w:p w:rsidR="00B40349" w:rsidRDefault="00B40349" w:rsidP="008146BD"/>
                        </w:txbxContent>
                      </v:textbox>
                    </v:shape>
                  </v:group>
                </v:group>
              </w:pict>
            </w:r>
          </w:p>
        </w:tc>
        <w:tc>
          <w:tcPr>
            <w:tcW w:w="454" w:type="dxa"/>
            <w:gridSpan w:val="2"/>
            <w:tcBorders>
              <w:top w:val="nil"/>
              <w:left w:val="nil"/>
              <w:bottom w:val="nil"/>
              <w:right w:val="nil"/>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2722" w:type="dxa"/>
            <w:gridSpan w:val="3"/>
            <w:tcBorders>
              <w:top w:val="single" w:sz="4" w:space="0" w:color="auto"/>
              <w:left w:val="nil"/>
              <w:bottom w:val="single" w:sz="4" w:space="0" w:color="auto"/>
              <w:right w:val="nil"/>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454" w:type="dxa"/>
            <w:tcBorders>
              <w:top w:val="nil"/>
              <w:left w:val="nil"/>
              <w:bottom w:val="nil"/>
              <w:right w:val="nil"/>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c>
          <w:tcPr>
            <w:tcW w:w="2722" w:type="dxa"/>
            <w:gridSpan w:val="3"/>
            <w:tcBorders>
              <w:top w:val="single" w:sz="4" w:space="0" w:color="auto"/>
              <w:left w:val="nil"/>
              <w:bottom w:val="single" w:sz="4" w:space="0" w:color="auto"/>
              <w:right w:val="nil"/>
            </w:tcBorders>
          </w:tcPr>
          <w:p w:rsidR="008146BD" w:rsidRPr="00F90182" w:rsidRDefault="008146BD" w:rsidP="00721218">
            <w:pPr>
              <w:keepNext/>
              <w:widowControl w:val="0"/>
              <w:suppressLineNumbers/>
              <w:spacing w:line="240" w:lineRule="auto"/>
              <w:jc w:val="both"/>
              <w:rPr>
                <w:rFonts w:ascii="Arial Narrow" w:eastAsia="Times New Roman" w:hAnsi="Arial Narrow"/>
              </w:rPr>
            </w:pPr>
          </w:p>
        </w:tc>
      </w:tr>
      <w:tr w:rsidR="008146BD" w:rsidRPr="00F90182" w:rsidTr="00721218">
        <w:tc>
          <w:tcPr>
            <w:tcW w:w="2722" w:type="dxa"/>
            <w:gridSpan w:val="3"/>
            <w:tcBorders>
              <w:top w:val="single" w:sz="4" w:space="0" w:color="auto"/>
              <w:left w:val="single" w:sz="4" w:space="0" w:color="auto"/>
              <w:bottom w:val="single" w:sz="4" w:space="0" w:color="auto"/>
              <w:right w:val="single" w:sz="4" w:space="0" w:color="auto"/>
            </w:tcBorders>
            <w:hideMark/>
          </w:tcPr>
          <w:p w:rsidR="008146BD" w:rsidRPr="00721218" w:rsidRDefault="008146BD" w:rsidP="00721218">
            <w:pPr>
              <w:keepNext/>
              <w:widowControl w:val="0"/>
              <w:suppressLineNumbers/>
              <w:spacing w:line="240" w:lineRule="auto"/>
              <w:jc w:val="center"/>
              <w:rPr>
                <w:rFonts w:ascii="Arial Narrow" w:eastAsia="Times New Roman" w:hAnsi="Arial Narrow"/>
                <w:sz w:val="20"/>
                <w:szCs w:val="20"/>
              </w:rPr>
            </w:pPr>
            <w:r w:rsidRPr="00721218">
              <w:rPr>
                <w:rFonts w:ascii="Arial Narrow" w:hAnsi="Arial Narrow"/>
                <w:sz w:val="20"/>
                <w:szCs w:val="20"/>
              </w:rPr>
              <w:t xml:space="preserve">Klíčové pro </w:t>
            </w:r>
          </w:p>
          <w:p w:rsidR="008146BD" w:rsidRPr="00721218" w:rsidRDefault="008146BD" w:rsidP="00721218">
            <w:pPr>
              <w:keepNext/>
              <w:widowControl w:val="0"/>
              <w:suppressLineNumbers/>
              <w:spacing w:line="240" w:lineRule="auto"/>
              <w:jc w:val="center"/>
              <w:rPr>
                <w:rFonts w:ascii="Arial Narrow" w:eastAsia="Times New Roman" w:hAnsi="Arial Narrow"/>
                <w:sz w:val="20"/>
                <w:szCs w:val="20"/>
              </w:rPr>
            </w:pPr>
            <w:r w:rsidRPr="00721218">
              <w:rPr>
                <w:rFonts w:ascii="Arial Narrow" w:hAnsi="Arial Narrow"/>
                <w:sz w:val="20"/>
                <w:szCs w:val="20"/>
              </w:rPr>
              <w:t>faktory tažené ekonomiky</w:t>
            </w:r>
          </w:p>
        </w:tc>
        <w:tc>
          <w:tcPr>
            <w:tcW w:w="454" w:type="dxa"/>
            <w:gridSpan w:val="2"/>
            <w:tcBorders>
              <w:top w:val="nil"/>
              <w:left w:val="single" w:sz="4" w:space="0" w:color="auto"/>
              <w:bottom w:val="nil"/>
              <w:right w:val="single" w:sz="4" w:space="0" w:color="auto"/>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c>
          <w:tcPr>
            <w:tcW w:w="2722" w:type="dxa"/>
            <w:gridSpan w:val="3"/>
            <w:tcBorders>
              <w:top w:val="single" w:sz="4" w:space="0" w:color="auto"/>
              <w:left w:val="single" w:sz="4" w:space="0" w:color="auto"/>
              <w:bottom w:val="single" w:sz="4" w:space="0" w:color="auto"/>
              <w:right w:val="single" w:sz="4" w:space="0" w:color="auto"/>
            </w:tcBorders>
            <w:hideMark/>
          </w:tcPr>
          <w:p w:rsidR="008146BD" w:rsidRPr="00721218" w:rsidRDefault="008146BD" w:rsidP="00721218">
            <w:pPr>
              <w:keepNext/>
              <w:widowControl w:val="0"/>
              <w:suppressLineNumbers/>
              <w:spacing w:line="240" w:lineRule="auto"/>
              <w:jc w:val="center"/>
              <w:rPr>
                <w:rFonts w:ascii="Arial Narrow" w:eastAsia="Times New Roman" w:hAnsi="Arial Narrow"/>
                <w:sz w:val="20"/>
                <w:szCs w:val="20"/>
              </w:rPr>
            </w:pPr>
            <w:r w:rsidRPr="00721218">
              <w:rPr>
                <w:rFonts w:ascii="Arial Narrow" w:hAnsi="Arial Narrow"/>
                <w:sz w:val="20"/>
                <w:szCs w:val="20"/>
              </w:rPr>
              <w:t xml:space="preserve">Klíčové pro </w:t>
            </w:r>
          </w:p>
          <w:p w:rsidR="008146BD" w:rsidRPr="00721218" w:rsidRDefault="008146BD" w:rsidP="00721218">
            <w:pPr>
              <w:keepNext/>
              <w:widowControl w:val="0"/>
              <w:suppressLineNumbers/>
              <w:spacing w:line="240" w:lineRule="auto"/>
              <w:jc w:val="center"/>
              <w:rPr>
                <w:rFonts w:ascii="Arial Narrow" w:eastAsia="Times New Roman" w:hAnsi="Arial Narrow"/>
                <w:sz w:val="20"/>
                <w:szCs w:val="20"/>
              </w:rPr>
            </w:pPr>
            <w:r w:rsidRPr="00721218">
              <w:rPr>
                <w:rFonts w:ascii="Arial Narrow" w:hAnsi="Arial Narrow"/>
                <w:sz w:val="20"/>
                <w:szCs w:val="20"/>
              </w:rPr>
              <w:t>efektivností tažené ekonomiky</w:t>
            </w:r>
          </w:p>
        </w:tc>
        <w:tc>
          <w:tcPr>
            <w:tcW w:w="454" w:type="dxa"/>
            <w:tcBorders>
              <w:top w:val="nil"/>
              <w:left w:val="single" w:sz="4" w:space="0" w:color="auto"/>
              <w:bottom w:val="nil"/>
              <w:right w:val="single" w:sz="4" w:space="0" w:color="auto"/>
            </w:tcBorders>
          </w:tcPr>
          <w:p w:rsidR="008146BD" w:rsidRPr="00721218" w:rsidRDefault="008146BD" w:rsidP="00721218">
            <w:pPr>
              <w:keepNext/>
              <w:widowControl w:val="0"/>
              <w:suppressLineNumbers/>
              <w:spacing w:line="240" w:lineRule="auto"/>
              <w:jc w:val="both"/>
              <w:rPr>
                <w:rFonts w:ascii="Arial Narrow" w:eastAsia="Times New Roman" w:hAnsi="Arial Narrow"/>
                <w:sz w:val="20"/>
                <w:szCs w:val="20"/>
              </w:rPr>
            </w:pPr>
          </w:p>
        </w:tc>
        <w:tc>
          <w:tcPr>
            <w:tcW w:w="2722" w:type="dxa"/>
            <w:gridSpan w:val="3"/>
            <w:tcBorders>
              <w:top w:val="single" w:sz="4" w:space="0" w:color="auto"/>
              <w:left w:val="single" w:sz="4" w:space="0" w:color="auto"/>
              <w:bottom w:val="single" w:sz="4" w:space="0" w:color="auto"/>
              <w:right w:val="single" w:sz="4" w:space="0" w:color="auto"/>
            </w:tcBorders>
            <w:hideMark/>
          </w:tcPr>
          <w:p w:rsidR="008146BD" w:rsidRPr="00721218" w:rsidRDefault="008146BD" w:rsidP="00721218">
            <w:pPr>
              <w:keepNext/>
              <w:widowControl w:val="0"/>
              <w:suppressLineNumbers/>
              <w:spacing w:line="240" w:lineRule="auto"/>
              <w:jc w:val="center"/>
              <w:rPr>
                <w:rFonts w:ascii="Arial Narrow" w:eastAsia="Times New Roman" w:hAnsi="Arial Narrow"/>
                <w:sz w:val="20"/>
                <w:szCs w:val="20"/>
              </w:rPr>
            </w:pPr>
            <w:r w:rsidRPr="00721218">
              <w:rPr>
                <w:rFonts w:ascii="Arial Narrow" w:hAnsi="Arial Narrow"/>
                <w:sz w:val="20"/>
                <w:szCs w:val="20"/>
              </w:rPr>
              <w:t xml:space="preserve">Klíčové pro </w:t>
            </w:r>
          </w:p>
          <w:p w:rsidR="008146BD" w:rsidRPr="00721218" w:rsidRDefault="008146BD" w:rsidP="00721218">
            <w:pPr>
              <w:keepNext/>
              <w:widowControl w:val="0"/>
              <w:suppressLineNumbers/>
              <w:spacing w:line="240" w:lineRule="auto"/>
              <w:jc w:val="center"/>
              <w:rPr>
                <w:rFonts w:ascii="Arial Narrow" w:eastAsia="Times New Roman" w:hAnsi="Arial Narrow"/>
                <w:sz w:val="20"/>
                <w:szCs w:val="20"/>
              </w:rPr>
            </w:pPr>
            <w:r w:rsidRPr="00721218">
              <w:rPr>
                <w:rFonts w:ascii="Arial Narrow" w:hAnsi="Arial Narrow"/>
                <w:sz w:val="20"/>
                <w:szCs w:val="20"/>
              </w:rPr>
              <w:t>inovacemi tažené ekonomiky</w:t>
            </w:r>
          </w:p>
        </w:tc>
      </w:tr>
    </w:tbl>
    <w:p w:rsidR="008146BD" w:rsidRPr="006B61FE" w:rsidRDefault="006B61FE" w:rsidP="000C1CFB">
      <w:pPr>
        <w:pStyle w:val="0G-Titulek"/>
        <w:spacing w:before="200"/>
        <w:ind w:firstLine="0"/>
      </w:pPr>
      <w:bookmarkStart w:id="168" w:name="_Toc382326838"/>
      <w:r w:rsidRPr="006B61FE">
        <w:t>Obrázek 34</w:t>
      </w:r>
      <w:r w:rsidR="008146BD" w:rsidRPr="006B61FE">
        <w:t>: Index globální konkurenceschopnosti GCI</w:t>
      </w:r>
      <w:bookmarkEnd w:id="168"/>
    </w:p>
    <w:p w:rsidR="008146BD" w:rsidRPr="00F90182" w:rsidRDefault="008146BD" w:rsidP="00E6724F">
      <w:pPr>
        <w:keepNext/>
        <w:widowControl w:val="0"/>
        <w:suppressLineNumbers/>
        <w:spacing w:after="0"/>
        <w:jc w:val="center"/>
        <w:rPr>
          <w:rFonts w:ascii="Calibri" w:hAnsi="Calibri" w:cs="Calibri"/>
          <w:i/>
          <w:lang w:val="en-GB"/>
        </w:rPr>
      </w:pPr>
      <w:r w:rsidRPr="00F90182">
        <w:rPr>
          <w:rFonts w:ascii="Calibri" w:hAnsi="Calibri" w:cs="Calibri"/>
          <w:i/>
          <w:lang w:val="en-GB"/>
        </w:rPr>
        <w:t>Pramen: Schwab, Sala-i-Martín, 2013</w:t>
      </w:r>
    </w:p>
    <w:p w:rsidR="008146BD" w:rsidRPr="00F90182" w:rsidRDefault="008146BD" w:rsidP="00385CD4">
      <w:pPr>
        <w:keepNext/>
        <w:widowControl w:val="0"/>
        <w:suppressLineNumbers/>
        <w:spacing w:before="200" w:after="120"/>
        <w:ind w:firstLine="720"/>
        <w:jc w:val="both"/>
        <w:rPr>
          <w:sz w:val="24"/>
          <w:szCs w:val="24"/>
        </w:rPr>
      </w:pPr>
      <w:r>
        <w:rPr>
          <w:sz w:val="24"/>
          <w:szCs w:val="24"/>
        </w:rPr>
        <w:lastRenderedPageBreak/>
        <w:t>Z</w:t>
      </w:r>
      <w:r w:rsidRPr="00F90182">
        <w:rPr>
          <w:sz w:val="24"/>
          <w:szCs w:val="24"/>
        </w:rPr>
        <w:t xml:space="preserve">emě jsou </w:t>
      </w:r>
      <w:r>
        <w:rPr>
          <w:sz w:val="24"/>
          <w:szCs w:val="24"/>
        </w:rPr>
        <w:t xml:space="preserve">členěny </w:t>
      </w:r>
      <w:r w:rsidRPr="00F90182">
        <w:rPr>
          <w:sz w:val="24"/>
          <w:szCs w:val="24"/>
        </w:rPr>
        <w:t xml:space="preserve">do pěti skupin </w:t>
      </w:r>
      <w:r>
        <w:rPr>
          <w:sz w:val="24"/>
          <w:szCs w:val="24"/>
        </w:rPr>
        <w:t xml:space="preserve">dle </w:t>
      </w:r>
      <w:r w:rsidRPr="00F90182">
        <w:rPr>
          <w:sz w:val="24"/>
          <w:szCs w:val="24"/>
        </w:rPr>
        <w:t>HDP</w:t>
      </w:r>
      <w:r>
        <w:rPr>
          <w:sz w:val="24"/>
          <w:szCs w:val="24"/>
        </w:rPr>
        <w:t xml:space="preserve"> </w:t>
      </w:r>
      <w:r w:rsidRPr="00F90182">
        <w:rPr>
          <w:sz w:val="24"/>
          <w:szCs w:val="24"/>
        </w:rPr>
        <w:t xml:space="preserve">(3 skupiny </w:t>
      </w:r>
      <w:r>
        <w:rPr>
          <w:sz w:val="24"/>
          <w:szCs w:val="24"/>
        </w:rPr>
        <w:t>z</w:t>
      </w:r>
      <w:r w:rsidRPr="00F90182">
        <w:rPr>
          <w:sz w:val="24"/>
          <w:szCs w:val="24"/>
        </w:rPr>
        <w:t xml:space="preserve"> poslední</w:t>
      </w:r>
      <w:r>
        <w:rPr>
          <w:sz w:val="24"/>
          <w:szCs w:val="24"/>
        </w:rPr>
        <w:t>ho</w:t>
      </w:r>
      <w:r w:rsidRPr="00F90182">
        <w:rPr>
          <w:sz w:val="24"/>
          <w:szCs w:val="24"/>
        </w:rPr>
        <w:t xml:space="preserve"> </w:t>
      </w:r>
      <w:r w:rsidRPr="00CB7921">
        <w:rPr>
          <w:sz w:val="24"/>
          <w:szCs w:val="24"/>
        </w:rPr>
        <w:t>ř</w:t>
      </w:r>
      <w:r w:rsidR="0009511A">
        <w:rPr>
          <w:sz w:val="24"/>
          <w:szCs w:val="24"/>
        </w:rPr>
        <w:t>ádku + 2 přechodové skupiny). P</w:t>
      </w:r>
      <w:r w:rsidRPr="00CB7921">
        <w:rPr>
          <w:sz w:val="24"/>
          <w:szCs w:val="24"/>
        </w:rPr>
        <w:t xml:space="preserve">rotože pro konkurenceschopnost různě vyspělých zemí jsou důležité </w:t>
      </w:r>
      <w:r>
        <w:rPr>
          <w:sz w:val="24"/>
          <w:szCs w:val="24"/>
        </w:rPr>
        <w:t xml:space="preserve">různé </w:t>
      </w:r>
      <w:r w:rsidRPr="00CB7921">
        <w:rPr>
          <w:sz w:val="24"/>
          <w:szCs w:val="24"/>
        </w:rPr>
        <w:t xml:space="preserve">faktory, je </w:t>
      </w:r>
      <w:r>
        <w:rPr>
          <w:sz w:val="24"/>
          <w:szCs w:val="24"/>
        </w:rPr>
        <w:t xml:space="preserve">i </w:t>
      </w:r>
      <w:r w:rsidR="0009511A">
        <w:rPr>
          <w:sz w:val="24"/>
          <w:szCs w:val="24"/>
        </w:rPr>
        <w:t xml:space="preserve">váha subindexů </w:t>
      </w:r>
      <w:r w:rsidRPr="00CB7921">
        <w:rPr>
          <w:sz w:val="24"/>
          <w:szCs w:val="24"/>
        </w:rPr>
        <w:t>nastavena odlišně. Č</w:t>
      </w:r>
      <w:r>
        <w:rPr>
          <w:sz w:val="24"/>
          <w:szCs w:val="24"/>
        </w:rPr>
        <w:t>eská republika</w:t>
      </w:r>
      <w:r w:rsidRPr="00CB7921">
        <w:rPr>
          <w:sz w:val="24"/>
          <w:szCs w:val="24"/>
        </w:rPr>
        <w:t xml:space="preserve"> </w:t>
      </w:r>
      <w:r>
        <w:rPr>
          <w:sz w:val="24"/>
          <w:szCs w:val="24"/>
        </w:rPr>
        <w:t xml:space="preserve">je v </w:t>
      </w:r>
      <w:r w:rsidRPr="00CB7921">
        <w:rPr>
          <w:sz w:val="24"/>
          <w:szCs w:val="24"/>
        </w:rPr>
        <w:t>nejvyspělejší skupin</w:t>
      </w:r>
      <w:r>
        <w:rPr>
          <w:sz w:val="24"/>
          <w:szCs w:val="24"/>
        </w:rPr>
        <w:t>ě</w:t>
      </w:r>
      <w:r w:rsidRPr="00CB7921">
        <w:rPr>
          <w:sz w:val="24"/>
          <w:szCs w:val="24"/>
        </w:rPr>
        <w:t xml:space="preserve"> (inovacemi tažená ekonomika) </w:t>
      </w:r>
      <w:r>
        <w:rPr>
          <w:sz w:val="24"/>
          <w:szCs w:val="24"/>
        </w:rPr>
        <w:t xml:space="preserve">s </w:t>
      </w:r>
      <w:r w:rsidRPr="00CB7921">
        <w:rPr>
          <w:sz w:val="24"/>
          <w:szCs w:val="24"/>
        </w:rPr>
        <w:t>váh</w:t>
      </w:r>
      <w:r>
        <w:rPr>
          <w:sz w:val="24"/>
          <w:szCs w:val="24"/>
        </w:rPr>
        <w:t>ou</w:t>
      </w:r>
      <w:r w:rsidRPr="00CB7921">
        <w:rPr>
          <w:sz w:val="24"/>
          <w:szCs w:val="24"/>
        </w:rPr>
        <w:t xml:space="preserve"> subindexů 20, 50 a 30 %.  Tabulka </w:t>
      </w:r>
      <w:r>
        <w:rPr>
          <w:sz w:val="24"/>
          <w:szCs w:val="24"/>
        </w:rPr>
        <w:t>ukazuje</w:t>
      </w:r>
      <w:r w:rsidRPr="00CB7921">
        <w:rPr>
          <w:sz w:val="24"/>
          <w:szCs w:val="24"/>
        </w:rPr>
        <w:t xml:space="preserve"> první</w:t>
      </w:r>
      <w:r>
        <w:rPr>
          <w:sz w:val="24"/>
          <w:szCs w:val="24"/>
        </w:rPr>
        <w:t xml:space="preserve">ch 10 </w:t>
      </w:r>
      <w:r w:rsidRPr="00CB7921">
        <w:rPr>
          <w:sz w:val="24"/>
          <w:szCs w:val="24"/>
        </w:rPr>
        <w:t>zemí a zem</w:t>
      </w:r>
      <w:r>
        <w:rPr>
          <w:sz w:val="24"/>
          <w:szCs w:val="24"/>
        </w:rPr>
        <w:t>ě</w:t>
      </w:r>
      <w:r w:rsidRPr="00CB7921">
        <w:rPr>
          <w:sz w:val="24"/>
          <w:szCs w:val="24"/>
        </w:rPr>
        <w:t xml:space="preserve"> Visegrádské čtyřky</w:t>
      </w:r>
      <w:r>
        <w:rPr>
          <w:sz w:val="24"/>
          <w:szCs w:val="24"/>
        </w:rPr>
        <w:t xml:space="preserve"> (V4)</w:t>
      </w:r>
      <w:r w:rsidRPr="00CB7921">
        <w:rPr>
          <w:sz w:val="24"/>
          <w:szCs w:val="24"/>
        </w:rPr>
        <w:t xml:space="preserve">. </w:t>
      </w:r>
    </w:p>
    <w:p w:rsidR="008146BD" w:rsidRPr="00740291" w:rsidRDefault="008146BD" w:rsidP="006B61FE">
      <w:pPr>
        <w:pStyle w:val="0T-Titulek"/>
        <w:rPr>
          <w:lang w:val="en-GB"/>
        </w:rPr>
      </w:pPr>
      <w:bookmarkStart w:id="169" w:name="_Toc382326474"/>
      <w:r w:rsidRPr="00740291">
        <w:rPr>
          <w:lang w:val="en-GB"/>
        </w:rPr>
        <w:t>Tabulka 47: Index globáln</w:t>
      </w:r>
      <w:r w:rsidR="0009511A">
        <w:rPr>
          <w:lang w:val="en-GB"/>
        </w:rPr>
        <w:t>í konkurenceschopnosti GCI 2013–</w:t>
      </w:r>
      <w:r w:rsidRPr="00740291">
        <w:rPr>
          <w:lang w:val="en-GB"/>
        </w:rPr>
        <w:t>2014</w:t>
      </w:r>
      <w:bookmarkEnd w:id="169"/>
    </w:p>
    <w:tbl>
      <w:tblPr>
        <w:tblW w:w="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6"/>
        <w:gridCol w:w="767"/>
        <w:gridCol w:w="767"/>
        <w:gridCol w:w="767"/>
        <w:gridCol w:w="767"/>
        <w:gridCol w:w="767"/>
        <w:gridCol w:w="767"/>
        <w:gridCol w:w="767"/>
        <w:gridCol w:w="812"/>
      </w:tblGrid>
      <w:tr w:rsidR="008146BD" w:rsidRPr="00F90182" w:rsidTr="00F075D1">
        <w:trPr>
          <w:trHeight w:hRule="exact" w:val="284"/>
          <w:tblCellSpacing w:w="15" w:type="dxa"/>
          <w:jc w:val="center"/>
        </w:trPr>
        <w:tc>
          <w:tcPr>
            <w:tcW w:w="1871"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146BD" w:rsidRPr="00F075D1" w:rsidRDefault="008146BD" w:rsidP="007A7D80">
            <w:pPr>
              <w:keepNext/>
              <w:suppressLineNumbers/>
              <w:spacing w:after="0"/>
              <w:ind w:right="113"/>
              <w:rPr>
                <w:rFonts w:asciiTheme="minorHAnsi" w:hAnsiTheme="minorHAnsi" w:cstheme="minorHAnsi"/>
                <w:b/>
                <w:lang w:eastAsia="en-GB"/>
              </w:rPr>
            </w:pPr>
            <w:r w:rsidRPr="00F075D1">
              <w:rPr>
                <w:rFonts w:asciiTheme="minorHAnsi" w:hAnsiTheme="minorHAnsi" w:cstheme="minorHAnsi"/>
                <w:b/>
                <w:lang w:eastAsia="en-GB"/>
              </w:rPr>
              <w:t>země</w:t>
            </w:r>
          </w:p>
        </w:tc>
        <w:tc>
          <w:tcPr>
            <w:tcW w:w="1504"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GCI</w:t>
            </w:r>
          </w:p>
        </w:tc>
        <w:tc>
          <w:tcPr>
            <w:tcW w:w="1504"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subindex 1</w:t>
            </w:r>
          </w:p>
        </w:tc>
        <w:tc>
          <w:tcPr>
            <w:tcW w:w="1504"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subindex 2</w:t>
            </w:r>
          </w:p>
        </w:tc>
        <w:tc>
          <w:tcPr>
            <w:tcW w:w="1534"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subindex 3</w:t>
            </w:r>
          </w:p>
        </w:tc>
      </w:tr>
      <w:tr w:rsidR="008146BD" w:rsidRPr="00F90182" w:rsidTr="00F075D1">
        <w:trPr>
          <w:trHeight w:hRule="exact" w:val="284"/>
          <w:tblCellSpacing w:w="15" w:type="dxa"/>
          <w:jc w:val="center"/>
        </w:trPr>
        <w:tc>
          <w:tcPr>
            <w:tcW w:w="1871" w:type="dxa"/>
            <w:vMerge/>
            <w:tcBorders>
              <w:top w:val="single" w:sz="4" w:space="0" w:color="auto"/>
              <w:left w:val="single" w:sz="4" w:space="0" w:color="auto"/>
              <w:bottom w:val="single" w:sz="4" w:space="0" w:color="auto"/>
              <w:right w:val="single" w:sz="4" w:space="0" w:color="auto"/>
            </w:tcBorders>
            <w:vAlign w:val="center"/>
            <w:hideMark/>
          </w:tcPr>
          <w:p w:rsidR="008146BD" w:rsidRPr="00F075D1" w:rsidRDefault="008146BD" w:rsidP="007A7D80">
            <w:pPr>
              <w:keepNext/>
              <w:suppressLineNumbers/>
              <w:spacing w:after="0"/>
              <w:ind w:right="113"/>
              <w:rPr>
                <w:rFonts w:asciiTheme="minorHAnsi" w:hAnsiTheme="minorHAnsi" w:cstheme="minorHAnsi"/>
                <w:b/>
                <w:lang w:eastAsia="en-GB"/>
              </w:rPr>
            </w:pP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 xml:space="preserve">pořadí </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skóre</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 xml:space="preserve">pořadí </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skóre</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 xml:space="preserve">pořadí </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skóre</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 xml:space="preserve">pořadí </w:t>
            </w:r>
          </w:p>
        </w:tc>
        <w:tc>
          <w:tcPr>
            <w:tcW w:w="7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skóre</w:t>
            </w:r>
          </w:p>
        </w:tc>
      </w:tr>
      <w:tr w:rsidR="008146BD" w:rsidRPr="00F90182" w:rsidTr="00F075D1">
        <w:trPr>
          <w:trHeight w:hRule="exact" w:val="255"/>
          <w:tblCellSpacing w:w="15" w:type="dxa"/>
          <w:jc w:val="center"/>
        </w:trPr>
        <w:tc>
          <w:tcPr>
            <w:tcW w:w="18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09511A" w:rsidP="007A7D80">
            <w:pPr>
              <w:keepNext/>
              <w:suppressLineNumbers/>
              <w:spacing w:after="0"/>
              <w:ind w:right="113"/>
              <w:rPr>
                <w:rFonts w:asciiTheme="minorHAnsi" w:hAnsiTheme="minorHAnsi" w:cstheme="minorHAnsi"/>
                <w:lang w:eastAsia="en-GB"/>
              </w:rPr>
            </w:pPr>
            <w:r w:rsidRPr="00F075D1">
              <w:rPr>
                <w:rFonts w:asciiTheme="minorHAnsi" w:hAnsiTheme="minorHAnsi" w:cstheme="minorHAnsi"/>
                <w:lang w:eastAsia="en-GB"/>
              </w:rPr>
              <w:t>Š</w:t>
            </w:r>
            <w:r w:rsidR="008146BD" w:rsidRPr="00F075D1">
              <w:rPr>
                <w:rFonts w:asciiTheme="minorHAnsi" w:hAnsiTheme="minorHAnsi" w:cstheme="minorHAnsi"/>
                <w:lang w:eastAsia="en-GB"/>
              </w:rPr>
              <w:t>výcarsko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5,67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6,15</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5,44</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w:t>
            </w:r>
          </w:p>
        </w:tc>
        <w:tc>
          <w:tcPr>
            <w:tcW w:w="7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5,72</w:t>
            </w:r>
          </w:p>
        </w:tc>
      </w:tr>
      <w:tr w:rsidR="008146BD" w:rsidRPr="00F90182" w:rsidTr="00F075D1">
        <w:trPr>
          <w:trHeight w:hRule="exact" w:val="255"/>
          <w:tblCellSpacing w:w="15" w:type="dxa"/>
          <w:jc w:val="center"/>
        </w:trPr>
        <w:tc>
          <w:tcPr>
            <w:tcW w:w="18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ind w:right="113"/>
              <w:rPr>
                <w:rFonts w:asciiTheme="minorHAnsi" w:hAnsiTheme="minorHAnsi" w:cstheme="minorHAnsi"/>
                <w:lang w:eastAsia="en-GB"/>
              </w:rPr>
            </w:pPr>
            <w:r w:rsidRPr="00F075D1">
              <w:rPr>
                <w:rFonts w:asciiTheme="minorHAnsi" w:hAnsiTheme="minorHAnsi" w:cstheme="minorHAnsi"/>
                <w:lang w:eastAsia="en-GB"/>
              </w:rPr>
              <w:t>Singapur</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5,61</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6,30</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5,63</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12</w:t>
            </w:r>
          </w:p>
        </w:tc>
        <w:tc>
          <w:tcPr>
            <w:tcW w:w="7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5,14</w:t>
            </w:r>
          </w:p>
        </w:tc>
      </w:tr>
      <w:tr w:rsidR="008146BD" w:rsidRPr="00F90182" w:rsidTr="00F075D1">
        <w:trPr>
          <w:trHeight w:hRule="exact" w:val="255"/>
          <w:tblCellSpacing w:w="15" w:type="dxa"/>
          <w:jc w:val="center"/>
        </w:trPr>
        <w:tc>
          <w:tcPr>
            <w:tcW w:w="18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ind w:right="113"/>
              <w:rPr>
                <w:rFonts w:asciiTheme="minorHAnsi" w:hAnsiTheme="minorHAnsi" w:cstheme="minorHAnsi"/>
                <w:lang w:eastAsia="en-GB"/>
              </w:rPr>
            </w:pPr>
            <w:r w:rsidRPr="00F075D1">
              <w:rPr>
                <w:rFonts w:asciiTheme="minorHAnsi" w:hAnsiTheme="minorHAnsi" w:cstheme="minorHAnsi"/>
                <w:lang w:eastAsia="en-GB"/>
              </w:rPr>
              <w:t>Finsko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5,54</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5,97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5,30</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w:t>
            </w:r>
          </w:p>
        </w:tc>
        <w:tc>
          <w:tcPr>
            <w:tcW w:w="7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5,65</w:t>
            </w:r>
          </w:p>
        </w:tc>
      </w:tr>
      <w:tr w:rsidR="008146BD" w:rsidRPr="00F90182" w:rsidTr="00F075D1">
        <w:trPr>
          <w:trHeight w:hRule="exact" w:val="255"/>
          <w:tblCellSpacing w:w="15" w:type="dxa"/>
          <w:jc w:val="center"/>
        </w:trPr>
        <w:tc>
          <w:tcPr>
            <w:tcW w:w="18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ind w:right="113"/>
              <w:rPr>
                <w:rFonts w:asciiTheme="minorHAnsi" w:hAnsiTheme="minorHAnsi" w:cstheme="minorHAnsi"/>
                <w:lang w:eastAsia="en-GB"/>
              </w:rPr>
            </w:pPr>
            <w:r w:rsidRPr="00F075D1">
              <w:rPr>
                <w:rFonts w:asciiTheme="minorHAnsi" w:hAnsiTheme="minorHAnsi" w:cstheme="minorHAnsi"/>
                <w:lang w:eastAsia="en-GB"/>
              </w:rPr>
              <w:t>Německo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5,51</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5,90</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5,31</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w:t>
            </w:r>
          </w:p>
        </w:tc>
        <w:tc>
          <w:tcPr>
            <w:tcW w:w="7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5,59</w:t>
            </w:r>
          </w:p>
        </w:tc>
      </w:tr>
      <w:tr w:rsidR="008146BD" w:rsidRPr="00F90182" w:rsidTr="00F075D1">
        <w:trPr>
          <w:trHeight w:hRule="exact" w:val="255"/>
          <w:tblCellSpacing w:w="15" w:type="dxa"/>
          <w:jc w:val="center"/>
        </w:trPr>
        <w:tc>
          <w:tcPr>
            <w:tcW w:w="18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ind w:right="113"/>
              <w:rPr>
                <w:rFonts w:asciiTheme="minorHAnsi" w:hAnsiTheme="minorHAnsi" w:cstheme="minorHAnsi"/>
                <w:lang w:eastAsia="en-GB"/>
              </w:rPr>
            </w:pPr>
            <w:r w:rsidRPr="00F075D1">
              <w:rPr>
                <w:rFonts w:asciiTheme="minorHAnsi" w:hAnsiTheme="minorHAnsi" w:cstheme="minorHAnsi"/>
                <w:lang w:eastAsia="en-GB"/>
              </w:rPr>
              <w:t>USA</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5,48</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36</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5,12</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5,66</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w:t>
            </w:r>
          </w:p>
        </w:tc>
        <w:tc>
          <w:tcPr>
            <w:tcW w:w="7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5,43</w:t>
            </w:r>
          </w:p>
        </w:tc>
      </w:tr>
      <w:tr w:rsidR="008146BD" w:rsidRPr="00F90182" w:rsidTr="00F075D1">
        <w:trPr>
          <w:trHeight w:hRule="exact" w:val="255"/>
          <w:tblCellSpacing w:w="15" w:type="dxa"/>
          <w:jc w:val="center"/>
        </w:trPr>
        <w:tc>
          <w:tcPr>
            <w:tcW w:w="18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ind w:right="113"/>
              <w:rPr>
                <w:rFonts w:asciiTheme="minorHAnsi" w:hAnsiTheme="minorHAnsi" w:cstheme="minorHAnsi"/>
                <w:lang w:eastAsia="en-GB"/>
              </w:rPr>
            </w:pPr>
            <w:r w:rsidRPr="00F075D1">
              <w:rPr>
                <w:rFonts w:asciiTheme="minorHAnsi" w:hAnsiTheme="minorHAnsi" w:cstheme="minorHAnsi"/>
                <w:lang w:eastAsia="en-GB"/>
              </w:rPr>
              <w:t>Švédsko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5,48</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5,95</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5,31</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w:t>
            </w:r>
          </w:p>
        </w:tc>
        <w:tc>
          <w:tcPr>
            <w:tcW w:w="7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5,46</w:t>
            </w:r>
          </w:p>
        </w:tc>
      </w:tr>
      <w:tr w:rsidR="008146BD" w:rsidRPr="00F90182" w:rsidTr="00F075D1">
        <w:trPr>
          <w:trHeight w:hRule="exact" w:val="255"/>
          <w:tblCellSpacing w:w="15" w:type="dxa"/>
          <w:jc w:val="center"/>
        </w:trPr>
        <w:tc>
          <w:tcPr>
            <w:tcW w:w="18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ind w:right="113"/>
              <w:rPr>
                <w:rFonts w:asciiTheme="minorHAnsi" w:hAnsiTheme="minorHAnsi" w:cstheme="minorHAnsi"/>
                <w:lang w:eastAsia="en-GB"/>
              </w:rPr>
            </w:pPr>
            <w:r w:rsidRPr="00F075D1">
              <w:rPr>
                <w:rFonts w:asciiTheme="minorHAnsi" w:hAnsiTheme="minorHAnsi" w:cstheme="minorHAnsi"/>
                <w:lang w:eastAsia="en-GB"/>
              </w:rPr>
              <w:t xml:space="preserve">Hong Kong </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5,47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6,15</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5,57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19</w:t>
            </w:r>
          </w:p>
        </w:tc>
        <w:tc>
          <w:tcPr>
            <w:tcW w:w="7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4,83</w:t>
            </w:r>
          </w:p>
        </w:tc>
      </w:tr>
      <w:tr w:rsidR="008146BD" w:rsidRPr="00F90182" w:rsidTr="00F075D1">
        <w:trPr>
          <w:trHeight w:hRule="exact" w:val="255"/>
          <w:tblCellSpacing w:w="15" w:type="dxa"/>
          <w:jc w:val="center"/>
        </w:trPr>
        <w:tc>
          <w:tcPr>
            <w:tcW w:w="18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ind w:right="113"/>
              <w:rPr>
                <w:rFonts w:asciiTheme="minorHAnsi" w:hAnsiTheme="minorHAnsi" w:cstheme="minorHAnsi"/>
                <w:lang w:eastAsia="en-GB"/>
              </w:rPr>
            </w:pPr>
            <w:r w:rsidRPr="00F075D1">
              <w:rPr>
                <w:rFonts w:asciiTheme="minorHAnsi" w:hAnsiTheme="minorHAnsi" w:cstheme="minorHAnsi"/>
                <w:lang w:eastAsia="en-GB"/>
              </w:rPr>
              <w:t>Nizozemí</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5,42</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10</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5,89</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11</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5,27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w:t>
            </w:r>
          </w:p>
        </w:tc>
        <w:tc>
          <w:tcPr>
            <w:tcW w:w="7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5,36</w:t>
            </w:r>
          </w:p>
        </w:tc>
      </w:tr>
      <w:tr w:rsidR="008146BD" w:rsidRPr="00F90182" w:rsidTr="00F075D1">
        <w:trPr>
          <w:trHeight w:hRule="exact" w:val="255"/>
          <w:tblCellSpacing w:w="15" w:type="dxa"/>
          <w:jc w:val="center"/>
        </w:trPr>
        <w:tc>
          <w:tcPr>
            <w:tcW w:w="18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ind w:right="113"/>
              <w:rPr>
                <w:rFonts w:asciiTheme="minorHAnsi" w:hAnsiTheme="minorHAnsi" w:cstheme="minorHAnsi"/>
                <w:lang w:eastAsia="en-GB"/>
              </w:rPr>
            </w:pPr>
            <w:r w:rsidRPr="00F075D1">
              <w:rPr>
                <w:rFonts w:asciiTheme="minorHAnsi" w:hAnsiTheme="minorHAnsi" w:cstheme="minorHAnsi"/>
                <w:lang w:eastAsia="en-GB"/>
              </w:rPr>
              <w:t>Japonsko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5,40</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28</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5,37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10</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5,27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w:t>
            </w:r>
          </w:p>
        </w:tc>
        <w:tc>
          <w:tcPr>
            <w:tcW w:w="7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5,62</w:t>
            </w:r>
          </w:p>
        </w:tc>
      </w:tr>
      <w:tr w:rsidR="008146BD" w:rsidRPr="00F90182" w:rsidTr="00F075D1">
        <w:trPr>
          <w:trHeight w:hRule="exact" w:val="255"/>
          <w:tblCellSpacing w:w="15" w:type="dxa"/>
          <w:jc w:val="center"/>
        </w:trPr>
        <w:tc>
          <w:tcPr>
            <w:tcW w:w="18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ind w:left="-57" w:right="113"/>
              <w:rPr>
                <w:rFonts w:asciiTheme="minorHAnsi" w:hAnsiTheme="minorHAnsi" w:cstheme="minorHAnsi"/>
                <w:lang w:eastAsia="en-GB"/>
              </w:rPr>
            </w:pPr>
            <w:r w:rsidRPr="00F075D1">
              <w:rPr>
                <w:rFonts w:asciiTheme="minorHAnsi" w:hAnsiTheme="minorHAnsi" w:cstheme="minorHAnsi"/>
                <w:lang w:eastAsia="en-GB"/>
              </w:rPr>
              <w:t xml:space="preserve"> Spojené Království</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10</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5,37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24</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5,48</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5,45</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10</w:t>
            </w:r>
          </w:p>
        </w:tc>
        <w:tc>
          <w:tcPr>
            <w:tcW w:w="7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5,15</w:t>
            </w:r>
          </w:p>
        </w:tc>
      </w:tr>
      <w:tr w:rsidR="008146BD" w:rsidRPr="00F90182" w:rsidTr="00F075D1">
        <w:trPr>
          <w:trHeight w:hRule="exact" w:val="255"/>
          <w:tblCellSpacing w:w="15" w:type="dxa"/>
          <w:jc w:val="center"/>
        </w:trPr>
        <w:tc>
          <w:tcPr>
            <w:tcW w:w="18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ind w:right="113"/>
              <w:rPr>
                <w:rFonts w:asciiTheme="minorHAnsi" w:hAnsiTheme="minorHAnsi" w:cstheme="minorHAnsi"/>
                <w:lang w:eastAsia="en-GB"/>
              </w:rPr>
            </w:pPr>
            <w:r w:rsidRPr="00F075D1">
              <w:rPr>
                <w:rFonts w:asciiTheme="minorHAnsi" w:hAnsiTheme="minorHAnsi" w:cstheme="minorHAnsi"/>
                <w:lang w:eastAsia="en-GB"/>
              </w:rPr>
              <w:t>Polsko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42</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4,46</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59</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4,72</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32</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4,60</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65</w:t>
            </w:r>
          </w:p>
        </w:tc>
        <w:tc>
          <w:tcPr>
            <w:tcW w:w="7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3,65</w:t>
            </w:r>
          </w:p>
        </w:tc>
      </w:tr>
      <w:tr w:rsidR="008146BD" w:rsidRPr="00F90182" w:rsidTr="00F075D1">
        <w:trPr>
          <w:trHeight w:hRule="exact" w:val="255"/>
          <w:tblCellSpacing w:w="15" w:type="dxa"/>
          <w:jc w:val="center"/>
        </w:trPr>
        <w:tc>
          <w:tcPr>
            <w:tcW w:w="18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ind w:right="113"/>
              <w:rPr>
                <w:rFonts w:asciiTheme="minorHAnsi" w:hAnsiTheme="minorHAnsi" w:cstheme="minorHAnsi"/>
                <w:lang w:eastAsia="en-GB"/>
              </w:rPr>
            </w:pPr>
            <w:r w:rsidRPr="00F075D1">
              <w:rPr>
                <w:rFonts w:asciiTheme="minorHAnsi" w:hAnsiTheme="minorHAnsi" w:cstheme="minorHAnsi"/>
                <w:lang w:eastAsia="en-GB"/>
              </w:rPr>
              <w:t>Česká republika</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46</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4,43</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55</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4,80</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4,51</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36</w:t>
            </w:r>
          </w:p>
        </w:tc>
        <w:tc>
          <w:tcPr>
            <w:tcW w:w="7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4,07</w:t>
            </w:r>
          </w:p>
        </w:tc>
      </w:tr>
      <w:tr w:rsidR="008146BD" w:rsidRPr="00F90182" w:rsidTr="00F075D1">
        <w:trPr>
          <w:trHeight w:hRule="exact" w:val="255"/>
          <w:tblCellSpacing w:w="15" w:type="dxa"/>
          <w:jc w:val="center"/>
        </w:trPr>
        <w:tc>
          <w:tcPr>
            <w:tcW w:w="18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ind w:right="113"/>
              <w:rPr>
                <w:rFonts w:asciiTheme="minorHAnsi" w:hAnsiTheme="minorHAnsi" w:cstheme="minorHAnsi"/>
                <w:lang w:eastAsia="en-GB"/>
              </w:rPr>
            </w:pPr>
            <w:r w:rsidRPr="00F075D1">
              <w:rPr>
                <w:rFonts w:asciiTheme="minorHAnsi" w:hAnsiTheme="minorHAnsi" w:cstheme="minorHAnsi"/>
                <w:lang w:eastAsia="en-GB"/>
              </w:rPr>
              <w:t>Maďarsko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63</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4,25</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65</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4,61</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54</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4,28</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71</w:t>
            </w:r>
          </w:p>
        </w:tc>
        <w:tc>
          <w:tcPr>
            <w:tcW w:w="7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3,60</w:t>
            </w:r>
          </w:p>
        </w:tc>
      </w:tr>
      <w:tr w:rsidR="008146BD" w:rsidRPr="00F90182" w:rsidTr="00F075D1">
        <w:trPr>
          <w:trHeight w:hRule="exact" w:val="255"/>
          <w:tblCellSpacing w:w="15" w:type="dxa"/>
          <w:jc w:val="center"/>
        </w:trPr>
        <w:tc>
          <w:tcPr>
            <w:tcW w:w="18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ind w:right="113"/>
              <w:rPr>
                <w:rFonts w:asciiTheme="minorHAnsi" w:hAnsiTheme="minorHAnsi" w:cstheme="minorHAnsi"/>
                <w:lang w:eastAsia="en-GB"/>
              </w:rPr>
            </w:pPr>
            <w:r w:rsidRPr="00F075D1">
              <w:rPr>
                <w:rFonts w:asciiTheme="minorHAnsi" w:hAnsiTheme="minorHAnsi" w:cstheme="minorHAnsi"/>
                <w:lang w:eastAsia="en-GB"/>
              </w:rPr>
              <w:t>Slovensko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78</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4,10</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4,60</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56</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4,27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77</w:t>
            </w:r>
          </w:p>
        </w:tc>
        <w:tc>
          <w:tcPr>
            <w:tcW w:w="7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3,49</w:t>
            </w:r>
          </w:p>
        </w:tc>
      </w:tr>
    </w:tbl>
    <w:p w:rsidR="008146BD" w:rsidRPr="00F075D1" w:rsidRDefault="008146BD" w:rsidP="00385CD4">
      <w:pPr>
        <w:keepNext/>
        <w:widowControl w:val="0"/>
        <w:suppressLineNumbers/>
        <w:spacing w:after="0"/>
        <w:jc w:val="center"/>
        <w:rPr>
          <w:rFonts w:asciiTheme="minorHAnsi" w:hAnsiTheme="minorHAnsi" w:cstheme="minorHAnsi"/>
          <w:sz w:val="20"/>
          <w:szCs w:val="20"/>
        </w:rPr>
      </w:pPr>
      <w:proofErr w:type="gramStart"/>
      <w:r w:rsidRPr="00F075D1">
        <w:rPr>
          <w:rFonts w:asciiTheme="minorHAnsi" w:hAnsiTheme="minorHAnsi" w:cstheme="minorHAnsi"/>
          <w:sz w:val="20"/>
          <w:szCs w:val="20"/>
          <w:lang w:val="en-GB"/>
        </w:rPr>
        <w:t>Pozn</w:t>
      </w:r>
      <w:r w:rsidR="00F075D1" w:rsidRPr="00F075D1">
        <w:rPr>
          <w:rFonts w:asciiTheme="minorHAnsi" w:hAnsiTheme="minorHAnsi" w:cstheme="minorHAnsi"/>
          <w:sz w:val="20"/>
          <w:szCs w:val="20"/>
          <w:lang w:val="en-GB"/>
        </w:rPr>
        <w:t>.:</w:t>
      </w:r>
      <w:proofErr w:type="gramEnd"/>
      <w:r w:rsidRPr="00F075D1">
        <w:rPr>
          <w:rFonts w:asciiTheme="minorHAnsi" w:hAnsiTheme="minorHAnsi" w:cstheme="minorHAnsi"/>
          <w:sz w:val="20"/>
          <w:szCs w:val="20"/>
          <w:lang w:val="en-GB"/>
        </w:rPr>
        <w:t xml:space="preserve"> Úroveň GCI i subindexů může nabývat hodnot 1 až 7 (7 = nejvyšší konkurenceschopnost).</w:t>
      </w:r>
    </w:p>
    <w:p w:rsidR="008146BD" w:rsidRPr="00F90182" w:rsidRDefault="008146BD" w:rsidP="00385CD4">
      <w:pPr>
        <w:keepNext/>
        <w:widowControl w:val="0"/>
        <w:suppressLineNumbers/>
        <w:spacing w:after="0"/>
        <w:jc w:val="center"/>
        <w:rPr>
          <w:rFonts w:ascii="Calibri" w:hAnsi="Calibri" w:cs="Calibri"/>
          <w:i/>
          <w:lang w:val="en-GB"/>
        </w:rPr>
      </w:pPr>
      <w:r w:rsidRPr="00F90182">
        <w:rPr>
          <w:rFonts w:ascii="Calibri" w:hAnsi="Calibri" w:cs="Calibri"/>
          <w:i/>
          <w:lang w:val="en-GB"/>
        </w:rPr>
        <w:t>Pramen: Schwab, Sala-i-Martín, 2013</w:t>
      </w:r>
    </w:p>
    <w:p w:rsidR="008146BD" w:rsidRPr="00F90182" w:rsidRDefault="008146BD" w:rsidP="00F075D1">
      <w:pPr>
        <w:keepNext/>
        <w:widowControl w:val="0"/>
        <w:suppressLineNumbers/>
        <w:spacing w:before="200" w:after="120"/>
        <w:ind w:firstLine="720"/>
        <w:jc w:val="both"/>
        <w:rPr>
          <w:sz w:val="24"/>
          <w:szCs w:val="24"/>
        </w:rPr>
      </w:pPr>
      <w:r w:rsidRPr="00F90182">
        <w:rPr>
          <w:sz w:val="24"/>
          <w:szCs w:val="24"/>
        </w:rPr>
        <w:t xml:space="preserve">Česká republika obsadila 46. místo </w:t>
      </w:r>
      <w:r>
        <w:rPr>
          <w:sz w:val="24"/>
          <w:szCs w:val="24"/>
        </w:rPr>
        <w:t>a</w:t>
      </w:r>
      <w:r w:rsidRPr="00F90182">
        <w:rPr>
          <w:sz w:val="24"/>
          <w:szCs w:val="24"/>
        </w:rPr>
        <w:t xml:space="preserve"> </w:t>
      </w:r>
      <w:r>
        <w:rPr>
          <w:sz w:val="24"/>
          <w:szCs w:val="24"/>
        </w:rPr>
        <w:t>u</w:t>
      </w:r>
      <w:r w:rsidRPr="00F90182">
        <w:rPr>
          <w:sz w:val="24"/>
          <w:szCs w:val="24"/>
        </w:rPr>
        <w:t xml:space="preserve"> subindexů dosáhla nejlepší</w:t>
      </w:r>
      <w:r>
        <w:rPr>
          <w:sz w:val="24"/>
          <w:szCs w:val="24"/>
        </w:rPr>
        <w:t xml:space="preserve"> pozice u </w:t>
      </w:r>
      <w:r w:rsidRPr="00F90182">
        <w:rPr>
          <w:sz w:val="24"/>
          <w:szCs w:val="24"/>
        </w:rPr>
        <w:t xml:space="preserve">Inovací </w:t>
      </w:r>
      <w:r w:rsidR="00385CD4">
        <w:rPr>
          <w:sz w:val="24"/>
          <w:szCs w:val="24"/>
        </w:rPr>
        <w:t>(</w:t>
      </w:r>
      <w:r w:rsidR="000C1CFB">
        <w:rPr>
          <w:sz w:val="24"/>
          <w:szCs w:val="24"/>
        </w:rPr>
        <w:t>u</w:t>
      </w:r>
      <w:r>
        <w:rPr>
          <w:sz w:val="24"/>
          <w:szCs w:val="24"/>
        </w:rPr>
        <w:t xml:space="preserve"> pilířů dopadla</w:t>
      </w:r>
      <w:r w:rsidRPr="00F90182">
        <w:rPr>
          <w:sz w:val="24"/>
          <w:szCs w:val="24"/>
        </w:rPr>
        <w:t xml:space="preserve"> nejlépe </w:t>
      </w:r>
      <w:r>
        <w:rPr>
          <w:sz w:val="24"/>
          <w:szCs w:val="24"/>
        </w:rPr>
        <w:t xml:space="preserve">v </w:t>
      </w:r>
      <w:r w:rsidRPr="00F90182">
        <w:rPr>
          <w:sz w:val="24"/>
          <w:szCs w:val="24"/>
        </w:rPr>
        <w:t>pilíř</w:t>
      </w:r>
      <w:r>
        <w:rPr>
          <w:sz w:val="24"/>
          <w:szCs w:val="24"/>
        </w:rPr>
        <w:t>i</w:t>
      </w:r>
      <w:r w:rsidRPr="00F90182">
        <w:rPr>
          <w:sz w:val="24"/>
          <w:szCs w:val="24"/>
        </w:rPr>
        <w:t xml:space="preserve"> Technologická připravenost </w:t>
      </w:r>
      <w:r>
        <w:rPr>
          <w:sz w:val="24"/>
          <w:szCs w:val="24"/>
        </w:rPr>
        <w:t>a n</w:t>
      </w:r>
      <w:r w:rsidRPr="00F90182">
        <w:rPr>
          <w:sz w:val="24"/>
          <w:szCs w:val="24"/>
        </w:rPr>
        <w:t>ejhůře v pilíři Instituce</w:t>
      </w:r>
      <w:r>
        <w:rPr>
          <w:sz w:val="24"/>
          <w:szCs w:val="24"/>
        </w:rPr>
        <w:t>).</w:t>
      </w:r>
    </w:p>
    <w:p w:rsidR="008146BD" w:rsidRPr="00F90182" w:rsidRDefault="008146BD" w:rsidP="00385CD4">
      <w:pPr>
        <w:keepNext/>
        <w:widowControl w:val="0"/>
        <w:suppressLineNumbers/>
        <w:spacing w:after="100"/>
        <w:jc w:val="both"/>
        <w:rPr>
          <w:b/>
          <w:sz w:val="24"/>
          <w:szCs w:val="24"/>
        </w:rPr>
      </w:pPr>
      <w:r w:rsidRPr="00F90182">
        <w:rPr>
          <w:b/>
          <w:sz w:val="24"/>
          <w:szCs w:val="24"/>
        </w:rPr>
        <w:t xml:space="preserve">Institute for Management Development </w:t>
      </w:r>
      <w:r>
        <w:rPr>
          <w:b/>
          <w:sz w:val="24"/>
          <w:szCs w:val="24"/>
        </w:rPr>
        <w:t xml:space="preserve">(IMD) </w:t>
      </w:r>
      <w:r w:rsidRPr="00F90182">
        <w:rPr>
          <w:b/>
          <w:sz w:val="24"/>
          <w:szCs w:val="24"/>
        </w:rPr>
        <w:t>a index WCS</w:t>
      </w:r>
    </w:p>
    <w:p w:rsidR="008146BD" w:rsidRPr="00F90182" w:rsidRDefault="008146BD" w:rsidP="00385CD4">
      <w:pPr>
        <w:keepNext/>
        <w:widowControl w:val="0"/>
        <w:suppressLineNumbers/>
        <w:spacing w:after="120"/>
        <w:ind w:firstLine="720"/>
        <w:jc w:val="both"/>
        <w:rPr>
          <w:sz w:val="24"/>
          <w:szCs w:val="24"/>
        </w:rPr>
      </w:pPr>
      <w:r w:rsidRPr="00F90182">
        <w:rPr>
          <w:sz w:val="24"/>
          <w:szCs w:val="24"/>
        </w:rPr>
        <w:t>Institut pro rozvoj managementu sestavuje Žebříček světové konkurenceschopnosti publikov</w:t>
      </w:r>
      <w:r>
        <w:rPr>
          <w:sz w:val="24"/>
          <w:szCs w:val="24"/>
        </w:rPr>
        <w:t xml:space="preserve">aný </w:t>
      </w:r>
      <w:r w:rsidRPr="00F90182">
        <w:rPr>
          <w:sz w:val="24"/>
          <w:szCs w:val="24"/>
        </w:rPr>
        <w:t>v Ročence světové konkurenceschopnosti</w:t>
      </w:r>
      <w:r>
        <w:rPr>
          <w:sz w:val="24"/>
          <w:szCs w:val="24"/>
        </w:rPr>
        <w:t>. Jeho</w:t>
      </w:r>
      <w:r w:rsidRPr="00F90182">
        <w:rPr>
          <w:sz w:val="24"/>
          <w:szCs w:val="24"/>
        </w:rPr>
        <w:t xml:space="preserve"> index měří schopnost států vytvořit prostředí</w:t>
      </w:r>
      <w:r>
        <w:rPr>
          <w:sz w:val="24"/>
          <w:szCs w:val="24"/>
        </w:rPr>
        <w:t xml:space="preserve"> </w:t>
      </w:r>
      <w:r w:rsidRPr="00F90182">
        <w:rPr>
          <w:sz w:val="24"/>
          <w:szCs w:val="24"/>
        </w:rPr>
        <w:t>podporuj</w:t>
      </w:r>
      <w:r>
        <w:rPr>
          <w:sz w:val="24"/>
          <w:szCs w:val="24"/>
        </w:rPr>
        <w:t>ící</w:t>
      </w:r>
      <w:r w:rsidRPr="00F90182">
        <w:rPr>
          <w:sz w:val="24"/>
          <w:szCs w:val="24"/>
        </w:rPr>
        <w:t xml:space="preserve"> konkurenceschopnost firem</w:t>
      </w:r>
      <w:r>
        <w:rPr>
          <w:sz w:val="24"/>
          <w:szCs w:val="24"/>
        </w:rPr>
        <w:t xml:space="preserve">. </w:t>
      </w:r>
      <w:r w:rsidRPr="00F90182">
        <w:rPr>
          <w:sz w:val="24"/>
          <w:szCs w:val="24"/>
        </w:rPr>
        <w:t>V roce 2013 bylo za pomocí 333 ukazatelů sestaveno pořadí 60 zemí</w:t>
      </w:r>
      <w:r>
        <w:rPr>
          <w:sz w:val="24"/>
          <w:szCs w:val="24"/>
        </w:rPr>
        <w:t xml:space="preserve"> </w:t>
      </w:r>
      <w:r w:rsidRPr="00260C64">
        <w:rPr>
          <w:sz w:val="24"/>
          <w:szCs w:val="24"/>
        </w:rPr>
        <w:t>(IMD, 2013)</w:t>
      </w:r>
      <w:r>
        <w:rPr>
          <w:sz w:val="24"/>
          <w:szCs w:val="24"/>
        </w:rPr>
        <w:t>.</w:t>
      </w:r>
      <w:r w:rsidRPr="00F90182">
        <w:rPr>
          <w:sz w:val="24"/>
          <w:szCs w:val="24"/>
        </w:rPr>
        <w:t xml:space="preserve"> Data pochází ze statistických zdrojů i z vlastního šetření a ukazatele jsou </w:t>
      </w:r>
      <w:r>
        <w:rPr>
          <w:sz w:val="24"/>
          <w:szCs w:val="24"/>
        </w:rPr>
        <w:t>členěny</w:t>
      </w:r>
      <w:r w:rsidRPr="00F90182">
        <w:rPr>
          <w:sz w:val="24"/>
          <w:szCs w:val="24"/>
        </w:rPr>
        <w:t xml:space="preserve"> do </w:t>
      </w:r>
      <w:r>
        <w:rPr>
          <w:sz w:val="24"/>
          <w:szCs w:val="24"/>
        </w:rPr>
        <w:t>4</w:t>
      </w:r>
      <w:r w:rsidRPr="00F90182">
        <w:rPr>
          <w:sz w:val="24"/>
          <w:szCs w:val="24"/>
        </w:rPr>
        <w:t xml:space="preserve"> skupin faktorů</w:t>
      </w:r>
      <w:r>
        <w:rPr>
          <w:sz w:val="24"/>
          <w:szCs w:val="24"/>
        </w:rPr>
        <w:t xml:space="preserve"> a dále do </w:t>
      </w:r>
      <w:r w:rsidRPr="00260C64">
        <w:t>5 subfaktorů</w:t>
      </w:r>
      <w:r>
        <w:t>.</w:t>
      </w:r>
      <w:r w:rsidRPr="00260C64">
        <w:rPr>
          <w:sz w:val="24"/>
          <w:szCs w:val="24"/>
        </w:rPr>
        <w:t xml:space="preserve"> </w:t>
      </w:r>
    </w:p>
    <w:tbl>
      <w:tblPr>
        <w:tblStyle w:val="Mkatabulky16"/>
        <w:tblW w:w="0" w:type="auto"/>
        <w:jc w:val="center"/>
        <w:tblLook w:val="04A0" w:firstRow="1" w:lastRow="0" w:firstColumn="1" w:lastColumn="0" w:noHBand="0" w:noVBand="1"/>
      </w:tblPr>
      <w:tblGrid>
        <w:gridCol w:w="3969"/>
        <w:gridCol w:w="340"/>
        <w:gridCol w:w="3969"/>
      </w:tblGrid>
      <w:tr w:rsidR="008146BD" w:rsidRPr="00F90182" w:rsidTr="00F075D1">
        <w:trPr>
          <w:trHeight w:hRule="exact" w:val="284"/>
          <w:jc w:val="center"/>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1</w:t>
            </w:r>
            <w:r w:rsidRPr="00F075D1">
              <w:rPr>
                <w:rFonts w:ascii="Arial Narrow" w:hAnsi="Arial Narrow"/>
                <w:sz w:val="20"/>
                <w:szCs w:val="20"/>
                <w:shd w:val="clear" w:color="auto" w:fill="BFBFBF"/>
              </w:rPr>
              <w:t>. Ekonomická výkonnost</w:t>
            </w:r>
          </w:p>
        </w:tc>
        <w:tc>
          <w:tcPr>
            <w:tcW w:w="340" w:type="dxa"/>
            <w:tcBorders>
              <w:top w:val="nil"/>
              <w:left w:val="single" w:sz="4" w:space="0" w:color="auto"/>
              <w:bottom w:val="nil"/>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2. Vládní efektivita</w:t>
            </w:r>
          </w:p>
        </w:tc>
      </w:tr>
      <w:tr w:rsidR="008146BD" w:rsidRPr="00F90182" w:rsidTr="007A7D80">
        <w:trPr>
          <w:jc w:val="center"/>
        </w:trPr>
        <w:tc>
          <w:tcPr>
            <w:tcW w:w="3969"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domácí ekonomika, mezinárodní obchod, mezinárodní investice, zaměstnanost, ceny</w:t>
            </w:r>
          </w:p>
        </w:tc>
        <w:tc>
          <w:tcPr>
            <w:tcW w:w="340" w:type="dxa"/>
            <w:tcBorders>
              <w:top w:val="nil"/>
              <w:left w:val="single" w:sz="4" w:space="0" w:color="auto"/>
              <w:bottom w:val="nil"/>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veřejné finance, fiskální politika, institucionální rámec, obchodní legislativa, společenské prostředí</w:t>
            </w:r>
          </w:p>
        </w:tc>
      </w:tr>
      <w:tr w:rsidR="008146BD" w:rsidRPr="00F90182" w:rsidTr="00385CD4">
        <w:trPr>
          <w:trHeight w:hRule="exact" w:val="170"/>
          <w:jc w:val="center"/>
        </w:trPr>
        <w:tc>
          <w:tcPr>
            <w:tcW w:w="3969" w:type="dxa"/>
            <w:tcBorders>
              <w:top w:val="single" w:sz="4" w:space="0" w:color="auto"/>
              <w:left w:val="nil"/>
              <w:bottom w:val="single" w:sz="4" w:space="0" w:color="auto"/>
              <w:right w:val="nil"/>
            </w:tcBorders>
          </w:tcPr>
          <w:p w:rsidR="008146BD" w:rsidRPr="00F075D1" w:rsidRDefault="008146BD" w:rsidP="00385CD4">
            <w:pPr>
              <w:keepNext/>
              <w:widowControl w:val="0"/>
              <w:suppressLineNumbers/>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969" w:type="dxa"/>
            <w:tcBorders>
              <w:top w:val="single" w:sz="4" w:space="0" w:color="auto"/>
              <w:left w:val="nil"/>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r>
      <w:tr w:rsidR="008146BD" w:rsidRPr="00F90182" w:rsidTr="00F075D1">
        <w:trPr>
          <w:trHeight w:hRule="exact" w:val="284"/>
          <w:jc w:val="center"/>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3. Efektivita firem</w:t>
            </w:r>
          </w:p>
        </w:tc>
        <w:tc>
          <w:tcPr>
            <w:tcW w:w="340" w:type="dxa"/>
            <w:tcBorders>
              <w:top w:val="nil"/>
              <w:left w:val="single" w:sz="4" w:space="0" w:color="auto"/>
              <w:bottom w:val="nil"/>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4. Infrastruktura</w:t>
            </w:r>
          </w:p>
        </w:tc>
      </w:tr>
      <w:tr w:rsidR="008146BD" w:rsidRPr="00F90182" w:rsidTr="007A7D80">
        <w:trPr>
          <w:jc w:val="center"/>
        </w:trPr>
        <w:tc>
          <w:tcPr>
            <w:tcW w:w="3969"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produktivita, trh práce, finance, manažerské praktiky, postoje a hodnoty</w:t>
            </w:r>
          </w:p>
        </w:tc>
        <w:tc>
          <w:tcPr>
            <w:tcW w:w="340" w:type="dxa"/>
            <w:tcBorders>
              <w:top w:val="nil"/>
              <w:left w:val="single" w:sz="4" w:space="0" w:color="auto"/>
              <w:bottom w:val="nil"/>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základní infrastruktura, technologická infrastruktura, vědecká infrastruktura, zdraví a životní prostředí, vzdělávání</w:t>
            </w:r>
          </w:p>
        </w:tc>
      </w:tr>
    </w:tbl>
    <w:p w:rsidR="008146BD" w:rsidRPr="006B61FE" w:rsidRDefault="008146BD" w:rsidP="000C1CFB">
      <w:pPr>
        <w:pStyle w:val="0G-Titulek"/>
        <w:spacing w:before="200"/>
        <w:ind w:firstLine="0"/>
      </w:pPr>
      <w:bookmarkStart w:id="170" w:name="_Toc382326839"/>
      <w:r w:rsidRPr="006B61FE">
        <w:t>Ob</w:t>
      </w:r>
      <w:r w:rsidR="00F53890">
        <w:t>rázek</w:t>
      </w:r>
      <w:r w:rsidR="006B61FE" w:rsidRPr="006B61FE">
        <w:t xml:space="preserve"> 35</w:t>
      </w:r>
      <w:r w:rsidRPr="006B61FE">
        <w:t>: Faktory a subfaktory</w:t>
      </w:r>
      <w:bookmarkEnd w:id="170"/>
    </w:p>
    <w:p w:rsidR="008146BD" w:rsidRPr="00260C64" w:rsidRDefault="008146BD" w:rsidP="00E6724F">
      <w:pPr>
        <w:keepNext/>
        <w:widowControl w:val="0"/>
        <w:suppressLineNumbers/>
        <w:spacing w:after="0"/>
        <w:jc w:val="center"/>
        <w:rPr>
          <w:rFonts w:ascii="Calibri" w:hAnsi="Calibri" w:cs="Calibri"/>
          <w:i/>
          <w:lang w:val="en-GB"/>
        </w:rPr>
      </w:pPr>
      <w:r w:rsidRPr="00260C64">
        <w:rPr>
          <w:rFonts w:ascii="Calibri" w:hAnsi="Calibri" w:cs="Calibri"/>
          <w:i/>
          <w:lang w:val="en-GB"/>
        </w:rPr>
        <w:t>Pramen: IMD, 2013</w:t>
      </w:r>
    </w:p>
    <w:p w:rsidR="008146BD" w:rsidRPr="00260C64" w:rsidRDefault="008146BD" w:rsidP="008146BD">
      <w:pPr>
        <w:keepNext/>
        <w:widowControl w:val="0"/>
        <w:suppressLineNumbers/>
        <w:ind w:firstLine="720"/>
        <w:jc w:val="both"/>
        <w:rPr>
          <w:sz w:val="24"/>
          <w:szCs w:val="24"/>
        </w:rPr>
      </w:pPr>
      <w:r w:rsidRPr="00260C64">
        <w:rPr>
          <w:sz w:val="24"/>
          <w:szCs w:val="24"/>
        </w:rPr>
        <w:lastRenderedPageBreak/>
        <w:t>Skóre v žebříčku konkurenceschopnosti vyjadřuje</w:t>
      </w:r>
      <w:r w:rsidR="00385CD4">
        <w:rPr>
          <w:sz w:val="24"/>
          <w:szCs w:val="24"/>
        </w:rPr>
        <w:t>, jak si daná ekonomika vede ve </w:t>
      </w:r>
      <w:r w:rsidRPr="00260C64">
        <w:rPr>
          <w:sz w:val="24"/>
          <w:szCs w:val="24"/>
        </w:rPr>
        <w:t xml:space="preserve">srovnání s nejlepším státem. Při srovnání s hodnocením </w:t>
      </w:r>
      <w:r>
        <w:rPr>
          <w:sz w:val="24"/>
          <w:szCs w:val="24"/>
        </w:rPr>
        <w:t>WEF</w:t>
      </w:r>
      <w:r w:rsidRPr="00260C64">
        <w:rPr>
          <w:sz w:val="24"/>
          <w:szCs w:val="24"/>
        </w:rPr>
        <w:t xml:space="preserve"> je patrné, že šest zemí se v obou žebříčcích nachází v první desítce. V hodnocení IMD se v</w:t>
      </w:r>
      <w:r w:rsidR="0009511A">
        <w:rPr>
          <w:sz w:val="24"/>
          <w:szCs w:val="24"/>
        </w:rPr>
        <w:t> </w:t>
      </w:r>
      <w:r w:rsidRPr="00260C64">
        <w:rPr>
          <w:sz w:val="24"/>
          <w:szCs w:val="24"/>
        </w:rPr>
        <w:t>TOP</w:t>
      </w:r>
      <w:r w:rsidR="0009511A">
        <w:rPr>
          <w:sz w:val="24"/>
          <w:szCs w:val="24"/>
        </w:rPr>
        <w:t xml:space="preserve"> </w:t>
      </w:r>
      <w:r w:rsidRPr="00260C64">
        <w:rPr>
          <w:sz w:val="24"/>
          <w:szCs w:val="24"/>
        </w:rPr>
        <w:t xml:space="preserve">10 pohybují i dvě země, jejichž ekonomická síla je výrazně ovlivněna těžbou nerostných zdrojů (SAE, Katar). </w:t>
      </w:r>
    </w:p>
    <w:p w:rsidR="008146BD" w:rsidRPr="00740291" w:rsidRDefault="008146BD" w:rsidP="006B61FE">
      <w:pPr>
        <w:pStyle w:val="0T-Titulek"/>
        <w:rPr>
          <w:lang w:val="en-GB"/>
        </w:rPr>
      </w:pPr>
      <w:bookmarkStart w:id="171" w:name="_Toc382326475"/>
      <w:r w:rsidRPr="00740291">
        <w:rPr>
          <w:lang w:val="en-GB"/>
        </w:rPr>
        <w:t>Tabulka 48: Žebříček světové konkurenceschopnosti 2013 (WCS)</w:t>
      </w:r>
      <w:bookmarkEnd w:id="171"/>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4"/>
        <w:gridCol w:w="1051"/>
        <w:gridCol w:w="1051"/>
        <w:gridCol w:w="1051"/>
        <w:gridCol w:w="1051"/>
        <w:gridCol w:w="1051"/>
        <w:gridCol w:w="1066"/>
      </w:tblGrid>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8146BD" w:rsidRPr="00F075D1" w:rsidRDefault="008146BD" w:rsidP="007A7D80">
            <w:pPr>
              <w:keepNext/>
              <w:suppressLineNumbers/>
              <w:spacing w:after="0"/>
              <w:rPr>
                <w:rFonts w:asciiTheme="minorHAnsi" w:hAnsiTheme="minorHAnsi" w:cstheme="minorHAnsi"/>
                <w:b/>
                <w:lang w:eastAsia="en-GB"/>
              </w:rPr>
            </w:pPr>
          </w:p>
        </w:tc>
        <w:tc>
          <w:tcPr>
            <w:tcW w:w="207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celkové hodnocení</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faktor 1</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faktor 2</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faktor 3</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faktor 4</w:t>
            </w:r>
          </w:p>
        </w:tc>
      </w:tr>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b/>
                <w:lang w:eastAsia="en-GB"/>
              </w:rPr>
            </w:pPr>
            <w:r w:rsidRPr="00F075D1">
              <w:rPr>
                <w:rFonts w:asciiTheme="minorHAnsi" w:hAnsiTheme="minorHAnsi" w:cstheme="minorHAnsi"/>
                <w:b/>
                <w:lang w:eastAsia="en-GB"/>
              </w:rPr>
              <w:t>země</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pořadí</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skóre</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pořadí</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pořadí</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pořadí</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pořadí</w:t>
            </w:r>
          </w:p>
        </w:tc>
      </w:tr>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USA</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100,00</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25</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w:t>
            </w:r>
          </w:p>
        </w:tc>
      </w:tr>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Švýcarsko</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93,36</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10</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w:t>
            </w:r>
          </w:p>
        </w:tc>
      </w:tr>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Hong Kong</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92,78</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21</w:t>
            </w:r>
          </w:p>
        </w:tc>
      </w:tr>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Švédsko</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90,53</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18</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w:t>
            </w:r>
          </w:p>
        </w:tc>
      </w:tr>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Singapur</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89,86</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13</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12</w:t>
            </w:r>
          </w:p>
        </w:tc>
      </w:tr>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Norsko</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89,56</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12</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11</w:t>
            </w:r>
          </w:p>
        </w:tc>
      </w:tr>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Kanada</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89,13</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11</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w:t>
            </w:r>
          </w:p>
        </w:tc>
      </w:tr>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Spojené Arabské Emiráty</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88,44</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34</w:t>
            </w:r>
          </w:p>
        </w:tc>
      </w:tr>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Německo</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86,20</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19</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15</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w:t>
            </w:r>
          </w:p>
        </w:tc>
      </w:tr>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Katar</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10</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85,51</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12</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40</w:t>
            </w:r>
          </w:p>
        </w:tc>
      </w:tr>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Polsko</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33</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65,44</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36</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27</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35</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36</w:t>
            </w:r>
          </w:p>
        </w:tc>
      </w:tr>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Česká republika</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35</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64,61</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38</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36</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40</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29</w:t>
            </w:r>
          </w:p>
        </w:tc>
      </w:tr>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Slovensko</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47</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54,49</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52</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48</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45</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41</w:t>
            </w:r>
          </w:p>
        </w:tc>
      </w:tr>
      <w:tr w:rsidR="008146BD" w:rsidRPr="00F90182" w:rsidTr="00F075D1">
        <w:trPr>
          <w:trHeight w:hRule="exact" w:val="284"/>
          <w:tblCellSpacing w:w="15" w:type="dxa"/>
          <w:jc w:val="center"/>
        </w:trPr>
        <w:tc>
          <w:tcPr>
            <w:tcW w:w="25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Maďarsko</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50</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53,50</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44</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52</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55</w:t>
            </w:r>
          </w:p>
        </w:tc>
        <w:tc>
          <w:tcPr>
            <w:tcW w:w="10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38</w:t>
            </w:r>
          </w:p>
        </w:tc>
      </w:tr>
    </w:tbl>
    <w:p w:rsidR="008146BD" w:rsidRPr="00F90182" w:rsidRDefault="008146BD" w:rsidP="008146BD">
      <w:pPr>
        <w:keepNext/>
        <w:widowControl w:val="0"/>
        <w:suppressLineNumbers/>
        <w:spacing w:after="0"/>
        <w:jc w:val="center"/>
        <w:rPr>
          <w:rFonts w:ascii="Calibri" w:hAnsi="Calibri" w:cs="Calibri"/>
          <w:i/>
        </w:rPr>
      </w:pPr>
      <w:r w:rsidRPr="00F90182">
        <w:rPr>
          <w:rFonts w:ascii="Calibri" w:hAnsi="Calibri" w:cs="Calibri"/>
          <w:i/>
          <w:lang w:val="en-GB"/>
        </w:rPr>
        <w:t>Pramen: IMD, 2013</w:t>
      </w:r>
    </w:p>
    <w:p w:rsidR="008146BD" w:rsidRPr="00F90182" w:rsidRDefault="008146BD" w:rsidP="008146BD">
      <w:pPr>
        <w:keepNext/>
        <w:widowControl w:val="0"/>
        <w:suppressLineNumbers/>
        <w:spacing w:before="200" w:after="100"/>
        <w:jc w:val="both"/>
        <w:rPr>
          <w:b/>
          <w:sz w:val="24"/>
          <w:szCs w:val="24"/>
        </w:rPr>
      </w:pPr>
      <w:r w:rsidRPr="00F90182">
        <w:rPr>
          <w:b/>
          <w:sz w:val="24"/>
          <w:szCs w:val="24"/>
        </w:rPr>
        <w:t>Světová banka a Doing Business</w:t>
      </w:r>
    </w:p>
    <w:p w:rsidR="008146BD" w:rsidRPr="00F90182" w:rsidRDefault="008146BD" w:rsidP="00F075D1">
      <w:pPr>
        <w:keepNext/>
        <w:widowControl w:val="0"/>
        <w:suppressLineNumbers/>
        <w:spacing w:after="120"/>
        <w:ind w:firstLine="720"/>
        <w:jc w:val="both"/>
        <w:rPr>
          <w:sz w:val="24"/>
          <w:szCs w:val="24"/>
        </w:rPr>
      </w:pPr>
      <w:r w:rsidRPr="00F90182">
        <w:rPr>
          <w:sz w:val="24"/>
          <w:szCs w:val="24"/>
        </w:rPr>
        <w:t>Hodnocení Doing Business (World Bank, 2013)</w:t>
      </w:r>
      <w:r>
        <w:rPr>
          <w:sz w:val="24"/>
          <w:szCs w:val="24"/>
        </w:rPr>
        <w:t xml:space="preserve"> </w:t>
      </w:r>
      <w:r w:rsidRPr="00F90182">
        <w:rPr>
          <w:sz w:val="24"/>
          <w:szCs w:val="24"/>
        </w:rPr>
        <w:t>každoročně provád</w:t>
      </w:r>
      <w:r>
        <w:rPr>
          <w:sz w:val="24"/>
          <w:szCs w:val="24"/>
        </w:rPr>
        <w:t>ěné</w:t>
      </w:r>
      <w:r w:rsidRPr="00F90182">
        <w:rPr>
          <w:sz w:val="24"/>
          <w:szCs w:val="24"/>
        </w:rPr>
        <w:t xml:space="preserve"> Světov</w:t>
      </w:r>
      <w:r>
        <w:rPr>
          <w:sz w:val="24"/>
          <w:szCs w:val="24"/>
        </w:rPr>
        <w:t>ou</w:t>
      </w:r>
      <w:r w:rsidRPr="00F90182">
        <w:rPr>
          <w:sz w:val="24"/>
          <w:szCs w:val="24"/>
        </w:rPr>
        <w:t xml:space="preserve"> bank</w:t>
      </w:r>
      <w:r>
        <w:rPr>
          <w:sz w:val="24"/>
          <w:szCs w:val="24"/>
        </w:rPr>
        <w:t xml:space="preserve">ou </w:t>
      </w:r>
      <w:r w:rsidRPr="00F90182">
        <w:rPr>
          <w:sz w:val="24"/>
          <w:szCs w:val="24"/>
        </w:rPr>
        <w:t>není zaměřeno přímo na konkurenceschopnost, ale na kvalitu podnikatelského prostředí. DB 2014 se zaměřuje na 189 zemí</w:t>
      </w:r>
      <w:r>
        <w:rPr>
          <w:sz w:val="24"/>
          <w:szCs w:val="24"/>
        </w:rPr>
        <w:t xml:space="preserve">, kde </w:t>
      </w:r>
      <w:r w:rsidRPr="00F90182">
        <w:rPr>
          <w:sz w:val="24"/>
          <w:szCs w:val="24"/>
        </w:rPr>
        <w:t>ho</w:t>
      </w:r>
      <w:r w:rsidR="00385CD4">
        <w:rPr>
          <w:sz w:val="24"/>
          <w:szCs w:val="24"/>
        </w:rPr>
        <w:t>dnotí deset oblastí podnikání a </w:t>
      </w:r>
      <w:r w:rsidRPr="00F90182">
        <w:rPr>
          <w:sz w:val="24"/>
          <w:szCs w:val="24"/>
        </w:rPr>
        <w:t xml:space="preserve">jedenáctou jako doplněk. Podmínky pro podnikání jsou posuzovány </w:t>
      </w:r>
      <w:r>
        <w:rPr>
          <w:sz w:val="24"/>
          <w:szCs w:val="24"/>
        </w:rPr>
        <w:t>po</w:t>
      </w:r>
      <w:r w:rsidRPr="00F90182">
        <w:rPr>
          <w:sz w:val="24"/>
          <w:szCs w:val="24"/>
        </w:rPr>
        <w:t xml:space="preserve">dle charakteristik regulační zátěže a jejich dopadů a jsou sledovány především rozsah, složitost a náklady základních procedur, které absolvuje podnik při zahájení, během a při ukončení podnikání. Údaje jsou měřeny nejčastěji v počtu dnů, počtu procedur </w:t>
      </w:r>
      <w:r>
        <w:rPr>
          <w:sz w:val="24"/>
          <w:szCs w:val="24"/>
        </w:rPr>
        <w:t>či</w:t>
      </w:r>
      <w:r w:rsidRPr="00F90182">
        <w:rPr>
          <w:sz w:val="24"/>
          <w:szCs w:val="24"/>
        </w:rPr>
        <w:t xml:space="preserve"> v přímo měřitelných nákladech. </w:t>
      </w:r>
      <w:r>
        <w:rPr>
          <w:sz w:val="24"/>
          <w:szCs w:val="24"/>
        </w:rPr>
        <w:t>(u</w:t>
      </w:r>
      <w:r w:rsidRPr="00F90182">
        <w:rPr>
          <w:sz w:val="24"/>
          <w:szCs w:val="24"/>
        </w:rPr>
        <w:t xml:space="preserve"> některých oblastí jsou určena další kritéria</w:t>
      </w:r>
      <w:r>
        <w:rPr>
          <w:sz w:val="24"/>
          <w:szCs w:val="24"/>
        </w:rPr>
        <w:t>)</w:t>
      </w:r>
      <w:r w:rsidRPr="00F90182">
        <w:rPr>
          <w:sz w:val="24"/>
          <w:szCs w:val="24"/>
        </w:rPr>
        <w:t>.</w:t>
      </w:r>
    </w:p>
    <w:tbl>
      <w:tblPr>
        <w:tblStyle w:val="Mkatabulky16"/>
        <w:tblW w:w="0" w:type="auto"/>
        <w:jc w:val="center"/>
        <w:tblLook w:val="04A0" w:firstRow="1" w:lastRow="0" w:firstColumn="1" w:lastColumn="0" w:noHBand="0" w:noVBand="1"/>
      </w:tblPr>
      <w:tblGrid>
        <w:gridCol w:w="2552"/>
        <w:gridCol w:w="340"/>
        <w:gridCol w:w="2552"/>
        <w:gridCol w:w="340"/>
        <w:gridCol w:w="2552"/>
      </w:tblGrid>
      <w:tr w:rsidR="008146BD" w:rsidRPr="00F90182" w:rsidTr="00F075D1">
        <w:trPr>
          <w:trHeight w:hRule="exact" w:val="340"/>
          <w:jc w:val="center"/>
        </w:trPr>
        <w:tc>
          <w:tcPr>
            <w:tcW w:w="2552"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1. Zahájení podnikání</w:t>
            </w:r>
          </w:p>
        </w:tc>
        <w:tc>
          <w:tcPr>
            <w:tcW w:w="340" w:type="dxa"/>
            <w:tcBorders>
              <w:top w:val="nil"/>
              <w:left w:val="single" w:sz="4" w:space="0" w:color="auto"/>
              <w:bottom w:val="nil"/>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 xml:space="preserve">2. Získání staveb. </w:t>
            </w:r>
            <w:proofErr w:type="gramStart"/>
            <w:r w:rsidRPr="00F075D1">
              <w:rPr>
                <w:rFonts w:ascii="Arial Narrow" w:hAnsi="Arial Narrow"/>
                <w:sz w:val="20"/>
                <w:szCs w:val="20"/>
              </w:rPr>
              <w:t>povolení</w:t>
            </w:r>
            <w:proofErr w:type="gramEnd"/>
          </w:p>
        </w:tc>
        <w:tc>
          <w:tcPr>
            <w:tcW w:w="340" w:type="dxa"/>
            <w:tcBorders>
              <w:top w:val="nil"/>
              <w:left w:val="single" w:sz="4" w:space="0" w:color="auto"/>
              <w:bottom w:val="nil"/>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3. Připojení k elektřině</w:t>
            </w:r>
          </w:p>
        </w:tc>
      </w:tr>
      <w:tr w:rsidR="008146BD" w:rsidRPr="00F90182" w:rsidTr="00F075D1">
        <w:trPr>
          <w:trHeight w:hRule="exact" w:val="340"/>
          <w:jc w:val="center"/>
        </w:trPr>
        <w:tc>
          <w:tcPr>
            <w:tcW w:w="2552" w:type="dxa"/>
            <w:tcBorders>
              <w:top w:val="single" w:sz="4" w:space="0" w:color="auto"/>
              <w:left w:val="nil"/>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552" w:type="dxa"/>
            <w:tcBorders>
              <w:top w:val="single" w:sz="4" w:space="0" w:color="auto"/>
              <w:left w:val="nil"/>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552" w:type="dxa"/>
            <w:tcBorders>
              <w:top w:val="single" w:sz="4" w:space="0" w:color="auto"/>
              <w:left w:val="nil"/>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r>
      <w:tr w:rsidR="008146BD" w:rsidRPr="00F90182" w:rsidTr="00F075D1">
        <w:trPr>
          <w:trHeight w:hRule="exact" w:val="340"/>
          <w:jc w:val="center"/>
        </w:trPr>
        <w:tc>
          <w:tcPr>
            <w:tcW w:w="2552"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4. Registrace majetku</w:t>
            </w:r>
          </w:p>
        </w:tc>
        <w:tc>
          <w:tcPr>
            <w:tcW w:w="340" w:type="dxa"/>
            <w:tcBorders>
              <w:top w:val="nil"/>
              <w:left w:val="single" w:sz="4" w:space="0" w:color="auto"/>
              <w:bottom w:val="nil"/>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5. Získání úvěru</w:t>
            </w:r>
          </w:p>
        </w:tc>
        <w:tc>
          <w:tcPr>
            <w:tcW w:w="340" w:type="dxa"/>
            <w:tcBorders>
              <w:top w:val="nil"/>
              <w:left w:val="single" w:sz="4" w:space="0" w:color="auto"/>
              <w:bottom w:val="nil"/>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6. Ochrana investorů</w:t>
            </w:r>
          </w:p>
        </w:tc>
      </w:tr>
      <w:tr w:rsidR="008146BD" w:rsidRPr="00F90182" w:rsidTr="00F075D1">
        <w:trPr>
          <w:trHeight w:hRule="exact" w:val="340"/>
          <w:jc w:val="center"/>
        </w:trPr>
        <w:tc>
          <w:tcPr>
            <w:tcW w:w="2552" w:type="dxa"/>
            <w:tcBorders>
              <w:top w:val="single" w:sz="4" w:space="0" w:color="auto"/>
              <w:left w:val="nil"/>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552" w:type="dxa"/>
            <w:tcBorders>
              <w:top w:val="single" w:sz="4" w:space="0" w:color="auto"/>
              <w:left w:val="nil"/>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552" w:type="dxa"/>
            <w:tcBorders>
              <w:top w:val="single" w:sz="4" w:space="0" w:color="auto"/>
              <w:left w:val="nil"/>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r>
      <w:tr w:rsidR="008146BD" w:rsidRPr="00F90182" w:rsidTr="00F075D1">
        <w:trPr>
          <w:trHeight w:hRule="exact" w:val="340"/>
          <w:jc w:val="center"/>
        </w:trPr>
        <w:tc>
          <w:tcPr>
            <w:tcW w:w="2552"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7. Placení daní</w:t>
            </w:r>
          </w:p>
        </w:tc>
        <w:tc>
          <w:tcPr>
            <w:tcW w:w="340" w:type="dxa"/>
            <w:tcBorders>
              <w:top w:val="nil"/>
              <w:left w:val="single" w:sz="4" w:space="0" w:color="auto"/>
              <w:bottom w:val="nil"/>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8. Obchod přes hranice</w:t>
            </w:r>
          </w:p>
        </w:tc>
        <w:tc>
          <w:tcPr>
            <w:tcW w:w="340" w:type="dxa"/>
            <w:tcBorders>
              <w:top w:val="nil"/>
              <w:left w:val="single" w:sz="4" w:space="0" w:color="auto"/>
              <w:bottom w:val="nil"/>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9. Vymáhání smluv</w:t>
            </w:r>
          </w:p>
        </w:tc>
      </w:tr>
      <w:tr w:rsidR="008146BD" w:rsidRPr="00F90182" w:rsidTr="00F075D1">
        <w:trPr>
          <w:trHeight w:hRule="exact" w:val="340"/>
          <w:jc w:val="center"/>
        </w:trPr>
        <w:tc>
          <w:tcPr>
            <w:tcW w:w="2552" w:type="dxa"/>
            <w:tcBorders>
              <w:top w:val="single" w:sz="4" w:space="0" w:color="auto"/>
              <w:left w:val="nil"/>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552" w:type="dxa"/>
            <w:tcBorders>
              <w:top w:val="single" w:sz="4" w:space="0" w:color="auto"/>
              <w:left w:val="nil"/>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552" w:type="dxa"/>
            <w:tcBorders>
              <w:top w:val="single" w:sz="4" w:space="0" w:color="auto"/>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r>
      <w:tr w:rsidR="008146BD" w:rsidRPr="00F90182" w:rsidTr="00F075D1">
        <w:trPr>
          <w:trHeight w:hRule="exact" w:val="340"/>
          <w:jc w:val="center"/>
        </w:trPr>
        <w:tc>
          <w:tcPr>
            <w:tcW w:w="2552"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10. Řešení insolvence</w:t>
            </w:r>
          </w:p>
        </w:tc>
        <w:tc>
          <w:tcPr>
            <w:tcW w:w="340" w:type="dxa"/>
            <w:tcBorders>
              <w:top w:val="nil"/>
              <w:left w:val="single" w:sz="4" w:space="0" w:color="auto"/>
              <w:bottom w:val="nil"/>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X. Zaměstnávání pracovníků</w:t>
            </w:r>
          </w:p>
        </w:tc>
        <w:tc>
          <w:tcPr>
            <w:tcW w:w="340" w:type="dxa"/>
            <w:tcBorders>
              <w:top w:val="nil"/>
              <w:left w:val="single" w:sz="4" w:space="0" w:color="auto"/>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552" w:type="dxa"/>
            <w:tcBorders>
              <w:top w:val="nil"/>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r>
    </w:tbl>
    <w:p w:rsidR="008146BD" w:rsidRPr="00F90182" w:rsidRDefault="006B61FE" w:rsidP="00AD1A95">
      <w:pPr>
        <w:pStyle w:val="0G-Titulek"/>
        <w:spacing w:before="200"/>
        <w:ind w:firstLine="0"/>
      </w:pPr>
      <w:bookmarkStart w:id="172" w:name="_Toc382326840"/>
      <w:r>
        <w:rPr>
          <w:lang w:val="en-GB"/>
        </w:rPr>
        <w:t>Obrázek 36</w:t>
      </w:r>
      <w:r w:rsidR="008146BD" w:rsidRPr="008D0830">
        <w:rPr>
          <w:lang w:val="en-GB"/>
        </w:rPr>
        <w:t xml:space="preserve">: Metodika Doing </w:t>
      </w:r>
      <w:r w:rsidR="008146BD" w:rsidRPr="00F90182">
        <w:rPr>
          <w:lang w:val="en-GB"/>
        </w:rPr>
        <w:t>Business</w:t>
      </w:r>
      <w:bookmarkEnd w:id="172"/>
    </w:p>
    <w:p w:rsidR="008146BD" w:rsidRPr="00F90182" w:rsidRDefault="008146BD" w:rsidP="00E6724F">
      <w:pPr>
        <w:keepNext/>
        <w:widowControl w:val="0"/>
        <w:suppressLineNumbers/>
        <w:spacing w:after="0"/>
        <w:jc w:val="center"/>
        <w:rPr>
          <w:rFonts w:ascii="Calibri" w:hAnsi="Calibri" w:cs="Calibri"/>
          <w:i/>
          <w:lang w:val="en-GB"/>
        </w:rPr>
      </w:pPr>
      <w:r w:rsidRPr="00F90182">
        <w:rPr>
          <w:rFonts w:ascii="Calibri" w:hAnsi="Calibri" w:cs="Calibri"/>
          <w:i/>
          <w:lang w:val="en-GB"/>
        </w:rPr>
        <w:t>Pramen: World Bank, 2013</w:t>
      </w:r>
    </w:p>
    <w:p w:rsidR="008146BD" w:rsidRPr="00F90182" w:rsidRDefault="008146BD" w:rsidP="00F075D1">
      <w:pPr>
        <w:keepNext/>
        <w:widowControl w:val="0"/>
        <w:suppressLineNumbers/>
        <w:spacing w:before="200" w:after="120"/>
        <w:ind w:firstLine="720"/>
        <w:jc w:val="both"/>
        <w:rPr>
          <w:sz w:val="24"/>
          <w:szCs w:val="24"/>
        </w:rPr>
      </w:pPr>
      <w:r w:rsidRPr="00F90182">
        <w:rPr>
          <w:sz w:val="24"/>
          <w:szCs w:val="24"/>
        </w:rPr>
        <w:lastRenderedPageBreak/>
        <w:t>Pořadí zemí ukazuje, že v první desítce se objevují tři země (Singapur, Hong Kong, USA), které se nacházely i v</w:t>
      </w:r>
      <w:r>
        <w:rPr>
          <w:sz w:val="24"/>
          <w:szCs w:val="24"/>
        </w:rPr>
        <w:t> </w:t>
      </w:r>
      <w:r w:rsidRPr="00F90182">
        <w:rPr>
          <w:sz w:val="24"/>
          <w:szCs w:val="24"/>
        </w:rPr>
        <w:t>TOP</w:t>
      </w:r>
      <w:r>
        <w:rPr>
          <w:sz w:val="24"/>
          <w:szCs w:val="24"/>
        </w:rPr>
        <w:t xml:space="preserve"> </w:t>
      </w:r>
      <w:r w:rsidRPr="00F90182">
        <w:rPr>
          <w:sz w:val="24"/>
          <w:szCs w:val="24"/>
        </w:rPr>
        <w:t>10 výše uvedených hodnocení</w:t>
      </w:r>
      <w:r w:rsidR="0009511A">
        <w:rPr>
          <w:sz w:val="24"/>
          <w:szCs w:val="24"/>
        </w:rPr>
        <w:t>ch</w:t>
      </w:r>
      <w:r w:rsidRPr="00F90182">
        <w:rPr>
          <w:sz w:val="24"/>
          <w:szCs w:val="24"/>
        </w:rPr>
        <w:t xml:space="preserve"> konkurenceschopnosti</w:t>
      </w:r>
      <w:r>
        <w:rPr>
          <w:sz w:val="24"/>
          <w:szCs w:val="24"/>
        </w:rPr>
        <w:t xml:space="preserve">. </w:t>
      </w:r>
      <w:r w:rsidRPr="00F90182">
        <w:rPr>
          <w:sz w:val="24"/>
          <w:szCs w:val="24"/>
        </w:rPr>
        <w:t xml:space="preserve">Zajímavostí </w:t>
      </w:r>
      <w:r>
        <w:rPr>
          <w:sz w:val="24"/>
          <w:szCs w:val="24"/>
        </w:rPr>
        <w:t>je pozice</w:t>
      </w:r>
      <w:r w:rsidRPr="00F90182">
        <w:rPr>
          <w:sz w:val="24"/>
          <w:szCs w:val="24"/>
        </w:rPr>
        <w:t xml:space="preserve"> Gruzie na 8. </w:t>
      </w:r>
      <w:r>
        <w:rPr>
          <w:sz w:val="24"/>
          <w:szCs w:val="24"/>
        </w:rPr>
        <w:t>m</w:t>
      </w:r>
      <w:r w:rsidRPr="00F90182">
        <w:rPr>
          <w:sz w:val="24"/>
          <w:szCs w:val="24"/>
        </w:rPr>
        <w:t>ístě</w:t>
      </w:r>
      <w:r>
        <w:rPr>
          <w:sz w:val="24"/>
          <w:szCs w:val="24"/>
        </w:rPr>
        <w:t>, která si v</w:t>
      </w:r>
      <w:r w:rsidRPr="00F90182">
        <w:rPr>
          <w:sz w:val="24"/>
          <w:szCs w:val="24"/>
        </w:rPr>
        <w:t>ede dobře v registraci majetku</w:t>
      </w:r>
      <w:r w:rsidR="0009511A">
        <w:rPr>
          <w:sz w:val="24"/>
          <w:szCs w:val="24"/>
        </w:rPr>
        <w:t>,</w:t>
      </w:r>
      <w:r w:rsidRPr="00F90182">
        <w:rPr>
          <w:sz w:val="24"/>
          <w:szCs w:val="24"/>
        </w:rPr>
        <w:t xml:space="preserve"> tj. nemovitostí (1. místo), získání stavebního povolení (2.), získání úvěru (3. místo) a zahájení podnikání (8. místo). Skóre uvedené v tabulce vyjadřuje procentní vzdálenost od tzv. hranice</w:t>
      </w:r>
      <w:r>
        <w:rPr>
          <w:sz w:val="24"/>
          <w:szCs w:val="24"/>
        </w:rPr>
        <w:t>,</w:t>
      </w:r>
      <w:r w:rsidRPr="00F90182">
        <w:rPr>
          <w:sz w:val="24"/>
          <w:szCs w:val="24"/>
        </w:rPr>
        <w:t xml:space="preserve"> </w:t>
      </w:r>
      <w:r>
        <w:rPr>
          <w:sz w:val="24"/>
          <w:szCs w:val="24"/>
        </w:rPr>
        <w:t>která</w:t>
      </w:r>
      <w:r w:rsidRPr="00F90182">
        <w:rPr>
          <w:sz w:val="24"/>
          <w:szCs w:val="24"/>
        </w:rPr>
        <w:t xml:space="preserve"> představuje nejlepší dosažený výkon mezi všemi zeměmi a v celé historii hodnocení.</w:t>
      </w:r>
    </w:p>
    <w:p w:rsidR="008146BD" w:rsidRPr="00F90182" w:rsidRDefault="008146BD" w:rsidP="006B61FE">
      <w:pPr>
        <w:pStyle w:val="0T-Titulek"/>
        <w:rPr>
          <w:lang w:val="en-GB"/>
        </w:rPr>
      </w:pPr>
      <w:bookmarkStart w:id="173" w:name="_Toc382326476"/>
      <w:r w:rsidRPr="00740291">
        <w:rPr>
          <w:lang w:val="en-GB"/>
        </w:rPr>
        <w:t xml:space="preserve">Tabulka 49: Doing </w:t>
      </w:r>
      <w:r w:rsidRPr="00F90182">
        <w:rPr>
          <w:lang w:val="en-GB"/>
        </w:rPr>
        <w:t>Business 2014</w:t>
      </w:r>
      <w:bookmarkEnd w:id="173"/>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767"/>
        <w:gridCol w:w="782"/>
      </w:tblGrid>
      <w:tr w:rsidR="008146BD" w:rsidRPr="00F90182" w:rsidTr="00F075D1">
        <w:trPr>
          <w:trHeight w:hRule="exact" w:val="284"/>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b/>
                <w:lang w:eastAsia="en-GB"/>
              </w:rPr>
            </w:pPr>
            <w:r w:rsidRPr="00F075D1">
              <w:rPr>
                <w:rFonts w:asciiTheme="minorHAnsi" w:hAnsiTheme="minorHAnsi" w:cstheme="minorHAnsi"/>
                <w:b/>
                <w:lang w:eastAsia="en-GB"/>
              </w:rPr>
              <w:t>země</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pořadí</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skóre</w:t>
            </w:r>
          </w:p>
        </w:tc>
      </w:tr>
      <w:tr w:rsidR="008146BD" w:rsidRPr="00F90182" w:rsidTr="00F075D1">
        <w:trPr>
          <w:trHeight w:hRule="exact" w:val="284"/>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Singapur</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92,21</w:t>
            </w:r>
          </w:p>
        </w:tc>
      </w:tr>
      <w:tr w:rsidR="008146BD" w:rsidRPr="00F90182" w:rsidTr="00F075D1">
        <w:trPr>
          <w:trHeight w:hRule="exact" w:val="284"/>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Hong Kong</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89,13</w:t>
            </w:r>
          </w:p>
        </w:tc>
      </w:tr>
      <w:tr w:rsidR="008146BD" w:rsidRPr="00F90182" w:rsidTr="00F075D1">
        <w:trPr>
          <w:trHeight w:hRule="exact" w:val="284"/>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Nový Zéland</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88,65</w:t>
            </w:r>
          </w:p>
        </w:tc>
      </w:tr>
      <w:tr w:rsidR="008146BD" w:rsidRPr="00F90182" w:rsidTr="00F075D1">
        <w:trPr>
          <w:trHeight w:hRule="exact" w:val="284"/>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USA</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83,99</w:t>
            </w:r>
          </w:p>
        </w:tc>
      </w:tr>
      <w:tr w:rsidR="008146BD" w:rsidRPr="00F90182" w:rsidTr="00F075D1">
        <w:trPr>
          <w:trHeight w:hRule="exact" w:val="284"/>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Dánsko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85,16</w:t>
            </w:r>
          </w:p>
        </w:tc>
      </w:tr>
      <w:tr w:rsidR="008146BD" w:rsidRPr="00F90182" w:rsidTr="00F075D1">
        <w:trPr>
          <w:trHeight w:hRule="exact" w:val="284"/>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Malajsie</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81,87</w:t>
            </w:r>
          </w:p>
        </w:tc>
      </w:tr>
      <w:tr w:rsidR="008146BD" w:rsidRPr="00F90182" w:rsidTr="00F075D1">
        <w:trPr>
          <w:trHeight w:hRule="exact" w:val="284"/>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Korea</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83,74</w:t>
            </w:r>
          </w:p>
        </w:tc>
      </w:tr>
      <w:tr w:rsidR="008146BD" w:rsidRPr="00F90182" w:rsidTr="00F075D1">
        <w:trPr>
          <w:trHeight w:hRule="exact" w:val="284"/>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Gruzie</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81,07</w:t>
            </w:r>
          </w:p>
        </w:tc>
      </w:tr>
      <w:tr w:rsidR="008146BD" w:rsidRPr="00F90182" w:rsidTr="00F075D1">
        <w:trPr>
          <w:trHeight w:hRule="exact" w:val="284"/>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Norsko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83,16</w:t>
            </w:r>
          </w:p>
        </w:tc>
      </w:tr>
      <w:tr w:rsidR="008146BD" w:rsidRPr="00F90182" w:rsidTr="00F075D1">
        <w:trPr>
          <w:trHeight w:hRule="exact" w:val="284"/>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Spojené Království</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10</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83,52</w:t>
            </w:r>
          </w:p>
        </w:tc>
      </w:tr>
      <w:tr w:rsidR="008146BD" w:rsidRPr="00F90182" w:rsidTr="00F075D1">
        <w:trPr>
          <w:trHeight w:hRule="exact" w:val="284"/>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Polsko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45</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71,96</w:t>
            </w:r>
          </w:p>
        </w:tc>
      </w:tr>
      <w:tr w:rsidR="008146BD" w:rsidRPr="00F90182" w:rsidTr="00F075D1">
        <w:trPr>
          <w:trHeight w:hRule="exact" w:val="284"/>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Slovensko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49</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69,48</w:t>
            </w:r>
          </w:p>
        </w:tc>
      </w:tr>
      <w:tr w:rsidR="008146BD" w:rsidRPr="00F90182" w:rsidTr="00F075D1">
        <w:trPr>
          <w:trHeight w:hRule="exact" w:val="284"/>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Maďarsko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54</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66,05</w:t>
            </w:r>
          </w:p>
        </w:tc>
      </w:tr>
      <w:tr w:rsidR="008146BD" w:rsidRPr="00F90182" w:rsidTr="00F075D1">
        <w:trPr>
          <w:trHeight w:hRule="exact" w:val="284"/>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Česká republika</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75</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66,46</w:t>
            </w:r>
          </w:p>
        </w:tc>
      </w:tr>
    </w:tbl>
    <w:p w:rsidR="008146BD" w:rsidRPr="00F90182" w:rsidRDefault="008146BD" w:rsidP="008146BD">
      <w:pPr>
        <w:keepNext/>
        <w:widowControl w:val="0"/>
        <w:suppressLineNumbers/>
        <w:spacing w:after="0"/>
        <w:jc w:val="center"/>
        <w:rPr>
          <w:rFonts w:ascii="Calibri" w:hAnsi="Calibri" w:cs="Calibri"/>
          <w:i/>
        </w:rPr>
      </w:pPr>
      <w:r w:rsidRPr="00F90182">
        <w:rPr>
          <w:rFonts w:ascii="Calibri" w:hAnsi="Calibri" w:cs="Calibri"/>
          <w:i/>
          <w:lang w:val="en-GB"/>
        </w:rPr>
        <w:t>Pramen: World Bank, 2013</w:t>
      </w:r>
    </w:p>
    <w:p w:rsidR="008146BD" w:rsidRPr="00F90182" w:rsidRDefault="008146BD" w:rsidP="008146BD">
      <w:pPr>
        <w:keepNext/>
        <w:widowControl w:val="0"/>
        <w:suppressLineNumbers/>
        <w:spacing w:before="200"/>
        <w:ind w:firstLine="720"/>
        <w:jc w:val="both"/>
        <w:rPr>
          <w:sz w:val="24"/>
          <w:szCs w:val="24"/>
        </w:rPr>
      </w:pPr>
      <w:r w:rsidRPr="00F90182">
        <w:rPr>
          <w:sz w:val="24"/>
          <w:szCs w:val="24"/>
        </w:rPr>
        <w:t>Ze zemí V4 je ČR na posledním místě a její pozice se opět zhoršuje</w:t>
      </w:r>
      <w:r>
        <w:rPr>
          <w:sz w:val="24"/>
          <w:szCs w:val="24"/>
        </w:rPr>
        <w:t xml:space="preserve">. </w:t>
      </w:r>
      <w:r w:rsidRPr="00F90182">
        <w:rPr>
          <w:sz w:val="24"/>
          <w:szCs w:val="24"/>
        </w:rPr>
        <w:t xml:space="preserve">V hodnocení DB 2014 si ČR vedla nejhůře v oblasti Zahájení podnikání </w:t>
      </w:r>
      <w:r>
        <w:rPr>
          <w:sz w:val="24"/>
          <w:szCs w:val="24"/>
        </w:rPr>
        <w:t>a</w:t>
      </w:r>
      <w:r w:rsidRPr="00F90182">
        <w:rPr>
          <w:sz w:val="24"/>
          <w:szCs w:val="24"/>
        </w:rPr>
        <w:t xml:space="preserve"> Získání elektřiny a nejlépe v Řešení  insolvence</w:t>
      </w:r>
      <w:r>
        <w:rPr>
          <w:sz w:val="24"/>
          <w:szCs w:val="24"/>
        </w:rPr>
        <w:t>.</w:t>
      </w:r>
      <w:r w:rsidRPr="00F90182">
        <w:rPr>
          <w:sz w:val="24"/>
          <w:szCs w:val="24"/>
        </w:rPr>
        <w:t xml:space="preserve"> </w:t>
      </w:r>
    </w:p>
    <w:p w:rsidR="008146BD" w:rsidRPr="00F90182" w:rsidRDefault="008146BD" w:rsidP="008146BD">
      <w:pPr>
        <w:keepNext/>
        <w:widowControl w:val="0"/>
        <w:suppressLineNumbers/>
        <w:spacing w:after="100"/>
        <w:jc w:val="both"/>
        <w:rPr>
          <w:b/>
          <w:sz w:val="24"/>
          <w:szCs w:val="24"/>
        </w:rPr>
      </w:pPr>
      <w:r w:rsidRPr="00F90182">
        <w:rPr>
          <w:b/>
          <w:sz w:val="24"/>
          <w:szCs w:val="24"/>
        </w:rPr>
        <w:t>Světová banka a indexy KEI a KI</w:t>
      </w:r>
    </w:p>
    <w:p w:rsidR="008146BD" w:rsidRPr="00F90182" w:rsidRDefault="008146BD" w:rsidP="00F075D1">
      <w:pPr>
        <w:keepNext/>
        <w:widowControl w:val="0"/>
        <w:suppressLineNumbers/>
        <w:spacing w:after="120"/>
        <w:ind w:firstLine="720"/>
        <w:jc w:val="both"/>
        <w:rPr>
          <w:sz w:val="24"/>
          <w:szCs w:val="24"/>
        </w:rPr>
      </w:pPr>
      <w:r w:rsidRPr="00F90182">
        <w:rPr>
          <w:sz w:val="24"/>
          <w:szCs w:val="24"/>
        </w:rPr>
        <w:t xml:space="preserve">Světová banka hodnotí také úroveň znalostní ekonomiky </w:t>
      </w:r>
      <w:r>
        <w:rPr>
          <w:sz w:val="24"/>
          <w:szCs w:val="24"/>
        </w:rPr>
        <w:t xml:space="preserve">dle </w:t>
      </w:r>
      <w:r w:rsidRPr="00F90182">
        <w:rPr>
          <w:sz w:val="24"/>
          <w:szCs w:val="24"/>
        </w:rPr>
        <w:t>vlastní metodik</w:t>
      </w:r>
      <w:r>
        <w:rPr>
          <w:sz w:val="24"/>
          <w:szCs w:val="24"/>
        </w:rPr>
        <w:t>y</w:t>
      </w:r>
      <w:r w:rsidRPr="00F90182">
        <w:rPr>
          <w:sz w:val="24"/>
          <w:szCs w:val="24"/>
        </w:rPr>
        <w:t xml:space="preserve"> KAM Knowledge Assessment Methodology (World Bank, 2011). </w:t>
      </w:r>
      <w:r>
        <w:rPr>
          <w:sz w:val="24"/>
          <w:szCs w:val="24"/>
        </w:rPr>
        <w:t>P</w:t>
      </w:r>
      <w:r w:rsidRPr="00F90182">
        <w:rPr>
          <w:sz w:val="24"/>
          <w:szCs w:val="24"/>
        </w:rPr>
        <w:t>orovnává</w:t>
      </w:r>
      <w:r>
        <w:rPr>
          <w:sz w:val="24"/>
          <w:szCs w:val="24"/>
        </w:rPr>
        <w:t xml:space="preserve">no je </w:t>
      </w:r>
      <w:r w:rsidRPr="00F90182">
        <w:rPr>
          <w:sz w:val="24"/>
          <w:szCs w:val="24"/>
        </w:rPr>
        <w:t>146 zemí pomocí indexů</w:t>
      </w:r>
      <w:r>
        <w:rPr>
          <w:sz w:val="24"/>
          <w:szCs w:val="24"/>
        </w:rPr>
        <w:t xml:space="preserve"> </w:t>
      </w:r>
      <w:r w:rsidRPr="00F90182">
        <w:rPr>
          <w:sz w:val="24"/>
          <w:szCs w:val="24"/>
        </w:rPr>
        <w:t>KI a KEI</w:t>
      </w:r>
      <w:r>
        <w:rPr>
          <w:sz w:val="24"/>
          <w:szCs w:val="24"/>
        </w:rPr>
        <w:t>,</w:t>
      </w:r>
      <w:r w:rsidRPr="00F90182">
        <w:rPr>
          <w:sz w:val="24"/>
          <w:szCs w:val="24"/>
        </w:rPr>
        <w:t xml:space="preserve"> pohyb</w:t>
      </w:r>
      <w:r>
        <w:rPr>
          <w:sz w:val="24"/>
          <w:szCs w:val="24"/>
        </w:rPr>
        <w:t>ujících se</w:t>
      </w:r>
      <w:r w:rsidRPr="00F90182">
        <w:rPr>
          <w:sz w:val="24"/>
          <w:szCs w:val="24"/>
        </w:rPr>
        <w:t xml:space="preserve"> v rozmezí 0 až 10</w:t>
      </w:r>
      <w:r>
        <w:rPr>
          <w:sz w:val="24"/>
          <w:szCs w:val="24"/>
        </w:rPr>
        <w:t>.</w:t>
      </w:r>
      <w:r w:rsidRPr="00F90182">
        <w:rPr>
          <w:sz w:val="24"/>
          <w:szCs w:val="24"/>
        </w:rPr>
        <w:t xml:space="preserve"> </w:t>
      </w:r>
      <w:r>
        <w:rPr>
          <w:sz w:val="24"/>
          <w:szCs w:val="24"/>
        </w:rPr>
        <w:t>I</w:t>
      </w:r>
      <w:r w:rsidRPr="00260C64">
        <w:rPr>
          <w:sz w:val="24"/>
          <w:szCs w:val="24"/>
        </w:rPr>
        <w:t xml:space="preserve">ndex KI měří schopnost země vytvářet, přijímat a šířit znalosti </w:t>
      </w:r>
      <w:r>
        <w:rPr>
          <w:sz w:val="24"/>
          <w:szCs w:val="24"/>
        </w:rPr>
        <w:t>(</w:t>
      </w:r>
      <w:r w:rsidRPr="00260C64">
        <w:rPr>
          <w:sz w:val="24"/>
          <w:szCs w:val="24"/>
        </w:rPr>
        <w:t>tří dílčí</w:t>
      </w:r>
      <w:r>
        <w:rPr>
          <w:sz w:val="24"/>
          <w:szCs w:val="24"/>
        </w:rPr>
        <w:t xml:space="preserve"> </w:t>
      </w:r>
      <w:r w:rsidRPr="00260C64">
        <w:rPr>
          <w:sz w:val="24"/>
          <w:szCs w:val="24"/>
        </w:rPr>
        <w:t>index</w:t>
      </w:r>
      <w:r>
        <w:rPr>
          <w:sz w:val="24"/>
          <w:szCs w:val="24"/>
        </w:rPr>
        <w:t>y)</w:t>
      </w:r>
      <w:r w:rsidRPr="00260C64">
        <w:rPr>
          <w:sz w:val="24"/>
          <w:szCs w:val="24"/>
        </w:rPr>
        <w:t xml:space="preserve"> </w:t>
      </w:r>
      <w:r>
        <w:rPr>
          <w:sz w:val="24"/>
          <w:szCs w:val="24"/>
        </w:rPr>
        <w:t>a</w:t>
      </w:r>
      <w:r w:rsidRPr="00260C64">
        <w:rPr>
          <w:sz w:val="24"/>
          <w:szCs w:val="24"/>
        </w:rPr>
        <w:t xml:space="preserve"> Index KEI hodnotí efektiv</w:t>
      </w:r>
      <w:r>
        <w:rPr>
          <w:sz w:val="24"/>
          <w:szCs w:val="24"/>
        </w:rPr>
        <w:t xml:space="preserve">itu </w:t>
      </w:r>
      <w:r w:rsidRPr="00260C64">
        <w:rPr>
          <w:sz w:val="24"/>
          <w:szCs w:val="24"/>
        </w:rPr>
        <w:t>využ</w:t>
      </w:r>
      <w:r>
        <w:rPr>
          <w:sz w:val="24"/>
          <w:szCs w:val="24"/>
        </w:rPr>
        <w:t>i</w:t>
      </w:r>
      <w:r w:rsidRPr="00260C64">
        <w:rPr>
          <w:sz w:val="24"/>
          <w:szCs w:val="24"/>
        </w:rPr>
        <w:t>t</w:t>
      </w:r>
      <w:r>
        <w:rPr>
          <w:sz w:val="24"/>
          <w:szCs w:val="24"/>
        </w:rPr>
        <w:t>í</w:t>
      </w:r>
      <w:r w:rsidRPr="00260C64">
        <w:rPr>
          <w:sz w:val="24"/>
          <w:szCs w:val="24"/>
        </w:rPr>
        <w:t xml:space="preserve"> zna</w:t>
      </w:r>
      <w:r w:rsidR="00385CD4">
        <w:rPr>
          <w:sz w:val="24"/>
          <w:szCs w:val="24"/>
        </w:rPr>
        <w:t>losti pro </w:t>
      </w:r>
      <w:r w:rsidRPr="00260C64">
        <w:rPr>
          <w:sz w:val="24"/>
          <w:szCs w:val="24"/>
        </w:rPr>
        <w:t>ekonomický rozvoj</w:t>
      </w:r>
      <w:r>
        <w:rPr>
          <w:sz w:val="24"/>
          <w:szCs w:val="24"/>
        </w:rPr>
        <w:t xml:space="preserve"> (</w:t>
      </w:r>
      <w:r w:rsidRPr="00260C64">
        <w:rPr>
          <w:sz w:val="24"/>
          <w:szCs w:val="24"/>
        </w:rPr>
        <w:t xml:space="preserve">stejné tři dílčí indexy </w:t>
      </w:r>
      <w:r>
        <w:rPr>
          <w:sz w:val="24"/>
          <w:szCs w:val="24"/>
        </w:rPr>
        <w:t>+</w:t>
      </w:r>
      <w:r w:rsidRPr="00260C64">
        <w:rPr>
          <w:sz w:val="24"/>
          <w:szCs w:val="24"/>
        </w:rPr>
        <w:t xml:space="preserve"> Index ekonomického</w:t>
      </w:r>
      <w:r w:rsidRPr="00F90182">
        <w:rPr>
          <w:sz w:val="24"/>
          <w:szCs w:val="24"/>
        </w:rPr>
        <w:t xml:space="preserve"> a institucionálního režimu</w:t>
      </w:r>
      <w:r>
        <w:rPr>
          <w:sz w:val="24"/>
          <w:szCs w:val="24"/>
        </w:rPr>
        <w:t>)</w:t>
      </w:r>
      <w:r w:rsidRPr="00F90182">
        <w:rPr>
          <w:sz w:val="24"/>
          <w:szCs w:val="24"/>
        </w:rPr>
        <w:t xml:space="preserve">. Celkem je využíváno 148 dílčích ukazatelů. Hodnota kompozitních indexů se může </w:t>
      </w:r>
      <w:r w:rsidR="00AA10C6">
        <w:rPr>
          <w:sz w:val="24"/>
          <w:szCs w:val="24"/>
        </w:rPr>
        <w:t>pohybovat v rozmezí 0 až 10, přičemž 10 je nejlepší možný výsledek.</w:t>
      </w:r>
    </w:p>
    <w:tbl>
      <w:tblPr>
        <w:tblStyle w:val="Mkatabulky16"/>
        <w:tblW w:w="0" w:type="auto"/>
        <w:jc w:val="center"/>
        <w:tblLook w:val="04A0" w:firstRow="1" w:lastRow="0" w:firstColumn="1" w:lastColumn="0" w:noHBand="0" w:noVBand="1"/>
      </w:tblPr>
      <w:tblGrid>
        <w:gridCol w:w="1101"/>
        <w:gridCol w:w="770"/>
        <w:gridCol w:w="340"/>
        <w:gridCol w:w="467"/>
        <w:gridCol w:w="468"/>
        <w:gridCol w:w="236"/>
        <w:gridCol w:w="270"/>
        <w:gridCol w:w="430"/>
        <w:gridCol w:w="340"/>
        <w:gridCol w:w="935"/>
        <w:gridCol w:w="936"/>
        <w:gridCol w:w="340"/>
        <w:gridCol w:w="935"/>
        <w:gridCol w:w="936"/>
      </w:tblGrid>
      <w:tr w:rsidR="008146BD" w:rsidRPr="00F90182" w:rsidTr="00F075D1">
        <w:trPr>
          <w:trHeight w:hRule="exact" w:val="284"/>
          <w:jc w:val="center"/>
        </w:trPr>
        <w:tc>
          <w:tcPr>
            <w:tcW w:w="3652"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Index znalostní ekonomiky (KEI)</w:t>
            </w:r>
          </w:p>
        </w:tc>
        <w:tc>
          <w:tcPr>
            <w:tcW w:w="430" w:type="dxa"/>
            <w:tcBorders>
              <w:top w:val="nil"/>
              <w:left w:val="single" w:sz="4" w:space="0" w:color="auto"/>
              <w:bottom w:val="nil"/>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551"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Znalostní index (KI)</w:t>
            </w:r>
          </w:p>
        </w:tc>
        <w:tc>
          <w:tcPr>
            <w:tcW w:w="1871" w:type="dxa"/>
            <w:gridSpan w:val="2"/>
            <w:tcBorders>
              <w:top w:val="nil"/>
              <w:left w:val="single" w:sz="4" w:space="0" w:color="auto"/>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r>
      <w:tr w:rsidR="008146BD" w:rsidRPr="00F90182" w:rsidTr="00F075D1">
        <w:trPr>
          <w:trHeight w:hRule="exact" w:val="284"/>
          <w:jc w:val="center"/>
        </w:trPr>
        <w:tc>
          <w:tcPr>
            <w:tcW w:w="1101" w:type="dxa"/>
            <w:tcBorders>
              <w:top w:val="single" w:sz="4" w:space="0" w:color="auto"/>
              <w:left w:val="nil"/>
              <w:bottom w:val="single" w:sz="4" w:space="0" w:color="auto"/>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770" w:type="dxa"/>
            <w:tcBorders>
              <w:top w:val="single" w:sz="4" w:space="0" w:color="auto"/>
              <w:left w:val="single" w:sz="4" w:space="0" w:color="auto"/>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single" w:sz="4" w:space="0" w:color="auto"/>
              <w:left w:val="nil"/>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935" w:type="dxa"/>
            <w:gridSpan w:val="2"/>
            <w:tcBorders>
              <w:top w:val="single" w:sz="4" w:space="0" w:color="auto"/>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36" w:type="dxa"/>
            <w:tcBorders>
              <w:top w:val="single" w:sz="4" w:space="0" w:color="auto"/>
              <w:left w:val="nil"/>
              <w:bottom w:val="nil"/>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700" w:type="dxa"/>
            <w:gridSpan w:val="2"/>
            <w:tcBorders>
              <w:top w:val="nil"/>
              <w:left w:val="single" w:sz="4" w:space="0" w:color="auto"/>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single" w:sz="4" w:space="0" w:color="auto"/>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935" w:type="dxa"/>
            <w:tcBorders>
              <w:top w:val="single" w:sz="4" w:space="0" w:color="auto"/>
              <w:left w:val="nil"/>
              <w:bottom w:val="nil"/>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936" w:type="dxa"/>
            <w:tcBorders>
              <w:top w:val="single" w:sz="4" w:space="0" w:color="auto"/>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single" w:sz="4" w:space="0" w:color="auto"/>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1871" w:type="dxa"/>
            <w:gridSpan w:val="2"/>
            <w:tcBorders>
              <w:top w:val="nil"/>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r>
      <w:tr w:rsidR="008146BD" w:rsidRPr="00F90182" w:rsidTr="00F075D1">
        <w:trPr>
          <w:trHeight w:hRule="exact" w:val="284"/>
          <w:jc w:val="center"/>
        </w:trPr>
        <w:tc>
          <w:tcPr>
            <w:tcW w:w="2211" w:type="dxa"/>
            <w:gridSpan w:val="3"/>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Index ekonomického a institucionálního režimu</w:t>
            </w:r>
          </w:p>
        </w:tc>
        <w:tc>
          <w:tcPr>
            <w:tcW w:w="467" w:type="dxa"/>
            <w:tcBorders>
              <w:top w:val="nil"/>
              <w:left w:val="single" w:sz="4" w:space="0" w:color="auto"/>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468" w:type="dxa"/>
            <w:tcBorders>
              <w:top w:val="nil"/>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36" w:type="dxa"/>
            <w:tcBorders>
              <w:top w:val="nil"/>
              <w:left w:val="nil"/>
              <w:bottom w:val="single" w:sz="4" w:space="0" w:color="auto"/>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700" w:type="dxa"/>
            <w:gridSpan w:val="2"/>
            <w:tcBorders>
              <w:top w:val="nil"/>
              <w:left w:val="single" w:sz="4" w:space="0" w:color="auto"/>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nil"/>
              <w:left w:val="nil"/>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935" w:type="dxa"/>
            <w:tcBorders>
              <w:top w:val="nil"/>
              <w:left w:val="nil"/>
              <w:bottom w:val="single" w:sz="4" w:space="0" w:color="auto"/>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936" w:type="dxa"/>
            <w:tcBorders>
              <w:top w:val="nil"/>
              <w:left w:val="single" w:sz="4" w:space="0" w:color="auto"/>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nil"/>
              <w:left w:val="nil"/>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935" w:type="dxa"/>
            <w:tcBorders>
              <w:top w:val="nil"/>
              <w:left w:val="nil"/>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936" w:type="dxa"/>
            <w:tcBorders>
              <w:top w:val="nil"/>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r>
      <w:tr w:rsidR="008146BD" w:rsidRPr="00F90182" w:rsidTr="00F075D1">
        <w:trPr>
          <w:trHeight w:hRule="exact" w:val="284"/>
          <w:jc w:val="center"/>
        </w:trPr>
        <w:tc>
          <w:tcPr>
            <w:tcW w:w="1871" w:type="dxa"/>
            <w:gridSpan w:val="2"/>
            <w:tcBorders>
              <w:top w:val="single" w:sz="4" w:space="0" w:color="auto"/>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single" w:sz="4" w:space="0" w:color="auto"/>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935" w:type="dxa"/>
            <w:gridSpan w:val="2"/>
            <w:tcBorders>
              <w:top w:val="nil"/>
              <w:left w:val="nil"/>
              <w:bottom w:val="single" w:sz="4" w:space="0" w:color="auto"/>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936" w:type="dxa"/>
            <w:gridSpan w:val="3"/>
            <w:tcBorders>
              <w:top w:val="single" w:sz="4" w:space="0" w:color="auto"/>
              <w:left w:val="single" w:sz="4" w:space="0" w:color="auto"/>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single" w:sz="4" w:space="0" w:color="auto"/>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935" w:type="dxa"/>
            <w:tcBorders>
              <w:top w:val="single" w:sz="4" w:space="0" w:color="auto"/>
              <w:left w:val="nil"/>
              <w:bottom w:val="single" w:sz="4" w:space="0" w:color="auto"/>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936" w:type="dxa"/>
            <w:tcBorders>
              <w:top w:val="single" w:sz="4" w:space="0" w:color="auto"/>
              <w:left w:val="single" w:sz="4" w:space="0" w:color="auto"/>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single" w:sz="4" w:space="0" w:color="auto"/>
              <w:left w:val="nil"/>
              <w:bottom w:val="nil"/>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935" w:type="dxa"/>
            <w:tcBorders>
              <w:top w:val="single" w:sz="4" w:space="0" w:color="auto"/>
              <w:left w:val="nil"/>
              <w:bottom w:val="single" w:sz="4" w:space="0" w:color="auto"/>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936" w:type="dxa"/>
            <w:tcBorders>
              <w:top w:val="nil"/>
              <w:left w:val="single" w:sz="4" w:space="0" w:color="auto"/>
              <w:bottom w:val="single" w:sz="4" w:space="0" w:color="auto"/>
              <w:right w:val="nil"/>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r>
      <w:tr w:rsidR="008146BD" w:rsidRPr="00F90182" w:rsidTr="00F075D1">
        <w:trPr>
          <w:trHeight w:hRule="exact" w:val="284"/>
          <w:jc w:val="center"/>
        </w:trPr>
        <w:tc>
          <w:tcPr>
            <w:tcW w:w="1871" w:type="dxa"/>
            <w:gridSpan w:val="2"/>
            <w:tcBorders>
              <w:top w:val="nil"/>
              <w:left w:val="nil"/>
              <w:bottom w:val="nil"/>
              <w:right w:val="nil"/>
            </w:tcBorders>
            <w:vAlign w:val="center"/>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nil"/>
              <w:left w:val="nil"/>
              <w:bottom w:val="nil"/>
              <w:right w:val="single" w:sz="4" w:space="0" w:color="auto"/>
            </w:tcBorders>
            <w:vAlign w:val="center"/>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1871" w:type="dxa"/>
            <w:gridSpan w:val="5"/>
            <w:tcBorders>
              <w:top w:val="single" w:sz="4" w:space="0" w:color="auto"/>
              <w:left w:val="single" w:sz="4" w:space="0" w:color="auto"/>
              <w:bottom w:val="single" w:sz="4" w:space="0" w:color="auto"/>
              <w:right w:val="single" w:sz="4" w:space="0" w:color="auto"/>
            </w:tcBorders>
            <w:vAlign w:val="center"/>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Index vzdělávání</w:t>
            </w:r>
          </w:p>
        </w:tc>
        <w:tc>
          <w:tcPr>
            <w:tcW w:w="340" w:type="dxa"/>
            <w:tcBorders>
              <w:top w:val="nil"/>
              <w:left w:val="single" w:sz="4" w:space="0" w:color="auto"/>
              <w:bottom w:val="nil"/>
              <w:right w:val="single" w:sz="4" w:space="0" w:color="auto"/>
            </w:tcBorders>
            <w:vAlign w:val="center"/>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1871" w:type="dxa"/>
            <w:gridSpan w:val="2"/>
            <w:tcBorders>
              <w:top w:val="single" w:sz="4" w:space="0" w:color="auto"/>
              <w:left w:val="single" w:sz="4" w:space="0" w:color="auto"/>
              <w:bottom w:val="single" w:sz="4" w:space="0" w:color="auto"/>
              <w:right w:val="single" w:sz="4" w:space="0" w:color="auto"/>
            </w:tcBorders>
            <w:vAlign w:val="center"/>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Inovační index</w:t>
            </w:r>
          </w:p>
        </w:tc>
        <w:tc>
          <w:tcPr>
            <w:tcW w:w="340" w:type="dxa"/>
            <w:tcBorders>
              <w:top w:val="nil"/>
              <w:left w:val="single" w:sz="4" w:space="0" w:color="auto"/>
              <w:bottom w:val="nil"/>
              <w:right w:val="single" w:sz="4" w:space="0" w:color="auto"/>
            </w:tcBorders>
            <w:vAlign w:val="center"/>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1871" w:type="dxa"/>
            <w:gridSpan w:val="2"/>
            <w:tcBorders>
              <w:top w:val="single" w:sz="4" w:space="0" w:color="auto"/>
              <w:left w:val="single" w:sz="4" w:space="0" w:color="auto"/>
              <w:bottom w:val="single" w:sz="4" w:space="0" w:color="auto"/>
              <w:right w:val="single" w:sz="4" w:space="0" w:color="auto"/>
            </w:tcBorders>
            <w:vAlign w:val="center"/>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ICT index</w:t>
            </w:r>
          </w:p>
        </w:tc>
      </w:tr>
    </w:tbl>
    <w:p w:rsidR="008146BD" w:rsidRPr="008D0830" w:rsidRDefault="00F075D1" w:rsidP="00AD1A95">
      <w:pPr>
        <w:pStyle w:val="0G-Titulek"/>
        <w:spacing w:before="200"/>
        <w:jc w:val="left"/>
      </w:pPr>
      <w:r>
        <w:rPr>
          <w:lang w:val="en-GB"/>
        </w:rPr>
        <w:t xml:space="preserve">                                             </w:t>
      </w:r>
      <w:bookmarkStart w:id="174" w:name="_Toc382326841"/>
      <w:r w:rsidR="006B61FE">
        <w:rPr>
          <w:lang w:val="en-GB"/>
        </w:rPr>
        <w:t>Obrázek 37</w:t>
      </w:r>
      <w:r w:rsidR="008146BD" w:rsidRPr="008D0830">
        <w:rPr>
          <w:lang w:val="en-GB"/>
        </w:rPr>
        <w:t>: Indexy KEI a KI</w:t>
      </w:r>
      <w:bookmarkEnd w:id="174"/>
    </w:p>
    <w:p w:rsidR="008146BD" w:rsidRPr="00F90182" w:rsidRDefault="008146BD" w:rsidP="00E6724F">
      <w:pPr>
        <w:keepNext/>
        <w:widowControl w:val="0"/>
        <w:suppressLineNumbers/>
        <w:spacing w:after="0"/>
        <w:jc w:val="center"/>
        <w:rPr>
          <w:rFonts w:ascii="Calibri" w:hAnsi="Calibri" w:cs="Calibri"/>
          <w:i/>
          <w:lang w:val="en-GB"/>
        </w:rPr>
      </w:pPr>
      <w:r w:rsidRPr="00260C64">
        <w:rPr>
          <w:rFonts w:ascii="Calibri" w:hAnsi="Calibri" w:cs="Calibri"/>
          <w:i/>
          <w:lang w:val="en-GB"/>
        </w:rPr>
        <w:t>Pramen: World Bank,</w:t>
      </w:r>
      <w:r w:rsidRPr="00F90182">
        <w:rPr>
          <w:rFonts w:ascii="Calibri" w:hAnsi="Calibri" w:cs="Calibri"/>
          <w:i/>
          <w:lang w:val="en-GB"/>
        </w:rPr>
        <w:t xml:space="preserve"> 2011</w:t>
      </w:r>
    </w:p>
    <w:p w:rsidR="008146BD" w:rsidRPr="00F90182" w:rsidRDefault="008146BD" w:rsidP="00F075D1">
      <w:pPr>
        <w:keepNext/>
        <w:widowControl w:val="0"/>
        <w:suppressLineNumbers/>
        <w:spacing w:before="200" w:after="120"/>
        <w:ind w:firstLine="720"/>
        <w:jc w:val="both"/>
        <w:rPr>
          <w:sz w:val="24"/>
          <w:szCs w:val="24"/>
        </w:rPr>
      </w:pPr>
      <w:r w:rsidRPr="00F90182">
        <w:rPr>
          <w:sz w:val="24"/>
          <w:szCs w:val="24"/>
        </w:rPr>
        <w:lastRenderedPageBreak/>
        <w:t>V první desítce nejlepších zemí dle indexu KEI je osm evropských zemí</w:t>
      </w:r>
      <w:r>
        <w:rPr>
          <w:sz w:val="24"/>
          <w:szCs w:val="24"/>
        </w:rPr>
        <w:t xml:space="preserve"> (v</w:t>
      </w:r>
      <w:r w:rsidRPr="00F90182">
        <w:rPr>
          <w:sz w:val="24"/>
          <w:szCs w:val="24"/>
        </w:rPr>
        <w:t>ýrazně je zastoupena především severní část Evropy</w:t>
      </w:r>
      <w:r>
        <w:rPr>
          <w:sz w:val="24"/>
          <w:szCs w:val="24"/>
        </w:rPr>
        <w:t>)</w:t>
      </w:r>
      <w:r w:rsidRPr="00F90182">
        <w:rPr>
          <w:sz w:val="24"/>
          <w:szCs w:val="24"/>
        </w:rPr>
        <w:t xml:space="preserve">. </w:t>
      </w:r>
    </w:p>
    <w:p w:rsidR="008146BD" w:rsidRPr="00260C64" w:rsidRDefault="008146BD" w:rsidP="006B61FE">
      <w:pPr>
        <w:pStyle w:val="0T-Titulek"/>
        <w:rPr>
          <w:lang w:val="en-GB"/>
        </w:rPr>
      </w:pPr>
      <w:bookmarkStart w:id="175" w:name="_Toc382326477"/>
      <w:r w:rsidRPr="00260C64">
        <w:rPr>
          <w:lang w:val="en-GB"/>
        </w:rPr>
        <w:t xml:space="preserve">Tabulka </w:t>
      </w:r>
      <w:r>
        <w:rPr>
          <w:lang w:val="en-GB"/>
        </w:rPr>
        <w:t>50</w:t>
      </w:r>
      <w:r w:rsidRPr="00260C64">
        <w:rPr>
          <w:lang w:val="en-GB"/>
        </w:rPr>
        <w:t>: Indexy KEI a KI v roce 2012</w:t>
      </w:r>
      <w:bookmarkEnd w:id="175"/>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767"/>
        <w:gridCol w:w="782"/>
        <w:gridCol w:w="782"/>
        <w:gridCol w:w="782"/>
      </w:tblGrid>
      <w:tr w:rsidR="008146BD" w:rsidRPr="00260C64" w:rsidTr="00372654">
        <w:trPr>
          <w:trHeight w:hRule="exact" w:val="284"/>
          <w:tblCellSpacing w:w="15" w:type="dxa"/>
          <w:jc w:val="center"/>
        </w:trPr>
        <w:tc>
          <w:tcPr>
            <w:tcW w:w="2361"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146BD" w:rsidRPr="00F075D1" w:rsidRDefault="008146BD" w:rsidP="007A7D80">
            <w:pPr>
              <w:keepNext/>
              <w:suppressLineNumbers/>
              <w:spacing w:after="0"/>
              <w:rPr>
                <w:rFonts w:asciiTheme="minorHAnsi" w:hAnsiTheme="minorHAnsi" w:cstheme="minorHAnsi"/>
                <w:b/>
                <w:lang w:eastAsia="en-GB"/>
              </w:rPr>
            </w:pPr>
            <w:r w:rsidRPr="00F075D1">
              <w:rPr>
                <w:rFonts w:asciiTheme="minorHAnsi" w:hAnsiTheme="minorHAnsi" w:cstheme="minorHAnsi"/>
                <w:b/>
                <w:lang w:eastAsia="en-GB"/>
              </w:rPr>
              <w:t>země</w:t>
            </w:r>
          </w:p>
        </w:tc>
        <w:tc>
          <w:tcPr>
            <w:tcW w:w="151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KEI 2012</w:t>
            </w:r>
          </w:p>
        </w:tc>
        <w:tc>
          <w:tcPr>
            <w:tcW w:w="151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KI 2012</w:t>
            </w:r>
          </w:p>
        </w:tc>
      </w:tr>
      <w:tr w:rsidR="008146BD" w:rsidRPr="00260C64" w:rsidTr="00372654">
        <w:trPr>
          <w:trHeight w:hRule="exact" w:val="255"/>
          <w:tblCellSpacing w:w="15"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075D1" w:rsidRDefault="008146BD" w:rsidP="007A7D80">
            <w:pPr>
              <w:keepNext/>
              <w:suppressLineNumbers/>
              <w:spacing w:after="0"/>
              <w:rPr>
                <w:rFonts w:asciiTheme="minorHAnsi" w:hAnsiTheme="minorHAnsi" w:cstheme="minorHAnsi"/>
                <w:b/>
                <w:lang w:eastAsia="en-GB"/>
              </w:rPr>
            </w:pP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pořadí</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skóre</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pořadí</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b/>
                <w:lang w:eastAsia="en-GB"/>
              </w:rPr>
            </w:pPr>
            <w:r w:rsidRPr="00F075D1">
              <w:rPr>
                <w:rFonts w:asciiTheme="minorHAnsi" w:hAnsiTheme="minorHAnsi" w:cstheme="minorHAnsi"/>
                <w:b/>
                <w:lang w:eastAsia="en-GB"/>
              </w:rPr>
              <w:t>skóre</w:t>
            </w:r>
          </w:p>
        </w:tc>
      </w:tr>
      <w:tr w:rsidR="008146BD" w:rsidRPr="00260C64" w:rsidTr="00372654">
        <w:trPr>
          <w:trHeight w:hRule="exact" w:val="255"/>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Švédsko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9,43</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9,38</w:t>
            </w:r>
          </w:p>
        </w:tc>
      </w:tr>
      <w:tr w:rsidR="008146BD" w:rsidRPr="00260C64" w:rsidTr="00372654">
        <w:trPr>
          <w:trHeight w:hRule="exact" w:val="255"/>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Finsko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9,33</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9,22</w:t>
            </w:r>
          </w:p>
        </w:tc>
      </w:tr>
      <w:tr w:rsidR="008146BD" w:rsidRPr="00260C64" w:rsidTr="00372654">
        <w:trPr>
          <w:trHeight w:hRule="exact" w:val="255"/>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Dánsko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9,16</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9,00</w:t>
            </w:r>
          </w:p>
        </w:tc>
      </w:tr>
      <w:tr w:rsidR="008146BD" w:rsidRPr="00260C64" w:rsidTr="00372654">
        <w:trPr>
          <w:trHeight w:hRule="exact" w:val="255"/>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Nizozemí</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4</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9,11</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9,22</w:t>
            </w:r>
          </w:p>
        </w:tc>
      </w:tr>
      <w:tr w:rsidR="008146BD" w:rsidRPr="00260C64" w:rsidTr="00372654">
        <w:trPr>
          <w:trHeight w:hRule="exact" w:val="255"/>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Norsko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5</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9,11</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8,99</w:t>
            </w:r>
          </w:p>
        </w:tc>
      </w:tr>
      <w:tr w:rsidR="008146BD" w:rsidRPr="00260C64" w:rsidTr="00372654">
        <w:trPr>
          <w:trHeight w:hRule="exact" w:val="255"/>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Nový Zéland</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6</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8,97</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8,93</w:t>
            </w:r>
          </w:p>
        </w:tc>
      </w:tr>
      <w:tr w:rsidR="008146BD" w:rsidRPr="00260C64" w:rsidTr="00372654">
        <w:trPr>
          <w:trHeight w:hRule="exact" w:val="255"/>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Kanada</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8,92</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12</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8,72</w:t>
            </w:r>
          </w:p>
        </w:tc>
      </w:tr>
      <w:tr w:rsidR="008146BD" w:rsidRPr="00260C64" w:rsidTr="00372654">
        <w:trPr>
          <w:trHeight w:hRule="exact" w:val="255"/>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Německo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8,90</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10</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8,83</w:t>
            </w:r>
          </w:p>
        </w:tc>
      </w:tr>
      <w:tr w:rsidR="008146BD" w:rsidRPr="00260C64" w:rsidTr="00372654">
        <w:trPr>
          <w:trHeight w:hRule="exact" w:val="255"/>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Austrálie</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9</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8,88</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8,98</w:t>
            </w:r>
          </w:p>
        </w:tc>
      </w:tr>
      <w:tr w:rsidR="008146BD" w:rsidRPr="00260C64" w:rsidTr="00372654">
        <w:trPr>
          <w:trHeight w:hRule="exact" w:val="255"/>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Švýcarsko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10</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8,87</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14</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8,65</w:t>
            </w:r>
          </w:p>
        </w:tc>
      </w:tr>
      <w:tr w:rsidR="008146BD" w:rsidRPr="00260C64" w:rsidTr="00372654">
        <w:trPr>
          <w:trHeight w:hRule="exact" w:val="255"/>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Česká republika</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26</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8,14</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26</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8,00</w:t>
            </w:r>
          </w:p>
        </w:tc>
      </w:tr>
      <w:tr w:rsidR="008146BD" w:rsidRPr="00260C64" w:rsidTr="00372654">
        <w:trPr>
          <w:trHeight w:hRule="exact" w:val="255"/>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Maďarsko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27</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8,02</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28</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7,93</w:t>
            </w:r>
          </w:p>
        </w:tc>
      </w:tr>
      <w:tr w:rsidR="008146BD" w:rsidRPr="00260C64" w:rsidTr="00372654">
        <w:trPr>
          <w:trHeight w:hRule="exact" w:val="255"/>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Slovensko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33</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7,64</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36</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7,46</w:t>
            </w:r>
          </w:p>
        </w:tc>
      </w:tr>
      <w:tr w:rsidR="008146BD" w:rsidRPr="00F90182" w:rsidTr="00372654">
        <w:trPr>
          <w:trHeight w:hRule="exact" w:val="255"/>
          <w:tblCellSpacing w:w="15" w:type="dxa"/>
          <w:jc w:val="center"/>
        </w:trPr>
        <w:tc>
          <w:tcPr>
            <w:tcW w:w="23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rPr>
                <w:rFonts w:asciiTheme="minorHAnsi" w:hAnsiTheme="minorHAnsi" w:cstheme="minorHAnsi"/>
                <w:lang w:eastAsia="en-GB"/>
              </w:rPr>
            </w:pPr>
            <w:r w:rsidRPr="00F075D1">
              <w:rPr>
                <w:rFonts w:asciiTheme="minorHAnsi" w:hAnsiTheme="minorHAnsi" w:cstheme="minorHAnsi"/>
                <w:lang w:eastAsia="en-GB"/>
              </w:rPr>
              <w:t>Polsko</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38</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7,41</w:t>
            </w:r>
          </w:p>
        </w:tc>
        <w:tc>
          <w:tcPr>
            <w:tcW w:w="7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39</w:t>
            </w:r>
          </w:p>
        </w:tc>
        <w:tc>
          <w:tcPr>
            <w:tcW w:w="7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F075D1" w:rsidRDefault="008146BD" w:rsidP="007A7D80">
            <w:pPr>
              <w:keepNext/>
              <w:suppressLineNumbers/>
              <w:spacing w:after="0"/>
              <w:jc w:val="center"/>
              <w:rPr>
                <w:rFonts w:asciiTheme="minorHAnsi" w:hAnsiTheme="minorHAnsi" w:cstheme="minorHAnsi"/>
                <w:lang w:eastAsia="en-GB"/>
              </w:rPr>
            </w:pPr>
            <w:r w:rsidRPr="00F075D1">
              <w:rPr>
                <w:rFonts w:asciiTheme="minorHAnsi" w:hAnsiTheme="minorHAnsi" w:cstheme="minorHAnsi"/>
                <w:lang w:eastAsia="en-GB"/>
              </w:rPr>
              <w:t>7,20</w:t>
            </w:r>
          </w:p>
        </w:tc>
      </w:tr>
    </w:tbl>
    <w:p w:rsidR="008146BD" w:rsidRPr="00F90182" w:rsidRDefault="008146BD" w:rsidP="00385CD4">
      <w:pPr>
        <w:keepNext/>
        <w:widowControl w:val="0"/>
        <w:suppressLineNumbers/>
        <w:spacing w:after="0"/>
        <w:jc w:val="center"/>
        <w:rPr>
          <w:rFonts w:ascii="Calibri" w:hAnsi="Calibri" w:cs="Calibri"/>
          <w:i/>
        </w:rPr>
      </w:pPr>
      <w:r w:rsidRPr="00F90182">
        <w:rPr>
          <w:rFonts w:ascii="Calibri" w:hAnsi="Calibri" w:cs="Calibri"/>
          <w:i/>
          <w:lang w:val="en-GB"/>
        </w:rPr>
        <w:t>Pramen: World Bank, 2011</w:t>
      </w:r>
    </w:p>
    <w:p w:rsidR="008146BD" w:rsidRPr="00F90182" w:rsidRDefault="008146BD" w:rsidP="008146BD">
      <w:pPr>
        <w:keepNext/>
        <w:widowControl w:val="0"/>
        <w:suppressLineNumbers/>
        <w:spacing w:before="200"/>
        <w:ind w:firstLine="720"/>
        <w:jc w:val="both"/>
        <w:rPr>
          <w:sz w:val="24"/>
          <w:szCs w:val="24"/>
        </w:rPr>
      </w:pPr>
      <w:r w:rsidRPr="00F90182">
        <w:rPr>
          <w:sz w:val="24"/>
          <w:szCs w:val="24"/>
        </w:rPr>
        <w:t>Mezi zeměmi V4 se Č</w:t>
      </w:r>
      <w:r>
        <w:rPr>
          <w:sz w:val="24"/>
          <w:szCs w:val="24"/>
        </w:rPr>
        <w:t>eská republika</w:t>
      </w:r>
      <w:r w:rsidRPr="00F90182">
        <w:rPr>
          <w:sz w:val="24"/>
          <w:szCs w:val="24"/>
        </w:rPr>
        <w:t xml:space="preserve"> nachází na prvním místě, a to již od prvního hodnocení v roce 1995. </w:t>
      </w:r>
      <w:r>
        <w:rPr>
          <w:sz w:val="24"/>
          <w:szCs w:val="24"/>
        </w:rPr>
        <w:t>N</w:t>
      </w:r>
      <w:r w:rsidRPr="00F90182">
        <w:rPr>
          <w:sz w:val="24"/>
          <w:szCs w:val="24"/>
        </w:rPr>
        <w:t>ejlépe si vede u Indexu ekonomického a institucionálního režimu (8,53) a nejhůře u Indexu inovací (7,90).</w:t>
      </w:r>
    </w:p>
    <w:p w:rsidR="008146BD" w:rsidRPr="00F90182" w:rsidRDefault="008146BD" w:rsidP="008146BD">
      <w:pPr>
        <w:keepNext/>
        <w:widowControl w:val="0"/>
        <w:suppressLineNumbers/>
        <w:spacing w:after="100"/>
        <w:jc w:val="both"/>
        <w:rPr>
          <w:b/>
          <w:sz w:val="24"/>
          <w:szCs w:val="24"/>
        </w:rPr>
      </w:pPr>
      <w:r w:rsidRPr="00F90182">
        <w:rPr>
          <w:b/>
          <w:sz w:val="24"/>
          <w:szCs w:val="24"/>
        </w:rPr>
        <w:t>Evropská komise a Sumární inovační index</w:t>
      </w:r>
    </w:p>
    <w:p w:rsidR="008146BD" w:rsidRPr="00F90182" w:rsidRDefault="00B40349" w:rsidP="008146BD">
      <w:pPr>
        <w:keepNext/>
        <w:widowControl w:val="0"/>
        <w:suppressLineNumbers/>
        <w:ind w:firstLine="720"/>
        <w:jc w:val="both"/>
        <w:rPr>
          <w:sz w:val="24"/>
          <w:szCs w:val="24"/>
        </w:rPr>
      </w:pPr>
      <w:r>
        <w:rPr>
          <w:noProof/>
          <w:sz w:val="20"/>
          <w:szCs w:val="20"/>
        </w:rPr>
        <w:pict>
          <v:group id="Skupina 38" o:spid="_x0000_s1112" style="position:absolute;left:0;text-align:left;margin-left:237.5pt;margin-top:88.4pt;width:32.9pt;height:166.85pt;z-index:251756544" coordsize="4289,2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">
            <v:line id="Přímá spojnice 39" o:spid="_x0000_s1113" style="position:absolute;visibility:visible;mso-wrap-style:square" from="106,4040" to="4289,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Přímá spojnice 40" o:spid="_x0000_s1114" style="position:absolute;flip:y;visibility:visible;mso-wrap-style:square" from="106,0" to="4284,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Přímá spojnice 41" o:spid="_x0000_s1115" style="position:absolute;visibility:visible;mso-wrap-style:square" from="0,3721" to="4178,7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Přímá spojnice 43" o:spid="_x0000_s1116" style="position:absolute;flip:y;visibility:visible;mso-wrap-style:square" from="106,10632" to="4284,1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Přímá spojnice 45" o:spid="_x0000_s1117" style="position:absolute;flip:x;visibility:visible;mso-wrap-style:square" from="106,13397" to="4284,1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Přímá spojnice 48" o:spid="_x0000_s1118" style="position:absolute;flip:x y;visibility:visible;mso-wrap-style:square" from="0,13184" to="4178,1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ijk8EAAADbAAAADwAAAGRycy9kb3ducmV2LnhtbERPy2rCQBTdF/oPwy24KWaiDRLSjCKF&#10;FlcRY4vbS+bmQTN3QmZq0n59ZyG4PJx3vptNL640us6yglUUgyCurO64UfB5fl+mIJxH1thbJgW/&#10;5GC3fXzIMdN24hNdS9+IEMIuQwWt90MmpataMugiOxAHrrajQR/g2Eg94hTCTS/XcbyRBjsODS0O&#10;9NZS9V3+GAXIxd9LOq0okR90cevi+Lz/qpVaPM37VxCeZn8X39wHrSAJY8OX8AP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iKOTwQAAANsAAAAPAAAAAAAAAAAAAAAA&#10;AKECAABkcnMvZG93bnJldi54bWxQSwUGAAAAAAQABAD5AAAAjwMAAAAA&#10;"/>
            <v:line id="Přímá spojnice 51" o:spid="_x0000_s1119" style="position:absolute;flip:x;visibility:visible;mso-wrap-style:square" from="106,19670" to="4284,2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Přímá spojnice 52" o:spid="_x0000_s1120" style="position:absolute;flip:x y;visibility:visible;mso-wrap-style:square" from="0,20946" to="4279,2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CpMMAAADbAAAADwAAAGRycy9kb3ducmV2LnhtbESPS4vCQBCE74L/YeiFvYhOjA8k6ygi&#10;uOxJ8cVem0ybhM30hMxosv56RxA8FlX1FTVftqYUN6pdYVnBcBCBIE6tLjhTcDpu+jMQziNrLC2T&#10;gn9ysFx0O3NMtG14T7eDz0SAsEtQQe59lUjp0pwMuoGtiIN3sbVBH2SdSV1jE+CmlHEUTaXBgsNC&#10;jhWtc0r/DlejAHl7H82aIY3lN/26eLvrrc4XpT4/2tUXCE+tf4df7R+tYBLD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5AqTDAAAA2wAAAA8AAAAAAAAAAAAA&#10;AAAAoQIAAGRycy9kb3ducmV2LnhtbFBLBQYAAAAABAAEAPkAAACRAwAAAAA=&#10;"/>
          </v:group>
        </w:pict>
      </w:r>
      <w:r w:rsidR="008146BD" w:rsidRPr="00F90182">
        <w:rPr>
          <w:sz w:val="24"/>
          <w:szCs w:val="24"/>
        </w:rPr>
        <w:t xml:space="preserve">Evropská komise již od roku 2000 hodnotí inovační výkonnost zemí EU a několika dalších zemí. </w:t>
      </w:r>
      <w:r w:rsidR="00DC49F7">
        <w:rPr>
          <w:sz w:val="24"/>
          <w:szCs w:val="24"/>
        </w:rPr>
        <w:t>P</w:t>
      </w:r>
      <w:r w:rsidR="008146BD" w:rsidRPr="00F90182">
        <w:rPr>
          <w:sz w:val="24"/>
          <w:szCs w:val="24"/>
        </w:rPr>
        <w:t>oužívá tzv. Sumární inovační index</w:t>
      </w:r>
      <w:r w:rsidR="00DC49F7">
        <w:rPr>
          <w:sz w:val="24"/>
          <w:szCs w:val="24"/>
        </w:rPr>
        <w:t>, který je a</w:t>
      </w:r>
      <w:r w:rsidR="008146BD" w:rsidRPr="00F90182">
        <w:rPr>
          <w:sz w:val="24"/>
          <w:szCs w:val="24"/>
        </w:rPr>
        <w:t>ktuálně postaven na třech faktorech, člen</w:t>
      </w:r>
      <w:r w:rsidR="00DC49F7">
        <w:rPr>
          <w:sz w:val="24"/>
          <w:szCs w:val="24"/>
        </w:rPr>
        <w:t>ěných</w:t>
      </w:r>
      <w:r w:rsidR="008146BD" w:rsidRPr="00F90182">
        <w:rPr>
          <w:sz w:val="24"/>
          <w:szCs w:val="24"/>
        </w:rPr>
        <w:t xml:space="preserve"> na osm subfaktorů. Index se skládá z 25 individuálních ukazatelů a pohybuje </w:t>
      </w:r>
      <w:r w:rsidR="00DC49F7">
        <w:rPr>
          <w:sz w:val="24"/>
          <w:szCs w:val="24"/>
        </w:rPr>
        <w:t xml:space="preserve">se </w:t>
      </w:r>
      <w:r w:rsidR="008146BD" w:rsidRPr="00F90182">
        <w:rPr>
          <w:sz w:val="24"/>
          <w:szCs w:val="24"/>
        </w:rPr>
        <w:t>v rozmezí 0 až 1, přičemž vyšší hodnota představuje vyšší inovační výkonnost.</w:t>
      </w:r>
    </w:p>
    <w:tbl>
      <w:tblPr>
        <w:tblStyle w:val="Mkatabulky16"/>
        <w:tblW w:w="0" w:type="auto"/>
        <w:jc w:val="center"/>
        <w:tblLook w:val="04A0" w:firstRow="1" w:lastRow="0" w:firstColumn="1" w:lastColumn="0" w:noHBand="0" w:noVBand="1"/>
      </w:tblPr>
      <w:tblGrid>
        <w:gridCol w:w="778"/>
        <w:gridCol w:w="340"/>
        <w:gridCol w:w="2268"/>
        <w:gridCol w:w="340"/>
        <w:gridCol w:w="340"/>
        <w:gridCol w:w="2268"/>
      </w:tblGrid>
      <w:tr w:rsidR="008146BD" w:rsidRPr="00F90182" w:rsidTr="00853826">
        <w:trPr>
          <w:trHeight w:hRule="exact" w:val="227"/>
          <w:jc w:val="center"/>
        </w:trPr>
        <w:tc>
          <w:tcPr>
            <w:tcW w:w="77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rsidR="008146BD" w:rsidRPr="00F075D1" w:rsidRDefault="008146BD" w:rsidP="007A7D80">
            <w:pPr>
              <w:keepNext/>
              <w:widowControl w:val="0"/>
              <w:suppressLineNumbers/>
              <w:ind w:left="113" w:right="113"/>
              <w:jc w:val="center"/>
              <w:rPr>
                <w:rFonts w:ascii="Arial Narrow" w:eastAsia="Times New Roman" w:hAnsi="Arial Narrow"/>
                <w:sz w:val="20"/>
                <w:szCs w:val="20"/>
              </w:rPr>
            </w:pPr>
            <w:r w:rsidRPr="00F075D1">
              <w:rPr>
                <w:rFonts w:ascii="Arial Narrow" w:hAnsi="Arial Narrow"/>
                <w:sz w:val="20"/>
                <w:szCs w:val="20"/>
              </w:rPr>
              <w:t>Sumární inovační index</w:t>
            </w:r>
          </w:p>
        </w:tc>
        <w:tc>
          <w:tcPr>
            <w:tcW w:w="340" w:type="dxa"/>
            <w:tcBorders>
              <w:top w:val="nil"/>
              <w:left w:val="single" w:sz="4" w:space="0" w:color="auto"/>
              <w:bottom w:val="single" w:sz="4" w:space="0" w:color="auto"/>
              <w:right w:val="single" w:sz="4" w:space="0" w:color="auto"/>
            </w:tcBorders>
          </w:tcPr>
          <w:p w:rsidR="008146BD" w:rsidRPr="00F90182" w:rsidRDefault="008146BD" w:rsidP="007A7D80">
            <w:pPr>
              <w:keepNext/>
              <w:widowControl w:val="0"/>
              <w:suppressLineNumbers/>
              <w:jc w:val="center"/>
              <w:rPr>
                <w:rFonts w:ascii="Arial Narrow" w:eastAsia="Times New Roman" w:hAnsi="Arial Narrow"/>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46BD" w:rsidRPr="00F075D1" w:rsidRDefault="00372654" w:rsidP="007A7D80">
            <w:pPr>
              <w:keepNext/>
              <w:widowControl w:val="0"/>
              <w:suppressLineNumbers/>
              <w:jc w:val="center"/>
              <w:rPr>
                <w:rFonts w:ascii="Arial Narrow" w:eastAsia="Times New Roman" w:hAnsi="Arial Narrow"/>
                <w:sz w:val="20"/>
                <w:szCs w:val="20"/>
              </w:rPr>
            </w:pPr>
            <w:r>
              <w:rPr>
                <w:rFonts w:ascii="Arial Narrow" w:hAnsi="Arial Narrow"/>
                <w:sz w:val="20"/>
                <w:szCs w:val="20"/>
              </w:rPr>
              <w:t>Zdroje</w:t>
            </w:r>
          </w:p>
        </w:tc>
        <w:tc>
          <w:tcPr>
            <w:tcW w:w="340" w:type="dxa"/>
            <w:tcBorders>
              <w:top w:val="nil"/>
              <w:left w:val="single" w:sz="4" w:space="0" w:color="auto"/>
              <w:bottom w:val="nil"/>
              <w:right w:val="nil"/>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340" w:type="dxa"/>
            <w:tcBorders>
              <w:top w:val="nil"/>
              <w:left w:val="nil"/>
              <w:bottom w:val="nil"/>
              <w:right w:val="single" w:sz="4" w:space="0" w:color="auto"/>
            </w:tcBorders>
          </w:tcPr>
          <w:p w:rsidR="008146BD" w:rsidRPr="00F075D1" w:rsidRDefault="008146BD" w:rsidP="007A7D80">
            <w:pPr>
              <w:keepNext/>
              <w:widowControl w:val="0"/>
              <w:suppressLineNumbers/>
              <w:jc w:val="center"/>
              <w:rPr>
                <w:rFonts w:ascii="Arial Narrow" w:eastAsia="Times New Roman" w:hAnsi="Arial Narrow"/>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keepNext/>
              <w:widowControl w:val="0"/>
              <w:suppressLineNumbers/>
              <w:jc w:val="center"/>
              <w:rPr>
                <w:rFonts w:ascii="Arial Narrow" w:eastAsia="Times New Roman" w:hAnsi="Arial Narrow"/>
                <w:sz w:val="20"/>
                <w:szCs w:val="20"/>
              </w:rPr>
            </w:pPr>
            <w:r w:rsidRPr="00F075D1">
              <w:rPr>
                <w:rFonts w:ascii="Arial Narrow" w:hAnsi="Arial Narrow"/>
                <w:sz w:val="20"/>
                <w:szCs w:val="20"/>
              </w:rPr>
              <w:t>Lidské zdroje</w:t>
            </w:r>
          </w:p>
        </w:tc>
      </w:tr>
      <w:tr w:rsidR="008146BD" w:rsidRPr="00F90182" w:rsidTr="00853826">
        <w:trPr>
          <w:trHeight w:hRule="exac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90182" w:rsidRDefault="008146BD" w:rsidP="007A7D80">
            <w:pPr>
              <w:rPr>
                <w:rFonts w:ascii="Arial Narrow" w:eastAsia="Times New Roman" w:hAnsi="Arial Narrow"/>
              </w:rPr>
            </w:pPr>
          </w:p>
        </w:tc>
        <w:tc>
          <w:tcPr>
            <w:tcW w:w="340" w:type="dxa"/>
            <w:tcBorders>
              <w:top w:val="single" w:sz="4" w:space="0" w:color="auto"/>
              <w:left w:val="single" w:sz="4" w:space="0" w:color="auto"/>
              <w:bottom w:val="nil"/>
              <w:right w:val="single" w:sz="4" w:space="0" w:color="auto"/>
            </w:tcBorders>
          </w:tcPr>
          <w:p w:rsidR="008146BD" w:rsidRPr="00F90182" w:rsidRDefault="008146BD" w:rsidP="007A7D80">
            <w:pPr>
              <w:widowControl w:val="0"/>
              <w:suppressLineNumbers/>
              <w:jc w:val="center"/>
              <w:rPr>
                <w:rFonts w:ascii="Arial Narrow" w:eastAsia="Times New Roman" w:hAnsi="Arial Narr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075D1" w:rsidRDefault="008146BD" w:rsidP="007A7D80">
            <w:pPr>
              <w:rPr>
                <w:rFonts w:ascii="Arial Narrow" w:eastAsia="Times New Roman" w:hAnsi="Arial Narrow"/>
                <w:sz w:val="20"/>
                <w:szCs w:val="20"/>
              </w:rPr>
            </w:pPr>
          </w:p>
        </w:tc>
        <w:tc>
          <w:tcPr>
            <w:tcW w:w="340" w:type="dxa"/>
            <w:tcBorders>
              <w:top w:val="nil"/>
              <w:left w:val="single" w:sz="4" w:space="0" w:color="auto"/>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2268" w:type="dxa"/>
            <w:tcBorders>
              <w:top w:val="single" w:sz="4" w:space="0" w:color="auto"/>
              <w:left w:val="nil"/>
              <w:bottom w:val="single" w:sz="4" w:space="0" w:color="auto"/>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r>
      <w:tr w:rsidR="008146BD" w:rsidRPr="00F90182" w:rsidTr="00853826">
        <w:trPr>
          <w:trHeight w:hRule="exac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90182" w:rsidRDefault="008146BD" w:rsidP="007A7D80">
            <w:pPr>
              <w:rPr>
                <w:rFonts w:ascii="Arial Narrow" w:eastAsia="Times New Roman" w:hAnsi="Arial Narrow"/>
              </w:rPr>
            </w:pPr>
          </w:p>
        </w:tc>
        <w:tc>
          <w:tcPr>
            <w:tcW w:w="340" w:type="dxa"/>
            <w:tcBorders>
              <w:top w:val="nil"/>
              <w:left w:val="single" w:sz="4" w:space="0" w:color="auto"/>
              <w:bottom w:val="nil"/>
              <w:right w:val="single" w:sz="4" w:space="0" w:color="auto"/>
            </w:tcBorders>
          </w:tcPr>
          <w:p w:rsidR="008146BD" w:rsidRPr="00F90182" w:rsidRDefault="008146BD" w:rsidP="007A7D80">
            <w:pPr>
              <w:widowControl w:val="0"/>
              <w:suppressLineNumbers/>
              <w:jc w:val="center"/>
              <w:rPr>
                <w:rFonts w:ascii="Arial Narrow" w:eastAsia="Times New Roman" w:hAnsi="Arial Narr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075D1" w:rsidRDefault="008146BD" w:rsidP="007A7D80">
            <w:pPr>
              <w:rPr>
                <w:rFonts w:ascii="Arial Narrow" w:eastAsia="Times New Roman" w:hAnsi="Arial Narrow"/>
                <w:sz w:val="20"/>
                <w:szCs w:val="20"/>
              </w:rPr>
            </w:pPr>
          </w:p>
        </w:tc>
        <w:tc>
          <w:tcPr>
            <w:tcW w:w="340" w:type="dxa"/>
            <w:tcBorders>
              <w:top w:val="nil"/>
              <w:left w:val="single" w:sz="4" w:space="0" w:color="auto"/>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single" w:sz="4" w:space="0" w:color="auto"/>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widowControl w:val="0"/>
              <w:suppressLineNumbers/>
              <w:jc w:val="center"/>
              <w:rPr>
                <w:rFonts w:ascii="Arial Narrow" w:eastAsia="Times New Roman" w:hAnsi="Arial Narrow"/>
                <w:sz w:val="20"/>
                <w:szCs w:val="20"/>
              </w:rPr>
            </w:pPr>
            <w:r w:rsidRPr="00F075D1">
              <w:rPr>
                <w:rFonts w:ascii="Arial Narrow" w:hAnsi="Arial Narrow"/>
                <w:sz w:val="20"/>
                <w:szCs w:val="20"/>
              </w:rPr>
              <w:t>Otevřenost a atraktivita výzkumného systému</w:t>
            </w:r>
          </w:p>
        </w:tc>
      </w:tr>
      <w:tr w:rsidR="008146BD" w:rsidRPr="00F90182" w:rsidTr="00853826">
        <w:trPr>
          <w:trHeight w:hRule="exac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90182" w:rsidRDefault="008146BD" w:rsidP="007A7D80">
            <w:pPr>
              <w:rPr>
                <w:rFonts w:ascii="Arial Narrow" w:eastAsia="Times New Roman" w:hAnsi="Arial Narrow"/>
              </w:rPr>
            </w:pPr>
          </w:p>
        </w:tc>
        <w:tc>
          <w:tcPr>
            <w:tcW w:w="340" w:type="dxa"/>
            <w:tcBorders>
              <w:top w:val="nil"/>
              <w:left w:val="single" w:sz="4" w:space="0" w:color="auto"/>
              <w:bottom w:val="nil"/>
              <w:right w:val="single" w:sz="4" w:space="0" w:color="auto"/>
            </w:tcBorders>
          </w:tcPr>
          <w:p w:rsidR="008146BD" w:rsidRPr="00F90182" w:rsidRDefault="008146BD" w:rsidP="007A7D80">
            <w:pPr>
              <w:widowControl w:val="0"/>
              <w:suppressLineNumbers/>
              <w:jc w:val="center"/>
              <w:rPr>
                <w:rFonts w:ascii="Arial Narrow" w:eastAsia="Times New Roman" w:hAnsi="Arial Narr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075D1" w:rsidRDefault="008146BD" w:rsidP="007A7D80">
            <w:pPr>
              <w:rPr>
                <w:rFonts w:ascii="Arial Narrow" w:eastAsia="Times New Roman" w:hAnsi="Arial Narrow"/>
                <w:sz w:val="20"/>
                <w:szCs w:val="20"/>
              </w:rPr>
            </w:pPr>
          </w:p>
        </w:tc>
        <w:tc>
          <w:tcPr>
            <w:tcW w:w="340" w:type="dxa"/>
            <w:tcBorders>
              <w:top w:val="nil"/>
              <w:left w:val="single" w:sz="4" w:space="0" w:color="auto"/>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2268" w:type="dxa"/>
            <w:tcBorders>
              <w:top w:val="single" w:sz="4" w:space="0" w:color="auto"/>
              <w:left w:val="nil"/>
              <w:bottom w:val="single" w:sz="4" w:space="0" w:color="auto"/>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r>
      <w:tr w:rsidR="008146BD" w:rsidRPr="00F90182" w:rsidTr="00853826">
        <w:trPr>
          <w:trHeight w:hRule="exac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90182" w:rsidRDefault="008146BD" w:rsidP="007A7D80">
            <w:pPr>
              <w:rPr>
                <w:rFonts w:ascii="Arial Narrow" w:eastAsia="Times New Roman" w:hAnsi="Arial Narrow"/>
              </w:rPr>
            </w:pPr>
          </w:p>
        </w:tc>
        <w:tc>
          <w:tcPr>
            <w:tcW w:w="340" w:type="dxa"/>
            <w:tcBorders>
              <w:top w:val="nil"/>
              <w:left w:val="single" w:sz="4" w:space="0" w:color="auto"/>
              <w:bottom w:val="nil"/>
              <w:right w:val="single" w:sz="4" w:space="0" w:color="auto"/>
            </w:tcBorders>
          </w:tcPr>
          <w:p w:rsidR="008146BD" w:rsidRPr="00F90182" w:rsidRDefault="008146BD" w:rsidP="007A7D80">
            <w:pPr>
              <w:widowControl w:val="0"/>
              <w:suppressLineNumbers/>
              <w:jc w:val="center"/>
              <w:rPr>
                <w:rFonts w:ascii="Arial Narrow" w:eastAsia="Times New Roman" w:hAnsi="Arial Narr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075D1" w:rsidRDefault="008146BD" w:rsidP="007A7D80">
            <w:pPr>
              <w:rPr>
                <w:rFonts w:ascii="Arial Narrow" w:eastAsia="Times New Roman" w:hAnsi="Arial Narrow"/>
                <w:sz w:val="20"/>
                <w:szCs w:val="20"/>
              </w:rPr>
            </w:pPr>
          </w:p>
        </w:tc>
        <w:tc>
          <w:tcPr>
            <w:tcW w:w="340" w:type="dxa"/>
            <w:tcBorders>
              <w:top w:val="nil"/>
              <w:left w:val="single" w:sz="4" w:space="0" w:color="auto"/>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single" w:sz="4" w:space="0" w:color="auto"/>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widowControl w:val="0"/>
              <w:suppressLineNumbers/>
              <w:jc w:val="center"/>
              <w:rPr>
                <w:rFonts w:ascii="Arial Narrow" w:eastAsia="Times New Roman" w:hAnsi="Arial Narrow"/>
                <w:sz w:val="20"/>
                <w:szCs w:val="20"/>
              </w:rPr>
            </w:pPr>
            <w:r w:rsidRPr="00F075D1">
              <w:rPr>
                <w:rFonts w:ascii="Arial Narrow" w:hAnsi="Arial Narrow"/>
                <w:sz w:val="20"/>
                <w:szCs w:val="20"/>
              </w:rPr>
              <w:t>Finance a podpora</w:t>
            </w:r>
          </w:p>
        </w:tc>
      </w:tr>
      <w:tr w:rsidR="008146BD" w:rsidRPr="00F90182" w:rsidTr="00853826">
        <w:trPr>
          <w:trHeight w:hRule="exac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90182" w:rsidRDefault="008146BD" w:rsidP="007A7D80">
            <w:pPr>
              <w:rPr>
                <w:rFonts w:ascii="Arial Narrow" w:eastAsia="Times New Roman" w:hAnsi="Arial Narrow"/>
              </w:rPr>
            </w:pPr>
          </w:p>
        </w:tc>
        <w:tc>
          <w:tcPr>
            <w:tcW w:w="340" w:type="dxa"/>
            <w:tcBorders>
              <w:top w:val="nil"/>
              <w:left w:val="single" w:sz="4" w:space="0" w:color="auto"/>
              <w:bottom w:val="nil"/>
              <w:right w:val="nil"/>
            </w:tcBorders>
          </w:tcPr>
          <w:p w:rsidR="008146BD" w:rsidRPr="00F90182" w:rsidRDefault="008146BD" w:rsidP="007A7D80">
            <w:pPr>
              <w:widowControl w:val="0"/>
              <w:suppressLineNumbers/>
              <w:jc w:val="center"/>
              <w:rPr>
                <w:rFonts w:ascii="Arial Narrow" w:eastAsia="Times New Roman" w:hAnsi="Arial Narrow"/>
              </w:rPr>
            </w:pPr>
          </w:p>
        </w:tc>
        <w:tc>
          <w:tcPr>
            <w:tcW w:w="2268" w:type="dxa"/>
            <w:tcBorders>
              <w:top w:val="single" w:sz="4" w:space="0" w:color="auto"/>
              <w:left w:val="nil"/>
              <w:bottom w:val="single" w:sz="4" w:space="0" w:color="auto"/>
              <w:right w:val="nil"/>
            </w:tcBorders>
            <w:vAlign w:val="center"/>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2268" w:type="dxa"/>
            <w:tcBorders>
              <w:top w:val="single" w:sz="4" w:space="0" w:color="auto"/>
              <w:left w:val="nil"/>
              <w:bottom w:val="single" w:sz="4" w:space="0" w:color="auto"/>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r>
      <w:tr w:rsidR="008146BD" w:rsidRPr="00F90182" w:rsidTr="00853826">
        <w:trPr>
          <w:trHeight w:hRule="exac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90182" w:rsidRDefault="008146BD" w:rsidP="007A7D80">
            <w:pPr>
              <w:rPr>
                <w:rFonts w:ascii="Arial Narrow" w:eastAsia="Times New Roman" w:hAnsi="Arial Narrow"/>
              </w:rPr>
            </w:pPr>
          </w:p>
        </w:tc>
        <w:tc>
          <w:tcPr>
            <w:tcW w:w="340" w:type="dxa"/>
            <w:tcBorders>
              <w:top w:val="nil"/>
              <w:left w:val="single" w:sz="4" w:space="0" w:color="auto"/>
              <w:bottom w:val="single" w:sz="4" w:space="0" w:color="auto"/>
              <w:right w:val="single" w:sz="4" w:space="0" w:color="auto"/>
            </w:tcBorders>
          </w:tcPr>
          <w:p w:rsidR="008146BD" w:rsidRPr="00F90182" w:rsidRDefault="008146BD" w:rsidP="007A7D80">
            <w:pPr>
              <w:widowControl w:val="0"/>
              <w:suppressLineNumbers/>
              <w:jc w:val="center"/>
              <w:rPr>
                <w:rFonts w:ascii="Arial Narrow" w:eastAsia="Times New Roman" w:hAnsi="Arial Narrow"/>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46BD" w:rsidRPr="00F075D1" w:rsidRDefault="008146BD" w:rsidP="007A7D80">
            <w:pPr>
              <w:widowControl w:val="0"/>
              <w:suppressLineNumbers/>
              <w:jc w:val="center"/>
              <w:rPr>
                <w:rFonts w:ascii="Arial Narrow" w:eastAsia="Times New Roman" w:hAnsi="Arial Narrow"/>
                <w:sz w:val="20"/>
                <w:szCs w:val="20"/>
              </w:rPr>
            </w:pPr>
            <w:r w:rsidRPr="00F075D1">
              <w:rPr>
                <w:rFonts w:ascii="Arial Narrow" w:hAnsi="Arial Narrow"/>
                <w:sz w:val="20"/>
                <w:szCs w:val="20"/>
              </w:rPr>
              <w:t>Aktivity firem</w:t>
            </w:r>
          </w:p>
        </w:tc>
        <w:tc>
          <w:tcPr>
            <w:tcW w:w="340" w:type="dxa"/>
            <w:tcBorders>
              <w:top w:val="nil"/>
              <w:left w:val="single" w:sz="4" w:space="0" w:color="auto"/>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single" w:sz="4" w:space="0" w:color="auto"/>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widowControl w:val="0"/>
              <w:suppressLineNumbers/>
              <w:jc w:val="center"/>
              <w:rPr>
                <w:rFonts w:ascii="Arial Narrow" w:eastAsia="Times New Roman" w:hAnsi="Arial Narrow"/>
                <w:sz w:val="20"/>
                <w:szCs w:val="20"/>
              </w:rPr>
            </w:pPr>
            <w:r w:rsidRPr="00F075D1">
              <w:rPr>
                <w:rFonts w:ascii="Arial Narrow" w:hAnsi="Arial Narrow"/>
                <w:sz w:val="20"/>
                <w:szCs w:val="20"/>
              </w:rPr>
              <w:t>Firemní investice</w:t>
            </w:r>
          </w:p>
        </w:tc>
      </w:tr>
      <w:tr w:rsidR="008146BD" w:rsidRPr="00F90182" w:rsidTr="00853826">
        <w:trPr>
          <w:trHeight w:hRule="exac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90182" w:rsidRDefault="008146BD" w:rsidP="007A7D80">
            <w:pPr>
              <w:rPr>
                <w:rFonts w:ascii="Arial Narrow" w:eastAsia="Times New Roman" w:hAnsi="Arial Narrow"/>
              </w:rPr>
            </w:pPr>
          </w:p>
        </w:tc>
        <w:tc>
          <w:tcPr>
            <w:tcW w:w="340" w:type="dxa"/>
            <w:tcBorders>
              <w:top w:val="single" w:sz="4" w:space="0" w:color="auto"/>
              <w:left w:val="single" w:sz="4" w:space="0" w:color="auto"/>
              <w:bottom w:val="nil"/>
              <w:right w:val="single" w:sz="4" w:space="0" w:color="auto"/>
            </w:tcBorders>
          </w:tcPr>
          <w:p w:rsidR="008146BD" w:rsidRPr="00F90182" w:rsidRDefault="008146BD" w:rsidP="007A7D80">
            <w:pPr>
              <w:widowControl w:val="0"/>
              <w:suppressLineNumbers/>
              <w:jc w:val="center"/>
              <w:rPr>
                <w:rFonts w:ascii="Arial Narrow" w:eastAsia="Times New Roman" w:hAnsi="Arial Narr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075D1" w:rsidRDefault="008146BD" w:rsidP="007A7D80">
            <w:pPr>
              <w:rPr>
                <w:rFonts w:ascii="Arial Narrow" w:eastAsia="Times New Roman" w:hAnsi="Arial Narrow"/>
                <w:sz w:val="20"/>
                <w:szCs w:val="20"/>
              </w:rPr>
            </w:pPr>
          </w:p>
        </w:tc>
        <w:tc>
          <w:tcPr>
            <w:tcW w:w="340" w:type="dxa"/>
            <w:tcBorders>
              <w:top w:val="nil"/>
              <w:left w:val="single" w:sz="4" w:space="0" w:color="auto"/>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2268" w:type="dxa"/>
            <w:tcBorders>
              <w:top w:val="single" w:sz="4" w:space="0" w:color="auto"/>
              <w:left w:val="nil"/>
              <w:bottom w:val="single" w:sz="4" w:space="0" w:color="auto"/>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r>
      <w:tr w:rsidR="008146BD" w:rsidRPr="00F90182" w:rsidTr="00853826">
        <w:trPr>
          <w:trHeight w:hRule="exac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90182" w:rsidRDefault="008146BD" w:rsidP="007A7D80">
            <w:pPr>
              <w:rPr>
                <w:rFonts w:ascii="Arial Narrow" w:eastAsia="Times New Roman" w:hAnsi="Arial Narrow"/>
              </w:rPr>
            </w:pPr>
          </w:p>
        </w:tc>
        <w:tc>
          <w:tcPr>
            <w:tcW w:w="340" w:type="dxa"/>
            <w:tcBorders>
              <w:top w:val="nil"/>
              <w:left w:val="single" w:sz="4" w:space="0" w:color="auto"/>
              <w:bottom w:val="nil"/>
              <w:right w:val="single" w:sz="4" w:space="0" w:color="auto"/>
            </w:tcBorders>
          </w:tcPr>
          <w:p w:rsidR="008146BD" w:rsidRPr="00F90182" w:rsidRDefault="008146BD" w:rsidP="007A7D80">
            <w:pPr>
              <w:widowControl w:val="0"/>
              <w:suppressLineNumbers/>
              <w:jc w:val="center"/>
              <w:rPr>
                <w:rFonts w:ascii="Arial Narrow" w:eastAsia="Times New Roman" w:hAnsi="Arial Narr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075D1" w:rsidRDefault="008146BD" w:rsidP="007A7D80">
            <w:pPr>
              <w:rPr>
                <w:rFonts w:ascii="Arial Narrow" w:eastAsia="Times New Roman" w:hAnsi="Arial Narrow"/>
                <w:sz w:val="20"/>
                <w:szCs w:val="20"/>
              </w:rPr>
            </w:pPr>
          </w:p>
        </w:tc>
        <w:tc>
          <w:tcPr>
            <w:tcW w:w="340" w:type="dxa"/>
            <w:tcBorders>
              <w:top w:val="nil"/>
              <w:left w:val="single" w:sz="4" w:space="0" w:color="auto"/>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single" w:sz="4" w:space="0" w:color="auto"/>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widowControl w:val="0"/>
              <w:suppressLineNumbers/>
              <w:jc w:val="center"/>
              <w:rPr>
                <w:rFonts w:ascii="Arial Narrow" w:eastAsia="Times New Roman" w:hAnsi="Arial Narrow"/>
                <w:sz w:val="20"/>
                <w:szCs w:val="20"/>
              </w:rPr>
            </w:pPr>
            <w:r w:rsidRPr="00F075D1">
              <w:rPr>
                <w:rFonts w:ascii="Arial Narrow" w:hAnsi="Arial Narrow"/>
                <w:sz w:val="20"/>
                <w:szCs w:val="20"/>
              </w:rPr>
              <w:t>Vazby a podnikání</w:t>
            </w:r>
          </w:p>
        </w:tc>
      </w:tr>
      <w:tr w:rsidR="008146BD" w:rsidRPr="00F90182" w:rsidTr="00853826">
        <w:trPr>
          <w:trHeight w:hRule="exac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90182" w:rsidRDefault="008146BD" w:rsidP="007A7D80">
            <w:pPr>
              <w:rPr>
                <w:rFonts w:ascii="Arial Narrow" w:eastAsia="Times New Roman" w:hAnsi="Arial Narrow"/>
              </w:rPr>
            </w:pPr>
          </w:p>
        </w:tc>
        <w:tc>
          <w:tcPr>
            <w:tcW w:w="340" w:type="dxa"/>
            <w:tcBorders>
              <w:top w:val="nil"/>
              <w:left w:val="single" w:sz="4" w:space="0" w:color="auto"/>
              <w:bottom w:val="nil"/>
              <w:right w:val="single" w:sz="4" w:space="0" w:color="auto"/>
            </w:tcBorders>
          </w:tcPr>
          <w:p w:rsidR="008146BD" w:rsidRPr="00F90182" w:rsidRDefault="008146BD" w:rsidP="007A7D80">
            <w:pPr>
              <w:widowControl w:val="0"/>
              <w:suppressLineNumbers/>
              <w:jc w:val="center"/>
              <w:rPr>
                <w:rFonts w:ascii="Arial Narrow" w:eastAsia="Times New Roman" w:hAnsi="Arial Narr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075D1" w:rsidRDefault="008146BD" w:rsidP="007A7D80">
            <w:pPr>
              <w:rPr>
                <w:rFonts w:ascii="Arial Narrow" w:eastAsia="Times New Roman" w:hAnsi="Arial Narrow"/>
                <w:sz w:val="20"/>
                <w:szCs w:val="20"/>
              </w:rPr>
            </w:pPr>
          </w:p>
        </w:tc>
        <w:tc>
          <w:tcPr>
            <w:tcW w:w="340" w:type="dxa"/>
            <w:tcBorders>
              <w:top w:val="nil"/>
              <w:left w:val="single" w:sz="4" w:space="0" w:color="auto"/>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2268" w:type="dxa"/>
            <w:tcBorders>
              <w:top w:val="single" w:sz="4" w:space="0" w:color="auto"/>
              <w:left w:val="nil"/>
              <w:bottom w:val="single" w:sz="4" w:space="0" w:color="auto"/>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r>
      <w:tr w:rsidR="008146BD" w:rsidRPr="00F90182" w:rsidTr="00853826">
        <w:trPr>
          <w:trHeight w:hRule="exac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90182" w:rsidRDefault="008146BD" w:rsidP="007A7D80">
            <w:pPr>
              <w:rPr>
                <w:rFonts w:ascii="Arial Narrow" w:eastAsia="Times New Roman" w:hAnsi="Arial Narrow"/>
              </w:rPr>
            </w:pPr>
          </w:p>
        </w:tc>
        <w:tc>
          <w:tcPr>
            <w:tcW w:w="340" w:type="dxa"/>
            <w:tcBorders>
              <w:top w:val="nil"/>
              <w:left w:val="single" w:sz="4" w:space="0" w:color="auto"/>
              <w:bottom w:val="nil"/>
              <w:right w:val="single" w:sz="4" w:space="0" w:color="auto"/>
            </w:tcBorders>
          </w:tcPr>
          <w:p w:rsidR="008146BD" w:rsidRPr="00F90182" w:rsidRDefault="008146BD" w:rsidP="007A7D80">
            <w:pPr>
              <w:widowControl w:val="0"/>
              <w:suppressLineNumbers/>
              <w:jc w:val="center"/>
              <w:rPr>
                <w:rFonts w:ascii="Arial Narrow" w:eastAsia="Times New Roman" w:hAnsi="Arial Narr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075D1" w:rsidRDefault="008146BD" w:rsidP="007A7D80">
            <w:pPr>
              <w:rPr>
                <w:rFonts w:ascii="Arial Narrow" w:eastAsia="Times New Roman" w:hAnsi="Arial Narrow"/>
                <w:sz w:val="20"/>
                <w:szCs w:val="20"/>
              </w:rPr>
            </w:pPr>
          </w:p>
        </w:tc>
        <w:tc>
          <w:tcPr>
            <w:tcW w:w="340" w:type="dxa"/>
            <w:tcBorders>
              <w:top w:val="nil"/>
              <w:left w:val="single" w:sz="4" w:space="0" w:color="auto"/>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single" w:sz="4" w:space="0" w:color="auto"/>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widowControl w:val="0"/>
              <w:suppressLineNumbers/>
              <w:jc w:val="center"/>
              <w:rPr>
                <w:rFonts w:ascii="Arial Narrow" w:eastAsia="Times New Roman" w:hAnsi="Arial Narrow"/>
                <w:sz w:val="20"/>
                <w:szCs w:val="20"/>
              </w:rPr>
            </w:pPr>
            <w:r w:rsidRPr="00F075D1">
              <w:rPr>
                <w:rFonts w:ascii="Arial Narrow" w:hAnsi="Arial Narrow"/>
                <w:sz w:val="20"/>
                <w:szCs w:val="20"/>
              </w:rPr>
              <w:t>Duševní aktiva</w:t>
            </w:r>
          </w:p>
        </w:tc>
      </w:tr>
      <w:tr w:rsidR="008146BD" w:rsidRPr="00F90182" w:rsidTr="00853826">
        <w:trPr>
          <w:trHeight w:hRule="exac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90182" w:rsidRDefault="008146BD" w:rsidP="007A7D80">
            <w:pPr>
              <w:rPr>
                <w:rFonts w:ascii="Arial Narrow" w:eastAsia="Times New Roman" w:hAnsi="Arial Narrow"/>
              </w:rPr>
            </w:pPr>
          </w:p>
        </w:tc>
        <w:tc>
          <w:tcPr>
            <w:tcW w:w="340" w:type="dxa"/>
            <w:tcBorders>
              <w:top w:val="nil"/>
              <w:left w:val="single" w:sz="4" w:space="0" w:color="auto"/>
              <w:bottom w:val="nil"/>
              <w:right w:val="nil"/>
            </w:tcBorders>
          </w:tcPr>
          <w:p w:rsidR="008146BD" w:rsidRPr="00F90182" w:rsidRDefault="008146BD" w:rsidP="007A7D80">
            <w:pPr>
              <w:widowControl w:val="0"/>
              <w:suppressLineNumbers/>
              <w:jc w:val="center"/>
              <w:rPr>
                <w:rFonts w:ascii="Arial Narrow" w:eastAsia="Times New Roman" w:hAnsi="Arial Narrow"/>
              </w:rPr>
            </w:pPr>
          </w:p>
        </w:tc>
        <w:tc>
          <w:tcPr>
            <w:tcW w:w="2268" w:type="dxa"/>
            <w:tcBorders>
              <w:top w:val="single" w:sz="4" w:space="0" w:color="auto"/>
              <w:left w:val="nil"/>
              <w:bottom w:val="single" w:sz="4" w:space="0" w:color="auto"/>
              <w:right w:val="nil"/>
            </w:tcBorders>
            <w:vAlign w:val="center"/>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2268" w:type="dxa"/>
            <w:tcBorders>
              <w:top w:val="single" w:sz="4" w:space="0" w:color="auto"/>
              <w:left w:val="nil"/>
              <w:bottom w:val="single" w:sz="4" w:space="0" w:color="auto"/>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r>
      <w:tr w:rsidR="008146BD" w:rsidRPr="00F90182" w:rsidTr="00853826">
        <w:trPr>
          <w:trHeight w:hRule="exac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90182" w:rsidRDefault="008146BD" w:rsidP="007A7D80">
            <w:pPr>
              <w:rPr>
                <w:rFonts w:ascii="Arial Narrow" w:eastAsia="Times New Roman" w:hAnsi="Arial Narrow"/>
              </w:rPr>
            </w:pPr>
          </w:p>
        </w:tc>
        <w:tc>
          <w:tcPr>
            <w:tcW w:w="340" w:type="dxa"/>
            <w:tcBorders>
              <w:top w:val="nil"/>
              <w:left w:val="single" w:sz="4" w:space="0" w:color="auto"/>
              <w:bottom w:val="single" w:sz="4" w:space="0" w:color="auto"/>
              <w:right w:val="single" w:sz="4" w:space="0" w:color="auto"/>
            </w:tcBorders>
          </w:tcPr>
          <w:p w:rsidR="008146BD" w:rsidRPr="00F90182" w:rsidRDefault="008146BD" w:rsidP="007A7D80">
            <w:pPr>
              <w:widowControl w:val="0"/>
              <w:suppressLineNumbers/>
              <w:jc w:val="center"/>
              <w:rPr>
                <w:rFonts w:ascii="Arial Narrow" w:eastAsia="Times New Roman" w:hAnsi="Arial Narrow"/>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46BD" w:rsidRPr="00F075D1" w:rsidRDefault="008146BD" w:rsidP="007A7D80">
            <w:pPr>
              <w:widowControl w:val="0"/>
              <w:suppressLineNumbers/>
              <w:jc w:val="center"/>
              <w:rPr>
                <w:rFonts w:ascii="Arial Narrow" w:eastAsia="Times New Roman" w:hAnsi="Arial Narrow"/>
                <w:sz w:val="20"/>
                <w:szCs w:val="20"/>
              </w:rPr>
            </w:pPr>
            <w:r w:rsidRPr="00F075D1">
              <w:rPr>
                <w:rFonts w:ascii="Arial Narrow" w:hAnsi="Arial Narrow"/>
                <w:sz w:val="20"/>
                <w:szCs w:val="20"/>
              </w:rPr>
              <w:t>Výstupy</w:t>
            </w:r>
          </w:p>
        </w:tc>
        <w:tc>
          <w:tcPr>
            <w:tcW w:w="340" w:type="dxa"/>
            <w:tcBorders>
              <w:top w:val="nil"/>
              <w:left w:val="single" w:sz="4" w:space="0" w:color="auto"/>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single" w:sz="4" w:space="0" w:color="auto"/>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widowControl w:val="0"/>
              <w:suppressLineNumbers/>
              <w:jc w:val="center"/>
              <w:rPr>
                <w:rFonts w:ascii="Arial Narrow" w:eastAsia="Times New Roman" w:hAnsi="Arial Narrow"/>
                <w:sz w:val="20"/>
                <w:szCs w:val="20"/>
              </w:rPr>
            </w:pPr>
            <w:r w:rsidRPr="00F075D1">
              <w:rPr>
                <w:rFonts w:ascii="Arial Narrow" w:hAnsi="Arial Narrow"/>
                <w:sz w:val="20"/>
                <w:szCs w:val="20"/>
              </w:rPr>
              <w:t>Inovátoři</w:t>
            </w:r>
          </w:p>
        </w:tc>
      </w:tr>
      <w:tr w:rsidR="008146BD" w:rsidRPr="00F90182" w:rsidTr="00F075D1">
        <w:trPr>
          <w:trHeight w:hRule="exac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90182" w:rsidRDefault="008146BD" w:rsidP="007A7D80">
            <w:pPr>
              <w:rPr>
                <w:rFonts w:ascii="Arial Narrow" w:eastAsia="Times New Roman" w:hAnsi="Arial Narrow"/>
              </w:rPr>
            </w:pPr>
          </w:p>
        </w:tc>
        <w:tc>
          <w:tcPr>
            <w:tcW w:w="340" w:type="dxa"/>
            <w:tcBorders>
              <w:top w:val="single" w:sz="4" w:space="0" w:color="auto"/>
              <w:left w:val="single" w:sz="4" w:space="0" w:color="auto"/>
              <w:bottom w:val="nil"/>
              <w:right w:val="single" w:sz="4" w:space="0" w:color="auto"/>
            </w:tcBorders>
          </w:tcPr>
          <w:p w:rsidR="008146BD" w:rsidRPr="00F90182" w:rsidRDefault="008146BD" w:rsidP="007A7D80">
            <w:pPr>
              <w:widowControl w:val="0"/>
              <w:suppressLineNumbers/>
              <w:jc w:val="center"/>
              <w:rPr>
                <w:rFonts w:ascii="Arial Narrow" w:eastAsia="Times New Roman" w:hAnsi="Arial Narr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075D1" w:rsidRDefault="008146BD" w:rsidP="007A7D80">
            <w:pPr>
              <w:rPr>
                <w:rFonts w:ascii="Arial Narrow" w:eastAsia="Times New Roman" w:hAnsi="Arial Narrow"/>
                <w:sz w:val="20"/>
                <w:szCs w:val="20"/>
              </w:rPr>
            </w:pPr>
          </w:p>
        </w:tc>
        <w:tc>
          <w:tcPr>
            <w:tcW w:w="340" w:type="dxa"/>
            <w:tcBorders>
              <w:top w:val="nil"/>
              <w:left w:val="single" w:sz="4" w:space="0" w:color="auto"/>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2268" w:type="dxa"/>
            <w:tcBorders>
              <w:top w:val="single" w:sz="4" w:space="0" w:color="auto"/>
              <w:left w:val="nil"/>
              <w:bottom w:val="single" w:sz="4" w:space="0" w:color="auto"/>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r>
      <w:tr w:rsidR="008146BD" w:rsidRPr="00F90182" w:rsidTr="00F075D1">
        <w:trPr>
          <w:trHeight w:hRule="exac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90182" w:rsidRDefault="008146BD" w:rsidP="007A7D80">
            <w:pPr>
              <w:rPr>
                <w:rFonts w:ascii="Arial Narrow" w:eastAsia="Times New Roman" w:hAnsi="Arial Narrow"/>
              </w:rPr>
            </w:pPr>
          </w:p>
        </w:tc>
        <w:tc>
          <w:tcPr>
            <w:tcW w:w="340" w:type="dxa"/>
            <w:tcBorders>
              <w:top w:val="nil"/>
              <w:left w:val="single" w:sz="4" w:space="0" w:color="auto"/>
              <w:bottom w:val="nil"/>
              <w:right w:val="single" w:sz="4" w:space="0" w:color="auto"/>
            </w:tcBorders>
          </w:tcPr>
          <w:p w:rsidR="008146BD" w:rsidRPr="00F90182" w:rsidRDefault="008146BD" w:rsidP="007A7D80">
            <w:pPr>
              <w:widowControl w:val="0"/>
              <w:suppressLineNumbers/>
              <w:jc w:val="center"/>
              <w:rPr>
                <w:rFonts w:ascii="Arial Narrow" w:eastAsia="Times New Roman" w:hAnsi="Arial Narr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6BD" w:rsidRPr="00F075D1" w:rsidRDefault="008146BD" w:rsidP="007A7D80">
            <w:pPr>
              <w:rPr>
                <w:rFonts w:ascii="Arial Narrow" w:eastAsia="Times New Roman" w:hAnsi="Arial Narrow"/>
                <w:sz w:val="20"/>
                <w:szCs w:val="20"/>
              </w:rPr>
            </w:pPr>
          </w:p>
        </w:tc>
        <w:tc>
          <w:tcPr>
            <w:tcW w:w="340" w:type="dxa"/>
            <w:tcBorders>
              <w:top w:val="nil"/>
              <w:left w:val="single" w:sz="4" w:space="0" w:color="auto"/>
              <w:bottom w:val="nil"/>
              <w:right w:val="nil"/>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340" w:type="dxa"/>
            <w:tcBorders>
              <w:top w:val="nil"/>
              <w:left w:val="nil"/>
              <w:bottom w:val="nil"/>
              <w:right w:val="single" w:sz="4" w:space="0" w:color="auto"/>
            </w:tcBorders>
          </w:tcPr>
          <w:p w:rsidR="008146BD" w:rsidRPr="00F075D1" w:rsidRDefault="008146BD" w:rsidP="007A7D80">
            <w:pPr>
              <w:widowControl w:val="0"/>
              <w:suppressLineNumbers/>
              <w:jc w:val="center"/>
              <w:rPr>
                <w:rFonts w:ascii="Arial Narrow" w:eastAsia="Times New Roman" w:hAnsi="Arial Narrow"/>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8146BD" w:rsidRPr="00F075D1" w:rsidRDefault="008146BD" w:rsidP="007A7D80">
            <w:pPr>
              <w:widowControl w:val="0"/>
              <w:suppressLineNumbers/>
              <w:jc w:val="center"/>
              <w:rPr>
                <w:rFonts w:ascii="Arial Narrow" w:eastAsia="Times New Roman" w:hAnsi="Arial Narrow"/>
                <w:sz w:val="20"/>
                <w:szCs w:val="20"/>
              </w:rPr>
            </w:pPr>
            <w:r w:rsidRPr="00F075D1">
              <w:rPr>
                <w:rFonts w:ascii="Arial Narrow" w:hAnsi="Arial Narrow"/>
                <w:sz w:val="20"/>
                <w:szCs w:val="20"/>
              </w:rPr>
              <w:t>Ekonomické efekty</w:t>
            </w:r>
          </w:p>
        </w:tc>
      </w:tr>
    </w:tbl>
    <w:p w:rsidR="008146BD" w:rsidRPr="00F90182" w:rsidRDefault="006B61FE" w:rsidP="00DC49F7">
      <w:pPr>
        <w:pStyle w:val="0G-Titulek"/>
        <w:spacing w:before="200"/>
        <w:rPr>
          <w:lang w:val="en-GB"/>
        </w:rPr>
      </w:pPr>
      <w:bookmarkStart w:id="176" w:name="_Toc382326842"/>
      <w:r>
        <w:rPr>
          <w:lang w:val="en-GB"/>
        </w:rPr>
        <w:t>Obrázek 38</w:t>
      </w:r>
      <w:r w:rsidR="008146BD" w:rsidRPr="008D0830">
        <w:rPr>
          <w:lang w:val="en-GB"/>
        </w:rPr>
        <w:t xml:space="preserve">: Metodika </w:t>
      </w:r>
      <w:r w:rsidR="008146BD" w:rsidRPr="00F90182">
        <w:rPr>
          <w:lang w:val="en-GB"/>
        </w:rPr>
        <w:t>Innovation Union Scoreboard</w:t>
      </w:r>
      <w:bookmarkEnd w:id="176"/>
    </w:p>
    <w:p w:rsidR="008146BD" w:rsidRPr="00F90182" w:rsidRDefault="008146BD" w:rsidP="008146BD">
      <w:pPr>
        <w:widowControl w:val="0"/>
        <w:suppressLineNumbers/>
        <w:spacing w:after="0"/>
        <w:jc w:val="center"/>
        <w:rPr>
          <w:rFonts w:ascii="Calibri" w:hAnsi="Calibri" w:cs="Calibri"/>
          <w:i/>
          <w:lang w:val="en-GB"/>
        </w:rPr>
      </w:pPr>
      <w:r w:rsidRPr="00F90182">
        <w:rPr>
          <w:rFonts w:ascii="Calibri" w:hAnsi="Calibri" w:cs="Calibri"/>
          <w:i/>
          <w:lang w:val="en-GB"/>
        </w:rPr>
        <w:t>Pramen: Evropská komise, 2013</w:t>
      </w:r>
    </w:p>
    <w:p w:rsidR="008146BD" w:rsidRPr="00F90182" w:rsidRDefault="008146BD" w:rsidP="008146BD">
      <w:pPr>
        <w:widowControl w:val="0"/>
        <w:suppressLineNumbers/>
        <w:spacing w:before="200"/>
        <w:ind w:firstLine="720"/>
        <w:jc w:val="both"/>
        <w:rPr>
          <w:sz w:val="24"/>
          <w:szCs w:val="24"/>
        </w:rPr>
      </w:pPr>
      <w:r w:rsidRPr="00F90182">
        <w:rPr>
          <w:sz w:val="24"/>
          <w:szCs w:val="24"/>
        </w:rPr>
        <w:lastRenderedPageBreak/>
        <w:t>Podle hodnoty Sumárního inovačního indexu jsou země EU rozděleny do 4 skupin. Č</w:t>
      </w:r>
      <w:r>
        <w:rPr>
          <w:sz w:val="24"/>
          <w:szCs w:val="24"/>
        </w:rPr>
        <w:t>eská republika</w:t>
      </w:r>
      <w:r w:rsidRPr="00F90182">
        <w:rPr>
          <w:sz w:val="24"/>
          <w:szCs w:val="24"/>
        </w:rPr>
        <w:t xml:space="preserve"> (SII 2012 0,402) se řadí mezi mírné inovátory a nachází se pod průměrem EU (0,544). Relativně dobře si vede v oblasti Lidské zdroje (0,537) a Inovátoři (0,518), horší je Výzkumný systém (0,227) a Duševní aktiva (0,275). </w:t>
      </w:r>
    </w:p>
    <w:p w:rsidR="008146BD" w:rsidRPr="00F90182" w:rsidRDefault="008146BD" w:rsidP="008146BD">
      <w:pPr>
        <w:widowControl w:val="0"/>
        <w:suppressLineNumbers/>
        <w:spacing w:after="0"/>
        <w:jc w:val="center"/>
        <w:rPr>
          <w:noProof/>
          <w:sz w:val="24"/>
          <w:szCs w:val="24"/>
        </w:rPr>
      </w:pPr>
      <w:r w:rsidRPr="00F90182">
        <w:rPr>
          <w:noProof/>
          <w:sz w:val="24"/>
          <w:szCs w:val="24"/>
          <w:lang w:val="en-GB" w:eastAsia="en-GB"/>
        </w:rPr>
        <w:drawing>
          <wp:inline distT="0" distB="0" distL="0" distR="0" wp14:anchorId="45F4CEB8" wp14:editId="5BAB436E">
            <wp:extent cx="5762625" cy="2352675"/>
            <wp:effectExtent l="0" t="0" r="9525" b="9525"/>
            <wp:docPr id="2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25" cy="2352675"/>
                    </a:xfrm>
                    <a:prstGeom prst="rect">
                      <a:avLst/>
                    </a:prstGeom>
                    <a:noFill/>
                    <a:ln>
                      <a:noFill/>
                    </a:ln>
                  </pic:spPr>
                </pic:pic>
              </a:graphicData>
            </a:graphic>
          </wp:inline>
        </w:drawing>
      </w:r>
    </w:p>
    <w:p w:rsidR="008146BD" w:rsidRPr="00260C64" w:rsidRDefault="006B61FE" w:rsidP="00372654">
      <w:pPr>
        <w:pStyle w:val="0G-Titulek"/>
        <w:ind w:firstLine="0"/>
        <w:rPr>
          <w:lang w:val="en-GB"/>
        </w:rPr>
      </w:pPr>
      <w:bookmarkStart w:id="177" w:name="_Toc382326843"/>
      <w:r>
        <w:rPr>
          <w:lang w:val="en-GB"/>
        </w:rPr>
        <w:t>Obrázek 39</w:t>
      </w:r>
      <w:r w:rsidR="008146BD" w:rsidRPr="008D0830">
        <w:rPr>
          <w:lang w:val="en-GB"/>
        </w:rPr>
        <w:t xml:space="preserve">: Sumární </w:t>
      </w:r>
      <w:r w:rsidR="008146BD" w:rsidRPr="00260C64">
        <w:rPr>
          <w:lang w:val="en-GB"/>
        </w:rPr>
        <w:t>inovační index 2013</w:t>
      </w:r>
      <w:bookmarkEnd w:id="177"/>
    </w:p>
    <w:p w:rsidR="008146BD" w:rsidRPr="00260C64" w:rsidRDefault="008146BD" w:rsidP="00372654">
      <w:pPr>
        <w:widowControl w:val="0"/>
        <w:suppressLineNumbers/>
        <w:jc w:val="center"/>
        <w:rPr>
          <w:rFonts w:ascii="Calibri" w:hAnsi="Calibri" w:cs="Calibri"/>
          <w:i/>
          <w:lang w:val="en-GB"/>
        </w:rPr>
      </w:pPr>
      <w:r w:rsidRPr="00260C64">
        <w:rPr>
          <w:rFonts w:ascii="Calibri" w:hAnsi="Calibri" w:cs="Calibri"/>
          <w:i/>
          <w:lang w:val="en-GB"/>
        </w:rPr>
        <w:t>Pramen: Evropská komise, 2013</w:t>
      </w:r>
    </w:p>
    <w:p w:rsidR="008146BD" w:rsidRPr="00260C64" w:rsidRDefault="008146BD" w:rsidP="008146BD">
      <w:pPr>
        <w:keepLines/>
        <w:widowControl w:val="0"/>
        <w:suppressLineNumbers/>
        <w:spacing w:after="100"/>
        <w:jc w:val="both"/>
        <w:rPr>
          <w:b/>
          <w:sz w:val="24"/>
          <w:szCs w:val="24"/>
        </w:rPr>
      </w:pPr>
      <w:r w:rsidRPr="00260C64">
        <w:rPr>
          <w:b/>
          <w:sz w:val="24"/>
          <w:szCs w:val="24"/>
        </w:rPr>
        <w:t>Globální inovační index</w:t>
      </w:r>
    </w:p>
    <w:p w:rsidR="008146BD" w:rsidRPr="00F90182" w:rsidRDefault="008146BD" w:rsidP="008146BD">
      <w:pPr>
        <w:keepLines/>
        <w:widowControl w:val="0"/>
        <w:suppressLineNumbers/>
        <w:ind w:firstLine="720"/>
        <w:jc w:val="both"/>
        <w:rPr>
          <w:sz w:val="24"/>
          <w:szCs w:val="24"/>
        </w:rPr>
      </w:pPr>
      <w:r w:rsidRPr="00260C64">
        <w:rPr>
          <w:sz w:val="24"/>
          <w:szCs w:val="24"/>
        </w:rPr>
        <w:t>Globální inovační index (GII) je sestav</w:t>
      </w:r>
      <w:r>
        <w:rPr>
          <w:sz w:val="24"/>
          <w:szCs w:val="24"/>
        </w:rPr>
        <w:t>uje C</w:t>
      </w:r>
      <w:r w:rsidRPr="00260C64">
        <w:rPr>
          <w:sz w:val="24"/>
          <w:szCs w:val="24"/>
        </w:rPr>
        <w:t>ornell University, INSEAD a Světová organizace duševního vlastní (WIPO). GII je aritmetickým průměrem dvou subindexů, Inovační vstupy a Inovační výstupy. Každý subindex se dále člení do několika skupin. Toto</w:t>
      </w:r>
      <w:r w:rsidRPr="00F90182">
        <w:rPr>
          <w:sz w:val="24"/>
          <w:szCs w:val="24"/>
        </w:rPr>
        <w:t xml:space="preserve"> hodnocení posuzuje i inovační efektivnost, která je podíl</w:t>
      </w:r>
      <w:r>
        <w:rPr>
          <w:sz w:val="24"/>
          <w:szCs w:val="24"/>
        </w:rPr>
        <w:t>em</w:t>
      </w:r>
      <w:r w:rsidRPr="00F90182">
        <w:rPr>
          <w:sz w:val="24"/>
          <w:szCs w:val="24"/>
        </w:rPr>
        <w:t xml:space="preserve"> </w:t>
      </w:r>
      <w:r>
        <w:rPr>
          <w:sz w:val="24"/>
          <w:szCs w:val="24"/>
        </w:rPr>
        <w:t>s</w:t>
      </w:r>
      <w:r w:rsidRPr="00F90182">
        <w:rPr>
          <w:sz w:val="24"/>
          <w:szCs w:val="24"/>
        </w:rPr>
        <w:t xml:space="preserve">ubindexu výstupů a </w:t>
      </w:r>
      <w:r>
        <w:rPr>
          <w:sz w:val="24"/>
          <w:szCs w:val="24"/>
        </w:rPr>
        <w:t>s</w:t>
      </w:r>
      <w:r w:rsidRPr="00F90182">
        <w:rPr>
          <w:sz w:val="24"/>
          <w:szCs w:val="24"/>
        </w:rPr>
        <w:t>ubindexu vstupů (Cornell University, INSEAD, WIPO, 2013).</w:t>
      </w:r>
    </w:p>
    <w:tbl>
      <w:tblPr>
        <w:tblStyle w:val="Mkatabulky16"/>
        <w:tblW w:w="0" w:type="auto"/>
        <w:tblLayout w:type="fixed"/>
        <w:tblLook w:val="04A0" w:firstRow="1" w:lastRow="0" w:firstColumn="1" w:lastColumn="0" w:noHBand="0" w:noVBand="1"/>
      </w:tblPr>
      <w:tblGrid>
        <w:gridCol w:w="413"/>
        <w:gridCol w:w="414"/>
        <w:gridCol w:w="236"/>
        <w:gridCol w:w="386"/>
        <w:gridCol w:w="386"/>
        <w:gridCol w:w="116"/>
        <w:gridCol w:w="120"/>
        <w:gridCol w:w="116"/>
        <w:gridCol w:w="591"/>
        <w:gridCol w:w="476"/>
        <w:gridCol w:w="13"/>
        <w:gridCol w:w="223"/>
        <w:gridCol w:w="116"/>
        <w:gridCol w:w="660"/>
        <w:gridCol w:w="418"/>
        <w:gridCol w:w="126"/>
        <w:gridCol w:w="236"/>
        <w:gridCol w:w="116"/>
        <w:gridCol w:w="660"/>
        <w:gridCol w:w="260"/>
        <w:gridCol w:w="162"/>
        <w:gridCol w:w="122"/>
        <w:gridCol w:w="95"/>
        <w:gridCol w:w="141"/>
        <w:gridCol w:w="116"/>
        <w:gridCol w:w="27"/>
        <w:gridCol w:w="567"/>
        <w:gridCol w:w="16"/>
        <w:gridCol w:w="494"/>
        <w:gridCol w:w="116"/>
        <w:gridCol w:w="120"/>
        <w:gridCol w:w="116"/>
        <w:gridCol w:w="432"/>
        <w:gridCol w:w="574"/>
      </w:tblGrid>
      <w:tr w:rsidR="008146BD" w:rsidRPr="00F90182" w:rsidTr="007A7D80">
        <w:trPr>
          <w:trHeight w:hRule="exact" w:val="397"/>
        </w:trPr>
        <w:tc>
          <w:tcPr>
            <w:tcW w:w="827" w:type="dxa"/>
            <w:gridSpan w:val="2"/>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772" w:type="dxa"/>
            <w:gridSpan w:val="2"/>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nil"/>
              <w:left w:val="nil"/>
              <w:bottom w:val="nil"/>
              <w:right w:val="single" w:sz="4" w:space="0" w:color="auto"/>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5751" w:type="dxa"/>
            <w:gridSpan w:val="2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46BD" w:rsidRPr="00372654" w:rsidRDefault="008146BD" w:rsidP="007A7D80">
            <w:pPr>
              <w:keepLines/>
              <w:widowControl w:val="0"/>
              <w:suppressLineNumbers/>
              <w:jc w:val="center"/>
              <w:rPr>
                <w:rFonts w:ascii="Arial Narrow" w:eastAsia="Times New Roman" w:hAnsi="Arial Narrow"/>
                <w:sz w:val="20"/>
                <w:szCs w:val="20"/>
              </w:rPr>
            </w:pPr>
            <w:r w:rsidRPr="00372654">
              <w:rPr>
                <w:rFonts w:ascii="Arial Narrow" w:hAnsi="Arial Narrow"/>
                <w:sz w:val="20"/>
                <w:szCs w:val="20"/>
              </w:rPr>
              <w:t>Globální inovační index (průměr)</w:t>
            </w:r>
          </w:p>
        </w:tc>
        <w:tc>
          <w:tcPr>
            <w:tcW w:w="236" w:type="dxa"/>
            <w:gridSpan w:val="2"/>
            <w:tcBorders>
              <w:top w:val="nil"/>
              <w:left w:val="single" w:sz="4" w:space="0" w:color="auto"/>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122" w:type="dxa"/>
            <w:gridSpan w:val="3"/>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r>
      <w:tr w:rsidR="008146BD" w:rsidRPr="00F90182" w:rsidTr="007A7D80">
        <w:tc>
          <w:tcPr>
            <w:tcW w:w="827" w:type="dxa"/>
            <w:gridSpan w:val="2"/>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772" w:type="dxa"/>
            <w:gridSpan w:val="2"/>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183" w:type="dxa"/>
            <w:gridSpan w:val="3"/>
            <w:tcBorders>
              <w:top w:val="single" w:sz="4" w:space="0" w:color="auto"/>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single" w:sz="4" w:space="0" w:color="auto"/>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320" w:type="dxa"/>
            <w:gridSpan w:val="4"/>
            <w:tcBorders>
              <w:top w:val="single" w:sz="4" w:space="0" w:color="auto"/>
              <w:left w:val="nil"/>
              <w:bottom w:val="single" w:sz="4" w:space="0" w:color="auto"/>
              <w:right w:val="single" w:sz="4" w:space="0" w:color="auto"/>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tcBorders>
              <w:top w:val="single" w:sz="4" w:space="0" w:color="auto"/>
              <w:left w:val="single" w:sz="4" w:space="0" w:color="auto"/>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320" w:type="dxa"/>
            <w:gridSpan w:val="5"/>
            <w:tcBorders>
              <w:top w:val="single" w:sz="4" w:space="0" w:color="auto"/>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single" w:sz="4" w:space="0" w:color="auto"/>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220" w:type="dxa"/>
            <w:gridSpan w:val="5"/>
            <w:tcBorders>
              <w:top w:val="single" w:sz="4" w:space="0" w:color="auto"/>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122" w:type="dxa"/>
            <w:gridSpan w:val="3"/>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r>
      <w:tr w:rsidR="008146BD" w:rsidRPr="00F90182" w:rsidTr="007A7D80">
        <w:tc>
          <w:tcPr>
            <w:tcW w:w="827" w:type="dxa"/>
            <w:gridSpan w:val="2"/>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772" w:type="dxa"/>
            <w:gridSpan w:val="2"/>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183" w:type="dxa"/>
            <w:gridSpan w:val="3"/>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nil"/>
              <w:left w:val="nil"/>
              <w:bottom w:val="nil"/>
              <w:right w:val="single" w:sz="4" w:space="0" w:color="auto"/>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876" w:type="dxa"/>
            <w:gridSpan w:val="10"/>
            <w:tcBorders>
              <w:top w:val="single" w:sz="4" w:space="0" w:color="auto"/>
              <w:left w:val="single" w:sz="4" w:space="0" w:color="auto"/>
              <w:bottom w:val="single" w:sz="4" w:space="0" w:color="auto"/>
              <w:right w:val="single" w:sz="4" w:space="0" w:color="auto"/>
            </w:tcBorders>
            <w:hideMark/>
          </w:tcPr>
          <w:p w:rsidR="008146BD" w:rsidRPr="00372654" w:rsidRDefault="008146BD" w:rsidP="007A7D80">
            <w:pPr>
              <w:keepLines/>
              <w:widowControl w:val="0"/>
              <w:suppressLineNumbers/>
              <w:jc w:val="center"/>
              <w:rPr>
                <w:rFonts w:ascii="Arial Narrow" w:eastAsia="Times New Roman" w:hAnsi="Arial Narrow"/>
                <w:sz w:val="20"/>
                <w:szCs w:val="20"/>
              </w:rPr>
            </w:pPr>
            <w:r w:rsidRPr="00372654">
              <w:rPr>
                <w:rFonts w:ascii="Arial Narrow" w:hAnsi="Arial Narrow"/>
                <w:sz w:val="20"/>
                <w:szCs w:val="20"/>
              </w:rPr>
              <w:t>Podíl inovační efektivnosti</w:t>
            </w:r>
          </w:p>
        </w:tc>
        <w:tc>
          <w:tcPr>
            <w:tcW w:w="236" w:type="dxa"/>
            <w:gridSpan w:val="2"/>
            <w:tcBorders>
              <w:top w:val="nil"/>
              <w:left w:val="single" w:sz="4" w:space="0" w:color="auto"/>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220" w:type="dxa"/>
            <w:gridSpan w:val="5"/>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122" w:type="dxa"/>
            <w:gridSpan w:val="3"/>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r>
      <w:tr w:rsidR="008146BD" w:rsidRPr="00F90182" w:rsidTr="007A7D80">
        <w:tc>
          <w:tcPr>
            <w:tcW w:w="827" w:type="dxa"/>
            <w:gridSpan w:val="2"/>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772" w:type="dxa"/>
            <w:gridSpan w:val="2"/>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183" w:type="dxa"/>
            <w:gridSpan w:val="3"/>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nil"/>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320" w:type="dxa"/>
            <w:gridSpan w:val="4"/>
            <w:tcBorders>
              <w:top w:val="single" w:sz="4" w:space="0" w:color="auto"/>
              <w:left w:val="nil"/>
              <w:bottom w:val="single" w:sz="4" w:space="0" w:color="auto"/>
              <w:right w:val="single" w:sz="4" w:space="0" w:color="auto"/>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tcBorders>
              <w:top w:val="single" w:sz="4" w:space="0" w:color="auto"/>
              <w:left w:val="single" w:sz="4" w:space="0" w:color="auto"/>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320" w:type="dxa"/>
            <w:gridSpan w:val="5"/>
            <w:tcBorders>
              <w:top w:val="single" w:sz="4" w:space="0" w:color="auto"/>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nil"/>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220" w:type="dxa"/>
            <w:gridSpan w:val="5"/>
            <w:tcBorders>
              <w:top w:val="nil"/>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122" w:type="dxa"/>
            <w:gridSpan w:val="3"/>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r>
      <w:tr w:rsidR="008146BD" w:rsidRPr="00F90182" w:rsidTr="007A7D80">
        <w:tc>
          <w:tcPr>
            <w:tcW w:w="827" w:type="dxa"/>
            <w:gridSpan w:val="2"/>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772" w:type="dxa"/>
            <w:gridSpan w:val="2"/>
            <w:tcBorders>
              <w:top w:val="nil"/>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nil"/>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183" w:type="dxa"/>
            <w:gridSpan w:val="3"/>
            <w:tcBorders>
              <w:top w:val="nil"/>
              <w:left w:val="nil"/>
              <w:bottom w:val="single" w:sz="4" w:space="0" w:color="auto"/>
              <w:right w:val="single" w:sz="4" w:space="0" w:color="auto"/>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single" w:sz="4" w:space="0" w:color="auto"/>
              <w:left w:val="single" w:sz="4" w:space="0" w:color="auto"/>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320" w:type="dxa"/>
            <w:gridSpan w:val="4"/>
            <w:tcBorders>
              <w:top w:val="single" w:sz="4" w:space="0" w:color="auto"/>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tcBorders>
              <w:top w:val="single" w:sz="4" w:space="0" w:color="auto"/>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320" w:type="dxa"/>
            <w:gridSpan w:val="5"/>
            <w:tcBorders>
              <w:top w:val="single" w:sz="4" w:space="0" w:color="auto"/>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single" w:sz="4" w:space="0" w:color="auto"/>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220" w:type="dxa"/>
            <w:gridSpan w:val="5"/>
            <w:tcBorders>
              <w:top w:val="single" w:sz="4" w:space="0" w:color="auto"/>
              <w:left w:val="nil"/>
              <w:bottom w:val="single" w:sz="4" w:space="0" w:color="auto"/>
              <w:right w:val="single" w:sz="4" w:space="0" w:color="auto"/>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nil"/>
              <w:left w:val="single" w:sz="4" w:space="0" w:color="auto"/>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122" w:type="dxa"/>
            <w:gridSpan w:val="3"/>
            <w:tcBorders>
              <w:top w:val="nil"/>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r>
      <w:tr w:rsidR="008146BD" w:rsidRPr="00F90182" w:rsidTr="007A7D80">
        <w:trPr>
          <w:trHeight w:hRule="exact" w:val="454"/>
        </w:trPr>
        <w:tc>
          <w:tcPr>
            <w:tcW w:w="827" w:type="dxa"/>
            <w:gridSpan w:val="2"/>
            <w:tcBorders>
              <w:top w:val="nil"/>
              <w:left w:val="nil"/>
              <w:bottom w:val="nil"/>
              <w:right w:val="nil"/>
            </w:tcBorders>
            <w:vAlign w:val="center"/>
          </w:tcPr>
          <w:p w:rsidR="008146BD" w:rsidRPr="00372654" w:rsidRDefault="008146BD" w:rsidP="007A7D80">
            <w:pPr>
              <w:keepLines/>
              <w:widowControl w:val="0"/>
              <w:suppressLineNumbers/>
              <w:jc w:val="center"/>
              <w:rPr>
                <w:rFonts w:ascii="Arial Narrow" w:eastAsia="Times New Roman" w:hAnsi="Arial Narrow"/>
                <w:sz w:val="20"/>
                <w:szCs w:val="20"/>
              </w:rPr>
            </w:pPr>
          </w:p>
        </w:tc>
        <w:tc>
          <w:tcPr>
            <w:tcW w:w="236" w:type="dxa"/>
            <w:tcBorders>
              <w:top w:val="nil"/>
              <w:left w:val="nil"/>
              <w:bottom w:val="nil"/>
              <w:right w:val="single" w:sz="4" w:space="0" w:color="auto"/>
            </w:tcBorders>
            <w:vAlign w:val="center"/>
          </w:tcPr>
          <w:p w:rsidR="008146BD" w:rsidRPr="00372654" w:rsidRDefault="008146BD" w:rsidP="007A7D80">
            <w:pPr>
              <w:keepLines/>
              <w:widowControl w:val="0"/>
              <w:suppressLineNumbers/>
              <w:jc w:val="center"/>
              <w:rPr>
                <w:rFonts w:ascii="Arial Narrow" w:eastAsia="Times New Roman" w:hAnsi="Arial Narrow"/>
                <w:sz w:val="20"/>
                <w:szCs w:val="20"/>
              </w:rPr>
            </w:pPr>
          </w:p>
        </w:tc>
        <w:tc>
          <w:tcPr>
            <w:tcW w:w="3747" w:type="dxa"/>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46BD" w:rsidRPr="00372654" w:rsidRDefault="008146BD" w:rsidP="007A7D80">
            <w:pPr>
              <w:keepLines/>
              <w:widowControl w:val="0"/>
              <w:suppressLineNumbers/>
              <w:jc w:val="center"/>
              <w:rPr>
                <w:rFonts w:ascii="Arial Narrow" w:eastAsia="Times New Roman" w:hAnsi="Arial Narrow"/>
                <w:sz w:val="20"/>
                <w:szCs w:val="20"/>
              </w:rPr>
            </w:pPr>
            <w:r w:rsidRPr="00372654">
              <w:rPr>
                <w:rFonts w:ascii="Arial Narrow" w:hAnsi="Arial Narrow"/>
                <w:sz w:val="20"/>
                <w:szCs w:val="20"/>
              </w:rPr>
              <w:t>Subindex inovačních vstupů</w:t>
            </w:r>
          </w:p>
        </w:tc>
        <w:tc>
          <w:tcPr>
            <w:tcW w:w="236" w:type="dxa"/>
            <w:tcBorders>
              <w:top w:val="nil"/>
              <w:left w:val="single" w:sz="4" w:space="0" w:color="auto"/>
              <w:bottom w:val="nil"/>
              <w:right w:val="nil"/>
            </w:tcBorders>
            <w:vAlign w:val="center"/>
          </w:tcPr>
          <w:p w:rsidR="008146BD" w:rsidRPr="00372654" w:rsidRDefault="008146BD" w:rsidP="007A7D80">
            <w:pPr>
              <w:keepLines/>
              <w:widowControl w:val="0"/>
              <w:suppressLineNumbers/>
              <w:jc w:val="center"/>
              <w:rPr>
                <w:rFonts w:ascii="Arial Narrow" w:eastAsia="Times New Roman" w:hAnsi="Arial Narrow"/>
                <w:sz w:val="20"/>
                <w:szCs w:val="20"/>
              </w:rPr>
            </w:pPr>
          </w:p>
        </w:tc>
        <w:tc>
          <w:tcPr>
            <w:tcW w:w="1320" w:type="dxa"/>
            <w:gridSpan w:val="5"/>
            <w:tcBorders>
              <w:top w:val="nil"/>
              <w:left w:val="nil"/>
              <w:bottom w:val="nil"/>
              <w:right w:val="nil"/>
            </w:tcBorders>
            <w:vAlign w:val="center"/>
          </w:tcPr>
          <w:p w:rsidR="008146BD" w:rsidRPr="00372654" w:rsidRDefault="008146BD" w:rsidP="007A7D80">
            <w:pPr>
              <w:keepLines/>
              <w:widowControl w:val="0"/>
              <w:suppressLineNumbers/>
              <w:jc w:val="center"/>
              <w:rPr>
                <w:rFonts w:ascii="Arial Narrow" w:eastAsia="Times New Roman" w:hAnsi="Arial Narrow"/>
                <w:sz w:val="20"/>
                <w:szCs w:val="20"/>
              </w:rPr>
            </w:pPr>
          </w:p>
        </w:tc>
        <w:tc>
          <w:tcPr>
            <w:tcW w:w="236" w:type="dxa"/>
            <w:gridSpan w:val="2"/>
            <w:tcBorders>
              <w:top w:val="nil"/>
              <w:left w:val="nil"/>
              <w:bottom w:val="nil"/>
              <w:right w:val="single" w:sz="4" w:space="0" w:color="auto"/>
            </w:tcBorders>
            <w:vAlign w:val="center"/>
          </w:tcPr>
          <w:p w:rsidR="008146BD" w:rsidRPr="00372654" w:rsidRDefault="008146BD" w:rsidP="007A7D80">
            <w:pPr>
              <w:keepLines/>
              <w:widowControl w:val="0"/>
              <w:suppressLineNumbers/>
              <w:jc w:val="center"/>
              <w:rPr>
                <w:rFonts w:ascii="Arial Narrow" w:eastAsia="Times New Roman" w:hAnsi="Arial Narrow"/>
                <w:sz w:val="20"/>
                <w:szCs w:val="20"/>
              </w:rPr>
            </w:pPr>
          </w:p>
        </w:tc>
        <w:tc>
          <w:tcPr>
            <w:tcW w:w="2578"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46BD" w:rsidRPr="00372654" w:rsidRDefault="008146BD" w:rsidP="007A7D80">
            <w:pPr>
              <w:keepLines/>
              <w:widowControl w:val="0"/>
              <w:suppressLineNumbers/>
              <w:ind w:left="-113" w:right="-113"/>
              <w:jc w:val="center"/>
              <w:rPr>
                <w:rFonts w:ascii="Arial Narrow" w:eastAsia="Times New Roman" w:hAnsi="Arial Narrow"/>
                <w:sz w:val="20"/>
                <w:szCs w:val="20"/>
              </w:rPr>
            </w:pPr>
            <w:r w:rsidRPr="00372654">
              <w:rPr>
                <w:rFonts w:ascii="Arial Narrow" w:hAnsi="Arial Narrow"/>
                <w:sz w:val="20"/>
                <w:szCs w:val="20"/>
              </w:rPr>
              <w:t>Subindex inovačních výstupů</w:t>
            </w:r>
          </w:p>
        </w:tc>
      </w:tr>
      <w:tr w:rsidR="008146BD" w:rsidRPr="00F90182" w:rsidTr="007A7D80">
        <w:tc>
          <w:tcPr>
            <w:tcW w:w="413" w:type="dxa"/>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414" w:type="dxa"/>
            <w:tcBorders>
              <w:top w:val="nil"/>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tcBorders>
              <w:top w:val="nil"/>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888" w:type="dxa"/>
            <w:gridSpan w:val="3"/>
            <w:tcBorders>
              <w:top w:val="single" w:sz="4" w:space="0" w:color="auto"/>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single" w:sz="4" w:space="0" w:color="auto"/>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080" w:type="dxa"/>
            <w:gridSpan w:val="3"/>
            <w:tcBorders>
              <w:top w:val="single" w:sz="4" w:space="0" w:color="auto"/>
              <w:left w:val="nil"/>
              <w:bottom w:val="single" w:sz="4" w:space="0" w:color="auto"/>
              <w:right w:val="single" w:sz="4" w:space="0" w:color="auto"/>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339" w:type="dxa"/>
            <w:gridSpan w:val="2"/>
            <w:tcBorders>
              <w:top w:val="single" w:sz="4" w:space="0" w:color="auto"/>
              <w:left w:val="single" w:sz="4" w:space="0" w:color="auto"/>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1078" w:type="dxa"/>
            <w:gridSpan w:val="2"/>
            <w:tcBorders>
              <w:top w:val="single" w:sz="4" w:space="0" w:color="auto"/>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478" w:type="dxa"/>
            <w:gridSpan w:val="3"/>
            <w:tcBorders>
              <w:top w:val="nil"/>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660" w:type="dxa"/>
            <w:tcBorders>
              <w:top w:val="nil"/>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60" w:type="dxa"/>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379" w:type="dxa"/>
            <w:gridSpan w:val="3"/>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84" w:type="dxa"/>
            <w:gridSpan w:val="3"/>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567" w:type="dxa"/>
            <w:tcBorders>
              <w:top w:val="single" w:sz="4" w:space="0" w:color="auto"/>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626" w:type="dxa"/>
            <w:gridSpan w:val="3"/>
            <w:tcBorders>
              <w:top w:val="single" w:sz="4" w:space="0" w:color="auto"/>
              <w:left w:val="nil"/>
              <w:bottom w:val="nil"/>
              <w:right w:val="single" w:sz="4" w:space="0" w:color="auto"/>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single" w:sz="4" w:space="0" w:color="auto"/>
              <w:left w:val="single" w:sz="4" w:space="0" w:color="auto"/>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432" w:type="dxa"/>
            <w:tcBorders>
              <w:top w:val="single" w:sz="4" w:space="0" w:color="auto"/>
              <w:left w:val="nil"/>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574" w:type="dxa"/>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r>
      <w:tr w:rsidR="008146BD" w:rsidRPr="00F90182" w:rsidTr="007A7D80">
        <w:tc>
          <w:tcPr>
            <w:tcW w:w="413" w:type="dxa"/>
            <w:tcBorders>
              <w:top w:val="nil"/>
              <w:left w:val="nil"/>
              <w:bottom w:val="single" w:sz="4" w:space="0" w:color="auto"/>
              <w:right w:val="single" w:sz="4" w:space="0" w:color="auto"/>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414" w:type="dxa"/>
            <w:tcBorders>
              <w:top w:val="single" w:sz="4" w:space="0" w:color="auto"/>
              <w:left w:val="single" w:sz="4" w:space="0" w:color="auto"/>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tcBorders>
              <w:top w:val="single" w:sz="4" w:space="0" w:color="auto"/>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386" w:type="dxa"/>
            <w:tcBorders>
              <w:top w:val="single" w:sz="4" w:space="0" w:color="auto"/>
              <w:left w:val="nil"/>
              <w:bottom w:val="single" w:sz="4" w:space="0" w:color="auto"/>
              <w:right w:val="single" w:sz="4" w:space="0" w:color="auto"/>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502" w:type="dxa"/>
            <w:gridSpan w:val="2"/>
            <w:tcBorders>
              <w:top w:val="single" w:sz="4" w:space="0" w:color="auto"/>
              <w:left w:val="single" w:sz="4" w:space="0" w:color="auto"/>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single" w:sz="4" w:space="0" w:color="auto"/>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591" w:type="dxa"/>
            <w:tcBorders>
              <w:top w:val="single" w:sz="4" w:space="0" w:color="auto"/>
              <w:left w:val="nil"/>
              <w:bottom w:val="single" w:sz="4" w:space="0" w:color="auto"/>
              <w:right w:val="single" w:sz="4" w:space="0" w:color="auto"/>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489" w:type="dxa"/>
            <w:gridSpan w:val="2"/>
            <w:tcBorders>
              <w:top w:val="single" w:sz="4" w:space="0" w:color="auto"/>
              <w:left w:val="single" w:sz="4" w:space="0" w:color="auto"/>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339" w:type="dxa"/>
            <w:gridSpan w:val="2"/>
            <w:tcBorders>
              <w:top w:val="single" w:sz="4" w:space="0" w:color="auto"/>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660" w:type="dxa"/>
            <w:tcBorders>
              <w:top w:val="single" w:sz="4" w:space="0" w:color="auto"/>
              <w:left w:val="nil"/>
              <w:bottom w:val="single" w:sz="4" w:space="0" w:color="auto"/>
              <w:right w:val="single" w:sz="4" w:space="0" w:color="auto"/>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418" w:type="dxa"/>
            <w:tcBorders>
              <w:top w:val="single" w:sz="4" w:space="0" w:color="auto"/>
              <w:left w:val="single" w:sz="4" w:space="0" w:color="auto"/>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478" w:type="dxa"/>
            <w:gridSpan w:val="3"/>
            <w:tcBorders>
              <w:top w:val="single" w:sz="4" w:space="0" w:color="auto"/>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660" w:type="dxa"/>
            <w:tcBorders>
              <w:top w:val="single" w:sz="4" w:space="0" w:color="auto"/>
              <w:left w:val="nil"/>
              <w:bottom w:val="single" w:sz="4" w:space="0" w:color="auto"/>
              <w:right w:val="single" w:sz="4" w:space="0" w:color="auto"/>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422" w:type="dxa"/>
            <w:gridSpan w:val="2"/>
            <w:tcBorders>
              <w:top w:val="nil"/>
              <w:left w:val="single" w:sz="4" w:space="0" w:color="auto"/>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474" w:type="dxa"/>
            <w:gridSpan w:val="4"/>
            <w:tcBorders>
              <w:top w:val="nil"/>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610" w:type="dxa"/>
            <w:gridSpan w:val="3"/>
            <w:tcBorders>
              <w:top w:val="nil"/>
              <w:left w:val="nil"/>
              <w:bottom w:val="single" w:sz="4" w:space="0" w:color="auto"/>
              <w:right w:val="single" w:sz="4" w:space="0" w:color="auto"/>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610" w:type="dxa"/>
            <w:gridSpan w:val="2"/>
            <w:tcBorders>
              <w:top w:val="single" w:sz="4" w:space="0" w:color="auto"/>
              <w:left w:val="single" w:sz="4" w:space="0" w:color="auto"/>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236" w:type="dxa"/>
            <w:gridSpan w:val="2"/>
            <w:tcBorders>
              <w:top w:val="single" w:sz="4" w:space="0" w:color="auto"/>
              <w:left w:val="nil"/>
              <w:bottom w:val="nil"/>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432" w:type="dxa"/>
            <w:tcBorders>
              <w:top w:val="single" w:sz="4" w:space="0" w:color="auto"/>
              <w:left w:val="nil"/>
              <w:bottom w:val="single" w:sz="4" w:space="0" w:color="auto"/>
              <w:right w:val="single" w:sz="4" w:space="0" w:color="auto"/>
            </w:tcBorders>
          </w:tcPr>
          <w:p w:rsidR="008146BD" w:rsidRPr="00372654" w:rsidRDefault="008146BD" w:rsidP="007A7D80">
            <w:pPr>
              <w:keepLines/>
              <w:widowControl w:val="0"/>
              <w:suppressLineNumbers/>
              <w:jc w:val="both"/>
              <w:rPr>
                <w:rFonts w:ascii="Arial Narrow" w:eastAsia="Times New Roman" w:hAnsi="Arial Narrow"/>
                <w:sz w:val="20"/>
                <w:szCs w:val="20"/>
              </w:rPr>
            </w:pPr>
          </w:p>
        </w:tc>
        <w:tc>
          <w:tcPr>
            <w:tcW w:w="574" w:type="dxa"/>
            <w:tcBorders>
              <w:top w:val="nil"/>
              <w:left w:val="single" w:sz="4" w:space="0" w:color="auto"/>
              <w:bottom w:val="single" w:sz="4" w:space="0" w:color="auto"/>
              <w:right w:val="nil"/>
            </w:tcBorders>
          </w:tcPr>
          <w:p w:rsidR="008146BD" w:rsidRPr="00372654" w:rsidRDefault="008146BD" w:rsidP="007A7D80">
            <w:pPr>
              <w:keepLines/>
              <w:widowControl w:val="0"/>
              <w:suppressLineNumbers/>
              <w:jc w:val="both"/>
              <w:rPr>
                <w:rFonts w:ascii="Arial Narrow" w:eastAsia="Times New Roman" w:hAnsi="Arial Narrow"/>
                <w:sz w:val="20"/>
                <w:szCs w:val="20"/>
              </w:rPr>
            </w:pPr>
          </w:p>
        </w:tc>
      </w:tr>
      <w:tr w:rsidR="008146BD" w:rsidRPr="00F90182" w:rsidTr="007A7D80">
        <w:tc>
          <w:tcPr>
            <w:tcW w:w="827" w:type="dxa"/>
            <w:gridSpan w:val="2"/>
            <w:tcBorders>
              <w:top w:val="single" w:sz="4" w:space="0" w:color="auto"/>
              <w:left w:val="single" w:sz="4" w:space="0" w:color="auto"/>
              <w:bottom w:val="single" w:sz="4" w:space="0" w:color="auto"/>
              <w:right w:val="single" w:sz="4" w:space="0" w:color="auto"/>
            </w:tcBorders>
            <w:vAlign w:val="center"/>
            <w:hideMark/>
          </w:tcPr>
          <w:p w:rsidR="008146BD" w:rsidRPr="00372654" w:rsidRDefault="008146BD" w:rsidP="007A7D80">
            <w:pPr>
              <w:keepLines/>
              <w:widowControl w:val="0"/>
              <w:suppressLineNumbers/>
              <w:ind w:left="-57" w:right="-57"/>
              <w:jc w:val="center"/>
              <w:rPr>
                <w:rFonts w:ascii="Arial Narrow" w:eastAsia="Times New Roman" w:hAnsi="Arial Narrow"/>
                <w:sz w:val="20"/>
                <w:szCs w:val="20"/>
              </w:rPr>
            </w:pPr>
            <w:r w:rsidRPr="00372654">
              <w:rPr>
                <w:rFonts w:ascii="Arial Narrow" w:hAnsi="Arial Narrow"/>
                <w:sz w:val="20"/>
                <w:szCs w:val="20"/>
              </w:rPr>
              <w:t>Instituce</w:t>
            </w:r>
          </w:p>
        </w:tc>
        <w:tc>
          <w:tcPr>
            <w:tcW w:w="236" w:type="dxa"/>
            <w:tcBorders>
              <w:top w:val="nil"/>
              <w:left w:val="single" w:sz="4" w:space="0" w:color="auto"/>
              <w:bottom w:val="nil"/>
              <w:right w:val="single" w:sz="4" w:space="0" w:color="auto"/>
            </w:tcBorders>
            <w:vAlign w:val="center"/>
          </w:tcPr>
          <w:p w:rsidR="008146BD" w:rsidRPr="00372654" w:rsidRDefault="008146BD" w:rsidP="007A7D80">
            <w:pPr>
              <w:keepLines/>
              <w:widowControl w:val="0"/>
              <w:suppressLineNumbers/>
              <w:ind w:left="-57" w:right="-57"/>
              <w:jc w:val="center"/>
              <w:rPr>
                <w:rFonts w:ascii="Arial Narrow" w:eastAsia="Times New Roman" w:hAnsi="Arial Narrow"/>
                <w:sz w:val="20"/>
                <w:szCs w:val="20"/>
              </w:rPr>
            </w:pP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8146BD" w:rsidRPr="00372654" w:rsidRDefault="008146BD" w:rsidP="007A7D80">
            <w:pPr>
              <w:keepLines/>
              <w:widowControl w:val="0"/>
              <w:suppressLineNumbers/>
              <w:ind w:left="-57" w:right="-57"/>
              <w:jc w:val="center"/>
              <w:rPr>
                <w:rFonts w:ascii="Arial Narrow" w:eastAsia="Times New Roman" w:hAnsi="Arial Narrow"/>
                <w:sz w:val="20"/>
                <w:szCs w:val="20"/>
              </w:rPr>
            </w:pPr>
            <w:r w:rsidRPr="00372654">
              <w:rPr>
                <w:rFonts w:ascii="Arial Narrow" w:hAnsi="Arial Narrow"/>
                <w:sz w:val="20"/>
                <w:szCs w:val="20"/>
              </w:rPr>
              <w:t>Lidský kapitál a výzkum</w:t>
            </w:r>
          </w:p>
        </w:tc>
        <w:tc>
          <w:tcPr>
            <w:tcW w:w="236" w:type="dxa"/>
            <w:gridSpan w:val="2"/>
            <w:tcBorders>
              <w:top w:val="nil"/>
              <w:left w:val="single" w:sz="4" w:space="0" w:color="auto"/>
              <w:bottom w:val="nil"/>
              <w:right w:val="single" w:sz="4" w:space="0" w:color="auto"/>
            </w:tcBorders>
            <w:vAlign w:val="center"/>
          </w:tcPr>
          <w:p w:rsidR="008146BD" w:rsidRPr="00372654" w:rsidRDefault="008146BD" w:rsidP="007A7D80">
            <w:pPr>
              <w:keepLines/>
              <w:widowControl w:val="0"/>
              <w:suppressLineNumbers/>
              <w:ind w:left="-57" w:right="-57"/>
              <w:jc w:val="center"/>
              <w:rPr>
                <w:rFonts w:ascii="Arial Narrow" w:eastAsia="Times New Roman" w:hAnsi="Arial Narrow"/>
                <w:sz w:val="20"/>
                <w:szCs w:val="20"/>
              </w:rPr>
            </w:pP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rsidR="008146BD" w:rsidRPr="00372654" w:rsidRDefault="008146BD" w:rsidP="007A7D80">
            <w:pPr>
              <w:keepLines/>
              <w:widowControl w:val="0"/>
              <w:suppressLineNumbers/>
              <w:ind w:left="-57" w:right="-57"/>
              <w:jc w:val="center"/>
              <w:rPr>
                <w:rFonts w:ascii="Arial Narrow" w:eastAsia="Times New Roman" w:hAnsi="Arial Narrow"/>
                <w:sz w:val="20"/>
                <w:szCs w:val="20"/>
              </w:rPr>
            </w:pPr>
            <w:r w:rsidRPr="00372654">
              <w:rPr>
                <w:rFonts w:ascii="Arial Narrow" w:hAnsi="Arial Narrow"/>
                <w:sz w:val="20"/>
                <w:szCs w:val="20"/>
              </w:rPr>
              <w:t>Infra-struktura</w:t>
            </w:r>
          </w:p>
        </w:tc>
        <w:tc>
          <w:tcPr>
            <w:tcW w:w="339" w:type="dxa"/>
            <w:gridSpan w:val="2"/>
            <w:tcBorders>
              <w:top w:val="nil"/>
              <w:left w:val="single" w:sz="4" w:space="0" w:color="auto"/>
              <w:bottom w:val="nil"/>
              <w:right w:val="single" w:sz="4" w:space="0" w:color="auto"/>
            </w:tcBorders>
            <w:vAlign w:val="center"/>
          </w:tcPr>
          <w:p w:rsidR="008146BD" w:rsidRPr="00372654" w:rsidRDefault="008146BD" w:rsidP="007A7D80">
            <w:pPr>
              <w:keepLines/>
              <w:widowControl w:val="0"/>
              <w:suppressLineNumbers/>
              <w:ind w:left="-57" w:right="-57"/>
              <w:jc w:val="center"/>
              <w:rPr>
                <w:rFonts w:ascii="Arial Narrow" w:eastAsia="Times New Roman" w:hAnsi="Arial Narrow"/>
                <w:sz w:val="20"/>
                <w:szCs w:val="20"/>
              </w:rPr>
            </w:pPr>
          </w:p>
        </w:tc>
        <w:tc>
          <w:tcPr>
            <w:tcW w:w="1078" w:type="dxa"/>
            <w:gridSpan w:val="2"/>
            <w:tcBorders>
              <w:top w:val="single" w:sz="4" w:space="0" w:color="auto"/>
              <w:left w:val="single" w:sz="4" w:space="0" w:color="auto"/>
              <w:bottom w:val="single" w:sz="4" w:space="0" w:color="auto"/>
              <w:right w:val="single" w:sz="4" w:space="0" w:color="auto"/>
            </w:tcBorders>
            <w:vAlign w:val="center"/>
            <w:hideMark/>
          </w:tcPr>
          <w:p w:rsidR="008146BD" w:rsidRPr="00372654" w:rsidRDefault="008146BD" w:rsidP="007A7D80">
            <w:pPr>
              <w:keepLines/>
              <w:widowControl w:val="0"/>
              <w:suppressLineNumbers/>
              <w:ind w:left="-57" w:right="-57"/>
              <w:jc w:val="center"/>
              <w:rPr>
                <w:rFonts w:ascii="Arial Narrow" w:eastAsia="Times New Roman" w:hAnsi="Arial Narrow"/>
                <w:sz w:val="20"/>
                <w:szCs w:val="20"/>
              </w:rPr>
            </w:pPr>
            <w:r w:rsidRPr="00372654">
              <w:rPr>
                <w:rFonts w:ascii="Arial Narrow" w:hAnsi="Arial Narrow"/>
                <w:sz w:val="20"/>
                <w:szCs w:val="20"/>
              </w:rPr>
              <w:t>Sofistiko-vanost trhu</w:t>
            </w:r>
          </w:p>
        </w:tc>
        <w:tc>
          <w:tcPr>
            <w:tcW w:w="478" w:type="dxa"/>
            <w:gridSpan w:val="3"/>
            <w:tcBorders>
              <w:top w:val="nil"/>
              <w:left w:val="single" w:sz="4" w:space="0" w:color="auto"/>
              <w:bottom w:val="nil"/>
              <w:right w:val="single" w:sz="4" w:space="0" w:color="auto"/>
            </w:tcBorders>
            <w:vAlign w:val="center"/>
          </w:tcPr>
          <w:p w:rsidR="008146BD" w:rsidRPr="00372654" w:rsidRDefault="008146BD" w:rsidP="007A7D80">
            <w:pPr>
              <w:keepLines/>
              <w:widowControl w:val="0"/>
              <w:suppressLineNumbers/>
              <w:ind w:left="-57" w:right="-57"/>
              <w:jc w:val="center"/>
              <w:rPr>
                <w:rFonts w:ascii="Arial Narrow" w:eastAsia="Times New Roman" w:hAnsi="Arial Narrow"/>
                <w:sz w:val="20"/>
                <w:szCs w:val="20"/>
              </w:rPr>
            </w:pPr>
          </w:p>
        </w:tc>
        <w:tc>
          <w:tcPr>
            <w:tcW w:w="1082" w:type="dxa"/>
            <w:gridSpan w:val="3"/>
            <w:tcBorders>
              <w:top w:val="single" w:sz="4" w:space="0" w:color="auto"/>
              <w:left w:val="single" w:sz="4" w:space="0" w:color="auto"/>
              <w:bottom w:val="single" w:sz="4" w:space="0" w:color="auto"/>
              <w:right w:val="single" w:sz="4" w:space="0" w:color="auto"/>
            </w:tcBorders>
            <w:vAlign w:val="center"/>
            <w:hideMark/>
          </w:tcPr>
          <w:p w:rsidR="008146BD" w:rsidRPr="00372654" w:rsidRDefault="008146BD" w:rsidP="007A7D80">
            <w:pPr>
              <w:keepLines/>
              <w:widowControl w:val="0"/>
              <w:suppressLineNumbers/>
              <w:ind w:left="-57" w:right="-57"/>
              <w:jc w:val="center"/>
              <w:rPr>
                <w:rFonts w:ascii="Arial Narrow" w:eastAsia="Times New Roman" w:hAnsi="Arial Narrow"/>
                <w:sz w:val="20"/>
                <w:szCs w:val="20"/>
              </w:rPr>
            </w:pPr>
            <w:r w:rsidRPr="00372654">
              <w:rPr>
                <w:rFonts w:ascii="Arial Narrow" w:hAnsi="Arial Narrow"/>
                <w:sz w:val="20"/>
                <w:szCs w:val="20"/>
              </w:rPr>
              <w:t>Sofistiko-vanost podniků</w:t>
            </w:r>
          </w:p>
        </w:tc>
        <w:tc>
          <w:tcPr>
            <w:tcW w:w="474" w:type="dxa"/>
            <w:gridSpan w:val="4"/>
            <w:tcBorders>
              <w:top w:val="nil"/>
              <w:left w:val="single" w:sz="4" w:space="0" w:color="auto"/>
              <w:bottom w:val="nil"/>
              <w:right w:val="single" w:sz="4" w:space="0" w:color="auto"/>
            </w:tcBorders>
            <w:vAlign w:val="center"/>
          </w:tcPr>
          <w:p w:rsidR="008146BD" w:rsidRPr="00372654" w:rsidRDefault="008146BD" w:rsidP="007A7D80">
            <w:pPr>
              <w:keepLines/>
              <w:widowControl w:val="0"/>
              <w:suppressLineNumbers/>
              <w:ind w:left="-57" w:right="-57"/>
              <w:jc w:val="center"/>
              <w:rPr>
                <w:rFonts w:ascii="Arial Narrow" w:eastAsia="Times New Roman" w:hAnsi="Arial Narrow"/>
                <w:sz w:val="20"/>
                <w:szCs w:val="20"/>
              </w:rPr>
            </w:pPr>
          </w:p>
        </w:tc>
        <w:tc>
          <w:tcPr>
            <w:tcW w:w="1220" w:type="dxa"/>
            <w:gridSpan w:val="5"/>
            <w:tcBorders>
              <w:top w:val="single" w:sz="4" w:space="0" w:color="auto"/>
              <w:left w:val="single" w:sz="4" w:space="0" w:color="auto"/>
              <w:bottom w:val="single" w:sz="4" w:space="0" w:color="auto"/>
              <w:right w:val="single" w:sz="4" w:space="0" w:color="auto"/>
            </w:tcBorders>
            <w:vAlign w:val="center"/>
            <w:hideMark/>
          </w:tcPr>
          <w:p w:rsidR="008146BD" w:rsidRPr="00372654" w:rsidRDefault="008146BD" w:rsidP="007A7D80">
            <w:pPr>
              <w:keepLines/>
              <w:widowControl w:val="0"/>
              <w:suppressLineNumbers/>
              <w:ind w:left="-57" w:right="-57"/>
              <w:jc w:val="center"/>
              <w:rPr>
                <w:rFonts w:ascii="Arial Narrow" w:eastAsia="Times New Roman" w:hAnsi="Arial Narrow"/>
                <w:sz w:val="20"/>
                <w:szCs w:val="20"/>
              </w:rPr>
            </w:pPr>
            <w:r w:rsidRPr="00372654">
              <w:rPr>
                <w:rFonts w:ascii="Arial Narrow" w:hAnsi="Arial Narrow"/>
                <w:sz w:val="20"/>
                <w:szCs w:val="20"/>
              </w:rPr>
              <w:t>Znalosti a technologické výstupy</w:t>
            </w:r>
          </w:p>
        </w:tc>
        <w:tc>
          <w:tcPr>
            <w:tcW w:w="236" w:type="dxa"/>
            <w:gridSpan w:val="2"/>
            <w:tcBorders>
              <w:top w:val="nil"/>
              <w:left w:val="single" w:sz="4" w:space="0" w:color="auto"/>
              <w:bottom w:val="nil"/>
              <w:right w:val="single" w:sz="4" w:space="0" w:color="auto"/>
            </w:tcBorders>
            <w:vAlign w:val="center"/>
          </w:tcPr>
          <w:p w:rsidR="008146BD" w:rsidRPr="00372654" w:rsidRDefault="008146BD" w:rsidP="007A7D80">
            <w:pPr>
              <w:keepLines/>
              <w:widowControl w:val="0"/>
              <w:suppressLineNumbers/>
              <w:ind w:left="-57" w:right="-57"/>
              <w:jc w:val="center"/>
              <w:rPr>
                <w:rFonts w:ascii="Arial Narrow" w:eastAsia="Times New Roman" w:hAnsi="Arial Narrow"/>
                <w:sz w:val="20"/>
                <w:szCs w:val="20"/>
              </w:rPr>
            </w:pPr>
          </w:p>
        </w:tc>
        <w:tc>
          <w:tcPr>
            <w:tcW w:w="1006" w:type="dxa"/>
            <w:gridSpan w:val="2"/>
            <w:tcBorders>
              <w:top w:val="single" w:sz="4" w:space="0" w:color="auto"/>
              <w:left w:val="single" w:sz="4" w:space="0" w:color="auto"/>
              <w:bottom w:val="single" w:sz="4" w:space="0" w:color="auto"/>
              <w:right w:val="single" w:sz="4" w:space="0" w:color="auto"/>
            </w:tcBorders>
            <w:vAlign w:val="center"/>
            <w:hideMark/>
          </w:tcPr>
          <w:p w:rsidR="008146BD" w:rsidRPr="00372654" w:rsidRDefault="008146BD" w:rsidP="007A7D80">
            <w:pPr>
              <w:keepLines/>
              <w:widowControl w:val="0"/>
              <w:suppressLineNumbers/>
              <w:ind w:left="-57" w:right="-57"/>
              <w:jc w:val="center"/>
              <w:rPr>
                <w:rFonts w:ascii="Arial Narrow" w:eastAsia="Times New Roman" w:hAnsi="Arial Narrow"/>
                <w:sz w:val="20"/>
                <w:szCs w:val="20"/>
              </w:rPr>
            </w:pPr>
            <w:r w:rsidRPr="00372654">
              <w:rPr>
                <w:rFonts w:ascii="Arial Narrow" w:hAnsi="Arial Narrow"/>
                <w:sz w:val="20"/>
                <w:szCs w:val="20"/>
              </w:rPr>
              <w:t>Kreativní výstupy</w:t>
            </w:r>
          </w:p>
        </w:tc>
      </w:tr>
    </w:tbl>
    <w:p w:rsidR="008146BD" w:rsidRPr="006B61FE" w:rsidRDefault="006B61FE" w:rsidP="008F753A">
      <w:pPr>
        <w:pStyle w:val="0G-Titulek"/>
        <w:spacing w:before="200"/>
        <w:ind w:firstLine="0"/>
      </w:pPr>
      <w:bookmarkStart w:id="178" w:name="_Toc382326844"/>
      <w:r w:rsidRPr="006B61FE">
        <w:t>Obrázek 40</w:t>
      </w:r>
      <w:r w:rsidR="008146BD" w:rsidRPr="006B61FE">
        <w:t>: Metodika sestavení Globálního inovačního indexu</w:t>
      </w:r>
      <w:bookmarkEnd w:id="178"/>
    </w:p>
    <w:p w:rsidR="008146BD" w:rsidRPr="00F90182" w:rsidRDefault="008146BD" w:rsidP="00E6724F">
      <w:pPr>
        <w:keepLines/>
        <w:widowControl w:val="0"/>
        <w:suppressLineNumbers/>
        <w:jc w:val="center"/>
        <w:rPr>
          <w:rFonts w:ascii="Calibri" w:hAnsi="Calibri" w:cs="Calibri"/>
          <w:i/>
          <w:lang w:val="en-GB"/>
        </w:rPr>
      </w:pPr>
      <w:r w:rsidRPr="00F90182">
        <w:rPr>
          <w:rFonts w:ascii="Calibri" w:hAnsi="Calibri" w:cs="Calibri"/>
          <w:i/>
          <w:lang w:val="en-GB"/>
        </w:rPr>
        <w:t>Pramen: Cornell University, INSEAD, WIPO, 2013</w:t>
      </w:r>
    </w:p>
    <w:p w:rsidR="008146BD" w:rsidRPr="00F90182" w:rsidRDefault="008146BD" w:rsidP="008146BD">
      <w:pPr>
        <w:keepLines/>
        <w:suppressLineNumbers/>
        <w:spacing w:before="200"/>
        <w:ind w:firstLine="720"/>
        <w:jc w:val="both"/>
        <w:rPr>
          <w:sz w:val="24"/>
          <w:szCs w:val="24"/>
        </w:rPr>
      </w:pPr>
      <w:r w:rsidRPr="00F90182">
        <w:rPr>
          <w:sz w:val="24"/>
          <w:szCs w:val="24"/>
        </w:rPr>
        <w:lastRenderedPageBreak/>
        <w:t xml:space="preserve">GII 2013 hodnotí 142 zemí pomocí 84 individuálních ukazatelů. Maximální hodnota inovačního indexu je 100. V první desítce se vyskytují zejména evropské země. </w:t>
      </w:r>
    </w:p>
    <w:p w:rsidR="008146BD" w:rsidRPr="00F90182" w:rsidRDefault="008146BD" w:rsidP="006B61FE">
      <w:pPr>
        <w:pStyle w:val="0T-Titulek"/>
        <w:rPr>
          <w:lang w:val="en-GB"/>
        </w:rPr>
      </w:pPr>
      <w:bookmarkStart w:id="179" w:name="_Toc382326478"/>
      <w:r w:rsidRPr="00740291">
        <w:rPr>
          <w:lang w:val="en-GB"/>
        </w:rPr>
        <w:t>Tabulka 5</w:t>
      </w:r>
      <w:r>
        <w:rPr>
          <w:lang w:val="en-GB"/>
        </w:rPr>
        <w:t>1</w:t>
      </w:r>
      <w:r w:rsidRPr="00740291">
        <w:rPr>
          <w:lang w:val="en-GB"/>
        </w:rPr>
        <w:t xml:space="preserve">: Globální </w:t>
      </w:r>
      <w:r w:rsidRPr="00260C64">
        <w:rPr>
          <w:lang w:val="en-GB"/>
        </w:rPr>
        <w:t>inovační</w:t>
      </w:r>
      <w:r w:rsidRPr="00F90182">
        <w:rPr>
          <w:lang w:val="en-GB"/>
        </w:rPr>
        <w:t xml:space="preserve"> index 2013</w:t>
      </w:r>
      <w:bookmarkEnd w:id="179"/>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8"/>
        <w:gridCol w:w="881"/>
        <w:gridCol w:w="881"/>
        <w:gridCol w:w="881"/>
        <w:gridCol w:w="881"/>
        <w:gridCol w:w="881"/>
        <w:gridCol w:w="896"/>
      </w:tblGrid>
      <w:tr w:rsidR="008146BD" w:rsidRPr="00F90182" w:rsidTr="007A7D80">
        <w:trPr>
          <w:trHeight w:hRule="exact" w:val="312"/>
          <w:tblCellSpacing w:w="15" w:type="dxa"/>
          <w:jc w:val="center"/>
        </w:trPr>
        <w:tc>
          <w:tcPr>
            <w:tcW w:w="2173"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146BD" w:rsidRPr="00372654" w:rsidRDefault="008146BD" w:rsidP="007A7D80">
            <w:pPr>
              <w:keepLines/>
              <w:suppressLineNumbers/>
              <w:spacing w:after="0"/>
              <w:rPr>
                <w:rFonts w:asciiTheme="minorHAnsi" w:hAnsiTheme="minorHAnsi" w:cstheme="minorHAnsi"/>
                <w:b/>
                <w:lang w:eastAsia="en-GB"/>
              </w:rPr>
            </w:pPr>
            <w:r w:rsidRPr="00372654">
              <w:rPr>
                <w:rFonts w:asciiTheme="minorHAnsi" w:hAnsiTheme="minorHAnsi" w:cstheme="minorHAnsi"/>
                <w:b/>
                <w:lang w:eastAsia="en-GB"/>
              </w:rPr>
              <w:t>Země</w:t>
            </w:r>
          </w:p>
        </w:tc>
        <w:tc>
          <w:tcPr>
            <w:tcW w:w="85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b/>
                <w:lang w:eastAsia="en-GB"/>
              </w:rPr>
            </w:pPr>
            <w:r w:rsidRPr="00372654">
              <w:rPr>
                <w:rFonts w:asciiTheme="minorHAnsi" w:hAnsiTheme="minorHAnsi" w:cstheme="minorHAnsi"/>
                <w:b/>
                <w:lang w:eastAsia="en-GB"/>
              </w:rPr>
              <w:t>GII 2013</w:t>
            </w:r>
          </w:p>
        </w:tc>
        <w:tc>
          <w:tcPr>
            <w:tcW w:w="85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b/>
                <w:lang w:eastAsia="en-GB"/>
              </w:rPr>
            </w:pPr>
            <w:r w:rsidRPr="00372654">
              <w:rPr>
                <w:rFonts w:asciiTheme="minorHAnsi" w:hAnsiTheme="minorHAnsi" w:cstheme="minorHAnsi"/>
                <w:b/>
                <w:lang w:eastAsia="en-GB"/>
              </w:rPr>
              <w:t>Inovační vstupy</w:t>
            </w:r>
          </w:p>
        </w:tc>
        <w:tc>
          <w:tcPr>
            <w:tcW w:w="85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b/>
                <w:lang w:eastAsia="en-GB"/>
              </w:rPr>
            </w:pPr>
            <w:r w:rsidRPr="00372654">
              <w:rPr>
                <w:rFonts w:asciiTheme="minorHAnsi" w:hAnsiTheme="minorHAnsi" w:cstheme="minorHAnsi"/>
                <w:b/>
                <w:lang w:eastAsia="en-GB"/>
              </w:rPr>
              <w:t>Inovační výstupy</w:t>
            </w:r>
          </w:p>
        </w:tc>
      </w:tr>
      <w:tr w:rsidR="008146BD" w:rsidRPr="00F90182" w:rsidTr="007A7D80">
        <w:trPr>
          <w:trHeight w:hRule="exact" w:val="312"/>
          <w:tblCellSpacing w:w="15" w:type="dxa"/>
          <w:jc w:val="center"/>
        </w:trPr>
        <w:tc>
          <w:tcPr>
            <w:tcW w:w="2128" w:type="dxa"/>
            <w:vMerge/>
            <w:tcBorders>
              <w:top w:val="single" w:sz="4" w:space="0" w:color="auto"/>
              <w:left w:val="single" w:sz="4" w:space="0" w:color="auto"/>
              <w:bottom w:val="single" w:sz="4" w:space="0" w:color="auto"/>
              <w:right w:val="single" w:sz="4" w:space="0" w:color="auto"/>
            </w:tcBorders>
            <w:vAlign w:val="center"/>
            <w:hideMark/>
          </w:tcPr>
          <w:p w:rsidR="008146BD" w:rsidRPr="00372654" w:rsidRDefault="008146BD" w:rsidP="007A7D80">
            <w:pPr>
              <w:keepLines/>
              <w:suppressLineNumbers/>
              <w:spacing w:after="0"/>
              <w:rPr>
                <w:rFonts w:asciiTheme="minorHAnsi" w:hAnsiTheme="minorHAnsi" w:cstheme="minorHAnsi"/>
                <w:b/>
                <w:lang w:eastAsia="en-GB"/>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b/>
                <w:lang w:eastAsia="en-GB"/>
              </w:rPr>
            </w:pPr>
            <w:r w:rsidRPr="00372654">
              <w:rPr>
                <w:rFonts w:asciiTheme="minorHAnsi" w:hAnsiTheme="minorHAnsi" w:cstheme="minorHAnsi"/>
                <w:b/>
                <w:lang w:eastAsia="en-GB"/>
              </w:rPr>
              <w:t>Pořadí</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b/>
                <w:lang w:eastAsia="en-GB"/>
              </w:rPr>
            </w:pPr>
            <w:r w:rsidRPr="00372654">
              <w:rPr>
                <w:rFonts w:asciiTheme="minorHAnsi" w:hAnsiTheme="minorHAnsi" w:cstheme="minorHAnsi"/>
                <w:b/>
                <w:lang w:eastAsia="en-GB"/>
              </w:rPr>
              <w:t>Skóre</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b/>
                <w:lang w:eastAsia="en-GB"/>
              </w:rPr>
            </w:pPr>
            <w:r w:rsidRPr="00372654">
              <w:rPr>
                <w:rFonts w:asciiTheme="minorHAnsi" w:hAnsiTheme="minorHAnsi" w:cstheme="minorHAnsi"/>
                <w:b/>
                <w:lang w:eastAsia="en-GB"/>
              </w:rPr>
              <w:t>Pořadí</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b/>
                <w:lang w:eastAsia="en-GB"/>
              </w:rPr>
            </w:pPr>
            <w:r w:rsidRPr="00372654">
              <w:rPr>
                <w:rFonts w:asciiTheme="minorHAnsi" w:hAnsiTheme="minorHAnsi" w:cstheme="minorHAnsi"/>
                <w:b/>
                <w:lang w:eastAsia="en-GB"/>
              </w:rPr>
              <w:t>Skóre</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b/>
                <w:lang w:eastAsia="en-GB"/>
              </w:rPr>
            </w:pPr>
            <w:r w:rsidRPr="00372654">
              <w:rPr>
                <w:rFonts w:asciiTheme="minorHAnsi" w:hAnsiTheme="minorHAnsi" w:cstheme="minorHAnsi"/>
                <w:b/>
                <w:lang w:eastAsia="en-GB"/>
              </w:rPr>
              <w:t>Pořadí</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b/>
                <w:lang w:eastAsia="en-GB"/>
              </w:rPr>
            </w:pPr>
            <w:r w:rsidRPr="00372654">
              <w:rPr>
                <w:rFonts w:asciiTheme="minorHAnsi" w:hAnsiTheme="minorHAnsi" w:cstheme="minorHAnsi"/>
                <w:b/>
                <w:lang w:eastAsia="en-GB"/>
              </w:rPr>
              <w:t>Skóre</w:t>
            </w:r>
          </w:p>
        </w:tc>
      </w:tr>
      <w:tr w:rsidR="008146BD" w:rsidRPr="00F90182" w:rsidTr="007A7D80">
        <w:trPr>
          <w:trHeight w:hRule="exact" w:val="312"/>
          <w:tblCellSpacing w:w="15" w:type="dxa"/>
          <w:jc w:val="center"/>
        </w:trPr>
        <w:tc>
          <w:tcPr>
            <w:tcW w:w="21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rPr>
                <w:rFonts w:asciiTheme="minorHAnsi" w:hAnsiTheme="minorHAnsi" w:cstheme="minorHAnsi"/>
                <w:lang w:eastAsia="en-GB"/>
              </w:rPr>
            </w:pPr>
            <w:r w:rsidRPr="00372654">
              <w:rPr>
                <w:rFonts w:asciiTheme="minorHAnsi" w:hAnsiTheme="minorHAnsi" w:cstheme="minorHAnsi"/>
                <w:lang w:eastAsia="en-GB"/>
              </w:rPr>
              <w:t>Švýcarsko</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66,59</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7</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66,52</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66,65</w:t>
            </w:r>
          </w:p>
        </w:tc>
      </w:tr>
      <w:tr w:rsidR="008146BD" w:rsidRPr="00F90182" w:rsidTr="007A7D80">
        <w:trPr>
          <w:trHeight w:hRule="exact" w:val="312"/>
          <w:tblCellSpacing w:w="15" w:type="dxa"/>
          <w:jc w:val="center"/>
        </w:trPr>
        <w:tc>
          <w:tcPr>
            <w:tcW w:w="21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rPr>
                <w:rFonts w:asciiTheme="minorHAnsi" w:hAnsiTheme="minorHAnsi" w:cstheme="minorHAnsi"/>
                <w:lang w:eastAsia="en-GB"/>
              </w:rPr>
            </w:pPr>
            <w:r w:rsidRPr="00372654">
              <w:rPr>
                <w:rFonts w:asciiTheme="minorHAnsi" w:hAnsiTheme="minorHAnsi" w:cstheme="minorHAnsi"/>
                <w:lang w:eastAsia="en-GB"/>
              </w:rPr>
              <w:t xml:space="preserve">Švédsko </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2</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61,6</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5</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67,86</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3</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54,86</w:t>
            </w:r>
          </w:p>
        </w:tc>
      </w:tr>
      <w:tr w:rsidR="008146BD" w:rsidRPr="00F90182" w:rsidTr="007A7D80">
        <w:trPr>
          <w:trHeight w:hRule="exact" w:val="312"/>
          <w:tblCellSpacing w:w="15" w:type="dxa"/>
          <w:jc w:val="center"/>
        </w:trPr>
        <w:tc>
          <w:tcPr>
            <w:tcW w:w="21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rPr>
                <w:rFonts w:asciiTheme="minorHAnsi" w:hAnsiTheme="minorHAnsi" w:cstheme="minorHAnsi"/>
                <w:lang w:eastAsia="en-GB"/>
              </w:rPr>
            </w:pPr>
            <w:r w:rsidRPr="00372654">
              <w:rPr>
                <w:rFonts w:asciiTheme="minorHAnsi" w:hAnsiTheme="minorHAnsi" w:cstheme="minorHAnsi"/>
                <w:lang w:eastAsia="en-GB"/>
              </w:rPr>
              <w:t>Spojené Království</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3</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61,25</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68,20</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54,30</w:t>
            </w:r>
          </w:p>
        </w:tc>
      </w:tr>
      <w:tr w:rsidR="008146BD" w:rsidRPr="00F90182" w:rsidTr="007A7D80">
        <w:trPr>
          <w:trHeight w:hRule="exact" w:val="312"/>
          <w:tblCellSpacing w:w="15" w:type="dxa"/>
          <w:jc w:val="center"/>
        </w:trPr>
        <w:tc>
          <w:tcPr>
            <w:tcW w:w="21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rPr>
                <w:rFonts w:asciiTheme="minorHAnsi" w:hAnsiTheme="minorHAnsi" w:cstheme="minorHAnsi"/>
                <w:lang w:eastAsia="en-GB"/>
              </w:rPr>
            </w:pPr>
            <w:r w:rsidRPr="00372654">
              <w:rPr>
                <w:rFonts w:asciiTheme="minorHAnsi" w:hAnsiTheme="minorHAnsi" w:cstheme="minorHAnsi"/>
                <w:lang w:eastAsia="en-GB"/>
              </w:rPr>
              <w:t>Nizozemí</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61,14</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10</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64,18</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2</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58,09</w:t>
            </w:r>
          </w:p>
        </w:tc>
      </w:tr>
      <w:tr w:rsidR="008146BD" w:rsidRPr="00F90182" w:rsidTr="007A7D80">
        <w:trPr>
          <w:trHeight w:hRule="exact" w:val="312"/>
          <w:tblCellSpacing w:w="15" w:type="dxa"/>
          <w:jc w:val="center"/>
        </w:trPr>
        <w:tc>
          <w:tcPr>
            <w:tcW w:w="21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rPr>
                <w:rFonts w:asciiTheme="minorHAnsi" w:hAnsiTheme="minorHAnsi" w:cstheme="minorHAnsi"/>
                <w:lang w:eastAsia="en-GB"/>
              </w:rPr>
            </w:pPr>
            <w:r w:rsidRPr="00372654">
              <w:rPr>
                <w:rFonts w:asciiTheme="minorHAnsi" w:hAnsiTheme="minorHAnsi" w:cstheme="minorHAnsi"/>
                <w:lang w:eastAsia="en-GB"/>
              </w:rPr>
              <w:t>USA</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5</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60,31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3</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69,19</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12</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51,42</w:t>
            </w:r>
          </w:p>
        </w:tc>
      </w:tr>
      <w:tr w:rsidR="008146BD" w:rsidRPr="00F90182" w:rsidTr="007A7D80">
        <w:trPr>
          <w:trHeight w:hRule="exact" w:val="312"/>
          <w:tblCellSpacing w:w="15" w:type="dxa"/>
          <w:jc w:val="center"/>
        </w:trPr>
        <w:tc>
          <w:tcPr>
            <w:tcW w:w="21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rPr>
                <w:rFonts w:asciiTheme="minorHAnsi" w:hAnsiTheme="minorHAnsi" w:cstheme="minorHAnsi"/>
                <w:lang w:eastAsia="en-GB"/>
              </w:rPr>
            </w:pPr>
            <w:r w:rsidRPr="00372654">
              <w:rPr>
                <w:rFonts w:asciiTheme="minorHAnsi" w:hAnsiTheme="minorHAnsi" w:cstheme="minorHAnsi"/>
                <w:lang w:eastAsia="en-GB"/>
              </w:rPr>
              <w:t>Finsko</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59,51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66,67</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8</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52,35</w:t>
            </w:r>
          </w:p>
        </w:tc>
      </w:tr>
      <w:tr w:rsidR="008146BD" w:rsidRPr="00F90182" w:rsidTr="007A7D80">
        <w:trPr>
          <w:trHeight w:hRule="exact" w:val="312"/>
          <w:tblCellSpacing w:w="15" w:type="dxa"/>
          <w:jc w:val="center"/>
        </w:trPr>
        <w:tc>
          <w:tcPr>
            <w:tcW w:w="21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rPr>
                <w:rFonts w:asciiTheme="minorHAnsi" w:hAnsiTheme="minorHAnsi" w:cstheme="minorHAnsi"/>
                <w:lang w:eastAsia="en-GB"/>
              </w:rPr>
            </w:pPr>
            <w:r w:rsidRPr="00372654">
              <w:rPr>
                <w:rFonts w:asciiTheme="minorHAnsi" w:hAnsiTheme="minorHAnsi" w:cstheme="minorHAnsi"/>
                <w:lang w:eastAsia="en-GB"/>
              </w:rPr>
              <w:t>Hong Kong</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7</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59,43</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2</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70,65</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15</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48,21</w:t>
            </w:r>
          </w:p>
        </w:tc>
      </w:tr>
      <w:tr w:rsidR="008146BD" w:rsidRPr="00F90182" w:rsidTr="007A7D80">
        <w:trPr>
          <w:trHeight w:hRule="exact" w:val="312"/>
          <w:tblCellSpacing w:w="15" w:type="dxa"/>
          <w:jc w:val="center"/>
        </w:trPr>
        <w:tc>
          <w:tcPr>
            <w:tcW w:w="21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rPr>
                <w:rFonts w:asciiTheme="minorHAnsi" w:hAnsiTheme="minorHAnsi" w:cstheme="minorHAnsi"/>
                <w:lang w:eastAsia="en-GB"/>
              </w:rPr>
            </w:pPr>
            <w:r w:rsidRPr="00372654">
              <w:rPr>
                <w:rFonts w:asciiTheme="minorHAnsi" w:hAnsiTheme="minorHAnsi" w:cstheme="minorHAnsi"/>
                <w:lang w:eastAsia="en-GB"/>
              </w:rPr>
              <w:t>Singapur</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8</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59,41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72,27</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18</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46,56</w:t>
            </w:r>
          </w:p>
        </w:tc>
      </w:tr>
      <w:tr w:rsidR="008146BD" w:rsidRPr="00F90182" w:rsidTr="007A7D80">
        <w:trPr>
          <w:trHeight w:hRule="exact" w:val="312"/>
          <w:tblCellSpacing w:w="15" w:type="dxa"/>
          <w:jc w:val="center"/>
        </w:trPr>
        <w:tc>
          <w:tcPr>
            <w:tcW w:w="21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rPr>
                <w:rFonts w:asciiTheme="minorHAnsi" w:hAnsiTheme="minorHAnsi" w:cstheme="minorHAnsi"/>
                <w:lang w:eastAsia="en-GB"/>
              </w:rPr>
            </w:pPr>
            <w:r w:rsidRPr="00372654">
              <w:rPr>
                <w:rFonts w:asciiTheme="minorHAnsi" w:hAnsiTheme="minorHAnsi" w:cstheme="minorHAnsi"/>
                <w:lang w:eastAsia="en-GB"/>
              </w:rPr>
              <w:t>Dánsko</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9</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58,34</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8</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66,34</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14</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50,35</w:t>
            </w:r>
          </w:p>
        </w:tc>
      </w:tr>
      <w:tr w:rsidR="008146BD" w:rsidRPr="00F90182" w:rsidTr="007A7D80">
        <w:trPr>
          <w:trHeight w:hRule="exact" w:val="312"/>
          <w:tblCellSpacing w:w="15" w:type="dxa"/>
          <w:jc w:val="center"/>
        </w:trPr>
        <w:tc>
          <w:tcPr>
            <w:tcW w:w="21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rPr>
                <w:rFonts w:asciiTheme="minorHAnsi" w:hAnsiTheme="minorHAnsi" w:cstheme="minorHAnsi"/>
                <w:lang w:eastAsia="en-GB"/>
              </w:rPr>
            </w:pPr>
            <w:r w:rsidRPr="00372654">
              <w:rPr>
                <w:rFonts w:asciiTheme="minorHAnsi" w:hAnsiTheme="minorHAnsi" w:cstheme="minorHAnsi"/>
                <w:lang w:eastAsia="en-GB"/>
              </w:rPr>
              <w:t>Irsko</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10</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57,91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12</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64,09</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11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51,73</w:t>
            </w:r>
          </w:p>
        </w:tc>
      </w:tr>
      <w:tr w:rsidR="008146BD" w:rsidRPr="00F90182" w:rsidTr="007A7D80">
        <w:trPr>
          <w:trHeight w:hRule="exact" w:val="312"/>
          <w:tblCellSpacing w:w="15" w:type="dxa"/>
          <w:jc w:val="center"/>
        </w:trPr>
        <w:tc>
          <w:tcPr>
            <w:tcW w:w="21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rPr>
                <w:rFonts w:asciiTheme="minorHAnsi" w:hAnsiTheme="minorHAnsi" w:cstheme="minorHAnsi"/>
                <w:lang w:eastAsia="en-GB"/>
              </w:rPr>
            </w:pPr>
            <w:r w:rsidRPr="00372654">
              <w:rPr>
                <w:rFonts w:asciiTheme="minorHAnsi" w:hAnsiTheme="minorHAnsi" w:cstheme="minorHAnsi"/>
                <w:lang w:eastAsia="en-GB"/>
              </w:rPr>
              <w:t>Česká republika</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28</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48,36</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27</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53,43</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26</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43,28</w:t>
            </w:r>
          </w:p>
        </w:tc>
      </w:tr>
      <w:tr w:rsidR="008146BD" w:rsidRPr="00F90182" w:rsidTr="007A7D80">
        <w:trPr>
          <w:trHeight w:hRule="exact" w:val="312"/>
          <w:tblCellSpacing w:w="15" w:type="dxa"/>
          <w:jc w:val="center"/>
        </w:trPr>
        <w:tc>
          <w:tcPr>
            <w:tcW w:w="21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rPr>
                <w:rFonts w:asciiTheme="minorHAnsi" w:hAnsiTheme="minorHAnsi" w:cstheme="minorHAnsi"/>
                <w:lang w:eastAsia="en-GB"/>
              </w:rPr>
            </w:pPr>
            <w:r w:rsidRPr="00372654">
              <w:rPr>
                <w:rFonts w:asciiTheme="minorHAnsi" w:hAnsiTheme="minorHAnsi" w:cstheme="minorHAnsi"/>
                <w:lang w:eastAsia="en-GB"/>
              </w:rPr>
              <w:t>Maďarsko</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31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46,93</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36</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48,48</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23</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45,37</w:t>
            </w:r>
          </w:p>
        </w:tc>
      </w:tr>
      <w:tr w:rsidR="008146BD" w:rsidRPr="00F90182" w:rsidTr="007A7D80">
        <w:trPr>
          <w:trHeight w:hRule="exact" w:val="312"/>
          <w:tblCellSpacing w:w="15" w:type="dxa"/>
          <w:jc w:val="center"/>
        </w:trPr>
        <w:tc>
          <w:tcPr>
            <w:tcW w:w="21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rPr>
                <w:rFonts w:asciiTheme="minorHAnsi" w:hAnsiTheme="minorHAnsi" w:cstheme="minorHAnsi"/>
                <w:lang w:eastAsia="en-GB"/>
              </w:rPr>
            </w:pPr>
            <w:r w:rsidRPr="00372654">
              <w:rPr>
                <w:rFonts w:asciiTheme="minorHAnsi" w:hAnsiTheme="minorHAnsi" w:cstheme="minorHAnsi"/>
                <w:lang w:eastAsia="en-GB"/>
              </w:rPr>
              <w:t>Slovensko</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36</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42,25</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37</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48,33</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45</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36,17</w:t>
            </w:r>
          </w:p>
        </w:tc>
      </w:tr>
      <w:tr w:rsidR="008146BD" w:rsidRPr="00F90182" w:rsidTr="007A7D80">
        <w:trPr>
          <w:trHeight w:hRule="exact" w:val="312"/>
          <w:tblCellSpacing w:w="15" w:type="dxa"/>
          <w:jc w:val="center"/>
        </w:trPr>
        <w:tc>
          <w:tcPr>
            <w:tcW w:w="21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rPr>
                <w:rFonts w:asciiTheme="minorHAnsi" w:hAnsiTheme="minorHAnsi" w:cstheme="minorHAnsi"/>
                <w:lang w:eastAsia="en-GB"/>
              </w:rPr>
            </w:pPr>
            <w:r w:rsidRPr="00372654">
              <w:rPr>
                <w:rFonts w:asciiTheme="minorHAnsi" w:hAnsiTheme="minorHAnsi" w:cstheme="minorHAnsi"/>
                <w:lang w:eastAsia="en-GB"/>
              </w:rPr>
              <w:t>Polsko</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49</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40,12</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39</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47,82</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64</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146BD" w:rsidRPr="00372654" w:rsidRDefault="008146BD" w:rsidP="007A7D80">
            <w:pPr>
              <w:keepLines/>
              <w:suppressLineNumbers/>
              <w:spacing w:after="0"/>
              <w:jc w:val="center"/>
              <w:rPr>
                <w:rFonts w:asciiTheme="minorHAnsi" w:hAnsiTheme="minorHAnsi" w:cstheme="minorHAnsi"/>
                <w:lang w:eastAsia="en-GB"/>
              </w:rPr>
            </w:pPr>
            <w:r w:rsidRPr="00372654">
              <w:rPr>
                <w:rFonts w:asciiTheme="minorHAnsi" w:hAnsiTheme="minorHAnsi" w:cstheme="minorHAnsi"/>
                <w:lang w:eastAsia="en-GB"/>
              </w:rPr>
              <w:t>32,42</w:t>
            </w:r>
          </w:p>
        </w:tc>
      </w:tr>
    </w:tbl>
    <w:p w:rsidR="008146BD" w:rsidRDefault="008146BD" w:rsidP="00372654">
      <w:pPr>
        <w:keepLines/>
        <w:widowControl w:val="0"/>
        <w:suppressLineNumbers/>
        <w:spacing w:after="0"/>
        <w:jc w:val="center"/>
        <w:rPr>
          <w:rFonts w:ascii="Calibri" w:hAnsi="Calibri" w:cs="Calibri"/>
          <w:i/>
          <w:lang w:val="en-GB"/>
        </w:rPr>
      </w:pPr>
      <w:r w:rsidRPr="00F90182">
        <w:rPr>
          <w:rFonts w:ascii="Calibri" w:hAnsi="Calibri" w:cs="Calibri"/>
          <w:i/>
          <w:lang w:val="en-GB"/>
        </w:rPr>
        <w:t>Pramen: Cornell University, INSEAD, WIPO, 2013</w:t>
      </w:r>
      <w:r>
        <w:rPr>
          <w:rFonts w:ascii="Calibri" w:hAnsi="Calibri" w:cs="Calibri"/>
          <w:i/>
          <w:lang w:val="en-GB"/>
        </w:rPr>
        <w:t>.</w:t>
      </w:r>
    </w:p>
    <w:p w:rsidR="00372654" w:rsidRPr="00372654" w:rsidRDefault="00372654" w:rsidP="00372654"/>
    <w:p w:rsidR="008146BD" w:rsidRPr="008146BD" w:rsidRDefault="008146BD" w:rsidP="00372654">
      <w:pPr>
        <w:keepNext/>
        <w:widowControl w:val="0"/>
        <w:suppressLineNumbers/>
        <w:spacing w:before="200"/>
        <w:ind w:firstLine="720"/>
        <w:jc w:val="both"/>
        <w:rPr>
          <w:sz w:val="24"/>
          <w:szCs w:val="24"/>
        </w:rPr>
      </w:pPr>
      <w:r w:rsidRPr="00F90182">
        <w:rPr>
          <w:sz w:val="24"/>
          <w:szCs w:val="24"/>
        </w:rPr>
        <w:t>Ze zemí V4 se Česká republika nachází na prvním místě, avšak podle Subindexu inovačních výstupů ji předstihuje Maďarsko. Z výše uvedených sedmi skupin ukazatelů si nejlépe vede v</w:t>
      </w:r>
      <w:r>
        <w:rPr>
          <w:sz w:val="24"/>
          <w:szCs w:val="24"/>
        </w:rPr>
        <w:t>e</w:t>
      </w:r>
      <w:r w:rsidRPr="00F90182">
        <w:rPr>
          <w:sz w:val="24"/>
          <w:szCs w:val="24"/>
        </w:rPr>
        <w:t> </w:t>
      </w:r>
      <w:r>
        <w:rPr>
          <w:sz w:val="24"/>
          <w:szCs w:val="24"/>
        </w:rPr>
        <w:t>skupině</w:t>
      </w:r>
      <w:r w:rsidRPr="00F90182">
        <w:rPr>
          <w:sz w:val="24"/>
          <w:szCs w:val="24"/>
        </w:rPr>
        <w:t xml:space="preserve"> Sofistikovanost podniků (20. místo, index 47,5) a nejhůře v</w:t>
      </w:r>
      <w:r>
        <w:rPr>
          <w:sz w:val="24"/>
          <w:szCs w:val="24"/>
        </w:rPr>
        <w:t xml:space="preserve"> případě </w:t>
      </w:r>
      <w:r w:rsidRPr="00F90182">
        <w:rPr>
          <w:sz w:val="24"/>
          <w:szCs w:val="24"/>
        </w:rPr>
        <w:t>Sofistikovanost trhu (53. místo, index 48,9).</w:t>
      </w:r>
    </w:p>
    <w:p w:rsidR="006006A4" w:rsidRDefault="006006A4" w:rsidP="00F172A0">
      <w:pPr>
        <w:pStyle w:val="03-Nadpis3"/>
      </w:pPr>
      <w:bookmarkStart w:id="180" w:name="_Toc382327226"/>
      <w:r w:rsidRPr="00A91347">
        <w:t>5.6.2.</w:t>
      </w:r>
      <w:r w:rsidR="00D449D4">
        <w:t xml:space="preserve"> Důsledky demografické revoluce</w:t>
      </w:r>
      <w:bookmarkEnd w:id="180"/>
    </w:p>
    <w:p w:rsidR="008146BD" w:rsidRPr="00E63699" w:rsidRDefault="008146BD" w:rsidP="008146BD">
      <w:pPr>
        <w:keepNext/>
        <w:widowControl w:val="0"/>
        <w:suppressLineNumbers/>
        <w:spacing w:before="240"/>
        <w:ind w:firstLine="720"/>
        <w:jc w:val="both"/>
        <w:rPr>
          <w:rFonts w:cs="TimesNewRomanPSMT"/>
          <w:sz w:val="24"/>
          <w:szCs w:val="24"/>
        </w:rPr>
      </w:pPr>
      <w:r w:rsidRPr="00223C15">
        <w:rPr>
          <w:rFonts w:cs="TimesNewRomanPSMT"/>
          <w:sz w:val="24"/>
          <w:szCs w:val="24"/>
        </w:rPr>
        <w:t>De</w:t>
      </w:r>
      <w:r w:rsidR="00B82F36">
        <w:rPr>
          <w:rFonts w:cs="TimesNewRomanPSMT"/>
          <w:sz w:val="24"/>
          <w:szCs w:val="24"/>
        </w:rPr>
        <w:t>mografická</w:t>
      </w:r>
      <w:r w:rsidRPr="00223C15">
        <w:rPr>
          <w:rFonts w:cs="TimesNewRomanPSMT"/>
          <w:sz w:val="24"/>
          <w:szCs w:val="24"/>
        </w:rPr>
        <w:t xml:space="preserve"> revoluce</w:t>
      </w:r>
      <w:r w:rsidR="00B82F36">
        <w:rPr>
          <w:rFonts w:cs="TimesNewRomanPSMT"/>
          <w:sz w:val="24"/>
          <w:szCs w:val="24"/>
        </w:rPr>
        <w:t>,</w:t>
      </w:r>
      <w:r w:rsidRPr="00223C15">
        <w:rPr>
          <w:rFonts w:cs="TimesNewRomanPSMT"/>
          <w:sz w:val="24"/>
          <w:szCs w:val="24"/>
        </w:rPr>
        <w:t xml:space="preserve"> </w:t>
      </w:r>
      <w:r>
        <w:rPr>
          <w:rFonts w:cs="TimesNewRomanPSMT"/>
          <w:sz w:val="24"/>
          <w:szCs w:val="24"/>
        </w:rPr>
        <w:t>resp.</w:t>
      </w:r>
      <w:r w:rsidRPr="00223C15">
        <w:rPr>
          <w:rFonts w:cs="TimesNewRomanPSMT"/>
          <w:sz w:val="24"/>
          <w:szCs w:val="24"/>
        </w:rPr>
        <w:t xml:space="preserve"> </w:t>
      </w:r>
      <w:r w:rsidR="002504C7">
        <w:rPr>
          <w:rFonts w:cs="TimesNewRomanPSMT"/>
          <w:sz w:val="24"/>
          <w:szCs w:val="24"/>
        </w:rPr>
        <w:t>přechod</w:t>
      </w:r>
      <w:r w:rsidR="00B82F36">
        <w:rPr>
          <w:rFonts w:cs="TimesNewRomanPSMT"/>
          <w:sz w:val="24"/>
          <w:szCs w:val="24"/>
        </w:rPr>
        <w:t>,</w:t>
      </w:r>
      <w:r w:rsidRPr="00223C15">
        <w:rPr>
          <w:rFonts w:cs="TimesNewRomanPSMT"/>
          <w:sz w:val="24"/>
          <w:szCs w:val="24"/>
        </w:rPr>
        <w:t xml:space="preserve"> je všeobecně považována za nejvýznamnější demografickou teorii </w:t>
      </w:r>
      <w:r>
        <w:rPr>
          <w:rFonts w:cs="TimesNewRomanPSMT"/>
          <w:sz w:val="24"/>
          <w:szCs w:val="24"/>
        </w:rPr>
        <w:t>(</w:t>
      </w:r>
      <w:r w:rsidRPr="00223C15">
        <w:rPr>
          <w:rFonts w:cs="TimesNewRomanPSMT"/>
          <w:sz w:val="24"/>
          <w:szCs w:val="24"/>
        </w:rPr>
        <w:t>její</w:t>
      </w:r>
      <w:r>
        <w:rPr>
          <w:rFonts w:cs="TimesNewRomanPSMT"/>
          <w:sz w:val="24"/>
          <w:szCs w:val="24"/>
        </w:rPr>
        <w:t>mi</w:t>
      </w:r>
      <w:r w:rsidRPr="00223C15">
        <w:rPr>
          <w:rFonts w:cs="TimesNewRomanPSMT"/>
          <w:sz w:val="24"/>
          <w:szCs w:val="24"/>
        </w:rPr>
        <w:t xml:space="preserve"> zakladatel</w:t>
      </w:r>
      <w:r>
        <w:rPr>
          <w:rFonts w:cs="TimesNewRomanPSMT"/>
          <w:sz w:val="24"/>
          <w:szCs w:val="24"/>
        </w:rPr>
        <w:t>i</w:t>
      </w:r>
      <w:r w:rsidRPr="00223C15">
        <w:rPr>
          <w:rFonts w:cs="TimesNewRomanPSMT"/>
          <w:sz w:val="24"/>
          <w:szCs w:val="24"/>
        </w:rPr>
        <w:t xml:space="preserve"> </w:t>
      </w:r>
      <w:r>
        <w:rPr>
          <w:rFonts w:cs="TimesNewRomanPSMT"/>
          <w:sz w:val="24"/>
          <w:szCs w:val="24"/>
        </w:rPr>
        <w:t>jsou</w:t>
      </w:r>
      <w:r w:rsidR="00B82F36">
        <w:rPr>
          <w:rFonts w:cs="TimesNewRomanPSMT"/>
          <w:sz w:val="24"/>
          <w:szCs w:val="24"/>
        </w:rPr>
        <w:t xml:space="preserve"> zejména A. Landry a F. Notestein</w:t>
      </w:r>
      <w:r w:rsidRPr="00223C15">
        <w:rPr>
          <w:rFonts w:cs="TimesNewRomanPSMT"/>
          <w:sz w:val="24"/>
          <w:szCs w:val="24"/>
        </w:rPr>
        <w:t>). Lze ji popsat jako snížení úrovně úmrtnosti a následně i porodnosti, kt</w:t>
      </w:r>
      <w:r w:rsidR="00372654">
        <w:rPr>
          <w:rFonts w:cs="TimesNewRomanPSMT"/>
          <w:sz w:val="24"/>
          <w:szCs w:val="24"/>
        </w:rPr>
        <w:t>eré vede zpočátku k urychlení a </w:t>
      </w:r>
      <w:r w:rsidRPr="00223C15">
        <w:rPr>
          <w:rFonts w:cs="TimesNewRomanPSMT"/>
          <w:sz w:val="24"/>
          <w:szCs w:val="24"/>
        </w:rPr>
        <w:t xml:space="preserve">následně ke zpomalení růstu populace spojeném s jejím stárnutím. Demografická revoluce začala ve Francii a Anglii okolo roku 1800 a postupně se rozšířila na celý svět. Jak naznačuje přiložený obrázek, s dokončením této revoluce v méně rozvinutých zemích se počítá až kolem roku 2100 (Lee, 2003) </w:t>
      </w:r>
      <w:r w:rsidRPr="00223C15">
        <w:rPr>
          <w:rFonts w:cs="TimesNewRomanPSMT"/>
          <w:sz w:val="24"/>
          <w:szCs w:val="24"/>
          <w:vertAlign w:val="superscript"/>
        </w:rPr>
        <w:footnoteReference w:id="39"/>
      </w:r>
      <w:r w:rsidRPr="00223C15">
        <w:rPr>
          <w:rFonts w:cs="TimesNewRomanPSMT"/>
          <w:sz w:val="24"/>
          <w:szCs w:val="24"/>
        </w:rPr>
        <w:t xml:space="preserve">. V následujícím období by </w:t>
      </w:r>
      <w:r>
        <w:rPr>
          <w:rFonts w:cs="TimesNewRomanPSMT"/>
          <w:sz w:val="24"/>
          <w:szCs w:val="24"/>
        </w:rPr>
        <w:t xml:space="preserve">pak </w:t>
      </w:r>
      <w:r w:rsidRPr="00223C15">
        <w:rPr>
          <w:rFonts w:cs="TimesNewRomanPSMT"/>
          <w:sz w:val="24"/>
          <w:szCs w:val="24"/>
        </w:rPr>
        <w:t xml:space="preserve">mělo dojít k celkové stabilizaci světové populace. </w:t>
      </w:r>
      <w:r w:rsidRPr="00E63699">
        <w:rPr>
          <w:rFonts w:cs="TimesNewRomanPSMT"/>
          <w:sz w:val="24"/>
          <w:szCs w:val="24"/>
        </w:rPr>
        <w:t xml:space="preserve">Za klíčový faktor nástupu demografické revoluce je řadou odborníků v čele s francouzským sociologem E. Durkheimem považována industrializace a jí nastartované komplexní (globální) společenské změny jsou pak označovány jako modernizace. S tímto vývojem koresponduje neustálé posilování vlivu společenských na úkor </w:t>
      </w:r>
      <w:r w:rsidRPr="00E63699">
        <w:rPr>
          <w:rFonts w:cs="TimesNewRomanPSMT"/>
          <w:sz w:val="24"/>
          <w:szCs w:val="24"/>
        </w:rPr>
        <w:lastRenderedPageBreak/>
        <w:t>biologických faktorů. Podle Giddense (2003) jsou s</w:t>
      </w:r>
      <w:r w:rsidR="00372654">
        <w:rPr>
          <w:rFonts w:cs="TimesNewRomanPSMT"/>
          <w:sz w:val="24"/>
          <w:szCs w:val="24"/>
        </w:rPr>
        <w:t>polečenské změny úzce spojeny s </w:t>
      </w:r>
      <w:r w:rsidRPr="00E63699">
        <w:rPr>
          <w:rFonts w:cs="TimesNewRomanPSMT"/>
          <w:sz w:val="24"/>
          <w:szCs w:val="24"/>
        </w:rPr>
        <w:t xml:space="preserve">reflexivním neboli racionálním myšlením v interakci s novým časoprostorovým uspořádáním sociálních vztahů. </w:t>
      </w:r>
    </w:p>
    <w:p w:rsidR="008146BD" w:rsidRPr="00E63699" w:rsidRDefault="008146BD" w:rsidP="008146BD">
      <w:pPr>
        <w:keepNext/>
        <w:widowControl w:val="0"/>
        <w:suppressLineNumbers/>
        <w:spacing w:before="240"/>
        <w:ind w:firstLine="720"/>
        <w:jc w:val="both"/>
        <w:rPr>
          <w:rFonts w:ascii="RealpageBAS6-Italic" w:hAnsi="RealpageBAS6-Italic" w:cs="RealpageBAS6-Italic"/>
          <w:i/>
          <w:iCs/>
          <w:color w:val="FF0000"/>
          <w:sz w:val="20"/>
          <w:szCs w:val="20"/>
        </w:rPr>
      </w:pPr>
      <w:r w:rsidRPr="00E63699">
        <w:rPr>
          <w:rFonts w:ascii="RealpageBAS6-Italic" w:hAnsi="RealpageBAS6-Italic" w:cs="RealpageBAS6-Italic"/>
          <w:i/>
          <w:iCs/>
          <w:noProof/>
          <w:color w:val="FF0000"/>
          <w:sz w:val="20"/>
          <w:szCs w:val="20"/>
          <w:lang w:val="en-GB" w:eastAsia="en-GB"/>
        </w:rPr>
        <w:drawing>
          <wp:inline distT="0" distB="0" distL="0" distR="0" wp14:anchorId="5446C3F4" wp14:editId="39D83E2F">
            <wp:extent cx="5322979" cy="383857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25515" cy="3840404"/>
                    </a:xfrm>
                    <a:prstGeom prst="rect">
                      <a:avLst/>
                    </a:prstGeom>
                    <a:noFill/>
                    <a:ln>
                      <a:noFill/>
                    </a:ln>
                  </pic:spPr>
                </pic:pic>
              </a:graphicData>
            </a:graphic>
          </wp:inline>
        </w:drawing>
      </w:r>
    </w:p>
    <w:p w:rsidR="008146BD" w:rsidRPr="00E63699" w:rsidRDefault="006B61FE" w:rsidP="00372654">
      <w:pPr>
        <w:pStyle w:val="0G-Titulek"/>
        <w:ind w:firstLine="0"/>
        <w:rPr>
          <w:color w:val="3333FF"/>
          <w:lang w:eastAsia="en-GB"/>
        </w:rPr>
      </w:pPr>
      <w:bookmarkStart w:id="181" w:name="_Toc382326845"/>
      <w:r>
        <w:rPr>
          <w:rFonts w:eastAsia="Batang"/>
        </w:rPr>
        <w:t>Obrázek 41</w:t>
      </w:r>
      <w:r w:rsidR="008146BD" w:rsidRPr="008D0830">
        <w:rPr>
          <w:rFonts w:eastAsia="Batang"/>
        </w:rPr>
        <w:t xml:space="preserve">: Populační </w:t>
      </w:r>
      <w:r w:rsidR="008146BD" w:rsidRPr="00E63699">
        <w:rPr>
          <w:rFonts w:eastAsia="Batang"/>
        </w:rPr>
        <w:t>růst</w:t>
      </w:r>
      <w:r w:rsidR="008146BD" w:rsidRPr="00E63699">
        <w:rPr>
          <w:lang w:eastAsia="en-GB"/>
        </w:rPr>
        <w:t xml:space="preserve"> 1750-2150</w:t>
      </w:r>
      <w:bookmarkEnd w:id="181"/>
    </w:p>
    <w:p w:rsidR="008146BD" w:rsidRPr="00E63699" w:rsidRDefault="008146BD" w:rsidP="00372654">
      <w:pPr>
        <w:keepNext/>
        <w:suppressLineNumbers/>
        <w:suppressAutoHyphens/>
        <w:spacing w:after="0"/>
        <w:jc w:val="center"/>
        <w:outlineLvl w:val="0"/>
        <w:rPr>
          <w:rFonts w:asciiTheme="minorHAnsi" w:eastAsia="Batang" w:hAnsiTheme="minorHAnsi" w:cstheme="minorHAnsi"/>
          <w:bCs/>
          <w:i/>
          <w:kern w:val="32"/>
          <w:lang w:eastAsia="ar-SA"/>
        </w:rPr>
      </w:pPr>
      <w:r w:rsidRPr="00E63699">
        <w:rPr>
          <w:rFonts w:ascii="Calibri" w:hAnsi="Calibri" w:cs="Calibri"/>
          <w:i/>
        </w:rPr>
        <w:t>Pramen: United Nations, 1999.</w:t>
      </w:r>
    </w:p>
    <w:p w:rsidR="008146BD" w:rsidRPr="003F17DB" w:rsidRDefault="008146BD" w:rsidP="008146BD">
      <w:pPr>
        <w:keepNext/>
        <w:widowControl w:val="0"/>
        <w:suppressLineNumbers/>
        <w:spacing w:before="200"/>
        <w:ind w:firstLine="720"/>
        <w:jc w:val="both"/>
        <w:rPr>
          <w:rFonts w:cs="TimesNewRomanPSMT"/>
          <w:sz w:val="24"/>
          <w:szCs w:val="24"/>
        </w:rPr>
      </w:pPr>
      <w:r w:rsidRPr="003F17DB">
        <w:rPr>
          <w:rFonts w:cs="TimesNewRomanPSMT"/>
          <w:sz w:val="24"/>
          <w:szCs w:val="24"/>
        </w:rPr>
        <w:t>Předpokládaný vývoj počtu obyvatel jednotlivých konti</w:t>
      </w:r>
      <w:r w:rsidR="00372654">
        <w:rPr>
          <w:rFonts w:cs="TimesNewRomanPSMT"/>
          <w:sz w:val="24"/>
          <w:szCs w:val="24"/>
        </w:rPr>
        <w:t>nentů má pochopitelně určité (i </w:t>
      </w:r>
      <w:r w:rsidRPr="003F17DB">
        <w:rPr>
          <w:rFonts w:cs="TimesNewRomanPSMT"/>
          <w:sz w:val="24"/>
          <w:szCs w:val="24"/>
        </w:rPr>
        <w:t xml:space="preserve">když ve srovnání s ekonomickým vývojem spíše druhořadé) dopady na jejich globální významové postavení. Z přiloženého obrázku </w:t>
      </w:r>
      <w:r w:rsidR="00190725">
        <w:rPr>
          <w:rFonts w:cs="TimesNewRomanPSMT"/>
          <w:sz w:val="24"/>
          <w:szCs w:val="24"/>
        </w:rPr>
        <w:t xml:space="preserve">pak </w:t>
      </w:r>
      <w:r w:rsidRPr="003F17DB">
        <w:rPr>
          <w:rFonts w:cs="TimesNewRomanPSMT"/>
          <w:sz w:val="24"/>
          <w:szCs w:val="24"/>
        </w:rPr>
        <w:t>vypl</w:t>
      </w:r>
      <w:r w:rsidR="00372654">
        <w:rPr>
          <w:rFonts w:cs="TimesNewRomanPSMT"/>
          <w:sz w:val="24"/>
          <w:szCs w:val="24"/>
        </w:rPr>
        <w:t>ývá, že v tomto směru dochází k </w:t>
      </w:r>
      <w:r w:rsidRPr="003F17DB">
        <w:rPr>
          <w:rFonts w:cs="TimesNewRomanPSMT"/>
          <w:sz w:val="24"/>
          <w:szCs w:val="24"/>
        </w:rPr>
        <w:t>výraznému</w:t>
      </w:r>
      <w:r w:rsidR="002504C7">
        <w:rPr>
          <w:rFonts w:cs="TimesNewRomanPSMT"/>
          <w:sz w:val="24"/>
          <w:szCs w:val="24"/>
        </w:rPr>
        <w:t xml:space="preserve"> zhoršování postavení Evropy. N</w:t>
      </w:r>
      <w:r w:rsidRPr="003F17DB">
        <w:rPr>
          <w:rFonts w:cs="TimesNewRomanPSMT"/>
          <w:sz w:val="24"/>
          <w:szCs w:val="24"/>
        </w:rPr>
        <w:t xml:space="preserve">aopak nejvýraznější zlepšování zaznamenává Afrika (na druhé straně právě zde jsou nejvíce </w:t>
      </w:r>
      <w:r w:rsidR="00190725">
        <w:rPr>
          <w:rFonts w:cs="TimesNewRomanPSMT"/>
          <w:sz w:val="24"/>
          <w:szCs w:val="24"/>
        </w:rPr>
        <w:t xml:space="preserve">patrné </w:t>
      </w:r>
      <w:r w:rsidRPr="003F17DB">
        <w:rPr>
          <w:rFonts w:cs="TimesNewRomanPSMT"/>
          <w:sz w:val="24"/>
          <w:szCs w:val="24"/>
        </w:rPr>
        <w:t xml:space="preserve">akutní reminiscence Malthusova populačního principu z přelomu 18. a 19. století, podle kterého růst obyvatelstva směřuje k překročení hranice dané potenciálem úživnosti, různě inovovaného v pracích tzv. neomalthusiánů). </w:t>
      </w:r>
    </w:p>
    <w:p w:rsidR="008146BD" w:rsidRPr="00E63699" w:rsidRDefault="008146BD" w:rsidP="008146BD">
      <w:pPr>
        <w:keepNext/>
        <w:widowControl w:val="0"/>
        <w:suppressLineNumbers/>
        <w:spacing w:before="200"/>
        <w:jc w:val="center"/>
        <w:rPr>
          <w:rFonts w:asciiTheme="minorHAnsi" w:eastAsia="Batang" w:hAnsiTheme="minorHAnsi" w:cstheme="minorHAnsi"/>
          <w:b/>
          <w:bCs/>
          <w:kern w:val="32"/>
          <w:lang w:eastAsia="ar-SA"/>
        </w:rPr>
      </w:pPr>
      <w:r w:rsidRPr="00E63699">
        <w:rPr>
          <w:noProof/>
          <w:color w:val="0000FF"/>
          <w:lang w:val="en-GB" w:eastAsia="en-GB"/>
        </w:rPr>
        <w:lastRenderedPageBreak/>
        <w:drawing>
          <wp:inline distT="0" distB="0" distL="0" distR="0" wp14:anchorId="37D6630C" wp14:editId="36A29242">
            <wp:extent cx="3672000" cy="3254400"/>
            <wp:effectExtent l="0" t="0" r="5080" b="3175"/>
            <wp:docPr id="54" name="obrázek 1" descr="http://upload.wikimedia.org/wikipedia/commons/thumb/1/11/World_population_%28UN%29.svg/300px-World_population_%28UN%29.svg.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1/11/World_population_%28UN%29.svg/300px-World_population_%28UN%29.svg.pn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72000" cy="3254400"/>
                    </a:xfrm>
                    <a:prstGeom prst="rect">
                      <a:avLst/>
                    </a:prstGeom>
                    <a:noFill/>
                    <a:ln>
                      <a:noFill/>
                    </a:ln>
                  </pic:spPr>
                </pic:pic>
              </a:graphicData>
            </a:graphic>
          </wp:inline>
        </w:drawing>
      </w:r>
    </w:p>
    <w:p w:rsidR="008146BD" w:rsidRPr="00E63699" w:rsidRDefault="008146BD" w:rsidP="00372654">
      <w:pPr>
        <w:pStyle w:val="0G-Titulek"/>
        <w:ind w:firstLine="0"/>
      </w:pPr>
      <w:bookmarkStart w:id="182" w:name="_Toc382326846"/>
      <w:r w:rsidRPr="00E63699">
        <w:rPr>
          <w:rFonts w:eastAsia="Batang"/>
          <w:bCs/>
          <w:kern w:val="32"/>
          <w:lang w:eastAsia="ar-SA"/>
        </w:rPr>
        <w:t>O</w:t>
      </w:r>
      <w:r w:rsidR="006B61FE">
        <w:rPr>
          <w:rFonts w:eastAsia="Batang"/>
          <w:bCs/>
          <w:kern w:val="32"/>
          <w:lang w:eastAsia="ar-SA"/>
        </w:rPr>
        <w:t>brázek 42</w:t>
      </w:r>
      <w:r w:rsidRPr="008D0830">
        <w:rPr>
          <w:rFonts w:eastAsia="Batang"/>
          <w:bCs/>
          <w:kern w:val="32"/>
          <w:lang w:eastAsia="ar-SA"/>
        </w:rPr>
        <w:t>: Popu</w:t>
      </w:r>
      <w:r w:rsidRPr="00E63699">
        <w:rPr>
          <w:rFonts w:eastAsia="Batang"/>
          <w:bCs/>
          <w:kern w:val="32"/>
          <w:lang w:eastAsia="ar-SA"/>
        </w:rPr>
        <w:t>lační růst</w:t>
      </w:r>
      <w:r w:rsidR="002504C7">
        <w:t xml:space="preserve"> kontinentů 1950–</w:t>
      </w:r>
      <w:r w:rsidRPr="00E63699">
        <w:t>2050 (logaritmická stupnice v mil.)</w:t>
      </w:r>
      <w:bookmarkEnd w:id="182"/>
    </w:p>
    <w:p w:rsidR="008146BD" w:rsidRPr="00E63699" w:rsidRDefault="008146BD" w:rsidP="00372654">
      <w:pPr>
        <w:keepNext/>
        <w:suppressLineNumbers/>
        <w:suppressAutoHyphens/>
        <w:spacing w:after="0"/>
        <w:jc w:val="center"/>
        <w:outlineLvl w:val="0"/>
        <w:rPr>
          <w:rFonts w:asciiTheme="minorHAnsi" w:eastAsia="Batang" w:hAnsiTheme="minorHAnsi" w:cstheme="minorHAnsi"/>
          <w:bCs/>
          <w:i/>
          <w:kern w:val="32"/>
          <w:lang w:eastAsia="ar-SA"/>
        </w:rPr>
      </w:pPr>
      <w:r w:rsidRPr="00E63699">
        <w:rPr>
          <w:rFonts w:ascii="Calibri" w:hAnsi="Calibri" w:cs="Calibri"/>
          <w:i/>
        </w:rPr>
        <w:t>Pramen: United Nations, 2000</w:t>
      </w:r>
      <w:r w:rsidRPr="00E63699">
        <w:rPr>
          <w:rFonts w:asciiTheme="minorHAnsi" w:eastAsia="Batang" w:hAnsiTheme="minorHAnsi" w:cstheme="minorHAnsi"/>
          <w:bCs/>
          <w:i/>
          <w:kern w:val="32"/>
          <w:lang w:eastAsia="ar-SA"/>
        </w:rPr>
        <w:t>.</w:t>
      </w:r>
    </w:p>
    <w:p w:rsidR="008146BD" w:rsidRPr="003F17DB" w:rsidRDefault="008146BD" w:rsidP="008146BD">
      <w:pPr>
        <w:keepNext/>
        <w:widowControl w:val="0"/>
        <w:suppressLineNumbers/>
        <w:spacing w:before="200"/>
        <w:ind w:firstLine="720"/>
        <w:jc w:val="both"/>
        <w:rPr>
          <w:rFonts w:cs="TimesNewRomanPSMT"/>
          <w:sz w:val="24"/>
          <w:szCs w:val="24"/>
        </w:rPr>
      </w:pPr>
      <w:r w:rsidRPr="003F17DB">
        <w:rPr>
          <w:rFonts w:cs="TimesNewRomanPSMT"/>
          <w:sz w:val="24"/>
          <w:szCs w:val="24"/>
        </w:rPr>
        <w:t xml:space="preserve">Následující tabulka pak informuje o výsledcích nejnovější prognózy nejlidnatějších zemí, podle které bude Čína výrazně předstižena Indií (nejrychlejší rozvoj pak zaznamená Nigérie následovaná Pákistánem). </w:t>
      </w:r>
    </w:p>
    <w:p w:rsidR="008146BD" w:rsidRPr="00594672" w:rsidRDefault="008146BD" w:rsidP="006B61FE">
      <w:pPr>
        <w:pStyle w:val="0T-Titulek"/>
      </w:pPr>
      <w:bookmarkStart w:id="183" w:name="_Toc382326479"/>
      <w:r w:rsidRPr="00740291">
        <w:t>Tabulka 52: Nejlidnatějš</w:t>
      </w:r>
      <w:r w:rsidRPr="00594672">
        <w:t>í země k roku 2030</w:t>
      </w:r>
      <w:bookmarkEnd w:id="183"/>
    </w:p>
    <w:tbl>
      <w:tblPr>
        <w:tblStyle w:val="Mkatabulky15"/>
        <w:tblW w:w="5670" w:type="dxa"/>
        <w:jc w:val="center"/>
        <w:tblLook w:val="04A0" w:firstRow="1" w:lastRow="0" w:firstColumn="1" w:lastColumn="0" w:noHBand="0" w:noVBand="1"/>
      </w:tblPr>
      <w:tblGrid>
        <w:gridCol w:w="1394"/>
        <w:gridCol w:w="1547"/>
        <w:gridCol w:w="1547"/>
        <w:gridCol w:w="1182"/>
      </w:tblGrid>
      <w:tr w:rsidR="008146BD" w:rsidRPr="00594672" w:rsidTr="00372654">
        <w:trPr>
          <w:trHeight w:hRule="exact" w:val="340"/>
          <w:jc w:val="center"/>
        </w:trPr>
        <w:tc>
          <w:tcPr>
            <w:tcW w:w="1394" w:type="dxa"/>
          </w:tcPr>
          <w:p w:rsidR="008146BD" w:rsidRPr="00594672" w:rsidRDefault="008146BD" w:rsidP="007A7D80">
            <w:pPr>
              <w:keepLines/>
              <w:suppressLineNumbers/>
              <w:spacing w:before="100" w:beforeAutospacing="1" w:after="100" w:afterAutospacing="1"/>
              <w:rPr>
                <w:rFonts w:asciiTheme="minorHAnsi" w:hAnsiTheme="minorHAnsi" w:cstheme="minorHAnsi"/>
                <w:b/>
                <w:lang w:eastAsia="en-GB"/>
              </w:rPr>
            </w:pPr>
            <w:r w:rsidRPr="00594672">
              <w:rPr>
                <w:rFonts w:asciiTheme="minorHAnsi" w:hAnsiTheme="minorHAnsi" w:cstheme="minorHAnsi"/>
                <w:b/>
                <w:lang w:eastAsia="en-GB"/>
              </w:rPr>
              <w:t xml:space="preserve"> země</w:t>
            </w:r>
          </w:p>
        </w:tc>
        <w:tc>
          <w:tcPr>
            <w:tcW w:w="1547" w:type="dxa"/>
          </w:tcPr>
          <w:p w:rsidR="008146BD" w:rsidRPr="00594672" w:rsidRDefault="008146BD" w:rsidP="007A7D80">
            <w:pPr>
              <w:keepLines/>
              <w:suppressLineNumbers/>
              <w:spacing w:before="100" w:beforeAutospacing="1" w:after="100" w:afterAutospacing="1"/>
              <w:jc w:val="center"/>
              <w:rPr>
                <w:rFonts w:asciiTheme="minorHAnsi" w:hAnsiTheme="minorHAnsi" w:cstheme="minorHAnsi"/>
                <w:b/>
                <w:lang w:eastAsia="en-GB"/>
              </w:rPr>
            </w:pPr>
            <w:r w:rsidRPr="00594672">
              <w:rPr>
                <w:rFonts w:asciiTheme="minorHAnsi" w:hAnsiTheme="minorHAnsi" w:cstheme="minorHAnsi"/>
                <w:b/>
                <w:lang w:eastAsia="en-GB"/>
              </w:rPr>
              <w:t>2010</w:t>
            </w:r>
          </w:p>
        </w:tc>
        <w:tc>
          <w:tcPr>
            <w:tcW w:w="1547" w:type="dxa"/>
          </w:tcPr>
          <w:p w:rsidR="008146BD" w:rsidRPr="00594672" w:rsidRDefault="008146BD" w:rsidP="007A7D80">
            <w:pPr>
              <w:keepLines/>
              <w:suppressLineNumbers/>
              <w:spacing w:before="100" w:beforeAutospacing="1" w:after="100" w:afterAutospacing="1"/>
              <w:jc w:val="center"/>
              <w:rPr>
                <w:rFonts w:asciiTheme="minorHAnsi" w:hAnsiTheme="minorHAnsi" w:cstheme="minorHAnsi"/>
                <w:b/>
                <w:lang w:eastAsia="en-GB"/>
              </w:rPr>
            </w:pPr>
            <w:r w:rsidRPr="00594672">
              <w:rPr>
                <w:rFonts w:asciiTheme="minorHAnsi" w:hAnsiTheme="minorHAnsi" w:cstheme="minorHAnsi"/>
                <w:b/>
                <w:lang w:eastAsia="en-GB"/>
              </w:rPr>
              <w:t>2030</w:t>
            </w:r>
          </w:p>
        </w:tc>
        <w:tc>
          <w:tcPr>
            <w:tcW w:w="1182" w:type="dxa"/>
          </w:tcPr>
          <w:p w:rsidR="008146BD" w:rsidRPr="00594672" w:rsidRDefault="008146BD" w:rsidP="007A7D80">
            <w:pPr>
              <w:keepLines/>
              <w:suppressLineNumbers/>
              <w:spacing w:before="100" w:beforeAutospacing="1" w:after="100" w:afterAutospacing="1"/>
              <w:ind w:left="-57" w:right="-57"/>
              <w:jc w:val="center"/>
              <w:rPr>
                <w:rFonts w:asciiTheme="minorHAnsi" w:hAnsiTheme="minorHAnsi" w:cstheme="minorHAnsi"/>
                <w:b/>
                <w:lang w:eastAsia="en-GB"/>
              </w:rPr>
            </w:pPr>
            <w:r w:rsidRPr="00594672">
              <w:rPr>
                <w:rFonts w:asciiTheme="minorHAnsi" w:hAnsiTheme="minorHAnsi" w:cstheme="minorHAnsi"/>
                <w:b/>
                <w:lang w:eastAsia="en-GB"/>
              </w:rPr>
              <w:t>změna v %</w:t>
            </w:r>
          </w:p>
        </w:tc>
      </w:tr>
      <w:tr w:rsidR="008146BD" w:rsidRPr="00594672" w:rsidTr="00372654">
        <w:trPr>
          <w:trHeight w:hRule="exact" w:val="340"/>
          <w:jc w:val="center"/>
        </w:trPr>
        <w:tc>
          <w:tcPr>
            <w:tcW w:w="1394" w:type="dxa"/>
          </w:tcPr>
          <w:p w:rsidR="008146BD" w:rsidRPr="00594672" w:rsidRDefault="008146BD" w:rsidP="007A7D80">
            <w:pPr>
              <w:keepLines/>
              <w:suppressLineNumbers/>
              <w:rPr>
                <w:rFonts w:asciiTheme="minorHAnsi" w:hAnsiTheme="minorHAnsi" w:cstheme="minorHAnsi"/>
                <w:b/>
              </w:rPr>
            </w:pPr>
            <w:r w:rsidRPr="00594672">
              <w:rPr>
                <w:rFonts w:asciiTheme="minorHAnsi" w:hAnsiTheme="minorHAnsi" w:cstheme="minorHAnsi"/>
                <w:b/>
              </w:rPr>
              <w:t xml:space="preserve">  Indie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w:t>
            </w:r>
            <w:r w:rsidR="002504C7">
              <w:rPr>
                <w:rFonts w:asciiTheme="minorHAnsi" w:hAnsiTheme="minorHAnsi" w:cstheme="minorHAnsi"/>
              </w:rPr>
              <w:t xml:space="preserve"> </w:t>
            </w:r>
            <w:r w:rsidRPr="00594672">
              <w:rPr>
                <w:rFonts w:asciiTheme="minorHAnsi" w:hAnsiTheme="minorHAnsi" w:cstheme="minorHAnsi"/>
              </w:rPr>
              <w:t>224</w:t>
            </w:r>
            <w:r w:rsidR="002504C7">
              <w:rPr>
                <w:rFonts w:asciiTheme="minorHAnsi" w:hAnsiTheme="minorHAnsi" w:cstheme="minorHAnsi"/>
              </w:rPr>
              <w:t xml:space="preserve"> </w:t>
            </w:r>
            <w:r w:rsidRPr="00594672">
              <w:rPr>
                <w:rFonts w:asciiTheme="minorHAnsi" w:hAnsiTheme="minorHAnsi" w:cstheme="minorHAnsi"/>
              </w:rPr>
              <w:t>614</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w:t>
            </w:r>
            <w:r w:rsidR="002504C7">
              <w:rPr>
                <w:rFonts w:asciiTheme="minorHAnsi" w:hAnsiTheme="minorHAnsi" w:cstheme="minorHAnsi"/>
              </w:rPr>
              <w:t xml:space="preserve"> </w:t>
            </w:r>
            <w:r w:rsidRPr="00594672">
              <w:rPr>
                <w:rFonts w:asciiTheme="minorHAnsi" w:hAnsiTheme="minorHAnsi" w:cstheme="minorHAnsi"/>
              </w:rPr>
              <w:t>523</w:t>
            </w:r>
            <w:r w:rsidR="002504C7">
              <w:rPr>
                <w:rFonts w:asciiTheme="minorHAnsi" w:hAnsiTheme="minorHAnsi" w:cstheme="minorHAnsi"/>
              </w:rPr>
              <w:t xml:space="preserve"> </w:t>
            </w:r>
            <w:r w:rsidRPr="00594672">
              <w:rPr>
                <w:rFonts w:asciiTheme="minorHAnsi" w:hAnsiTheme="minorHAnsi" w:cstheme="minorHAnsi"/>
              </w:rPr>
              <w:t>482</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182"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+24,4% </w:t>
            </w:r>
          </w:p>
        </w:tc>
      </w:tr>
      <w:tr w:rsidR="008146BD" w:rsidRPr="00594672" w:rsidTr="00372654">
        <w:trPr>
          <w:trHeight w:hRule="exact" w:val="340"/>
          <w:jc w:val="center"/>
        </w:trPr>
        <w:tc>
          <w:tcPr>
            <w:tcW w:w="1394" w:type="dxa"/>
          </w:tcPr>
          <w:p w:rsidR="008146BD" w:rsidRPr="00594672" w:rsidRDefault="008146BD" w:rsidP="007A7D80">
            <w:pPr>
              <w:keepLines/>
              <w:suppressLineNumbers/>
              <w:rPr>
                <w:rFonts w:asciiTheme="minorHAnsi" w:hAnsiTheme="minorHAnsi" w:cstheme="minorHAnsi"/>
                <w:b/>
              </w:rPr>
            </w:pPr>
            <w:r w:rsidRPr="00594672">
              <w:rPr>
                <w:rFonts w:asciiTheme="minorHAnsi" w:hAnsiTheme="minorHAnsi" w:cstheme="minorHAnsi"/>
                <w:b/>
              </w:rPr>
              <w:t xml:space="preserve">  Čína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w:t>
            </w:r>
            <w:r w:rsidR="002504C7">
              <w:rPr>
                <w:rFonts w:asciiTheme="minorHAnsi" w:hAnsiTheme="minorHAnsi" w:cstheme="minorHAnsi"/>
              </w:rPr>
              <w:t xml:space="preserve"> </w:t>
            </w:r>
            <w:r w:rsidRPr="00594672">
              <w:rPr>
                <w:rFonts w:asciiTheme="minorHAnsi" w:hAnsiTheme="minorHAnsi" w:cstheme="minorHAnsi"/>
              </w:rPr>
              <w:t>341</w:t>
            </w:r>
            <w:r w:rsidR="002504C7">
              <w:rPr>
                <w:rFonts w:asciiTheme="minorHAnsi" w:hAnsiTheme="minorHAnsi" w:cstheme="minorHAnsi"/>
              </w:rPr>
              <w:t xml:space="preserve"> </w:t>
            </w:r>
            <w:r w:rsidRPr="00594672">
              <w:rPr>
                <w:rFonts w:asciiTheme="minorHAnsi" w:hAnsiTheme="minorHAnsi" w:cstheme="minorHAnsi"/>
              </w:rPr>
              <w:t>335</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w:t>
            </w:r>
            <w:r w:rsidR="002504C7">
              <w:rPr>
                <w:rFonts w:asciiTheme="minorHAnsi" w:hAnsiTheme="minorHAnsi" w:cstheme="minorHAnsi"/>
              </w:rPr>
              <w:t xml:space="preserve"> </w:t>
            </w:r>
            <w:r w:rsidRPr="00594672">
              <w:rPr>
                <w:rFonts w:asciiTheme="minorHAnsi" w:hAnsiTheme="minorHAnsi" w:cstheme="minorHAnsi"/>
              </w:rPr>
              <w:t>393</w:t>
            </w:r>
            <w:r w:rsidR="002504C7">
              <w:rPr>
                <w:rFonts w:asciiTheme="minorHAnsi" w:hAnsiTheme="minorHAnsi" w:cstheme="minorHAnsi"/>
              </w:rPr>
              <w:t xml:space="preserve"> </w:t>
            </w:r>
            <w:r w:rsidRPr="00594672">
              <w:rPr>
                <w:rFonts w:asciiTheme="minorHAnsi" w:hAnsiTheme="minorHAnsi" w:cstheme="minorHAnsi"/>
              </w:rPr>
              <w:t>076</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182"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+3,9% </w:t>
            </w:r>
          </w:p>
        </w:tc>
      </w:tr>
      <w:tr w:rsidR="008146BD" w:rsidRPr="00594672" w:rsidTr="00372654">
        <w:trPr>
          <w:trHeight w:hRule="exact" w:val="340"/>
          <w:jc w:val="center"/>
        </w:trPr>
        <w:tc>
          <w:tcPr>
            <w:tcW w:w="1394" w:type="dxa"/>
          </w:tcPr>
          <w:p w:rsidR="008146BD" w:rsidRPr="00594672" w:rsidRDefault="008146BD" w:rsidP="007A7D80">
            <w:pPr>
              <w:keepLines/>
              <w:suppressLineNumbers/>
              <w:rPr>
                <w:rFonts w:asciiTheme="minorHAnsi" w:hAnsiTheme="minorHAnsi" w:cstheme="minorHAnsi"/>
                <w:b/>
              </w:rPr>
            </w:pPr>
            <w:r w:rsidRPr="00594672">
              <w:rPr>
                <w:rFonts w:asciiTheme="minorHAnsi" w:hAnsiTheme="minorHAnsi" w:cstheme="minorHAnsi"/>
                <w:b/>
              </w:rPr>
              <w:t xml:space="preserve">  USA</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310</w:t>
            </w:r>
            <w:r w:rsidR="002504C7">
              <w:rPr>
                <w:rFonts w:asciiTheme="minorHAnsi" w:hAnsiTheme="minorHAnsi" w:cstheme="minorHAnsi"/>
              </w:rPr>
              <w:t xml:space="preserve"> </w:t>
            </w:r>
            <w:r w:rsidRPr="00594672">
              <w:rPr>
                <w:rFonts w:asciiTheme="minorHAnsi" w:hAnsiTheme="minorHAnsi" w:cstheme="minorHAnsi"/>
              </w:rPr>
              <w:t>384</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361</w:t>
            </w:r>
            <w:r w:rsidR="002504C7">
              <w:rPr>
                <w:rFonts w:asciiTheme="minorHAnsi" w:hAnsiTheme="minorHAnsi" w:cstheme="minorHAnsi"/>
              </w:rPr>
              <w:t xml:space="preserve"> </w:t>
            </w:r>
            <w:r w:rsidRPr="00594672">
              <w:rPr>
                <w:rFonts w:asciiTheme="minorHAnsi" w:hAnsiTheme="minorHAnsi" w:cstheme="minorHAnsi"/>
              </w:rPr>
              <w:t>680</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182"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+16,5% </w:t>
            </w:r>
          </w:p>
        </w:tc>
      </w:tr>
      <w:tr w:rsidR="008146BD" w:rsidRPr="00594672" w:rsidTr="00372654">
        <w:trPr>
          <w:trHeight w:hRule="exact" w:val="340"/>
          <w:jc w:val="center"/>
        </w:trPr>
        <w:tc>
          <w:tcPr>
            <w:tcW w:w="1394" w:type="dxa"/>
          </w:tcPr>
          <w:p w:rsidR="008146BD" w:rsidRPr="00594672" w:rsidRDefault="008146BD" w:rsidP="007A7D80">
            <w:pPr>
              <w:keepLines/>
              <w:suppressLineNumbers/>
              <w:rPr>
                <w:rFonts w:asciiTheme="minorHAnsi" w:hAnsiTheme="minorHAnsi" w:cstheme="minorHAnsi"/>
                <w:b/>
              </w:rPr>
            </w:pPr>
            <w:r w:rsidRPr="00594672">
              <w:rPr>
                <w:rFonts w:asciiTheme="minorHAnsi" w:hAnsiTheme="minorHAnsi" w:cstheme="minorHAnsi"/>
                <w:b/>
              </w:rPr>
              <w:t xml:space="preserve">  Indonésie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239</w:t>
            </w:r>
            <w:r w:rsidR="002504C7">
              <w:rPr>
                <w:rFonts w:asciiTheme="minorHAnsi" w:hAnsiTheme="minorHAnsi" w:cstheme="minorHAnsi"/>
              </w:rPr>
              <w:t xml:space="preserve"> </w:t>
            </w:r>
            <w:r w:rsidRPr="00594672">
              <w:rPr>
                <w:rFonts w:asciiTheme="minorHAnsi" w:hAnsiTheme="minorHAnsi" w:cstheme="minorHAnsi"/>
              </w:rPr>
              <w:t>871</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279</w:t>
            </w:r>
            <w:r w:rsidR="002504C7">
              <w:rPr>
                <w:rFonts w:asciiTheme="minorHAnsi" w:hAnsiTheme="minorHAnsi" w:cstheme="minorHAnsi"/>
              </w:rPr>
              <w:t xml:space="preserve"> </w:t>
            </w:r>
            <w:r w:rsidRPr="00594672">
              <w:rPr>
                <w:rFonts w:asciiTheme="minorHAnsi" w:hAnsiTheme="minorHAnsi" w:cstheme="minorHAnsi"/>
              </w:rPr>
              <w:t>659</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182"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+ 16,6% </w:t>
            </w:r>
          </w:p>
        </w:tc>
      </w:tr>
      <w:tr w:rsidR="008146BD" w:rsidRPr="00594672" w:rsidTr="00372654">
        <w:trPr>
          <w:trHeight w:hRule="exact" w:val="340"/>
          <w:jc w:val="center"/>
        </w:trPr>
        <w:tc>
          <w:tcPr>
            <w:tcW w:w="1394" w:type="dxa"/>
          </w:tcPr>
          <w:p w:rsidR="008146BD" w:rsidRPr="00594672" w:rsidRDefault="008146BD" w:rsidP="007A7D80">
            <w:pPr>
              <w:keepLines/>
              <w:suppressLineNumbers/>
              <w:rPr>
                <w:rFonts w:asciiTheme="minorHAnsi" w:hAnsiTheme="minorHAnsi" w:cstheme="minorHAnsi"/>
                <w:b/>
              </w:rPr>
            </w:pPr>
            <w:r w:rsidRPr="00594672">
              <w:rPr>
                <w:rFonts w:asciiTheme="minorHAnsi" w:hAnsiTheme="minorHAnsi" w:cstheme="minorHAnsi"/>
                <w:b/>
              </w:rPr>
              <w:t xml:space="preserve">  Nigérie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158</w:t>
            </w:r>
            <w:r w:rsidR="002504C7">
              <w:rPr>
                <w:rFonts w:asciiTheme="minorHAnsi" w:hAnsiTheme="minorHAnsi" w:cstheme="minorHAnsi"/>
              </w:rPr>
              <w:t xml:space="preserve"> </w:t>
            </w:r>
            <w:r w:rsidRPr="00594672">
              <w:rPr>
                <w:rFonts w:asciiTheme="minorHAnsi" w:hAnsiTheme="minorHAnsi" w:cstheme="minorHAnsi"/>
              </w:rPr>
              <w:t>423</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257</w:t>
            </w:r>
            <w:r w:rsidR="002504C7">
              <w:rPr>
                <w:rFonts w:asciiTheme="minorHAnsi" w:hAnsiTheme="minorHAnsi" w:cstheme="minorHAnsi"/>
              </w:rPr>
              <w:t xml:space="preserve"> </w:t>
            </w:r>
            <w:r w:rsidRPr="00594672">
              <w:rPr>
                <w:rFonts w:asciiTheme="minorHAnsi" w:hAnsiTheme="minorHAnsi" w:cstheme="minorHAnsi"/>
              </w:rPr>
              <w:t>815</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182"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+ 62,7% </w:t>
            </w:r>
          </w:p>
        </w:tc>
      </w:tr>
      <w:tr w:rsidR="008146BD" w:rsidRPr="00594672" w:rsidTr="00372654">
        <w:trPr>
          <w:trHeight w:hRule="exact" w:val="340"/>
          <w:jc w:val="center"/>
        </w:trPr>
        <w:tc>
          <w:tcPr>
            <w:tcW w:w="1394" w:type="dxa"/>
          </w:tcPr>
          <w:p w:rsidR="008146BD" w:rsidRPr="00594672" w:rsidRDefault="008146BD" w:rsidP="007A7D80">
            <w:pPr>
              <w:keepLines/>
              <w:suppressLineNumbers/>
              <w:rPr>
                <w:rFonts w:asciiTheme="minorHAnsi" w:hAnsiTheme="minorHAnsi" w:cstheme="minorHAnsi"/>
                <w:b/>
              </w:rPr>
            </w:pPr>
            <w:r w:rsidRPr="00594672">
              <w:rPr>
                <w:rFonts w:asciiTheme="minorHAnsi" w:hAnsiTheme="minorHAnsi" w:cstheme="minorHAnsi"/>
                <w:b/>
              </w:rPr>
              <w:t xml:space="preserve">  Pákistán</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173</w:t>
            </w:r>
            <w:r w:rsidR="002504C7">
              <w:rPr>
                <w:rFonts w:asciiTheme="minorHAnsi" w:hAnsiTheme="minorHAnsi" w:cstheme="minorHAnsi"/>
              </w:rPr>
              <w:t xml:space="preserve"> </w:t>
            </w:r>
            <w:r w:rsidRPr="00594672">
              <w:rPr>
                <w:rFonts w:asciiTheme="minorHAnsi" w:hAnsiTheme="minorHAnsi" w:cstheme="minorHAnsi"/>
              </w:rPr>
              <w:t>593</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234</w:t>
            </w:r>
            <w:r w:rsidR="002504C7">
              <w:rPr>
                <w:rFonts w:asciiTheme="minorHAnsi" w:hAnsiTheme="minorHAnsi" w:cstheme="minorHAnsi"/>
              </w:rPr>
              <w:t xml:space="preserve"> </w:t>
            </w:r>
            <w:r w:rsidRPr="00594672">
              <w:rPr>
                <w:rFonts w:asciiTheme="minorHAnsi" w:hAnsiTheme="minorHAnsi" w:cstheme="minorHAnsi"/>
              </w:rPr>
              <w:t>432</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182"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+ 35,0% </w:t>
            </w:r>
          </w:p>
        </w:tc>
      </w:tr>
      <w:tr w:rsidR="008146BD" w:rsidRPr="00594672" w:rsidTr="00372654">
        <w:trPr>
          <w:trHeight w:hRule="exact" w:val="340"/>
          <w:jc w:val="center"/>
        </w:trPr>
        <w:tc>
          <w:tcPr>
            <w:tcW w:w="1394" w:type="dxa"/>
          </w:tcPr>
          <w:p w:rsidR="008146BD" w:rsidRPr="00594672" w:rsidRDefault="008146BD" w:rsidP="007A7D80">
            <w:pPr>
              <w:keepLines/>
              <w:suppressLineNumbers/>
              <w:rPr>
                <w:rFonts w:asciiTheme="minorHAnsi" w:hAnsiTheme="minorHAnsi" w:cstheme="minorHAnsi"/>
                <w:b/>
              </w:rPr>
            </w:pPr>
            <w:r w:rsidRPr="00594672">
              <w:rPr>
                <w:rFonts w:asciiTheme="minorHAnsi" w:hAnsiTheme="minorHAnsi" w:cstheme="minorHAnsi"/>
                <w:b/>
              </w:rPr>
              <w:t xml:space="preserve">  Brazílie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194</w:t>
            </w:r>
            <w:r w:rsidR="002504C7">
              <w:rPr>
                <w:rFonts w:asciiTheme="minorHAnsi" w:hAnsiTheme="minorHAnsi" w:cstheme="minorHAnsi"/>
              </w:rPr>
              <w:t xml:space="preserve"> </w:t>
            </w:r>
            <w:r w:rsidRPr="00594672">
              <w:rPr>
                <w:rFonts w:asciiTheme="minorHAnsi" w:hAnsiTheme="minorHAnsi" w:cstheme="minorHAnsi"/>
              </w:rPr>
              <w:t>946</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220</w:t>
            </w:r>
            <w:r w:rsidR="002504C7">
              <w:rPr>
                <w:rFonts w:asciiTheme="minorHAnsi" w:hAnsiTheme="minorHAnsi" w:cstheme="minorHAnsi"/>
              </w:rPr>
              <w:t xml:space="preserve"> </w:t>
            </w:r>
            <w:r w:rsidRPr="00594672">
              <w:rPr>
                <w:rFonts w:asciiTheme="minorHAnsi" w:hAnsiTheme="minorHAnsi" w:cstheme="minorHAnsi"/>
              </w:rPr>
              <w:t>492</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182"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+13,1% </w:t>
            </w:r>
          </w:p>
        </w:tc>
      </w:tr>
      <w:tr w:rsidR="008146BD" w:rsidRPr="00594672" w:rsidTr="00372654">
        <w:trPr>
          <w:trHeight w:hRule="exact" w:val="340"/>
          <w:jc w:val="center"/>
        </w:trPr>
        <w:tc>
          <w:tcPr>
            <w:tcW w:w="1394" w:type="dxa"/>
          </w:tcPr>
          <w:p w:rsidR="008146BD" w:rsidRPr="00594672" w:rsidRDefault="008146BD" w:rsidP="007A7D80">
            <w:pPr>
              <w:keepLines/>
              <w:suppressLineNumbers/>
              <w:rPr>
                <w:rFonts w:asciiTheme="minorHAnsi" w:hAnsiTheme="minorHAnsi" w:cstheme="minorHAnsi"/>
                <w:b/>
              </w:rPr>
            </w:pPr>
            <w:r w:rsidRPr="00594672">
              <w:rPr>
                <w:rFonts w:asciiTheme="minorHAnsi" w:hAnsiTheme="minorHAnsi" w:cstheme="minorHAnsi"/>
                <w:b/>
              </w:rPr>
              <w:t xml:space="preserve">  Bangladéš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148</w:t>
            </w:r>
            <w:r w:rsidR="002504C7">
              <w:rPr>
                <w:rFonts w:asciiTheme="minorHAnsi" w:hAnsiTheme="minorHAnsi" w:cstheme="minorHAnsi"/>
              </w:rPr>
              <w:t xml:space="preserve"> </w:t>
            </w:r>
            <w:r w:rsidRPr="00594672">
              <w:rPr>
                <w:rFonts w:asciiTheme="minorHAnsi" w:hAnsiTheme="minorHAnsi" w:cstheme="minorHAnsi"/>
              </w:rPr>
              <w:t>692</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181</w:t>
            </w:r>
            <w:r w:rsidR="002504C7">
              <w:rPr>
                <w:rFonts w:asciiTheme="minorHAnsi" w:hAnsiTheme="minorHAnsi" w:cstheme="minorHAnsi"/>
              </w:rPr>
              <w:t xml:space="preserve"> </w:t>
            </w:r>
            <w:r w:rsidRPr="00594672">
              <w:rPr>
                <w:rFonts w:asciiTheme="minorHAnsi" w:hAnsiTheme="minorHAnsi" w:cstheme="minorHAnsi"/>
              </w:rPr>
              <w:t>863</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182"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22,3% </w:t>
            </w:r>
          </w:p>
        </w:tc>
      </w:tr>
      <w:tr w:rsidR="008146BD" w:rsidRPr="00594672" w:rsidTr="00372654">
        <w:trPr>
          <w:trHeight w:hRule="exact" w:val="340"/>
          <w:jc w:val="center"/>
        </w:trPr>
        <w:tc>
          <w:tcPr>
            <w:tcW w:w="1394" w:type="dxa"/>
          </w:tcPr>
          <w:p w:rsidR="008146BD" w:rsidRPr="00594672" w:rsidRDefault="008146BD" w:rsidP="007A7D80">
            <w:pPr>
              <w:keepLines/>
              <w:suppressLineNumbers/>
              <w:rPr>
                <w:rFonts w:asciiTheme="minorHAnsi" w:hAnsiTheme="minorHAnsi" w:cstheme="minorHAnsi"/>
                <w:b/>
              </w:rPr>
            </w:pPr>
            <w:r w:rsidRPr="00594672">
              <w:rPr>
                <w:rFonts w:asciiTheme="minorHAnsi" w:hAnsiTheme="minorHAnsi" w:cstheme="minorHAnsi"/>
                <w:b/>
              </w:rPr>
              <w:t xml:space="preserve">  Rusko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142</w:t>
            </w:r>
            <w:r w:rsidR="002504C7">
              <w:rPr>
                <w:rFonts w:asciiTheme="minorHAnsi" w:hAnsiTheme="minorHAnsi" w:cstheme="minorHAnsi"/>
              </w:rPr>
              <w:t xml:space="preserve"> </w:t>
            </w:r>
            <w:r w:rsidRPr="00594672">
              <w:rPr>
                <w:rFonts w:asciiTheme="minorHAnsi" w:hAnsiTheme="minorHAnsi" w:cstheme="minorHAnsi"/>
              </w:rPr>
              <w:t>958</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136</w:t>
            </w:r>
            <w:r w:rsidR="002504C7">
              <w:rPr>
                <w:rFonts w:asciiTheme="minorHAnsi" w:hAnsiTheme="minorHAnsi" w:cstheme="minorHAnsi"/>
              </w:rPr>
              <w:t xml:space="preserve"> </w:t>
            </w:r>
            <w:r w:rsidRPr="00594672">
              <w:rPr>
                <w:rFonts w:asciiTheme="minorHAnsi" w:hAnsiTheme="minorHAnsi" w:cstheme="minorHAnsi"/>
              </w:rPr>
              <w:t>429</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182"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-4.6% </w:t>
            </w:r>
          </w:p>
        </w:tc>
      </w:tr>
      <w:tr w:rsidR="008146BD" w:rsidRPr="00594672" w:rsidTr="00372654">
        <w:trPr>
          <w:trHeight w:hRule="exact" w:val="340"/>
          <w:jc w:val="center"/>
        </w:trPr>
        <w:tc>
          <w:tcPr>
            <w:tcW w:w="1394" w:type="dxa"/>
          </w:tcPr>
          <w:p w:rsidR="008146BD" w:rsidRPr="00594672" w:rsidRDefault="008146BD" w:rsidP="007A7D80">
            <w:pPr>
              <w:keepLines/>
              <w:suppressLineNumbers/>
              <w:rPr>
                <w:rFonts w:asciiTheme="minorHAnsi" w:hAnsiTheme="minorHAnsi" w:cstheme="minorHAnsi"/>
                <w:b/>
              </w:rPr>
            </w:pPr>
            <w:r w:rsidRPr="00594672">
              <w:rPr>
                <w:rFonts w:asciiTheme="minorHAnsi" w:hAnsiTheme="minorHAnsi" w:cstheme="minorHAnsi"/>
                <w:b/>
              </w:rPr>
              <w:t xml:space="preserve">  Mexiko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113</w:t>
            </w:r>
            <w:r w:rsidR="002504C7">
              <w:rPr>
                <w:rFonts w:asciiTheme="minorHAnsi" w:hAnsiTheme="minorHAnsi" w:cstheme="minorHAnsi"/>
              </w:rPr>
              <w:t xml:space="preserve"> </w:t>
            </w:r>
            <w:r w:rsidRPr="00594672">
              <w:rPr>
                <w:rFonts w:asciiTheme="minorHAnsi" w:hAnsiTheme="minorHAnsi" w:cstheme="minorHAnsi"/>
              </w:rPr>
              <w:t>423</w:t>
            </w:r>
            <w:r w:rsidR="002504C7">
              <w:rPr>
                <w:rFonts w:asciiTheme="minorHAnsi" w:hAnsiTheme="minorHAnsi" w:cstheme="minorHAnsi"/>
              </w:rPr>
              <w:t xml:space="preserve"> </w:t>
            </w:r>
            <w:r w:rsidRPr="00594672">
              <w:rPr>
                <w:rFonts w:asciiTheme="minorHAnsi" w:hAnsiTheme="minorHAnsi" w:cstheme="minorHAnsi"/>
              </w:rPr>
              <w:t xml:space="preserve">011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135</w:t>
            </w:r>
            <w:r w:rsidR="002504C7">
              <w:rPr>
                <w:rFonts w:asciiTheme="minorHAnsi" w:hAnsiTheme="minorHAnsi" w:cstheme="minorHAnsi"/>
              </w:rPr>
              <w:t xml:space="preserve"> </w:t>
            </w:r>
            <w:r w:rsidRPr="00594672">
              <w:rPr>
                <w:rFonts w:asciiTheme="minorHAnsi" w:hAnsiTheme="minorHAnsi" w:cstheme="minorHAnsi"/>
              </w:rPr>
              <w:t>398</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182"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+ 19,4% </w:t>
            </w:r>
          </w:p>
        </w:tc>
      </w:tr>
      <w:tr w:rsidR="008146BD" w:rsidRPr="00594672" w:rsidTr="00372654">
        <w:trPr>
          <w:trHeight w:hRule="exact" w:val="340"/>
          <w:jc w:val="center"/>
        </w:trPr>
        <w:tc>
          <w:tcPr>
            <w:tcW w:w="1394" w:type="dxa"/>
          </w:tcPr>
          <w:p w:rsidR="008146BD" w:rsidRPr="00594672" w:rsidRDefault="008146BD" w:rsidP="007A7D80">
            <w:pPr>
              <w:keepLines/>
              <w:suppressLineNumbers/>
              <w:rPr>
                <w:rFonts w:asciiTheme="minorHAnsi" w:hAnsiTheme="minorHAnsi" w:cstheme="minorHAnsi"/>
                <w:b/>
              </w:rPr>
            </w:pPr>
            <w:r w:rsidRPr="00594672">
              <w:rPr>
                <w:rFonts w:asciiTheme="minorHAnsi" w:hAnsiTheme="minorHAnsi" w:cstheme="minorHAnsi"/>
                <w:b/>
              </w:rPr>
              <w:t xml:space="preserve">  Svět</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6</w:t>
            </w:r>
            <w:r w:rsidR="002504C7">
              <w:rPr>
                <w:rFonts w:asciiTheme="minorHAnsi" w:hAnsiTheme="minorHAnsi" w:cstheme="minorHAnsi"/>
              </w:rPr>
              <w:t xml:space="preserve"> </w:t>
            </w:r>
            <w:r w:rsidRPr="00594672">
              <w:rPr>
                <w:rFonts w:asciiTheme="minorHAnsi" w:hAnsiTheme="minorHAnsi" w:cstheme="minorHAnsi"/>
              </w:rPr>
              <w:t>895</w:t>
            </w:r>
            <w:r w:rsidR="002504C7">
              <w:rPr>
                <w:rFonts w:asciiTheme="minorHAnsi" w:hAnsiTheme="minorHAnsi" w:cstheme="minorHAnsi"/>
              </w:rPr>
              <w:t xml:space="preserve"> </w:t>
            </w:r>
            <w:r w:rsidRPr="00594672">
              <w:rPr>
                <w:rFonts w:asciiTheme="minorHAnsi" w:hAnsiTheme="minorHAnsi" w:cstheme="minorHAnsi"/>
              </w:rPr>
              <w:t>889</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547"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8</w:t>
            </w:r>
            <w:r w:rsidR="002504C7">
              <w:rPr>
                <w:rFonts w:asciiTheme="minorHAnsi" w:hAnsiTheme="minorHAnsi" w:cstheme="minorHAnsi"/>
              </w:rPr>
              <w:t xml:space="preserve"> </w:t>
            </w:r>
            <w:r w:rsidRPr="00594672">
              <w:rPr>
                <w:rFonts w:asciiTheme="minorHAnsi" w:hAnsiTheme="minorHAnsi" w:cstheme="minorHAnsi"/>
              </w:rPr>
              <w:t>321</w:t>
            </w:r>
            <w:r w:rsidR="002504C7">
              <w:rPr>
                <w:rFonts w:asciiTheme="minorHAnsi" w:hAnsiTheme="minorHAnsi" w:cstheme="minorHAnsi"/>
              </w:rPr>
              <w:t xml:space="preserve"> </w:t>
            </w:r>
            <w:r w:rsidRPr="00594672">
              <w:rPr>
                <w:rFonts w:asciiTheme="minorHAnsi" w:hAnsiTheme="minorHAnsi" w:cstheme="minorHAnsi"/>
              </w:rPr>
              <w:t>380</w:t>
            </w:r>
            <w:r w:rsidR="002504C7">
              <w:rPr>
                <w:rFonts w:asciiTheme="minorHAnsi" w:hAnsiTheme="minorHAnsi" w:cstheme="minorHAnsi"/>
              </w:rPr>
              <w:t xml:space="preserve"> </w:t>
            </w:r>
            <w:r w:rsidRPr="00594672">
              <w:rPr>
                <w:rFonts w:asciiTheme="minorHAnsi" w:hAnsiTheme="minorHAnsi" w:cstheme="minorHAnsi"/>
              </w:rPr>
              <w:t xml:space="preserve">000 </w:t>
            </w:r>
          </w:p>
        </w:tc>
        <w:tc>
          <w:tcPr>
            <w:tcW w:w="1182" w:type="dxa"/>
          </w:tcPr>
          <w:p w:rsidR="008146BD" w:rsidRPr="00594672" w:rsidRDefault="008146BD" w:rsidP="007A7D80">
            <w:pPr>
              <w:keepLines/>
              <w:suppressLineNumbers/>
              <w:jc w:val="center"/>
              <w:rPr>
                <w:rFonts w:asciiTheme="minorHAnsi" w:hAnsiTheme="minorHAnsi" w:cstheme="minorHAnsi"/>
              </w:rPr>
            </w:pPr>
            <w:r w:rsidRPr="00594672">
              <w:rPr>
                <w:rFonts w:asciiTheme="minorHAnsi" w:hAnsiTheme="minorHAnsi" w:cstheme="minorHAnsi"/>
              </w:rPr>
              <w:t xml:space="preserve"> +20,7% </w:t>
            </w:r>
          </w:p>
        </w:tc>
      </w:tr>
    </w:tbl>
    <w:p w:rsidR="008146BD" w:rsidRPr="00594672" w:rsidRDefault="008146BD" w:rsidP="008146BD">
      <w:pPr>
        <w:keepLines/>
        <w:suppressLineNumbers/>
        <w:spacing w:after="0"/>
        <w:jc w:val="center"/>
        <w:rPr>
          <w:rFonts w:asciiTheme="minorHAnsi" w:hAnsiTheme="minorHAnsi" w:cstheme="minorHAnsi"/>
          <w:i/>
        </w:rPr>
      </w:pPr>
      <w:r w:rsidRPr="00594672">
        <w:rPr>
          <w:rFonts w:asciiTheme="minorHAnsi" w:hAnsiTheme="minorHAnsi" w:cstheme="minorHAnsi"/>
          <w:i/>
        </w:rPr>
        <w:t>Pramen: United Nations, 2010.</w:t>
      </w:r>
    </w:p>
    <w:p w:rsidR="008146BD" w:rsidRPr="00E63699" w:rsidRDefault="008146BD" w:rsidP="008146BD">
      <w:pPr>
        <w:keepNext/>
        <w:keepLines/>
        <w:suppressLineNumbers/>
        <w:suppressAutoHyphens/>
        <w:spacing w:before="200"/>
        <w:ind w:firstLine="720"/>
        <w:jc w:val="both"/>
        <w:outlineLvl w:val="0"/>
        <w:rPr>
          <w:rFonts w:asciiTheme="minorHAnsi" w:eastAsia="Batang" w:hAnsiTheme="minorHAnsi" w:cstheme="minorHAnsi"/>
          <w:bCs/>
          <w:i/>
          <w:color w:val="FF0000"/>
          <w:kern w:val="32"/>
          <w:lang w:eastAsia="ar-SA"/>
        </w:rPr>
      </w:pPr>
      <w:r w:rsidRPr="003F17DB">
        <w:rPr>
          <w:rFonts w:cs="TimesNewRomanPSMT"/>
          <w:sz w:val="24"/>
          <w:szCs w:val="24"/>
        </w:rPr>
        <w:lastRenderedPageBreak/>
        <w:t xml:space="preserve">Průběh demografické revoluce je i přes převažující konvergenční tendence v úrovni porodnosti a úmrtnosti geograficky značně diferenciovaný, přesto však lze nalézt určité společné rysy usnadňující strategické posouzení hlavních důsledků pro další rozvoj civilizace (v tomto směru klíčové informace shrnuje následující tabulka). V první řadě je potřebné konstatovat, že otázka porodnosti je nepochybně podstatně složitější než otázka úmrtnosti, která je však z pohledu celého procesu ovšem považována za primární (Kalibová, 1997). Pokles úmrtnosti se bezprostředně odvíjí od vědeckotechnického pokroku – vedle pokroku v lékařské péči je potřebné uvést zejména zlepšení výživy a hygienických podmínek podmíněné všeobecným zvýšením životní úrovně obyvatelstva. Jeho zásadním důsledkem je zvýšení naděje dožití, která vyjadřuje průměrnou </w:t>
      </w:r>
      <w:r w:rsidRPr="003F17DB">
        <w:rPr>
          <w:sz w:val="24"/>
          <w:szCs w:val="24"/>
        </w:rPr>
        <w:t>očekávanou délku života při narození dítěte.</w:t>
      </w:r>
      <w:r w:rsidRPr="003F17DB">
        <w:rPr>
          <w:rFonts w:cs="TimesNewRomanPSMT"/>
          <w:sz w:val="24"/>
          <w:szCs w:val="24"/>
        </w:rPr>
        <w:t xml:space="preserve"> Pokles úrovně porodnosti je pak mnohem více vázán na kulturní specifika</w:t>
      </w:r>
      <w:r w:rsidR="005F1118">
        <w:rPr>
          <w:rFonts w:cs="TimesNewRomanPSMT"/>
          <w:sz w:val="24"/>
          <w:szCs w:val="24"/>
        </w:rPr>
        <w:t>,</w:t>
      </w:r>
      <w:r w:rsidRPr="003F17DB">
        <w:rPr>
          <w:rFonts w:cs="TimesNewRomanPSMT"/>
          <w:sz w:val="24"/>
          <w:szCs w:val="24"/>
        </w:rPr>
        <w:t xml:space="preserve"> tj. hodnotové faktory (zejména postavení žen ve společnosti), které jsou ze své podstaty mnohem méně ovlivnitelné zvenčí než faktory působící na úmrtnost. V této souvislosti zformuloval Coale (1973) tři obecné předpoklady snižování porodnosti, seřazené dále podle významnosti: vědomá volba rodičovství (plánované rodičovství), socioekonomické výhody menšího počtu dětí (indukované rostoucími náklady na dítě) a dostupnost antikoncepce (propagovaná zvláště neomalthusiány). </w:t>
      </w:r>
    </w:p>
    <w:p w:rsidR="008146BD" w:rsidRPr="00E63699" w:rsidRDefault="008146BD" w:rsidP="006B61FE">
      <w:pPr>
        <w:pStyle w:val="0T-Titulek"/>
      </w:pPr>
      <w:bookmarkStart w:id="184" w:name="_Toc382326480"/>
      <w:r w:rsidRPr="00740291">
        <w:t xml:space="preserve">Tabulka 53: Populační </w:t>
      </w:r>
      <w:r w:rsidRPr="00E63699">
        <w:t>trendy běh</w:t>
      </w:r>
      <w:r w:rsidR="005F1118">
        <w:t>em demografického přechodu 1700–</w:t>
      </w:r>
      <w:r w:rsidRPr="00E63699">
        <w:t>2100</w:t>
      </w:r>
      <w:bookmarkEnd w:id="184"/>
    </w:p>
    <w:tbl>
      <w:tblPr>
        <w:tblW w:w="83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70"/>
        <w:gridCol w:w="1245"/>
        <w:gridCol w:w="1244"/>
        <w:gridCol w:w="1244"/>
        <w:gridCol w:w="1244"/>
        <w:gridCol w:w="1244"/>
        <w:gridCol w:w="1244"/>
      </w:tblGrid>
      <w:tr w:rsidR="008146BD" w:rsidRPr="00E63699" w:rsidTr="001439F4">
        <w:trPr>
          <w:trHeight w:hRule="exact" w:val="567"/>
          <w:jc w:val="center"/>
        </w:trPr>
        <w:tc>
          <w:tcPr>
            <w:tcW w:w="907" w:type="dxa"/>
            <w:vAlign w:val="center"/>
          </w:tcPr>
          <w:p w:rsidR="008146BD" w:rsidRPr="00E63699" w:rsidRDefault="008146BD" w:rsidP="007A7D80">
            <w:pPr>
              <w:keepNext/>
              <w:keepLines/>
              <w:widowControl w:val="0"/>
              <w:suppressLineNumbers/>
              <w:spacing w:after="0"/>
              <w:ind w:left="-57" w:right="-57"/>
              <w:jc w:val="center"/>
              <w:rPr>
                <w:rFonts w:asciiTheme="minorHAnsi" w:hAnsiTheme="minorHAnsi" w:cstheme="minorHAnsi"/>
                <w:b/>
              </w:rPr>
            </w:pPr>
            <w:r w:rsidRPr="00E63699">
              <w:rPr>
                <w:rFonts w:asciiTheme="minorHAnsi" w:hAnsiTheme="minorHAnsi" w:cstheme="minorHAnsi"/>
                <w:b/>
              </w:rPr>
              <w:t>rok</w:t>
            </w:r>
          </w:p>
        </w:tc>
        <w:tc>
          <w:tcPr>
            <w:tcW w:w="1304" w:type="dxa"/>
            <w:vAlign w:val="center"/>
          </w:tcPr>
          <w:p w:rsidR="008146BD" w:rsidRPr="00E63699" w:rsidRDefault="008146BD" w:rsidP="007A7D80">
            <w:pPr>
              <w:keepNext/>
              <w:keepLines/>
              <w:widowControl w:val="0"/>
              <w:suppressLineNumbers/>
              <w:spacing w:after="0"/>
              <w:ind w:left="-57" w:right="-57"/>
              <w:jc w:val="center"/>
              <w:rPr>
                <w:rFonts w:asciiTheme="minorHAnsi" w:hAnsiTheme="minorHAnsi" w:cstheme="minorHAnsi"/>
                <w:b/>
              </w:rPr>
            </w:pPr>
            <w:r w:rsidRPr="00E63699">
              <w:rPr>
                <w:rFonts w:asciiTheme="minorHAnsi" w:hAnsiTheme="minorHAnsi" w:cstheme="minorHAnsi"/>
                <w:b/>
              </w:rPr>
              <w:t>naděje</w:t>
            </w:r>
          </w:p>
          <w:p w:rsidR="008146BD" w:rsidRPr="00E63699" w:rsidRDefault="008146BD" w:rsidP="007A7D80">
            <w:pPr>
              <w:keepNext/>
              <w:keepLines/>
              <w:widowControl w:val="0"/>
              <w:suppressLineNumbers/>
              <w:spacing w:after="0"/>
              <w:ind w:left="-57" w:right="-57"/>
              <w:jc w:val="center"/>
              <w:rPr>
                <w:rFonts w:asciiTheme="minorHAnsi" w:hAnsiTheme="minorHAnsi" w:cstheme="minorHAnsi"/>
                <w:b/>
              </w:rPr>
            </w:pPr>
            <w:r w:rsidRPr="00E63699">
              <w:rPr>
                <w:rFonts w:asciiTheme="minorHAnsi" w:hAnsiTheme="minorHAnsi" w:cstheme="minorHAnsi"/>
                <w:b/>
              </w:rPr>
              <w:t xml:space="preserve"> dožití</w:t>
            </w:r>
          </w:p>
        </w:tc>
        <w:tc>
          <w:tcPr>
            <w:tcW w:w="1304" w:type="dxa"/>
            <w:vAlign w:val="center"/>
          </w:tcPr>
          <w:p w:rsidR="008146BD" w:rsidRPr="00E63699" w:rsidRDefault="008146BD" w:rsidP="007A7D80">
            <w:pPr>
              <w:keepNext/>
              <w:keepLines/>
              <w:widowControl w:val="0"/>
              <w:suppressLineNumbers/>
              <w:spacing w:after="0"/>
              <w:ind w:left="-57" w:right="-57"/>
              <w:jc w:val="center"/>
              <w:rPr>
                <w:rFonts w:asciiTheme="minorHAnsi" w:hAnsiTheme="minorHAnsi" w:cstheme="minorHAnsi"/>
                <w:b/>
              </w:rPr>
            </w:pPr>
            <w:r w:rsidRPr="00E63699">
              <w:rPr>
                <w:rFonts w:asciiTheme="minorHAnsi" w:hAnsiTheme="minorHAnsi" w:cstheme="minorHAnsi"/>
                <w:b/>
              </w:rPr>
              <w:t>úhrnná plodnost</w:t>
            </w:r>
          </w:p>
        </w:tc>
        <w:tc>
          <w:tcPr>
            <w:tcW w:w="1304" w:type="dxa"/>
            <w:vAlign w:val="center"/>
          </w:tcPr>
          <w:p w:rsidR="008146BD" w:rsidRPr="00E63699" w:rsidRDefault="008146BD" w:rsidP="007A7D80">
            <w:pPr>
              <w:keepNext/>
              <w:keepLines/>
              <w:widowControl w:val="0"/>
              <w:suppressLineNumbers/>
              <w:spacing w:after="0"/>
              <w:ind w:left="-57" w:right="-57"/>
              <w:jc w:val="center"/>
              <w:rPr>
                <w:rFonts w:asciiTheme="minorHAnsi" w:hAnsiTheme="minorHAnsi" w:cstheme="minorHAnsi"/>
                <w:b/>
              </w:rPr>
            </w:pPr>
            <w:r w:rsidRPr="00E63699">
              <w:rPr>
                <w:rFonts w:asciiTheme="minorHAnsi" w:hAnsiTheme="minorHAnsi" w:cstheme="minorHAnsi"/>
                <w:b/>
              </w:rPr>
              <w:t>počet obyv. v mld.</w:t>
            </w:r>
          </w:p>
        </w:tc>
        <w:tc>
          <w:tcPr>
            <w:tcW w:w="1304" w:type="dxa"/>
            <w:vAlign w:val="center"/>
          </w:tcPr>
          <w:p w:rsidR="008146BD" w:rsidRPr="00E63699" w:rsidRDefault="008146BD" w:rsidP="007A7D80">
            <w:pPr>
              <w:keepNext/>
              <w:keepLines/>
              <w:widowControl w:val="0"/>
              <w:suppressLineNumbers/>
              <w:spacing w:after="0"/>
              <w:ind w:left="-57" w:right="-57"/>
              <w:jc w:val="center"/>
              <w:rPr>
                <w:rFonts w:asciiTheme="minorHAnsi" w:hAnsiTheme="minorHAnsi" w:cstheme="minorHAnsi"/>
                <w:b/>
              </w:rPr>
            </w:pPr>
            <w:r w:rsidRPr="00E63699">
              <w:rPr>
                <w:rFonts w:asciiTheme="minorHAnsi" w:hAnsiTheme="minorHAnsi" w:cstheme="minorHAnsi"/>
                <w:b/>
              </w:rPr>
              <w:t xml:space="preserve">populační </w:t>
            </w:r>
          </w:p>
          <w:p w:rsidR="008146BD" w:rsidRPr="00E63699" w:rsidRDefault="008146BD" w:rsidP="007A7D80">
            <w:pPr>
              <w:keepNext/>
              <w:keepLines/>
              <w:widowControl w:val="0"/>
              <w:suppressLineNumbers/>
              <w:spacing w:after="0"/>
              <w:ind w:left="-57" w:right="-57"/>
              <w:jc w:val="center"/>
              <w:rPr>
                <w:rFonts w:asciiTheme="minorHAnsi" w:hAnsiTheme="minorHAnsi" w:cstheme="minorHAnsi"/>
                <w:b/>
              </w:rPr>
            </w:pPr>
            <w:r w:rsidRPr="00E63699">
              <w:rPr>
                <w:rFonts w:asciiTheme="minorHAnsi" w:hAnsiTheme="minorHAnsi" w:cstheme="minorHAnsi"/>
                <w:b/>
              </w:rPr>
              <w:t>růst (%/rok)</w:t>
            </w:r>
          </w:p>
        </w:tc>
        <w:tc>
          <w:tcPr>
            <w:tcW w:w="1304" w:type="dxa"/>
            <w:vAlign w:val="center"/>
          </w:tcPr>
          <w:p w:rsidR="008146BD" w:rsidRPr="00E63699" w:rsidRDefault="008146BD" w:rsidP="007A7D80">
            <w:pPr>
              <w:keepNext/>
              <w:keepLines/>
              <w:widowControl w:val="0"/>
              <w:suppressLineNumbers/>
              <w:spacing w:after="0"/>
              <w:ind w:left="-57" w:right="-57"/>
              <w:jc w:val="center"/>
              <w:rPr>
                <w:rFonts w:asciiTheme="minorHAnsi" w:hAnsiTheme="minorHAnsi" w:cstheme="minorHAnsi"/>
                <w:b/>
              </w:rPr>
            </w:pPr>
            <w:r w:rsidRPr="00E63699">
              <w:rPr>
                <w:rFonts w:asciiTheme="minorHAnsi" w:hAnsiTheme="minorHAnsi" w:cstheme="minorHAnsi"/>
                <w:b/>
              </w:rPr>
              <w:t xml:space="preserve">věk. </w:t>
            </w:r>
            <w:proofErr w:type="gramStart"/>
            <w:r w:rsidRPr="00E63699">
              <w:rPr>
                <w:rFonts w:asciiTheme="minorHAnsi" w:hAnsiTheme="minorHAnsi" w:cstheme="minorHAnsi"/>
                <w:b/>
              </w:rPr>
              <w:t>skupina</w:t>
            </w:r>
            <w:proofErr w:type="gramEnd"/>
          </w:p>
          <w:p w:rsidR="008146BD" w:rsidRPr="00E63699" w:rsidRDefault="008146BD" w:rsidP="007A7D80">
            <w:pPr>
              <w:keepNext/>
              <w:keepLines/>
              <w:widowControl w:val="0"/>
              <w:suppressLineNumbers/>
              <w:spacing w:after="0"/>
              <w:ind w:left="-57" w:right="-57"/>
              <w:jc w:val="center"/>
              <w:rPr>
                <w:rFonts w:asciiTheme="minorHAnsi" w:hAnsiTheme="minorHAnsi" w:cstheme="minorHAnsi"/>
                <w:b/>
              </w:rPr>
            </w:pPr>
            <w:r w:rsidRPr="00E63699">
              <w:rPr>
                <w:rFonts w:asciiTheme="minorHAnsi" w:hAnsiTheme="minorHAnsi" w:cstheme="minorHAnsi"/>
                <w:b/>
              </w:rPr>
              <w:sym w:font="Symbol" w:char="F03C"/>
            </w:r>
            <w:r w:rsidRPr="00E63699">
              <w:rPr>
                <w:rFonts w:asciiTheme="minorHAnsi" w:hAnsiTheme="minorHAnsi" w:cstheme="minorHAnsi"/>
                <w:b/>
              </w:rPr>
              <w:t xml:space="preserve"> 15 (%) </w:t>
            </w:r>
          </w:p>
        </w:tc>
        <w:tc>
          <w:tcPr>
            <w:tcW w:w="1304" w:type="dxa"/>
            <w:vAlign w:val="center"/>
          </w:tcPr>
          <w:p w:rsidR="008146BD" w:rsidRPr="00E63699" w:rsidRDefault="008146BD" w:rsidP="007A7D80">
            <w:pPr>
              <w:keepNext/>
              <w:keepLines/>
              <w:widowControl w:val="0"/>
              <w:suppressLineNumbers/>
              <w:spacing w:after="0"/>
              <w:ind w:left="-57" w:right="-57"/>
              <w:jc w:val="center"/>
              <w:rPr>
                <w:rFonts w:asciiTheme="minorHAnsi" w:hAnsiTheme="minorHAnsi" w:cstheme="minorHAnsi"/>
                <w:b/>
              </w:rPr>
            </w:pPr>
            <w:r w:rsidRPr="00E63699">
              <w:rPr>
                <w:rFonts w:asciiTheme="minorHAnsi" w:hAnsiTheme="minorHAnsi" w:cstheme="minorHAnsi"/>
                <w:b/>
              </w:rPr>
              <w:t xml:space="preserve">věk. </w:t>
            </w:r>
            <w:proofErr w:type="gramStart"/>
            <w:r w:rsidRPr="00E63699">
              <w:rPr>
                <w:rFonts w:asciiTheme="minorHAnsi" w:hAnsiTheme="minorHAnsi" w:cstheme="minorHAnsi"/>
                <w:b/>
              </w:rPr>
              <w:t>skupina</w:t>
            </w:r>
            <w:proofErr w:type="gramEnd"/>
            <w:r w:rsidRPr="00E63699">
              <w:rPr>
                <w:rFonts w:asciiTheme="minorHAnsi" w:hAnsiTheme="minorHAnsi" w:cstheme="minorHAnsi"/>
                <w:b/>
              </w:rPr>
              <w:t xml:space="preserve"> </w:t>
            </w:r>
            <w:r w:rsidRPr="00E63699">
              <w:rPr>
                <w:rFonts w:asciiTheme="minorHAnsi" w:hAnsiTheme="minorHAnsi" w:cstheme="minorHAnsi"/>
                <w:b/>
              </w:rPr>
              <w:sym w:font="Symbol" w:char="F03E"/>
            </w:r>
            <w:r w:rsidRPr="00E63699">
              <w:rPr>
                <w:rFonts w:asciiTheme="minorHAnsi" w:hAnsiTheme="minorHAnsi" w:cstheme="minorHAnsi"/>
                <w:b/>
              </w:rPr>
              <w:t xml:space="preserve"> 65 (%)</w:t>
            </w:r>
          </w:p>
        </w:tc>
      </w:tr>
      <w:tr w:rsidR="008146BD" w:rsidRPr="00E63699" w:rsidTr="001439F4">
        <w:trPr>
          <w:trHeight w:hRule="exact" w:val="284"/>
          <w:jc w:val="center"/>
        </w:trPr>
        <w:tc>
          <w:tcPr>
            <w:tcW w:w="907"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b/>
              </w:rPr>
            </w:pPr>
            <w:r w:rsidRPr="00E63699">
              <w:rPr>
                <w:rFonts w:asciiTheme="minorHAnsi" w:hAnsiTheme="minorHAnsi" w:cstheme="minorHAnsi"/>
                <w:b/>
              </w:rPr>
              <w:t>1700</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27</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6,0</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0,68</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0,50</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36</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4</w:t>
            </w:r>
          </w:p>
        </w:tc>
      </w:tr>
      <w:tr w:rsidR="008146BD" w:rsidRPr="00E63699" w:rsidTr="001439F4">
        <w:trPr>
          <w:trHeight w:hRule="exact" w:val="284"/>
          <w:jc w:val="center"/>
        </w:trPr>
        <w:tc>
          <w:tcPr>
            <w:tcW w:w="907" w:type="dxa"/>
          </w:tcPr>
          <w:p w:rsidR="008146BD" w:rsidRPr="00E63699" w:rsidRDefault="008146BD" w:rsidP="007A7D80">
            <w:pPr>
              <w:keepNext/>
              <w:keepLines/>
              <w:suppressLineNumbers/>
              <w:spacing w:after="0"/>
              <w:jc w:val="center"/>
            </w:pPr>
            <w:r w:rsidRPr="00E63699">
              <w:rPr>
                <w:rFonts w:asciiTheme="minorHAnsi" w:hAnsiTheme="minorHAnsi" w:cstheme="minorHAnsi"/>
                <w:b/>
              </w:rPr>
              <w:t>1800</w:t>
            </w:r>
          </w:p>
        </w:tc>
        <w:tc>
          <w:tcPr>
            <w:tcW w:w="1304" w:type="dxa"/>
          </w:tcPr>
          <w:p w:rsidR="008146BD" w:rsidRPr="00E63699" w:rsidRDefault="008146BD" w:rsidP="007A7D80">
            <w:pPr>
              <w:keepNext/>
              <w:keepLines/>
              <w:suppressLineNumbers/>
              <w:jc w:val="center"/>
            </w:pPr>
            <w:r w:rsidRPr="00E63699">
              <w:rPr>
                <w:rFonts w:asciiTheme="minorHAnsi" w:hAnsiTheme="minorHAnsi" w:cstheme="minorHAnsi"/>
              </w:rPr>
              <w:t>27</w:t>
            </w:r>
          </w:p>
        </w:tc>
        <w:tc>
          <w:tcPr>
            <w:tcW w:w="1304" w:type="dxa"/>
          </w:tcPr>
          <w:p w:rsidR="008146BD" w:rsidRPr="00E63699" w:rsidRDefault="008146BD" w:rsidP="007A7D80">
            <w:pPr>
              <w:keepNext/>
              <w:keepLines/>
              <w:suppressLineNumbers/>
              <w:jc w:val="center"/>
            </w:pPr>
            <w:r w:rsidRPr="00E63699">
              <w:rPr>
                <w:rFonts w:asciiTheme="minorHAnsi" w:hAnsiTheme="minorHAnsi" w:cstheme="minorHAnsi"/>
              </w:rPr>
              <w:t>6,0</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0,98</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0,51</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36</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4</w:t>
            </w:r>
          </w:p>
        </w:tc>
      </w:tr>
      <w:tr w:rsidR="008146BD" w:rsidRPr="00E63699" w:rsidTr="001439F4">
        <w:trPr>
          <w:trHeight w:hRule="exact" w:val="284"/>
          <w:jc w:val="center"/>
        </w:trPr>
        <w:tc>
          <w:tcPr>
            <w:tcW w:w="907" w:type="dxa"/>
          </w:tcPr>
          <w:p w:rsidR="008146BD" w:rsidRPr="00E63699" w:rsidRDefault="008146BD" w:rsidP="007A7D80">
            <w:pPr>
              <w:keepNext/>
              <w:keepLines/>
              <w:suppressLineNumbers/>
              <w:spacing w:after="0"/>
              <w:jc w:val="center"/>
            </w:pPr>
            <w:r w:rsidRPr="00E63699">
              <w:rPr>
                <w:rFonts w:asciiTheme="minorHAnsi" w:hAnsiTheme="minorHAnsi" w:cstheme="minorHAnsi"/>
                <w:b/>
              </w:rPr>
              <w:t>1900</w:t>
            </w:r>
          </w:p>
        </w:tc>
        <w:tc>
          <w:tcPr>
            <w:tcW w:w="1304" w:type="dxa"/>
          </w:tcPr>
          <w:p w:rsidR="008146BD" w:rsidRPr="00E63699" w:rsidRDefault="008146BD" w:rsidP="007A7D80">
            <w:pPr>
              <w:keepNext/>
              <w:keepLines/>
              <w:suppressLineNumbers/>
              <w:jc w:val="center"/>
            </w:pPr>
            <w:r w:rsidRPr="00E63699">
              <w:t>30</w:t>
            </w:r>
          </w:p>
        </w:tc>
        <w:tc>
          <w:tcPr>
            <w:tcW w:w="1304" w:type="dxa"/>
          </w:tcPr>
          <w:p w:rsidR="008146BD" w:rsidRPr="00E63699" w:rsidRDefault="008146BD" w:rsidP="007A7D80">
            <w:pPr>
              <w:keepNext/>
              <w:keepLines/>
              <w:suppressLineNumbers/>
              <w:jc w:val="center"/>
            </w:pPr>
            <w:r w:rsidRPr="00E63699">
              <w:rPr>
                <w:rFonts w:asciiTheme="minorHAnsi" w:hAnsiTheme="minorHAnsi" w:cstheme="minorHAnsi"/>
              </w:rPr>
              <w:t>5,2</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1,65</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0,56</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35</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4</w:t>
            </w:r>
          </w:p>
        </w:tc>
      </w:tr>
      <w:tr w:rsidR="008146BD" w:rsidRPr="00E63699" w:rsidTr="001439F4">
        <w:trPr>
          <w:trHeight w:hRule="exact" w:val="284"/>
          <w:jc w:val="center"/>
        </w:trPr>
        <w:tc>
          <w:tcPr>
            <w:tcW w:w="907" w:type="dxa"/>
          </w:tcPr>
          <w:p w:rsidR="008146BD" w:rsidRPr="00E63699" w:rsidRDefault="008146BD" w:rsidP="007A7D80">
            <w:pPr>
              <w:keepNext/>
              <w:keepLines/>
              <w:suppressLineNumbers/>
              <w:spacing w:after="0"/>
              <w:jc w:val="center"/>
            </w:pPr>
            <w:r w:rsidRPr="00E63699">
              <w:rPr>
                <w:rFonts w:asciiTheme="minorHAnsi" w:hAnsiTheme="minorHAnsi" w:cstheme="minorHAnsi"/>
                <w:b/>
              </w:rPr>
              <w:t>1950</w:t>
            </w:r>
          </w:p>
        </w:tc>
        <w:tc>
          <w:tcPr>
            <w:tcW w:w="1304" w:type="dxa"/>
          </w:tcPr>
          <w:p w:rsidR="008146BD" w:rsidRPr="00E63699" w:rsidRDefault="008146BD" w:rsidP="007A7D80">
            <w:pPr>
              <w:keepNext/>
              <w:keepLines/>
              <w:suppressLineNumbers/>
              <w:jc w:val="center"/>
            </w:pPr>
            <w:r w:rsidRPr="00E63699">
              <w:rPr>
                <w:rFonts w:asciiTheme="minorHAnsi" w:hAnsiTheme="minorHAnsi" w:cstheme="minorHAnsi"/>
              </w:rPr>
              <w:t>47</w:t>
            </w:r>
          </w:p>
        </w:tc>
        <w:tc>
          <w:tcPr>
            <w:tcW w:w="1304" w:type="dxa"/>
          </w:tcPr>
          <w:p w:rsidR="008146BD" w:rsidRPr="00E63699" w:rsidRDefault="008146BD" w:rsidP="007A7D80">
            <w:pPr>
              <w:keepNext/>
              <w:keepLines/>
              <w:suppressLineNumbers/>
              <w:jc w:val="center"/>
            </w:pPr>
            <w:r w:rsidRPr="00E63699">
              <w:rPr>
                <w:rFonts w:asciiTheme="minorHAnsi" w:hAnsiTheme="minorHAnsi" w:cstheme="minorHAnsi"/>
              </w:rPr>
              <w:t>5,0</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2,52</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1,80</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34</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5</w:t>
            </w:r>
          </w:p>
        </w:tc>
      </w:tr>
      <w:tr w:rsidR="008146BD" w:rsidRPr="00E63699" w:rsidTr="001439F4">
        <w:trPr>
          <w:trHeight w:hRule="exact" w:val="284"/>
          <w:jc w:val="center"/>
        </w:trPr>
        <w:tc>
          <w:tcPr>
            <w:tcW w:w="907" w:type="dxa"/>
          </w:tcPr>
          <w:p w:rsidR="008146BD" w:rsidRPr="00E63699" w:rsidRDefault="008146BD" w:rsidP="007A7D80">
            <w:pPr>
              <w:keepNext/>
              <w:keepLines/>
              <w:suppressLineNumbers/>
              <w:spacing w:after="0"/>
              <w:jc w:val="center"/>
            </w:pPr>
            <w:r w:rsidRPr="00E63699">
              <w:rPr>
                <w:rFonts w:asciiTheme="minorHAnsi" w:hAnsiTheme="minorHAnsi" w:cstheme="minorHAnsi"/>
                <w:b/>
              </w:rPr>
              <w:t>2000</w:t>
            </w:r>
          </w:p>
        </w:tc>
        <w:tc>
          <w:tcPr>
            <w:tcW w:w="1304" w:type="dxa"/>
          </w:tcPr>
          <w:p w:rsidR="008146BD" w:rsidRPr="00E63699" w:rsidRDefault="008146BD" w:rsidP="007A7D80">
            <w:pPr>
              <w:keepNext/>
              <w:keepLines/>
              <w:suppressLineNumbers/>
              <w:jc w:val="center"/>
            </w:pPr>
            <w:r w:rsidRPr="00E63699">
              <w:rPr>
                <w:rFonts w:asciiTheme="minorHAnsi" w:hAnsiTheme="minorHAnsi" w:cstheme="minorHAnsi"/>
              </w:rPr>
              <w:t>65</w:t>
            </w:r>
          </w:p>
        </w:tc>
        <w:tc>
          <w:tcPr>
            <w:tcW w:w="1304" w:type="dxa"/>
          </w:tcPr>
          <w:p w:rsidR="008146BD" w:rsidRPr="00E63699" w:rsidRDefault="008146BD" w:rsidP="007A7D80">
            <w:pPr>
              <w:keepNext/>
              <w:keepLines/>
              <w:suppressLineNumbers/>
              <w:jc w:val="center"/>
            </w:pPr>
            <w:r w:rsidRPr="00E63699">
              <w:rPr>
                <w:rFonts w:asciiTheme="minorHAnsi" w:hAnsiTheme="minorHAnsi" w:cstheme="minorHAnsi"/>
              </w:rPr>
              <w:t>2,7</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6,07</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1,22</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30</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7</w:t>
            </w:r>
          </w:p>
        </w:tc>
      </w:tr>
      <w:tr w:rsidR="008146BD" w:rsidRPr="00E63699" w:rsidTr="001439F4">
        <w:trPr>
          <w:trHeight w:hRule="exact" w:val="284"/>
          <w:jc w:val="center"/>
        </w:trPr>
        <w:tc>
          <w:tcPr>
            <w:tcW w:w="907" w:type="dxa"/>
          </w:tcPr>
          <w:p w:rsidR="008146BD" w:rsidRPr="00E63699" w:rsidRDefault="008146BD" w:rsidP="007A7D80">
            <w:pPr>
              <w:keepNext/>
              <w:keepLines/>
              <w:suppressLineNumbers/>
              <w:spacing w:after="0"/>
              <w:jc w:val="center"/>
            </w:pPr>
            <w:r w:rsidRPr="00E63699">
              <w:rPr>
                <w:rFonts w:asciiTheme="minorHAnsi" w:hAnsiTheme="minorHAnsi" w:cstheme="minorHAnsi"/>
                <w:b/>
              </w:rPr>
              <w:t>2050</w:t>
            </w:r>
          </w:p>
        </w:tc>
        <w:tc>
          <w:tcPr>
            <w:tcW w:w="1304" w:type="dxa"/>
          </w:tcPr>
          <w:p w:rsidR="008146BD" w:rsidRPr="00E63699" w:rsidRDefault="008146BD" w:rsidP="007A7D80">
            <w:pPr>
              <w:keepNext/>
              <w:keepLines/>
              <w:suppressLineNumbers/>
              <w:jc w:val="center"/>
            </w:pPr>
            <w:r w:rsidRPr="00E63699">
              <w:rPr>
                <w:rFonts w:asciiTheme="minorHAnsi" w:hAnsiTheme="minorHAnsi" w:cstheme="minorHAnsi"/>
              </w:rPr>
              <w:t>74</w:t>
            </w:r>
          </w:p>
        </w:tc>
        <w:tc>
          <w:tcPr>
            <w:tcW w:w="1304" w:type="dxa"/>
          </w:tcPr>
          <w:p w:rsidR="008146BD" w:rsidRPr="00E63699" w:rsidRDefault="008146BD" w:rsidP="007A7D80">
            <w:pPr>
              <w:keepNext/>
              <w:keepLines/>
              <w:suppressLineNumbers/>
              <w:jc w:val="center"/>
            </w:pPr>
            <w:r w:rsidRPr="00E63699">
              <w:rPr>
                <w:rFonts w:asciiTheme="minorHAnsi" w:hAnsiTheme="minorHAnsi" w:cstheme="minorHAnsi"/>
              </w:rPr>
              <w:t>2,0</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8,92</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0,33</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20</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16</w:t>
            </w:r>
          </w:p>
        </w:tc>
      </w:tr>
      <w:tr w:rsidR="008146BD" w:rsidRPr="00E63699" w:rsidTr="001439F4">
        <w:trPr>
          <w:trHeight w:hRule="exact" w:val="284"/>
          <w:jc w:val="center"/>
        </w:trPr>
        <w:tc>
          <w:tcPr>
            <w:tcW w:w="907" w:type="dxa"/>
          </w:tcPr>
          <w:p w:rsidR="008146BD" w:rsidRPr="00E63699" w:rsidRDefault="008146BD" w:rsidP="007A7D80">
            <w:pPr>
              <w:keepNext/>
              <w:keepLines/>
              <w:suppressLineNumbers/>
              <w:spacing w:after="0"/>
              <w:jc w:val="center"/>
            </w:pPr>
            <w:r w:rsidRPr="00E63699">
              <w:rPr>
                <w:rFonts w:asciiTheme="minorHAnsi" w:hAnsiTheme="minorHAnsi" w:cstheme="minorHAnsi"/>
                <w:b/>
              </w:rPr>
              <w:t>2100</w:t>
            </w:r>
          </w:p>
        </w:tc>
        <w:tc>
          <w:tcPr>
            <w:tcW w:w="1304" w:type="dxa"/>
          </w:tcPr>
          <w:p w:rsidR="008146BD" w:rsidRPr="00E63699" w:rsidRDefault="008146BD" w:rsidP="007A7D80">
            <w:pPr>
              <w:keepNext/>
              <w:keepLines/>
              <w:suppressLineNumbers/>
              <w:jc w:val="center"/>
            </w:pPr>
            <w:r w:rsidRPr="00E63699">
              <w:rPr>
                <w:rFonts w:asciiTheme="minorHAnsi" w:hAnsiTheme="minorHAnsi" w:cstheme="minorHAnsi"/>
              </w:rPr>
              <w:t>81</w:t>
            </w:r>
          </w:p>
        </w:tc>
        <w:tc>
          <w:tcPr>
            <w:tcW w:w="1304" w:type="dxa"/>
          </w:tcPr>
          <w:p w:rsidR="008146BD" w:rsidRPr="00E63699" w:rsidRDefault="008146BD" w:rsidP="007A7D80">
            <w:pPr>
              <w:keepNext/>
              <w:keepLines/>
              <w:suppressLineNumbers/>
              <w:jc w:val="center"/>
            </w:pPr>
            <w:r w:rsidRPr="00E63699">
              <w:rPr>
                <w:rFonts w:asciiTheme="minorHAnsi" w:hAnsiTheme="minorHAnsi" w:cstheme="minorHAnsi"/>
              </w:rPr>
              <w:t>2,0</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9,46</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0,04</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18</w:t>
            </w:r>
          </w:p>
        </w:tc>
        <w:tc>
          <w:tcPr>
            <w:tcW w:w="1304" w:type="dxa"/>
            <w:vAlign w:val="center"/>
          </w:tcPr>
          <w:p w:rsidR="008146BD" w:rsidRPr="00E63699" w:rsidRDefault="008146BD" w:rsidP="007A7D80">
            <w:pPr>
              <w:keepNext/>
              <w:keepLines/>
              <w:widowControl w:val="0"/>
              <w:suppressLineNumbers/>
              <w:spacing w:after="0"/>
              <w:jc w:val="center"/>
              <w:rPr>
                <w:rFonts w:asciiTheme="minorHAnsi" w:hAnsiTheme="minorHAnsi" w:cstheme="minorHAnsi"/>
              </w:rPr>
            </w:pPr>
            <w:r w:rsidRPr="00E63699">
              <w:rPr>
                <w:rFonts w:asciiTheme="minorHAnsi" w:hAnsiTheme="minorHAnsi" w:cstheme="minorHAnsi"/>
              </w:rPr>
              <w:t>21</w:t>
            </w:r>
          </w:p>
        </w:tc>
      </w:tr>
    </w:tbl>
    <w:p w:rsidR="008146BD" w:rsidRDefault="008146BD" w:rsidP="008146BD">
      <w:pPr>
        <w:keepNext/>
        <w:keepLines/>
        <w:widowControl w:val="0"/>
        <w:suppressLineNumbers/>
        <w:spacing w:after="0"/>
        <w:jc w:val="center"/>
        <w:rPr>
          <w:rFonts w:asciiTheme="minorHAnsi" w:hAnsiTheme="minorHAnsi" w:cstheme="minorHAnsi"/>
          <w:i/>
        </w:rPr>
      </w:pPr>
      <w:r w:rsidRPr="00E63699">
        <w:rPr>
          <w:rFonts w:asciiTheme="minorHAnsi" w:hAnsiTheme="minorHAnsi" w:cstheme="minorHAnsi"/>
          <w:i/>
        </w:rPr>
        <w:t xml:space="preserve">Pramen: Lee, 2003. </w:t>
      </w:r>
    </w:p>
    <w:p w:rsidR="008146BD" w:rsidRDefault="008146BD" w:rsidP="008146BD">
      <w:pPr>
        <w:keepNext/>
        <w:widowControl w:val="0"/>
        <w:suppressLineNumbers/>
        <w:spacing w:before="200" w:after="0"/>
        <w:ind w:firstLine="720"/>
        <w:jc w:val="both"/>
        <w:rPr>
          <w:sz w:val="24"/>
          <w:szCs w:val="24"/>
        </w:rPr>
      </w:pPr>
      <w:r w:rsidRPr="00BE0D37">
        <w:rPr>
          <w:rFonts w:cs="TimesNewRomanPSMT"/>
          <w:sz w:val="24"/>
          <w:szCs w:val="24"/>
        </w:rPr>
        <w:t xml:space="preserve">Za nejvýznamnější globálně působící důsledky demografické revoluce lze považovat růst počtu obyvatelstva a změny v jeho věkové struktuře. Výrazně rostoucí počet obyvatel vyvolává významné problémy zejména v těch případech, kdy se nachází v dlouhodobé disharmonii s ekonomickým vývojem (viz výše). Disponibilní globální odhady ovšem počítají s tím, že okolo roku 2050 by mělo dojít k již nevratnému poklesu úhrnné plodnosti mírně pod hranici </w:t>
      </w:r>
      <w:r w:rsidRPr="00BE0D37">
        <w:rPr>
          <w:sz w:val="24"/>
          <w:szCs w:val="24"/>
        </w:rPr>
        <w:t xml:space="preserve">prosté reprodukce obyvatelstva (2,1 </w:t>
      </w:r>
      <w:r w:rsidRPr="00BE0D37">
        <w:rPr>
          <w:rFonts w:cs="TimesNewRomanPSMT"/>
          <w:sz w:val="24"/>
          <w:szCs w:val="24"/>
        </w:rPr>
        <w:t xml:space="preserve">dětí na 1 ženu), </w:t>
      </w:r>
      <w:r w:rsidR="005F1118">
        <w:rPr>
          <w:rFonts w:cs="TimesNewRomanPSMT"/>
          <w:sz w:val="24"/>
          <w:szCs w:val="24"/>
        </w:rPr>
        <w:t>který následně s přibližně 50</w:t>
      </w:r>
      <w:r w:rsidRPr="00BE0D37">
        <w:rPr>
          <w:rFonts w:cs="TimesNewRomanPSMT"/>
          <w:sz w:val="24"/>
          <w:szCs w:val="24"/>
        </w:rPr>
        <w:t xml:space="preserve"> letou prodlevou povede k nastolení stacionární populace. Skutečný vývoj bude pochopitelně ovlivňován řadou specifických faktorů, jakým je v současnosti např. epidemie HIV/AIDS, šířící se zejména v Africe. </w:t>
      </w:r>
      <w:r w:rsidRPr="00BE0D37">
        <w:rPr>
          <w:sz w:val="24"/>
          <w:szCs w:val="24"/>
        </w:rPr>
        <w:t>Vyspělé země se pak již nacházejí v období</w:t>
      </w:r>
      <w:r w:rsidRPr="00BE0D37">
        <w:rPr>
          <w:b/>
          <w:bCs/>
          <w:sz w:val="24"/>
          <w:szCs w:val="24"/>
        </w:rPr>
        <w:t xml:space="preserve"> </w:t>
      </w:r>
      <w:r w:rsidRPr="00BE0D37">
        <w:rPr>
          <w:sz w:val="24"/>
          <w:szCs w:val="24"/>
        </w:rPr>
        <w:t>nazývaném někdy druhá demografická revoluce, pro které je typické odklá</w:t>
      </w:r>
      <w:r w:rsidR="00372654">
        <w:rPr>
          <w:sz w:val="24"/>
          <w:szCs w:val="24"/>
        </w:rPr>
        <w:t>dání narození prvního dítěte do </w:t>
      </w:r>
      <w:r w:rsidRPr="00BE0D37">
        <w:rPr>
          <w:sz w:val="24"/>
          <w:szCs w:val="24"/>
        </w:rPr>
        <w:t xml:space="preserve">pozdějšího věku matky a narůst počtu dětí narozených mimo manželství při setrvalém poklesu plodnosti. Nevyhnutelným důsledkem tohoto demografického chování je pochopitelně stárnutí obyvatelstva. </w:t>
      </w:r>
    </w:p>
    <w:p w:rsidR="008146BD" w:rsidRDefault="008146BD" w:rsidP="008146BD">
      <w:pPr>
        <w:keepNext/>
        <w:widowControl w:val="0"/>
        <w:suppressLineNumbers/>
        <w:spacing w:before="200"/>
        <w:ind w:firstLine="720"/>
        <w:jc w:val="both"/>
        <w:rPr>
          <w:sz w:val="24"/>
          <w:szCs w:val="24"/>
        </w:rPr>
      </w:pPr>
      <w:r w:rsidRPr="00BE0D37">
        <w:rPr>
          <w:sz w:val="24"/>
          <w:szCs w:val="24"/>
        </w:rPr>
        <w:t xml:space="preserve">Hrubé ekonomické dopady </w:t>
      </w:r>
      <w:r>
        <w:rPr>
          <w:sz w:val="24"/>
          <w:szCs w:val="24"/>
        </w:rPr>
        <w:t xml:space="preserve">výše popsaného </w:t>
      </w:r>
      <w:r w:rsidRPr="00BE0D37">
        <w:rPr>
          <w:sz w:val="24"/>
          <w:szCs w:val="24"/>
        </w:rPr>
        <w:t xml:space="preserve">vývoje lze (spíše však </w:t>
      </w:r>
      <w:r>
        <w:rPr>
          <w:sz w:val="24"/>
          <w:szCs w:val="24"/>
        </w:rPr>
        <w:t>pouze</w:t>
      </w:r>
      <w:r w:rsidRPr="00BE0D37">
        <w:rPr>
          <w:sz w:val="24"/>
          <w:szCs w:val="24"/>
        </w:rPr>
        <w:t xml:space="preserve"> orientačně) hodnotit </w:t>
      </w:r>
      <w:r w:rsidRPr="00BE0D37">
        <w:rPr>
          <w:rFonts w:cs="TimesNewRomanPSMT"/>
          <w:sz w:val="24"/>
          <w:szCs w:val="24"/>
        </w:rPr>
        <w:t>pomocí</w:t>
      </w:r>
      <w:r>
        <w:rPr>
          <w:rFonts w:cs="TimesNewRomanPSMT"/>
          <w:sz w:val="24"/>
          <w:szCs w:val="24"/>
        </w:rPr>
        <w:t xml:space="preserve"> tzv. </w:t>
      </w:r>
      <w:r w:rsidRPr="00BE0D37">
        <w:rPr>
          <w:rFonts w:cs="TimesNewRomanPSMT"/>
          <w:sz w:val="24"/>
          <w:szCs w:val="24"/>
        </w:rPr>
        <w:t xml:space="preserve">míry závislosti (dependency ratio), představující v tomto případě poměr </w:t>
      </w:r>
      <w:r w:rsidRPr="00BE0D37">
        <w:rPr>
          <w:rFonts w:cs="TimesNewRomanPSMT"/>
          <w:sz w:val="24"/>
          <w:szCs w:val="24"/>
        </w:rPr>
        <w:lastRenderedPageBreak/>
        <w:t xml:space="preserve">mezi poproduktivní složkou obyvatelstva ve věku 65 a více let a produktivní složkou obyvatelstva ve věku 15 až 64 let, který by se měl do roku 2050 ve srovnání s rokem 2000 zvýšit více než dvojnásobně – díky rovněž očekávanému výraznému snížení podílu předproduktivní složky obyvatelstva ve věku do 15 let však celková míra závislosti vykazuje pouze mírně nepříznivou tendenci. Zvyšující se </w:t>
      </w:r>
      <w:r w:rsidRPr="00BE0D37">
        <w:rPr>
          <w:sz w:val="24"/>
          <w:szCs w:val="24"/>
          <w:lang w:eastAsia="en-GB"/>
        </w:rPr>
        <w:t xml:space="preserve">míra závislosti obecně znamená i </w:t>
      </w:r>
      <w:r w:rsidRPr="00BE0D37">
        <w:rPr>
          <w:sz w:val="24"/>
          <w:szCs w:val="24"/>
        </w:rPr>
        <w:t xml:space="preserve">rostoucí nároky na ekonomické, sociální a zdravotní zabezpečení ekonomicky neaktivních složek obyvatelstva. Řešení situace se neobejde bez aplikace politicky často kontroverzních nástrojů, jako je např. zvyšování spoluúčasti občanů na poskytování zdravotní péče a </w:t>
      </w:r>
      <w:r w:rsidRPr="00E63699">
        <w:rPr>
          <w:sz w:val="24"/>
          <w:szCs w:val="24"/>
        </w:rPr>
        <w:t>důchodovém zabezpečení, zvyšování důchodového věku či zaměstnávání občanů z cizích zemí.</w:t>
      </w:r>
    </w:p>
    <w:p w:rsidR="008146BD" w:rsidRPr="00BE0D37" w:rsidRDefault="008146BD" w:rsidP="008146BD">
      <w:pPr>
        <w:keepNext/>
        <w:widowControl w:val="0"/>
        <w:suppressLineNumbers/>
        <w:spacing w:before="200"/>
        <w:ind w:firstLine="720"/>
        <w:jc w:val="both"/>
        <w:rPr>
          <w:rFonts w:cs="TimesNewRomanPSMT"/>
          <w:sz w:val="24"/>
          <w:szCs w:val="24"/>
        </w:rPr>
      </w:pPr>
      <w:r w:rsidRPr="00BE0D37">
        <w:rPr>
          <w:rFonts w:cs="TimesNewRomanPSMT"/>
          <w:sz w:val="24"/>
          <w:szCs w:val="24"/>
        </w:rPr>
        <w:t xml:space="preserve">Demografický vývoj je pochopitelně do značné míry propojen s ekonomickými dopady globalizace na jednotlivé makroregiony, státy či regiony. V této otázce vcelku logicky nepanuje v odborné veřejnosti ani všeobecná shoda na přínosech a nákladech globalizačních procesů. Madison (2001) např. uvádí, že poměr HDP </w:t>
      </w:r>
      <w:r w:rsidR="00372654">
        <w:rPr>
          <w:rFonts w:cs="TimesNewRomanPSMT"/>
          <w:sz w:val="24"/>
          <w:szCs w:val="24"/>
        </w:rPr>
        <w:t>per capita nejbohatších států k </w:t>
      </w:r>
      <w:r w:rsidRPr="00BE0D37">
        <w:rPr>
          <w:rFonts w:cs="TimesNewRomanPSMT"/>
          <w:sz w:val="24"/>
          <w:szCs w:val="24"/>
        </w:rPr>
        <w:t xml:space="preserve">nejchudším státům ve čtyřech sledovaných obdobích reprezentovaných roky 1500, 1700, 1913 a 1998 se postupně zvyšoval z 1,8:1 (v roce 1500), přes 3,1:1 (rok 1700) a 9,4:1 (rok 1913) na 20:1 (rok 1998). K tomu je však nutné podotknout, že daný poměr je vždy ovlivněn výběrem zahrnutých států a kvalitou výchozích informací. V následující tabulce jsou proto ještě uvedeny nepochybně přesnější výsledky novější analýzy Světové banky. </w:t>
      </w:r>
    </w:p>
    <w:p w:rsidR="008146BD" w:rsidRPr="00B73B03" w:rsidRDefault="008146BD" w:rsidP="006B61FE">
      <w:pPr>
        <w:pStyle w:val="0T-Titulek"/>
      </w:pPr>
      <w:bookmarkStart w:id="185" w:name="_Toc382326481"/>
      <w:r w:rsidRPr="00740291">
        <w:t xml:space="preserve">Tabulka 54: Srovnání </w:t>
      </w:r>
      <w:r w:rsidRPr="00B73B03">
        <w:t>zemí dle HDP per capita v letech 1980, 1990 a 2011 (USD)</w:t>
      </w:r>
      <w:bookmarkEnd w:id="185"/>
    </w:p>
    <w:tbl>
      <w:tblPr>
        <w:tblW w:w="9169" w:type="dxa"/>
        <w:tblInd w:w="65" w:type="dxa"/>
        <w:tblCellMar>
          <w:left w:w="70" w:type="dxa"/>
          <w:right w:w="70" w:type="dxa"/>
        </w:tblCellMar>
        <w:tblLook w:val="04A0" w:firstRow="1" w:lastRow="0" w:firstColumn="1" w:lastColumn="0" w:noHBand="0" w:noVBand="1"/>
      </w:tblPr>
      <w:tblGrid>
        <w:gridCol w:w="1911"/>
        <w:gridCol w:w="2599"/>
        <w:gridCol w:w="630"/>
        <w:gridCol w:w="630"/>
        <w:gridCol w:w="630"/>
        <w:gridCol w:w="923"/>
        <w:gridCol w:w="923"/>
        <w:gridCol w:w="923"/>
      </w:tblGrid>
      <w:tr w:rsidR="008146BD" w:rsidRPr="00B73B03" w:rsidTr="007A7D80">
        <w:trPr>
          <w:trHeight w:val="296"/>
        </w:trPr>
        <w:tc>
          <w:tcPr>
            <w:tcW w:w="1911" w:type="dxa"/>
            <w:tcBorders>
              <w:top w:val="single" w:sz="4" w:space="0" w:color="auto"/>
              <w:left w:val="single" w:sz="4" w:space="0" w:color="auto"/>
              <w:bottom w:val="single" w:sz="4" w:space="0" w:color="auto"/>
              <w:right w:val="single" w:sz="4" w:space="0" w:color="auto"/>
            </w:tcBorders>
            <w:noWrap/>
            <w:vAlign w:val="bottom"/>
            <w:hideMark/>
          </w:tcPr>
          <w:p w:rsidR="008146BD" w:rsidRPr="00B73B03" w:rsidRDefault="00372654" w:rsidP="007A7D80">
            <w:pPr>
              <w:keepNext/>
              <w:keepLines/>
              <w:suppressLineNumbers/>
              <w:spacing w:after="0"/>
              <w:rPr>
                <w:rFonts w:ascii="Calibri" w:hAnsi="Calibri" w:cs="Calibri"/>
                <w:b/>
                <w:bCs/>
              </w:rPr>
            </w:pPr>
            <w:r>
              <w:rPr>
                <w:rFonts w:ascii="Calibri" w:hAnsi="Calibri" w:cs="Calibri"/>
                <w:b/>
                <w:bCs/>
              </w:rPr>
              <w:t>HDP per capita v </w:t>
            </w:r>
            <w:r w:rsidR="008146BD" w:rsidRPr="00B73B03">
              <w:rPr>
                <w:rFonts w:ascii="Calibri" w:hAnsi="Calibri" w:cs="Calibri"/>
                <w:b/>
                <w:bCs/>
              </w:rPr>
              <w:t xml:space="preserve">roce 1990 </w:t>
            </w:r>
          </w:p>
        </w:tc>
        <w:tc>
          <w:tcPr>
            <w:tcW w:w="2599" w:type="dxa"/>
            <w:tcBorders>
              <w:top w:val="single" w:sz="4" w:space="0" w:color="auto"/>
              <w:left w:val="nil"/>
              <w:bottom w:val="single" w:sz="4" w:space="0" w:color="auto"/>
              <w:right w:val="single" w:sz="4" w:space="0" w:color="auto"/>
            </w:tcBorders>
            <w:noWrap/>
            <w:vAlign w:val="bottom"/>
            <w:hideMark/>
          </w:tcPr>
          <w:p w:rsidR="008146BD" w:rsidRPr="00B73B03" w:rsidRDefault="008146BD" w:rsidP="007A7D80">
            <w:pPr>
              <w:keepNext/>
              <w:keepLines/>
              <w:suppressLineNumbers/>
              <w:spacing w:after="0"/>
              <w:rPr>
                <w:rFonts w:ascii="Calibri" w:hAnsi="Calibri" w:cs="Calibri"/>
                <w:b/>
                <w:bCs/>
              </w:rPr>
            </w:pPr>
            <w:r w:rsidRPr="00B73B03">
              <w:rPr>
                <w:rFonts w:ascii="Calibri" w:hAnsi="Calibri" w:cs="Calibri"/>
                <w:b/>
                <w:bCs/>
              </w:rPr>
              <w:t>Prů</w:t>
            </w:r>
            <w:r w:rsidR="005F1118">
              <w:rPr>
                <w:rFonts w:ascii="Calibri" w:hAnsi="Calibri" w:cs="Calibri"/>
                <w:b/>
                <w:bCs/>
              </w:rPr>
              <w:t>měrná změna HDP per capita 1990–</w:t>
            </w:r>
            <w:r w:rsidRPr="00B73B03">
              <w:rPr>
                <w:rFonts w:ascii="Calibri" w:hAnsi="Calibri" w:cs="Calibri"/>
                <w:b/>
                <w:bCs/>
              </w:rPr>
              <w:t>2011 (v %)</w:t>
            </w:r>
          </w:p>
        </w:tc>
        <w:tc>
          <w:tcPr>
            <w:tcW w:w="630" w:type="dxa"/>
            <w:tcBorders>
              <w:top w:val="single" w:sz="4" w:space="0" w:color="auto"/>
              <w:left w:val="nil"/>
              <w:bottom w:val="single" w:sz="4" w:space="0" w:color="auto"/>
              <w:right w:val="single" w:sz="4" w:space="0" w:color="auto"/>
            </w:tcBorders>
            <w:noWrap/>
            <w:vAlign w:val="center"/>
            <w:hideMark/>
          </w:tcPr>
          <w:p w:rsidR="008146BD" w:rsidRPr="00B73B03" w:rsidRDefault="008146BD" w:rsidP="00372654">
            <w:pPr>
              <w:keepNext/>
              <w:keepLines/>
              <w:suppressLineNumbers/>
              <w:spacing w:after="0"/>
              <w:jc w:val="center"/>
              <w:rPr>
                <w:rFonts w:ascii="Calibri" w:hAnsi="Calibri" w:cs="Calibri"/>
                <w:b/>
                <w:bCs/>
              </w:rPr>
            </w:pPr>
            <w:r w:rsidRPr="00B73B03">
              <w:rPr>
                <w:rFonts w:ascii="Calibri" w:hAnsi="Calibri" w:cs="Calibri"/>
                <w:b/>
                <w:bCs/>
              </w:rPr>
              <w:t>1980</w:t>
            </w:r>
          </w:p>
        </w:tc>
        <w:tc>
          <w:tcPr>
            <w:tcW w:w="630" w:type="dxa"/>
            <w:tcBorders>
              <w:top w:val="single" w:sz="4" w:space="0" w:color="auto"/>
              <w:left w:val="nil"/>
              <w:bottom w:val="single" w:sz="4" w:space="0" w:color="auto"/>
              <w:right w:val="single" w:sz="4" w:space="0" w:color="auto"/>
            </w:tcBorders>
            <w:noWrap/>
            <w:vAlign w:val="center"/>
            <w:hideMark/>
          </w:tcPr>
          <w:p w:rsidR="008146BD" w:rsidRPr="00B73B03" w:rsidRDefault="008146BD" w:rsidP="00372654">
            <w:pPr>
              <w:keepNext/>
              <w:keepLines/>
              <w:suppressLineNumbers/>
              <w:spacing w:after="0"/>
              <w:jc w:val="center"/>
              <w:rPr>
                <w:rFonts w:ascii="Calibri" w:hAnsi="Calibri" w:cs="Calibri"/>
                <w:b/>
                <w:bCs/>
              </w:rPr>
            </w:pPr>
            <w:r w:rsidRPr="00B73B03">
              <w:rPr>
                <w:rFonts w:ascii="Calibri" w:hAnsi="Calibri" w:cs="Calibri"/>
                <w:b/>
                <w:bCs/>
              </w:rPr>
              <w:t>1990</w:t>
            </w:r>
          </w:p>
        </w:tc>
        <w:tc>
          <w:tcPr>
            <w:tcW w:w="630" w:type="dxa"/>
            <w:tcBorders>
              <w:top w:val="single" w:sz="4" w:space="0" w:color="auto"/>
              <w:left w:val="nil"/>
              <w:bottom w:val="single" w:sz="4" w:space="0" w:color="auto"/>
              <w:right w:val="single" w:sz="4" w:space="0" w:color="auto"/>
            </w:tcBorders>
            <w:noWrap/>
            <w:vAlign w:val="center"/>
            <w:hideMark/>
          </w:tcPr>
          <w:p w:rsidR="008146BD" w:rsidRPr="00B73B03" w:rsidRDefault="008146BD" w:rsidP="00372654">
            <w:pPr>
              <w:keepNext/>
              <w:keepLines/>
              <w:suppressLineNumbers/>
              <w:spacing w:after="0"/>
              <w:jc w:val="center"/>
              <w:rPr>
                <w:rFonts w:ascii="Calibri" w:hAnsi="Calibri" w:cs="Calibri"/>
                <w:b/>
                <w:bCs/>
              </w:rPr>
            </w:pPr>
            <w:r w:rsidRPr="00B73B03">
              <w:rPr>
                <w:rFonts w:ascii="Calibri" w:hAnsi="Calibri" w:cs="Calibri"/>
                <w:b/>
                <w:bCs/>
              </w:rPr>
              <w:t>2011</w:t>
            </w:r>
          </w:p>
        </w:tc>
        <w:tc>
          <w:tcPr>
            <w:tcW w:w="923" w:type="dxa"/>
            <w:tcBorders>
              <w:top w:val="single" w:sz="4" w:space="0" w:color="auto"/>
              <w:left w:val="nil"/>
              <w:bottom w:val="single" w:sz="4" w:space="0" w:color="auto"/>
              <w:right w:val="single" w:sz="4" w:space="0" w:color="auto"/>
            </w:tcBorders>
            <w:noWrap/>
            <w:vAlign w:val="center"/>
            <w:hideMark/>
          </w:tcPr>
          <w:p w:rsidR="008146BD" w:rsidRPr="00B73B03" w:rsidRDefault="008146BD" w:rsidP="00372654">
            <w:pPr>
              <w:keepNext/>
              <w:keepLines/>
              <w:suppressLineNumbers/>
              <w:spacing w:after="0"/>
              <w:jc w:val="center"/>
              <w:rPr>
                <w:rFonts w:ascii="Calibri" w:hAnsi="Calibri" w:cs="Calibri"/>
                <w:b/>
                <w:bCs/>
              </w:rPr>
            </w:pPr>
            <w:r w:rsidRPr="00B73B03">
              <w:rPr>
                <w:rFonts w:ascii="Calibri" w:hAnsi="Calibri" w:cs="Calibri"/>
                <w:b/>
                <w:bCs/>
              </w:rPr>
              <w:t>1980</w:t>
            </w:r>
          </w:p>
        </w:tc>
        <w:tc>
          <w:tcPr>
            <w:tcW w:w="923" w:type="dxa"/>
            <w:tcBorders>
              <w:top w:val="single" w:sz="4" w:space="0" w:color="auto"/>
              <w:left w:val="nil"/>
              <w:bottom w:val="single" w:sz="4" w:space="0" w:color="auto"/>
              <w:right w:val="single" w:sz="4" w:space="0" w:color="auto"/>
            </w:tcBorders>
            <w:noWrap/>
            <w:vAlign w:val="center"/>
            <w:hideMark/>
          </w:tcPr>
          <w:p w:rsidR="008146BD" w:rsidRPr="00B73B03" w:rsidRDefault="008146BD" w:rsidP="00372654">
            <w:pPr>
              <w:keepNext/>
              <w:keepLines/>
              <w:suppressLineNumbers/>
              <w:spacing w:after="0"/>
              <w:jc w:val="center"/>
              <w:rPr>
                <w:rFonts w:ascii="Calibri" w:hAnsi="Calibri" w:cs="Calibri"/>
                <w:b/>
                <w:bCs/>
              </w:rPr>
            </w:pPr>
            <w:r w:rsidRPr="00B73B03">
              <w:rPr>
                <w:rFonts w:ascii="Calibri" w:hAnsi="Calibri" w:cs="Calibri"/>
                <w:b/>
                <w:bCs/>
              </w:rPr>
              <w:t>1990</w:t>
            </w:r>
          </w:p>
        </w:tc>
        <w:tc>
          <w:tcPr>
            <w:tcW w:w="923" w:type="dxa"/>
            <w:tcBorders>
              <w:top w:val="single" w:sz="4" w:space="0" w:color="auto"/>
              <w:left w:val="nil"/>
              <w:bottom w:val="single" w:sz="4" w:space="0" w:color="auto"/>
              <w:right w:val="single" w:sz="4" w:space="0" w:color="auto"/>
            </w:tcBorders>
            <w:noWrap/>
            <w:vAlign w:val="center"/>
            <w:hideMark/>
          </w:tcPr>
          <w:p w:rsidR="008146BD" w:rsidRPr="00B73B03" w:rsidRDefault="008146BD" w:rsidP="00372654">
            <w:pPr>
              <w:keepNext/>
              <w:keepLines/>
              <w:suppressLineNumbers/>
              <w:spacing w:after="0"/>
              <w:jc w:val="center"/>
              <w:rPr>
                <w:rFonts w:ascii="Calibri" w:hAnsi="Calibri" w:cs="Calibri"/>
                <w:b/>
                <w:bCs/>
              </w:rPr>
            </w:pPr>
            <w:r w:rsidRPr="00B73B03">
              <w:rPr>
                <w:rFonts w:ascii="Calibri" w:hAnsi="Calibri" w:cs="Calibri"/>
                <w:b/>
                <w:bCs/>
              </w:rPr>
              <w:t>2011</w:t>
            </w:r>
          </w:p>
        </w:tc>
      </w:tr>
      <w:tr w:rsidR="008146BD" w:rsidRPr="00B73B03" w:rsidTr="007A7D80">
        <w:trPr>
          <w:trHeight w:val="296"/>
        </w:trPr>
        <w:tc>
          <w:tcPr>
            <w:tcW w:w="1911" w:type="dxa"/>
            <w:tcBorders>
              <w:top w:val="nil"/>
              <w:left w:val="single" w:sz="4" w:space="0" w:color="auto"/>
              <w:bottom w:val="single" w:sz="4" w:space="0" w:color="auto"/>
              <w:right w:val="single" w:sz="4" w:space="0" w:color="auto"/>
            </w:tcBorders>
            <w:noWrap/>
            <w:vAlign w:val="bottom"/>
            <w:hideMark/>
          </w:tcPr>
          <w:p w:rsidR="008146BD" w:rsidRPr="00B73B03" w:rsidRDefault="008146BD" w:rsidP="007A7D80">
            <w:pPr>
              <w:keepNext/>
              <w:keepLines/>
              <w:suppressLineNumbers/>
              <w:spacing w:after="0"/>
              <w:rPr>
                <w:rFonts w:ascii="Calibri" w:hAnsi="Calibri" w:cs="Calibri"/>
              </w:rPr>
            </w:pPr>
            <w:r w:rsidRPr="00B73B03">
              <w:rPr>
                <w:rFonts w:ascii="Calibri" w:hAnsi="Calibri" w:cs="Calibri"/>
              </w:rPr>
              <w:t>do 999</w:t>
            </w:r>
          </w:p>
        </w:tc>
        <w:tc>
          <w:tcPr>
            <w:tcW w:w="2599" w:type="dxa"/>
            <w:tcBorders>
              <w:top w:val="nil"/>
              <w:left w:val="nil"/>
              <w:bottom w:val="single" w:sz="4" w:space="0" w:color="auto"/>
              <w:right w:val="single" w:sz="4" w:space="0" w:color="auto"/>
            </w:tcBorders>
            <w:noWrap/>
            <w:vAlign w:val="bottom"/>
            <w:hideMark/>
          </w:tcPr>
          <w:p w:rsidR="008146BD" w:rsidRPr="00B73B03" w:rsidRDefault="008146BD" w:rsidP="007A7D80">
            <w:pPr>
              <w:keepNext/>
              <w:keepLines/>
              <w:suppressLineNumbers/>
              <w:spacing w:after="0"/>
              <w:jc w:val="center"/>
              <w:rPr>
                <w:rFonts w:ascii="Calibri" w:hAnsi="Calibri" w:cs="Calibri"/>
              </w:rPr>
            </w:pPr>
            <w:r w:rsidRPr="00B73B03">
              <w:rPr>
                <w:rFonts w:ascii="Calibri" w:hAnsi="Calibri" w:cs="Calibri"/>
              </w:rPr>
              <w:t>345,23</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64</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71</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27</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37,65%</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38,59%</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14,67%</w:t>
            </w:r>
          </w:p>
        </w:tc>
      </w:tr>
      <w:tr w:rsidR="008146BD" w:rsidRPr="00B73B03" w:rsidTr="007A7D80">
        <w:trPr>
          <w:trHeight w:val="296"/>
        </w:trPr>
        <w:tc>
          <w:tcPr>
            <w:tcW w:w="1911" w:type="dxa"/>
            <w:tcBorders>
              <w:top w:val="nil"/>
              <w:left w:val="single" w:sz="4" w:space="0" w:color="auto"/>
              <w:bottom w:val="single" w:sz="4" w:space="0" w:color="auto"/>
              <w:right w:val="single" w:sz="4" w:space="0" w:color="auto"/>
            </w:tcBorders>
            <w:noWrap/>
            <w:vAlign w:val="bottom"/>
            <w:hideMark/>
          </w:tcPr>
          <w:p w:rsidR="008146BD" w:rsidRPr="00B73B03" w:rsidRDefault="008146BD" w:rsidP="007A7D80">
            <w:pPr>
              <w:keepNext/>
              <w:keepLines/>
              <w:suppressLineNumbers/>
              <w:spacing w:after="0"/>
              <w:rPr>
                <w:rFonts w:ascii="Calibri" w:hAnsi="Calibri" w:cs="Calibri"/>
              </w:rPr>
            </w:pPr>
            <w:r w:rsidRPr="00B73B03">
              <w:rPr>
                <w:rFonts w:ascii="Calibri" w:hAnsi="Calibri" w:cs="Calibri"/>
              </w:rPr>
              <w:t>1 000 - 1 999</w:t>
            </w:r>
          </w:p>
        </w:tc>
        <w:tc>
          <w:tcPr>
            <w:tcW w:w="2599" w:type="dxa"/>
            <w:tcBorders>
              <w:top w:val="nil"/>
              <w:left w:val="nil"/>
              <w:bottom w:val="single" w:sz="4" w:space="0" w:color="auto"/>
              <w:right w:val="single" w:sz="4" w:space="0" w:color="auto"/>
            </w:tcBorders>
            <w:noWrap/>
            <w:vAlign w:val="bottom"/>
            <w:hideMark/>
          </w:tcPr>
          <w:p w:rsidR="008146BD" w:rsidRPr="00B73B03" w:rsidRDefault="008146BD" w:rsidP="007A7D80">
            <w:pPr>
              <w:keepNext/>
              <w:keepLines/>
              <w:suppressLineNumbers/>
              <w:spacing w:after="0"/>
              <w:jc w:val="center"/>
              <w:rPr>
                <w:rFonts w:ascii="Calibri" w:hAnsi="Calibri" w:cs="Calibri"/>
              </w:rPr>
            </w:pPr>
            <w:r w:rsidRPr="00B73B03">
              <w:rPr>
                <w:rFonts w:ascii="Calibri" w:hAnsi="Calibri" w:cs="Calibri"/>
              </w:rPr>
              <w:t>282,91</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26</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28</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22</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15,29%</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15,22%</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11,96%</w:t>
            </w:r>
          </w:p>
        </w:tc>
      </w:tr>
      <w:tr w:rsidR="008146BD" w:rsidRPr="00B73B03" w:rsidTr="007A7D80">
        <w:trPr>
          <w:trHeight w:val="296"/>
        </w:trPr>
        <w:tc>
          <w:tcPr>
            <w:tcW w:w="1911" w:type="dxa"/>
            <w:tcBorders>
              <w:top w:val="nil"/>
              <w:left w:val="single" w:sz="4" w:space="0" w:color="auto"/>
              <w:bottom w:val="single" w:sz="4" w:space="0" w:color="auto"/>
              <w:right w:val="single" w:sz="4" w:space="0" w:color="auto"/>
            </w:tcBorders>
            <w:noWrap/>
            <w:vAlign w:val="bottom"/>
            <w:hideMark/>
          </w:tcPr>
          <w:p w:rsidR="008146BD" w:rsidRPr="00B73B03" w:rsidRDefault="008146BD" w:rsidP="007A7D80">
            <w:pPr>
              <w:keepNext/>
              <w:keepLines/>
              <w:suppressLineNumbers/>
              <w:spacing w:after="0"/>
              <w:rPr>
                <w:rFonts w:ascii="Calibri" w:hAnsi="Calibri" w:cs="Calibri"/>
              </w:rPr>
            </w:pPr>
            <w:r w:rsidRPr="00B73B03">
              <w:rPr>
                <w:rFonts w:ascii="Calibri" w:hAnsi="Calibri" w:cs="Calibri"/>
              </w:rPr>
              <w:t>2 000 - 4 999</w:t>
            </w:r>
          </w:p>
        </w:tc>
        <w:tc>
          <w:tcPr>
            <w:tcW w:w="2599" w:type="dxa"/>
            <w:tcBorders>
              <w:top w:val="nil"/>
              <w:left w:val="nil"/>
              <w:bottom w:val="single" w:sz="4" w:space="0" w:color="auto"/>
              <w:right w:val="single" w:sz="4" w:space="0" w:color="auto"/>
            </w:tcBorders>
            <w:noWrap/>
            <w:vAlign w:val="bottom"/>
            <w:hideMark/>
          </w:tcPr>
          <w:p w:rsidR="008146BD" w:rsidRPr="00B73B03" w:rsidRDefault="008146BD" w:rsidP="007A7D80">
            <w:pPr>
              <w:keepNext/>
              <w:keepLines/>
              <w:suppressLineNumbers/>
              <w:spacing w:after="0"/>
              <w:jc w:val="center"/>
              <w:rPr>
                <w:rFonts w:ascii="Calibri" w:hAnsi="Calibri" w:cs="Calibri"/>
              </w:rPr>
            </w:pPr>
            <w:r w:rsidRPr="00B73B03">
              <w:rPr>
                <w:rFonts w:ascii="Calibri" w:hAnsi="Calibri" w:cs="Calibri"/>
              </w:rPr>
              <w:t>274,51</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38</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30</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32</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22,35%</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16,30%</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17,39%</w:t>
            </w:r>
          </w:p>
        </w:tc>
      </w:tr>
      <w:tr w:rsidR="008146BD" w:rsidRPr="00B73B03" w:rsidTr="007A7D80">
        <w:trPr>
          <w:trHeight w:val="296"/>
        </w:trPr>
        <w:tc>
          <w:tcPr>
            <w:tcW w:w="1911" w:type="dxa"/>
            <w:tcBorders>
              <w:top w:val="nil"/>
              <w:left w:val="single" w:sz="4" w:space="0" w:color="auto"/>
              <w:bottom w:val="single" w:sz="4" w:space="0" w:color="auto"/>
              <w:right w:val="single" w:sz="4" w:space="0" w:color="auto"/>
            </w:tcBorders>
            <w:noWrap/>
            <w:vAlign w:val="bottom"/>
            <w:hideMark/>
          </w:tcPr>
          <w:p w:rsidR="008146BD" w:rsidRPr="00B73B03" w:rsidRDefault="008146BD" w:rsidP="007A7D80">
            <w:pPr>
              <w:keepNext/>
              <w:keepLines/>
              <w:suppressLineNumbers/>
              <w:spacing w:after="0"/>
              <w:rPr>
                <w:rFonts w:ascii="Calibri" w:hAnsi="Calibri" w:cs="Calibri"/>
              </w:rPr>
            </w:pPr>
            <w:r w:rsidRPr="00B73B03">
              <w:rPr>
                <w:rFonts w:ascii="Calibri" w:hAnsi="Calibri" w:cs="Calibri"/>
              </w:rPr>
              <w:t>5 000 - 9 999</w:t>
            </w:r>
          </w:p>
        </w:tc>
        <w:tc>
          <w:tcPr>
            <w:tcW w:w="2599" w:type="dxa"/>
            <w:tcBorders>
              <w:top w:val="nil"/>
              <w:left w:val="nil"/>
              <w:bottom w:val="single" w:sz="4" w:space="0" w:color="auto"/>
              <w:right w:val="single" w:sz="4" w:space="0" w:color="auto"/>
            </w:tcBorders>
            <w:noWrap/>
            <w:vAlign w:val="bottom"/>
            <w:hideMark/>
          </w:tcPr>
          <w:p w:rsidR="008146BD" w:rsidRPr="00B73B03" w:rsidRDefault="008146BD" w:rsidP="007A7D80">
            <w:pPr>
              <w:keepNext/>
              <w:keepLines/>
              <w:suppressLineNumbers/>
              <w:spacing w:after="0"/>
              <w:jc w:val="center"/>
              <w:rPr>
                <w:rFonts w:ascii="Calibri" w:hAnsi="Calibri" w:cs="Calibri"/>
              </w:rPr>
            </w:pPr>
            <w:r w:rsidRPr="00B73B03">
              <w:rPr>
                <w:rFonts w:ascii="Calibri" w:hAnsi="Calibri" w:cs="Calibri"/>
              </w:rPr>
              <w:t>211,80</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18</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20</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30</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10,59%</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10,87%</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16,30%</w:t>
            </w:r>
          </w:p>
        </w:tc>
      </w:tr>
      <w:tr w:rsidR="008146BD" w:rsidRPr="00B73B03" w:rsidTr="007A7D80">
        <w:trPr>
          <w:trHeight w:val="296"/>
        </w:trPr>
        <w:tc>
          <w:tcPr>
            <w:tcW w:w="1911" w:type="dxa"/>
            <w:tcBorders>
              <w:top w:val="nil"/>
              <w:left w:val="single" w:sz="4" w:space="0" w:color="auto"/>
              <w:bottom w:val="single" w:sz="4" w:space="0" w:color="auto"/>
              <w:right w:val="single" w:sz="4" w:space="0" w:color="auto"/>
            </w:tcBorders>
            <w:noWrap/>
            <w:vAlign w:val="bottom"/>
            <w:hideMark/>
          </w:tcPr>
          <w:p w:rsidR="008146BD" w:rsidRPr="00B73B03" w:rsidRDefault="008146BD" w:rsidP="007A7D80">
            <w:pPr>
              <w:keepNext/>
              <w:keepLines/>
              <w:suppressLineNumbers/>
              <w:spacing w:after="0"/>
              <w:rPr>
                <w:rFonts w:ascii="Calibri" w:hAnsi="Calibri" w:cs="Calibri"/>
              </w:rPr>
            </w:pPr>
            <w:r w:rsidRPr="00B73B03">
              <w:rPr>
                <w:rFonts w:ascii="Calibri" w:hAnsi="Calibri" w:cs="Calibri"/>
              </w:rPr>
              <w:t>10 000 - 19 999</w:t>
            </w:r>
          </w:p>
        </w:tc>
        <w:tc>
          <w:tcPr>
            <w:tcW w:w="2599" w:type="dxa"/>
            <w:tcBorders>
              <w:top w:val="nil"/>
              <w:left w:val="nil"/>
              <w:bottom w:val="single" w:sz="4" w:space="0" w:color="auto"/>
              <w:right w:val="single" w:sz="4" w:space="0" w:color="auto"/>
            </w:tcBorders>
            <w:noWrap/>
            <w:vAlign w:val="bottom"/>
            <w:hideMark/>
          </w:tcPr>
          <w:p w:rsidR="008146BD" w:rsidRPr="00B73B03" w:rsidRDefault="008146BD" w:rsidP="007A7D80">
            <w:pPr>
              <w:keepNext/>
              <w:keepLines/>
              <w:suppressLineNumbers/>
              <w:spacing w:after="0"/>
              <w:jc w:val="center"/>
              <w:rPr>
                <w:rFonts w:ascii="Calibri" w:hAnsi="Calibri" w:cs="Calibri"/>
              </w:rPr>
            </w:pPr>
            <w:r w:rsidRPr="00B73B03">
              <w:rPr>
                <w:rFonts w:ascii="Calibri" w:hAnsi="Calibri" w:cs="Calibri"/>
              </w:rPr>
              <w:t>149,53</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18</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16</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27</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10,59%</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8,70%</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14,67%</w:t>
            </w:r>
          </w:p>
        </w:tc>
      </w:tr>
      <w:tr w:rsidR="008146BD" w:rsidRPr="00B73B03" w:rsidTr="007A7D80">
        <w:trPr>
          <w:trHeight w:val="296"/>
        </w:trPr>
        <w:tc>
          <w:tcPr>
            <w:tcW w:w="1911" w:type="dxa"/>
            <w:tcBorders>
              <w:top w:val="nil"/>
              <w:left w:val="single" w:sz="4" w:space="0" w:color="auto"/>
              <w:bottom w:val="single" w:sz="4" w:space="0" w:color="auto"/>
              <w:right w:val="single" w:sz="4" w:space="0" w:color="auto"/>
            </w:tcBorders>
            <w:noWrap/>
            <w:vAlign w:val="bottom"/>
            <w:hideMark/>
          </w:tcPr>
          <w:p w:rsidR="008146BD" w:rsidRPr="00B73B03" w:rsidRDefault="008146BD" w:rsidP="007A7D80">
            <w:pPr>
              <w:keepNext/>
              <w:keepLines/>
              <w:suppressLineNumbers/>
              <w:spacing w:after="0"/>
              <w:rPr>
                <w:rFonts w:ascii="Calibri" w:hAnsi="Calibri" w:cs="Calibri"/>
              </w:rPr>
            </w:pPr>
            <w:r w:rsidRPr="00B73B03">
              <w:rPr>
                <w:rFonts w:ascii="Calibri" w:hAnsi="Calibri" w:cs="Calibri"/>
              </w:rPr>
              <w:t>20 000 - 29 999</w:t>
            </w:r>
          </w:p>
        </w:tc>
        <w:tc>
          <w:tcPr>
            <w:tcW w:w="2599" w:type="dxa"/>
            <w:tcBorders>
              <w:top w:val="nil"/>
              <w:left w:val="nil"/>
              <w:bottom w:val="single" w:sz="4" w:space="0" w:color="auto"/>
              <w:right w:val="single" w:sz="4" w:space="0" w:color="auto"/>
            </w:tcBorders>
            <w:noWrap/>
            <w:vAlign w:val="bottom"/>
            <w:hideMark/>
          </w:tcPr>
          <w:p w:rsidR="008146BD" w:rsidRPr="00B73B03" w:rsidRDefault="008146BD" w:rsidP="007A7D80">
            <w:pPr>
              <w:keepNext/>
              <w:keepLines/>
              <w:suppressLineNumbers/>
              <w:spacing w:after="0"/>
              <w:jc w:val="center"/>
              <w:rPr>
                <w:rFonts w:ascii="Calibri" w:hAnsi="Calibri" w:cs="Calibri"/>
              </w:rPr>
            </w:pPr>
            <w:r w:rsidRPr="00B73B03">
              <w:rPr>
                <w:rFonts w:ascii="Calibri" w:hAnsi="Calibri" w:cs="Calibri"/>
              </w:rPr>
              <w:t>118,04</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3</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15</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14</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1,76%</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8,15%</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7,61%</w:t>
            </w:r>
          </w:p>
        </w:tc>
      </w:tr>
      <w:tr w:rsidR="008146BD" w:rsidRPr="00B73B03" w:rsidTr="007A7D80">
        <w:trPr>
          <w:trHeight w:val="296"/>
        </w:trPr>
        <w:tc>
          <w:tcPr>
            <w:tcW w:w="1911" w:type="dxa"/>
            <w:tcBorders>
              <w:top w:val="nil"/>
              <w:left w:val="single" w:sz="4" w:space="0" w:color="auto"/>
              <w:bottom w:val="single" w:sz="4" w:space="0" w:color="auto"/>
              <w:right w:val="single" w:sz="4" w:space="0" w:color="auto"/>
            </w:tcBorders>
            <w:noWrap/>
            <w:vAlign w:val="bottom"/>
            <w:hideMark/>
          </w:tcPr>
          <w:p w:rsidR="008146BD" w:rsidRPr="00B73B03" w:rsidRDefault="008146BD" w:rsidP="007A7D80">
            <w:pPr>
              <w:keepNext/>
              <w:keepLines/>
              <w:suppressLineNumbers/>
              <w:spacing w:after="0"/>
              <w:rPr>
                <w:rFonts w:ascii="Calibri" w:hAnsi="Calibri" w:cs="Calibri"/>
              </w:rPr>
            </w:pPr>
            <w:r w:rsidRPr="00B73B03">
              <w:rPr>
                <w:rFonts w:ascii="Calibri" w:hAnsi="Calibri" w:cs="Calibri"/>
              </w:rPr>
              <w:t>30 000 - 49 999</w:t>
            </w:r>
          </w:p>
        </w:tc>
        <w:tc>
          <w:tcPr>
            <w:tcW w:w="2599" w:type="dxa"/>
            <w:tcBorders>
              <w:top w:val="nil"/>
              <w:left w:val="nil"/>
              <w:bottom w:val="single" w:sz="4" w:space="0" w:color="auto"/>
              <w:right w:val="single" w:sz="4" w:space="0" w:color="auto"/>
            </w:tcBorders>
            <w:noWrap/>
            <w:vAlign w:val="bottom"/>
            <w:hideMark/>
          </w:tcPr>
          <w:p w:rsidR="008146BD" w:rsidRPr="00B73B03" w:rsidRDefault="008146BD" w:rsidP="007A7D80">
            <w:pPr>
              <w:keepNext/>
              <w:keepLines/>
              <w:suppressLineNumbers/>
              <w:spacing w:after="0"/>
              <w:jc w:val="center"/>
              <w:rPr>
                <w:rFonts w:ascii="Calibri" w:hAnsi="Calibri" w:cs="Calibri"/>
              </w:rPr>
            </w:pPr>
            <w:r w:rsidRPr="00B73B03">
              <w:rPr>
                <w:rFonts w:ascii="Calibri" w:hAnsi="Calibri" w:cs="Calibri"/>
              </w:rPr>
              <w:t>179,30</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2</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3</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19</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1,18%</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1,63%</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10,33%</w:t>
            </w:r>
          </w:p>
        </w:tc>
      </w:tr>
      <w:tr w:rsidR="008146BD" w:rsidRPr="00B73B03" w:rsidTr="007A7D80">
        <w:trPr>
          <w:trHeight w:val="296"/>
        </w:trPr>
        <w:tc>
          <w:tcPr>
            <w:tcW w:w="1911" w:type="dxa"/>
            <w:tcBorders>
              <w:top w:val="nil"/>
              <w:left w:val="single" w:sz="4" w:space="0" w:color="auto"/>
              <w:bottom w:val="single" w:sz="4" w:space="0" w:color="auto"/>
              <w:right w:val="single" w:sz="4" w:space="0" w:color="auto"/>
            </w:tcBorders>
            <w:noWrap/>
            <w:vAlign w:val="bottom"/>
            <w:hideMark/>
          </w:tcPr>
          <w:p w:rsidR="008146BD" w:rsidRPr="00B73B03" w:rsidRDefault="008146BD" w:rsidP="007A7D80">
            <w:pPr>
              <w:keepNext/>
              <w:keepLines/>
              <w:suppressLineNumbers/>
              <w:spacing w:after="0"/>
              <w:rPr>
                <w:rFonts w:ascii="Calibri" w:hAnsi="Calibri" w:cs="Calibri"/>
              </w:rPr>
            </w:pPr>
            <w:r w:rsidRPr="00B73B03">
              <w:rPr>
                <w:rFonts w:ascii="Calibri" w:hAnsi="Calibri" w:cs="Calibri"/>
              </w:rPr>
              <w:t>50 000 - 99 999</w:t>
            </w:r>
          </w:p>
        </w:tc>
        <w:tc>
          <w:tcPr>
            <w:tcW w:w="2599" w:type="dxa"/>
            <w:tcBorders>
              <w:top w:val="nil"/>
              <w:left w:val="nil"/>
              <w:bottom w:val="single" w:sz="4" w:space="0" w:color="auto"/>
              <w:right w:val="single" w:sz="4" w:space="0" w:color="auto"/>
            </w:tcBorders>
            <w:noWrap/>
            <w:vAlign w:val="bottom"/>
            <w:hideMark/>
          </w:tcPr>
          <w:p w:rsidR="008146BD" w:rsidRPr="00B73B03" w:rsidRDefault="008146BD" w:rsidP="007A7D80">
            <w:pPr>
              <w:keepNext/>
              <w:keepLines/>
              <w:suppressLineNumbers/>
              <w:spacing w:after="0"/>
              <w:jc w:val="center"/>
              <w:rPr>
                <w:rFonts w:ascii="Calibri" w:hAnsi="Calibri" w:cs="Calibri"/>
              </w:rPr>
            </w:pPr>
            <w:r w:rsidRPr="00B73B03">
              <w:rPr>
                <w:rFonts w:ascii="Calibri" w:hAnsi="Calibri" w:cs="Calibri"/>
              </w:rPr>
              <w:t>93,41</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10</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0,59%</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0,54%</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5,43%</w:t>
            </w:r>
          </w:p>
        </w:tc>
      </w:tr>
      <w:tr w:rsidR="008146BD" w:rsidRPr="00B73B03" w:rsidTr="007A7D80">
        <w:trPr>
          <w:trHeight w:val="296"/>
        </w:trPr>
        <w:tc>
          <w:tcPr>
            <w:tcW w:w="1911" w:type="dxa"/>
            <w:tcBorders>
              <w:top w:val="nil"/>
              <w:left w:val="single" w:sz="4" w:space="0" w:color="auto"/>
              <w:bottom w:val="single" w:sz="4" w:space="0" w:color="auto"/>
              <w:right w:val="single" w:sz="4" w:space="0" w:color="auto"/>
            </w:tcBorders>
            <w:noWrap/>
            <w:vAlign w:val="bottom"/>
            <w:hideMark/>
          </w:tcPr>
          <w:p w:rsidR="008146BD" w:rsidRPr="00B73B03" w:rsidRDefault="008146BD" w:rsidP="007A7D80">
            <w:pPr>
              <w:keepNext/>
              <w:keepLines/>
              <w:suppressLineNumbers/>
              <w:spacing w:after="0"/>
              <w:rPr>
                <w:rFonts w:ascii="Calibri" w:hAnsi="Calibri" w:cs="Calibri"/>
              </w:rPr>
            </w:pPr>
            <w:r w:rsidRPr="00B73B03">
              <w:rPr>
                <w:rFonts w:ascii="Calibri" w:hAnsi="Calibri" w:cs="Calibri"/>
              </w:rPr>
              <w:t>100 000 +</w:t>
            </w:r>
          </w:p>
        </w:tc>
        <w:tc>
          <w:tcPr>
            <w:tcW w:w="2599" w:type="dxa"/>
            <w:tcBorders>
              <w:top w:val="nil"/>
              <w:left w:val="nil"/>
              <w:bottom w:val="single" w:sz="4" w:space="0" w:color="auto"/>
              <w:right w:val="single" w:sz="4" w:space="0" w:color="auto"/>
            </w:tcBorders>
            <w:noWrap/>
            <w:vAlign w:val="bottom"/>
            <w:hideMark/>
          </w:tcPr>
          <w:p w:rsidR="008146BD" w:rsidRPr="00B73B03" w:rsidRDefault="008146BD" w:rsidP="007A7D80">
            <w:pPr>
              <w:keepNext/>
              <w:keepLines/>
              <w:suppressLineNumbers/>
              <w:spacing w:after="0"/>
              <w:jc w:val="center"/>
              <w:rPr>
                <w:rFonts w:ascii="Calibri" w:hAnsi="Calibri" w:cs="Calibri"/>
              </w:rPr>
            </w:pPr>
            <w:r w:rsidRPr="00B73B03">
              <w:rPr>
                <w:rFonts w:ascii="Calibri" w:hAnsi="Calibri" w:cs="Calibri"/>
              </w:rPr>
              <w:t>0</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0</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0</w:t>
            </w:r>
          </w:p>
        </w:tc>
        <w:tc>
          <w:tcPr>
            <w:tcW w:w="630"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3</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0,00%</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0,00%</w:t>
            </w:r>
          </w:p>
        </w:tc>
        <w:tc>
          <w:tcPr>
            <w:tcW w:w="923" w:type="dxa"/>
            <w:tcBorders>
              <w:top w:val="nil"/>
              <w:left w:val="nil"/>
              <w:bottom w:val="single" w:sz="4" w:space="0" w:color="auto"/>
              <w:right w:val="single" w:sz="4" w:space="0" w:color="auto"/>
            </w:tcBorders>
            <w:noWrap/>
            <w:vAlign w:val="bottom"/>
            <w:hideMark/>
          </w:tcPr>
          <w:p w:rsidR="008146BD" w:rsidRPr="00B73B03" w:rsidRDefault="008146BD" w:rsidP="00372654">
            <w:pPr>
              <w:keepNext/>
              <w:keepLines/>
              <w:suppressLineNumbers/>
              <w:spacing w:after="0"/>
              <w:jc w:val="center"/>
              <w:rPr>
                <w:rFonts w:ascii="Calibri" w:hAnsi="Calibri" w:cs="Calibri"/>
              </w:rPr>
            </w:pPr>
            <w:r w:rsidRPr="00B73B03">
              <w:rPr>
                <w:rFonts w:ascii="Calibri" w:hAnsi="Calibri" w:cs="Calibri"/>
              </w:rPr>
              <w:t>1,63%</w:t>
            </w:r>
          </w:p>
        </w:tc>
      </w:tr>
    </w:tbl>
    <w:p w:rsidR="008146BD" w:rsidRDefault="008146BD" w:rsidP="008146BD">
      <w:pPr>
        <w:keepNext/>
        <w:keepLines/>
        <w:suppressLineNumbers/>
        <w:spacing w:after="0"/>
        <w:ind w:left="1134" w:right="1134"/>
        <w:jc w:val="center"/>
        <w:rPr>
          <w:rFonts w:ascii="Calibri" w:hAnsi="Calibri" w:cs="Calibri"/>
          <w:i/>
        </w:rPr>
      </w:pPr>
      <w:r w:rsidRPr="00B73B03">
        <w:rPr>
          <w:rFonts w:ascii="Calibri" w:hAnsi="Calibri" w:cs="Calibri"/>
          <w:i/>
        </w:rPr>
        <w:t>Pramen: World Bank, 2014</w:t>
      </w:r>
    </w:p>
    <w:p w:rsidR="008146BD" w:rsidRDefault="008146BD" w:rsidP="008146BD">
      <w:pPr>
        <w:keepNext/>
        <w:keepLines/>
        <w:suppressLineNumbers/>
        <w:spacing w:before="200" w:after="0"/>
        <w:ind w:firstLine="720"/>
        <w:jc w:val="both"/>
        <w:rPr>
          <w:sz w:val="24"/>
          <w:szCs w:val="24"/>
        </w:rPr>
      </w:pPr>
      <w:r w:rsidRPr="002B6818">
        <w:rPr>
          <w:sz w:val="24"/>
          <w:szCs w:val="24"/>
        </w:rPr>
        <w:t>V tabulce jsou uvedeny počty zemí (celkem 184)</w:t>
      </w:r>
      <w:r w:rsidR="00372654">
        <w:rPr>
          <w:sz w:val="24"/>
          <w:szCs w:val="24"/>
        </w:rPr>
        <w:t xml:space="preserve"> v jednotlivých kategoriích dle </w:t>
      </w:r>
      <w:r w:rsidRPr="002B6818">
        <w:rPr>
          <w:sz w:val="24"/>
          <w:szCs w:val="24"/>
        </w:rPr>
        <w:t xml:space="preserve">úrovně HDP per capita v letech 1980, 1990 a </w:t>
      </w:r>
      <w:r w:rsidR="00372654">
        <w:rPr>
          <w:sz w:val="24"/>
          <w:szCs w:val="24"/>
        </w:rPr>
        <w:t>2011 (v absolutních hodnotách a </w:t>
      </w:r>
      <w:r w:rsidRPr="002B6818">
        <w:rPr>
          <w:sz w:val="24"/>
          <w:szCs w:val="24"/>
        </w:rPr>
        <w:t xml:space="preserve">v procentech). Je patrné, že podíl zemí s HDP per capita do 5 tis. USD činil v roce 1980 zhruba 75 %, v roce 1990 cca 70 % a k roku 2011 klesl na 44 % a zároveň podíl zemí s HDP per capita nad 10 tis. USD činil v roce 1980 14 %, v roce 1990 19 % a v roce 2011 již téměř 40 %. Druhý sloupec pak znázorňuje průměrný růst HDP per capita v jednotlivých kategoriích a je z něho zřejmé, že při dosažení vyššího HDP per capita se snižuje </w:t>
      </w:r>
      <w:r w:rsidRPr="00BE0D37">
        <w:rPr>
          <w:sz w:val="24"/>
          <w:szCs w:val="24"/>
        </w:rPr>
        <w:t xml:space="preserve">průměrná míra růstu. Každá kategorie s vyšší úrovní tedy obecně znamená nižší potenciál růstu s výjimkou zemí kategorie 30 až 50 tis. dolarů na obyvatele, kde dochází k vyššímu růstu než v předchozích nižších kategoriích (jde o velmi specifické státy, a sice Lucembursko, Švýcarsko a Lichtenštejnsko s výrazně rozvinutým bankovním sektorem). </w:t>
      </w:r>
    </w:p>
    <w:p w:rsidR="008146BD" w:rsidRPr="00BE0D37" w:rsidRDefault="008146BD" w:rsidP="008146BD">
      <w:pPr>
        <w:keepNext/>
        <w:keepLines/>
        <w:suppressLineNumbers/>
        <w:spacing w:before="200"/>
        <w:ind w:firstLine="709"/>
        <w:jc w:val="both"/>
        <w:rPr>
          <w:sz w:val="24"/>
          <w:szCs w:val="24"/>
        </w:rPr>
      </w:pPr>
      <w:r w:rsidRPr="00BE0D37">
        <w:rPr>
          <w:sz w:val="24"/>
          <w:szCs w:val="24"/>
        </w:rPr>
        <w:lastRenderedPageBreak/>
        <w:t xml:space="preserve">S výjimkou těchto několika zemí </w:t>
      </w:r>
      <w:r>
        <w:rPr>
          <w:sz w:val="24"/>
          <w:szCs w:val="24"/>
        </w:rPr>
        <w:t xml:space="preserve">je možné konstatovat, že </w:t>
      </w:r>
      <w:r w:rsidRPr="00BE0D37">
        <w:rPr>
          <w:sz w:val="24"/>
          <w:szCs w:val="24"/>
        </w:rPr>
        <w:t>dochází ke sbližování</w:t>
      </w:r>
      <w:r w:rsidR="005F1118">
        <w:rPr>
          <w:sz w:val="24"/>
          <w:szCs w:val="24"/>
        </w:rPr>
        <w:t>,</w:t>
      </w:r>
      <w:r w:rsidRPr="00BE0D37">
        <w:rPr>
          <w:sz w:val="24"/>
          <w:szCs w:val="24"/>
        </w:rPr>
        <w:t xml:space="preserve"> resp. </w:t>
      </w:r>
      <w:r w:rsidR="005F1118">
        <w:rPr>
          <w:sz w:val="24"/>
          <w:szCs w:val="24"/>
        </w:rPr>
        <w:t>konvergenci,</w:t>
      </w:r>
      <w:r w:rsidRPr="00BE0D37">
        <w:rPr>
          <w:sz w:val="24"/>
          <w:szCs w:val="24"/>
        </w:rPr>
        <w:t xml:space="preserve"> ekonomické úrovně. K tomu je </w:t>
      </w:r>
      <w:r>
        <w:rPr>
          <w:sz w:val="24"/>
          <w:szCs w:val="24"/>
        </w:rPr>
        <w:t xml:space="preserve">dále </w:t>
      </w:r>
      <w:r w:rsidRPr="00BE0D37">
        <w:rPr>
          <w:sz w:val="24"/>
          <w:szCs w:val="24"/>
        </w:rPr>
        <w:t xml:space="preserve">vhodné podotknout, že průměrný HDP per capita ve zkoumaných zemích </w:t>
      </w:r>
      <w:r>
        <w:rPr>
          <w:sz w:val="24"/>
          <w:szCs w:val="24"/>
        </w:rPr>
        <w:t xml:space="preserve">dosahoval </w:t>
      </w:r>
      <w:r w:rsidRPr="00BE0D37">
        <w:rPr>
          <w:sz w:val="24"/>
          <w:szCs w:val="24"/>
        </w:rPr>
        <w:t xml:space="preserve">v roce 1990 6 130 USD a v roce 2011 </w:t>
      </w:r>
      <w:r>
        <w:rPr>
          <w:sz w:val="24"/>
          <w:szCs w:val="24"/>
        </w:rPr>
        <w:t xml:space="preserve">pak </w:t>
      </w:r>
      <w:r w:rsidRPr="00BE0D37">
        <w:rPr>
          <w:sz w:val="24"/>
          <w:szCs w:val="24"/>
        </w:rPr>
        <w:t xml:space="preserve">vzrostl na 16 252 USD (z toho 132 zemí bylo pod </w:t>
      </w:r>
      <w:r>
        <w:rPr>
          <w:sz w:val="24"/>
          <w:szCs w:val="24"/>
        </w:rPr>
        <w:t xml:space="preserve">odpovídajícím </w:t>
      </w:r>
      <w:r w:rsidRPr="00BE0D37">
        <w:rPr>
          <w:sz w:val="24"/>
          <w:szCs w:val="24"/>
        </w:rPr>
        <w:t>prů</w:t>
      </w:r>
      <w:r w:rsidR="00372654">
        <w:rPr>
          <w:sz w:val="24"/>
          <w:szCs w:val="24"/>
        </w:rPr>
        <w:t>měrem a 52 zemí nad průměrem, a </w:t>
      </w:r>
      <w:r w:rsidRPr="00BE0D37">
        <w:rPr>
          <w:sz w:val="24"/>
          <w:szCs w:val="24"/>
        </w:rPr>
        <w:t xml:space="preserve">to v obou zkoumaných letech). Ačkoliv poměr podprůměrných a nadprůměrných zemí zůstal v podstatě zachován, tak celkový průměr </w:t>
      </w:r>
      <w:r>
        <w:rPr>
          <w:sz w:val="24"/>
          <w:szCs w:val="24"/>
        </w:rPr>
        <w:t xml:space="preserve">ovšem </w:t>
      </w:r>
      <w:r w:rsidRPr="00BE0D37">
        <w:rPr>
          <w:sz w:val="24"/>
          <w:szCs w:val="24"/>
        </w:rPr>
        <w:t xml:space="preserve">vzrostl zhruba na </w:t>
      </w:r>
      <w:r>
        <w:rPr>
          <w:sz w:val="24"/>
          <w:szCs w:val="24"/>
        </w:rPr>
        <w:t xml:space="preserve">přibližně </w:t>
      </w:r>
      <w:r w:rsidRPr="00BE0D37">
        <w:rPr>
          <w:sz w:val="24"/>
          <w:szCs w:val="24"/>
        </w:rPr>
        <w:t>dvou a půl násobek. Tuto skutečnost lze nepochybně interpretovat jako pozitivní</w:t>
      </w:r>
      <w:r w:rsidR="005F1118">
        <w:rPr>
          <w:sz w:val="24"/>
          <w:szCs w:val="24"/>
        </w:rPr>
        <w:t xml:space="preserve"> vývoj (otázkou je, zda </w:t>
      </w:r>
      <w:r>
        <w:rPr>
          <w:sz w:val="24"/>
          <w:szCs w:val="24"/>
        </w:rPr>
        <w:t>charakter bude i nadále zachován).</w:t>
      </w:r>
    </w:p>
    <w:p w:rsidR="008146BD" w:rsidRPr="00BE0D37" w:rsidRDefault="008146BD" w:rsidP="008146BD">
      <w:pPr>
        <w:keepNext/>
        <w:suppressLineNumbers/>
        <w:spacing w:before="200"/>
        <w:ind w:firstLine="709"/>
        <w:jc w:val="both"/>
        <w:rPr>
          <w:rFonts w:cs="TimesNewRomanPSMT"/>
          <w:sz w:val="24"/>
          <w:szCs w:val="24"/>
        </w:rPr>
      </w:pPr>
      <w:r w:rsidRPr="00BE0D37">
        <w:rPr>
          <w:sz w:val="24"/>
          <w:szCs w:val="24"/>
        </w:rPr>
        <w:t xml:space="preserve">Na druhé straně však bylo na průzkumu 47 zemí v průběhu </w:t>
      </w:r>
      <w:r>
        <w:rPr>
          <w:sz w:val="24"/>
          <w:szCs w:val="24"/>
        </w:rPr>
        <w:t xml:space="preserve">zkoumaného horizontu </w:t>
      </w:r>
      <w:r w:rsidR="005F1118">
        <w:rPr>
          <w:sz w:val="24"/>
          <w:szCs w:val="24"/>
        </w:rPr>
        <w:t>let 1990–</w:t>
      </w:r>
      <w:r w:rsidRPr="00BE0D37">
        <w:rPr>
          <w:sz w:val="24"/>
          <w:szCs w:val="24"/>
        </w:rPr>
        <w:t>2007 zjištěno, že země, které vykazují vyšší míru ekonomické integrace v rámc</w:t>
      </w:r>
      <w:r>
        <w:rPr>
          <w:sz w:val="24"/>
          <w:szCs w:val="24"/>
        </w:rPr>
        <w:t>i</w:t>
      </w:r>
      <w:r w:rsidRPr="00BE0D37">
        <w:rPr>
          <w:sz w:val="24"/>
          <w:szCs w:val="24"/>
        </w:rPr>
        <w:t xml:space="preserve"> globálních trhů, </w:t>
      </w:r>
      <w:r>
        <w:rPr>
          <w:sz w:val="24"/>
          <w:szCs w:val="24"/>
        </w:rPr>
        <w:t xml:space="preserve">zároveň </w:t>
      </w:r>
      <w:r w:rsidRPr="00BE0D37">
        <w:rPr>
          <w:sz w:val="24"/>
          <w:szCs w:val="24"/>
        </w:rPr>
        <w:t xml:space="preserve">vykazují i vyšší míru tvorby regionálních disparit (Ezcurra, Rodríguez-Pose, 2013). </w:t>
      </w:r>
      <w:r w:rsidRPr="00BE0D37">
        <w:rPr>
          <w:rFonts w:cs="TimesNewRomanPSMT"/>
          <w:sz w:val="24"/>
          <w:szCs w:val="24"/>
        </w:rPr>
        <w:t>V průzkumu Světové banky z roku 2005, který se zabýval tímto problémem pro období let 1980 až 2000, bylo u pěti velkých zemí charakteristických federativním či kvazi-federativním uspořádáním (Čína, Indie, USA, Brazílie a Indonésie), zjištěno, že po roce 1990, kdy bylo nastartováno rychlé tempo integrace asijských zemí, se začal projevovat trend zvyšování regionálních disparit v rámci všech asijských zástupců (Milanovic, 2005). Tato skutečnost se nicméně projevuje i v případě České republiky, které se navzdory aplikaci regionální politiky dlouhodobě</w:t>
      </w:r>
      <w:r w:rsidR="00372654">
        <w:rPr>
          <w:rFonts w:cs="TimesNewRomanPSMT"/>
          <w:sz w:val="24"/>
          <w:szCs w:val="24"/>
        </w:rPr>
        <w:t xml:space="preserve"> nedaří snižovat rozdíly mezi </w:t>
      </w:r>
      <w:r w:rsidRPr="00BE0D37">
        <w:rPr>
          <w:rFonts w:cs="TimesNewRomanPSMT"/>
          <w:sz w:val="24"/>
          <w:szCs w:val="24"/>
        </w:rPr>
        <w:t>nejvýkonnějším regionem</w:t>
      </w:r>
      <w:r w:rsidR="005F1118">
        <w:rPr>
          <w:rFonts w:cs="TimesNewRomanPSMT"/>
          <w:sz w:val="24"/>
          <w:szCs w:val="24"/>
        </w:rPr>
        <w:t>,</w:t>
      </w:r>
      <w:r w:rsidRPr="00BE0D37">
        <w:rPr>
          <w:rFonts w:cs="TimesNewRomanPSMT"/>
          <w:sz w:val="24"/>
          <w:szCs w:val="24"/>
        </w:rPr>
        <w:t xml:space="preserve"> tj. Prahou</w:t>
      </w:r>
      <w:r w:rsidR="005F1118">
        <w:rPr>
          <w:rFonts w:cs="TimesNewRomanPSMT"/>
          <w:sz w:val="24"/>
          <w:szCs w:val="24"/>
        </w:rPr>
        <w:t>,</w:t>
      </w:r>
      <w:r w:rsidRPr="00BE0D37">
        <w:rPr>
          <w:rFonts w:cs="TimesNewRomanPSMT"/>
          <w:sz w:val="24"/>
          <w:szCs w:val="24"/>
        </w:rPr>
        <w:t xml:space="preserve"> a ostatními regiony soudržnosti (viz např. Vaňková, 2014).</w:t>
      </w:r>
    </w:p>
    <w:p w:rsidR="008146BD" w:rsidRPr="00E63699" w:rsidRDefault="008146BD" w:rsidP="008146BD">
      <w:pPr>
        <w:spacing w:before="200"/>
        <w:ind w:firstLine="709"/>
        <w:jc w:val="both"/>
        <w:rPr>
          <w:rFonts w:cs="TimesNewRomanPSMT"/>
          <w:color w:val="0000FF"/>
          <w:sz w:val="24"/>
          <w:szCs w:val="24"/>
        </w:rPr>
      </w:pPr>
      <w:r w:rsidRPr="00BE0D37">
        <w:rPr>
          <w:rFonts w:cs="TimesNewRomanPSMT"/>
          <w:sz w:val="24"/>
          <w:szCs w:val="24"/>
        </w:rPr>
        <w:t xml:space="preserve">S narůstajícími rozdíly mezi regiony a zároveň </w:t>
      </w:r>
      <w:r w:rsidR="00372654">
        <w:rPr>
          <w:rFonts w:cs="TimesNewRomanPSMT"/>
          <w:sz w:val="24"/>
          <w:szCs w:val="24"/>
        </w:rPr>
        <w:t>s narůstajícími odchylkami mezi </w:t>
      </w:r>
      <w:r w:rsidRPr="00BE0D37">
        <w:rPr>
          <w:rFonts w:cs="TimesNewRomanPSMT"/>
          <w:sz w:val="24"/>
          <w:szCs w:val="24"/>
        </w:rPr>
        <w:t>nejvýkonnějším a nejzaostalejšími státy se bezespor</w:t>
      </w:r>
      <w:r w:rsidR="00372654">
        <w:rPr>
          <w:rFonts w:cs="TimesNewRomanPSMT"/>
          <w:sz w:val="24"/>
          <w:szCs w:val="24"/>
        </w:rPr>
        <w:t>u zvýrazňuje problém chudoby (v </w:t>
      </w:r>
      <w:r w:rsidRPr="00BE0D37">
        <w:rPr>
          <w:rFonts w:cs="TimesNewRomanPSMT"/>
          <w:sz w:val="24"/>
          <w:szCs w:val="24"/>
        </w:rPr>
        <w:t xml:space="preserve">ekonomicky nejvýkonnějším </w:t>
      </w:r>
      <w:r>
        <w:rPr>
          <w:rFonts w:cs="TimesNewRomanPSMT"/>
          <w:sz w:val="24"/>
          <w:szCs w:val="24"/>
        </w:rPr>
        <w:t xml:space="preserve">městském </w:t>
      </w:r>
      <w:r w:rsidRPr="00BE0D37">
        <w:rPr>
          <w:rFonts w:cs="TimesNewRomanPSMT"/>
          <w:sz w:val="24"/>
          <w:szCs w:val="24"/>
        </w:rPr>
        <w:t xml:space="preserve">státu Monako vzrostla v posledních letech úroveň HDP per capita z 84 tis. na 163 tis. USD, zatímco u nejchudších zemí se tento ukazatel stále pohybuje okolo 250 USD na obyvatele). V tomto ohledu uvádí Bardhan (2006), že v letech 1981 až 2001 procento lidí v subsaharské Africe žijících pod hranicí chudoby </w:t>
      </w:r>
      <w:r>
        <w:rPr>
          <w:rFonts w:cs="TimesNewRomanPSMT"/>
          <w:sz w:val="24"/>
          <w:szCs w:val="24"/>
        </w:rPr>
        <w:t xml:space="preserve">dokonce </w:t>
      </w:r>
      <w:r w:rsidRPr="00BE0D37">
        <w:rPr>
          <w:rFonts w:cs="TimesNewRomanPSMT"/>
          <w:sz w:val="24"/>
          <w:szCs w:val="24"/>
        </w:rPr>
        <w:t xml:space="preserve">vzrostlo ze 42 na 46 %. Dále ovšem poznamenává, že tento vývoj </w:t>
      </w:r>
      <w:r>
        <w:rPr>
          <w:rFonts w:cs="TimesNewRomanPSMT"/>
          <w:sz w:val="24"/>
          <w:szCs w:val="24"/>
        </w:rPr>
        <w:t xml:space="preserve">v žádném případě </w:t>
      </w:r>
      <w:r w:rsidRPr="00BE0D37">
        <w:rPr>
          <w:rFonts w:cs="TimesNewRomanPSMT"/>
          <w:sz w:val="24"/>
          <w:szCs w:val="24"/>
        </w:rPr>
        <w:t xml:space="preserve">není </w:t>
      </w:r>
      <w:r>
        <w:rPr>
          <w:rFonts w:cs="TimesNewRomanPSMT"/>
          <w:sz w:val="24"/>
          <w:szCs w:val="24"/>
        </w:rPr>
        <w:t xml:space="preserve">přímým </w:t>
      </w:r>
      <w:r w:rsidRPr="00BE0D37">
        <w:rPr>
          <w:rFonts w:cs="TimesNewRomanPSMT"/>
          <w:sz w:val="24"/>
          <w:szCs w:val="24"/>
        </w:rPr>
        <w:t xml:space="preserve">důsledkem zapojování </w:t>
      </w:r>
      <w:r>
        <w:rPr>
          <w:rFonts w:cs="TimesNewRomanPSMT"/>
          <w:sz w:val="24"/>
          <w:szCs w:val="24"/>
        </w:rPr>
        <w:t xml:space="preserve">daných </w:t>
      </w:r>
      <w:r w:rsidRPr="00BE0D37">
        <w:rPr>
          <w:rFonts w:cs="TimesNewRomanPSMT"/>
          <w:sz w:val="24"/>
          <w:szCs w:val="24"/>
        </w:rPr>
        <w:t xml:space="preserve">zemí do procesu globalizace, ale především </w:t>
      </w:r>
      <w:r>
        <w:rPr>
          <w:rFonts w:cs="TimesNewRomanPSMT"/>
          <w:sz w:val="24"/>
          <w:szCs w:val="24"/>
        </w:rPr>
        <w:t xml:space="preserve">důsledkem existence </w:t>
      </w:r>
      <w:r w:rsidRPr="00BE0D37">
        <w:rPr>
          <w:rFonts w:cs="TimesNewRomanPSMT"/>
          <w:sz w:val="24"/>
          <w:szCs w:val="24"/>
        </w:rPr>
        <w:t xml:space="preserve">latentních bariér </w:t>
      </w:r>
      <w:r>
        <w:rPr>
          <w:rFonts w:cs="TimesNewRomanPSMT"/>
          <w:sz w:val="24"/>
          <w:szCs w:val="24"/>
        </w:rPr>
        <w:t xml:space="preserve">ve </w:t>
      </w:r>
      <w:r w:rsidRPr="00BE0D37">
        <w:rPr>
          <w:rFonts w:cs="TimesNewRomanPSMT"/>
          <w:sz w:val="24"/>
          <w:szCs w:val="24"/>
        </w:rPr>
        <w:t xml:space="preserve">využívání globálních možností </w:t>
      </w:r>
      <w:r>
        <w:rPr>
          <w:rFonts w:cs="TimesNewRomanPSMT"/>
          <w:sz w:val="24"/>
          <w:szCs w:val="24"/>
        </w:rPr>
        <w:t xml:space="preserve">a zejména pak </w:t>
      </w:r>
      <w:r w:rsidRPr="00BE0D37">
        <w:rPr>
          <w:rFonts w:cs="TimesNewRomanPSMT"/>
          <w:sz w:val="24"/>
          <w:szCs w:val="24"/>
        </w:rPr>
        <w:t>vnitřní</w:t>
      </w:r>
      <w:r>
        <w:rPr>
          <w:rFonts w:cs="TimesNewRomanPSMT"/>
          <w:sz w:val="24"/>
          <w:szCs w:val="24"/>
        </w:rPr>
        <w:t>ch</w:t>
      </w:r>
      <w:r w:rsidRPr="00BE0D37">
        <w:rPr>
          <w:rFonts w:cs="TimesNewRomanPSMT"/>
          <w:sz w:val="24"/>
          <w:szCs w:val="24"/>
        </w:rPr>
        <w:t xml:space="preserve"> politický</w:t>
      </w:r>
      <w:r>
        <w:rPr>
          <w:rFonts w:cs="TimesNewRomanPSMT"/>
          <w:sz w:val="24"/>
          <w:szCs w:val="24"/>
        </w:rPr>
        <w:t>ch</w:t>
      </w:r>
      <w:r w:rsidRPr="00BE0D37">
        <w:rPr>
          <w:rFonts w:cs="TimesNewRomanPSMT"/>
          <w:sz w:val="24"/>
          <w:szCs w:val="24"/>
        </w:rPr>
        <w:t xml:space="preserve"> problém</w:t>
      </w:r>
      <w:r>
        <w:rPr>
          <w:rFonts w:cs="TimesNewRomanPSMT"/>
          <w:sz w:val="24"/>
          <w:szCs w:val="24"/>
        </w:rPr>
        <w:t>ů</w:t>
      </w:r>
      <w:r w:rsidRPr="00BE0D37">
        <w:rPr>
          <w:rFonts w:cs="TimesNewRomanPSMT"/>
          <w:sz w:val="24"/>
          <w:szCs w:val="24"/>
        </w:rPr>
        <w:t xml:space="preserve"> (občanské války, nestabilita politi</w:t>
      </w:r>
      <w:r w:rsidR="00372654">
        <w:rPr>
          <w:rFonts w:cs="TimesNewRomanPSMT"/>
          <w:sz w:val="24"/>
          <w:szCs w:val="24"/>
        </w:rPr>
        <w:t>ckých režimů či změny území pod </w:t>
      </w:r>
      <w:r w:rsidRPr="00BE0D37">
        <w:rPr>
          <w:rFonts w:cs="TimesNewRomanPSMT"/>
          <w:sz w:val="24"/>
          <w:szCs w:val="24"/>
        </w:rPr>
        <w:t xml:space="preserve">kontrolou vládnoucí garnitury). Na druhou stranu uznává, </w:t>
      </w:r>
      <w:r w:rsidRPr="000B1D16">
        <w:rPr>
          <w:rFonts w:cs="TimesNewRomanPSMT"/>
          <w:sz w:val="24"/>
          <w:szCs w:val="24"/>
        </w:rPr>
        <w:t>že v nestabilních politických podmínkách je globalizace spíše nástrojem zvyšování chu</w:t>
      </w:r>
      <w:r w:rsidR="005F1118">
        <w:rPr>
          <w:rFonts w:cs="TimesNewRomanPSMT"/>
          <w:sz w:val="24"/>
          <w:szCs w:val="24"/>
        </w:rPr>
        <w:t>doby u venkovského obyvatelstva</w:t>
      </w:r>
      <w:r w:rsidRPr="000B1D16">
        <w:rPr>
          <w:rFonts w:cs="TimesNewRomanPSMT"/>
          <w:sz w:val="24"/>
          <w:szCs w:val="24"/>
        </w:rPr>
        <w:t xml:space="preserve">, zatímco výhody plynoucí z tím generovaných investic se koncentrují ve městech. Následující </w:t>
      </w:r>
      <w:r>
        <w:rPr>
          <w:rFonts w:cs="TimesNewRomanPSMT"/>
          <w:sz w:val="24"/>
          <w:szCs w:val="24"/>
        </w:rPr>
        <w:t xml:space="preserve">sofistikovaný </w:t>
      </w:r>
      <w:r w:rsidRPr="000B1D16">
        <w:rPr>
          <w:rFonts w:cs="TimesNewRomanPSMT"/>
          <w:sz w:val="24"/>
          <w:szCs w:val="24"/>
        </w:rPr>
        <w:t xml:space="preserve">obrázek znázorňuje v horní části grafu zastoupení makroregionů na celkové populaci a v dolní části grafu pak odpovídající podíl příjmů </w:t>
      </w:r>
      <w:r>
        <w:rPr>
          <w:rFonts w:cs="TimesNewRomanPSMT"/>
          <w:sz w:val="24"/>
          <w:szCs w:val="24"/>
        </w:rPr>
        <w:t xml:space="preserve">příslušného </w:t>
      </w:r>
      <w:r w:rsidRPr="000B1D16">
        <w:rPr>
          <w:rFonts w:cs="TimesNewRomanPSMT"/>
          <w:sz w:val="24"/>
          <w:szCs w:val="24"/>
        </w:rPr>
        <w:t>obyvatelstva. Z</w:t>
      </w:r>
      <w:r>
        <w:rPr>
          <w:rFonts w:cs="TimesNewRomanPSMT"/>
          <w:sz w:val="24"/>
          <w:szCs w:val="24"/>
        </w:rPr>
        <w:t xml:space="preserve"> tohoto </w:t>
      </w:r>
      <w:r w:rsidRPr="000B1D16">
        <w:rPr>
          <w:rFonts w:cs="TimesNewRomanPSMT"/>
          <w:sz w:val="24"/>
          <w:szCs w:val="24"/>
        </w:rPr>
        <w:t>grafu je patrné, že většina příjmů připadá na nepříliš početnou skupinu obyvatel nejbohatších zemí.</w:t>
      </w:r>
    </w:p>
    <w:p w:rsidR="008146BD" w:rsidRPr="00E63699" w:rsidRDefault="008146BD" w:rsidP="008146BD">
      <w:pPr>
        <w:keepNext/>
        <w:suppressLineNumbers/>
        <w:spacing w:before="200"/>
        <w:ind w:firstLine="709"/>
        <w:jc w:val="both"/>
        <w:rPr>
          <w:rFonts w:cs="TimesNewRomanPSMT"/>
          <w:noProof/>
          <w:color w:val="0000FF"/>
          <w:sz w:val="24"/>
          <w:szCs w:val="24"/>
        </w:rPr>
      </w:pPr>
      <w:r w:rsidRPr="00E63699">
        <w:rPr>
          <w:rFonts w:cs="TimesNewRomanPSMT"/>
          <w:noProof/>
          <w:color w:val="0000FF"/>
          <w:sz w:val="24"/>
          <w:szCs w:val="24"/>
        </w:rPr>
        <w:lastRenderedPageBreak/>
        <w:t xml:space="preserve"> </w:t>
      </w:r>
      <w:r w:rsidRPr="00E63699">
        <w:rPr>
          <w:rFonts w:cs="TimesNewRomanPSMT"/>
          <w:noProof/>
          <w:color w:val="0000FF"/>
          <w:sz w:val="24"/>
          <w:szCs w:val="24"/>
          <w:lang w:val="en-GB" w:eastAsia="en-GB"/>
        </w:rPr>
        <w:drawing>
          <wp:inline distT="0" distB="0" distL="0" distR="0" wp14:anchorId="15D1D215" wp14:editId="2D753CE2">
            <wp:extent cx="5106670" cy="6139815"/>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l="33440" t="8934" r="19357" b="1523"/>
                    <a:stretch>
                      <a:fillRect/>
                    </a:stretch>
                  </pic:blipFill>
                  <pic:spPr bwMode="auto">
                    <a:xfrm>
                      <a:off x="0" y="0"/>
                      <a:ext cx="5106670" cy="6139815"/>
                    </a:xfrm>
                    <a:prstGeom prst="rect">
                      <a:avLst/>
                    </a:prstGeom>
                    <a:noFill/>
                    <a:ln>
                      <a:noFill/>
                    </a:ln>
                  </pic:spPr>
                </pic:pic>
              </a:graphicData>
            </a:graphic>
          </wp:inline>
        </w:drawing>
      </w:r>
    </w:p>
    <w:p w:rsidR="008146BD" w:rsidRPr="00D94FA1" w:rsidRDefault="006B61FE" w:rsidP="00721427">
      <w:pPr>
        <w:pStyle w:val="0G-Titulek"/>
        <w:rPr>
          <w:rFonts w:eastAsia="Batang"/>
        </w:rPr>
      </w:pPr>
      <w:bookmarkStart w:id="186" w:name="_Toc382326847"/>
      <w:r>
        <w:rPr>
          <w:rFonts w:eastAsia="Batang"/>
        </w:rPr>
        <w:t>Obrázek 43</w:t>
      </w:r>
      <w:r w:rsidR="008146BD" w:rsidRPr="008D0830">
        <w:rPr>
          <w:rFonts w:eastAsia="Batang"/>
        </w:rPr>
        <w:t xml:space="preserve">: Rozložení příjmů </w:t>
      </w:r>
      <w:r w:rsidR="008146BD" w:rsidRPr="00D94FA1">
        <w:rPr>
          <w:rFonts w:eastAsia="Batang"/>
        </w:rPr>
        <w:t>a obyvatelstva v makroregionech v roce 1999</w:t>
      </w:r>
      <w:bookmarkEnd w:id="186"/>
    </w:p>
    <w:p w:rsidR="008146BD" w:rsidRPr="005F1118" w:rsidRDefault="008146BD" w:rsidP="00721427">
      <w:pPr>
        <w:keepNext/>
        <w:suppressLineNumbers/>
        <w:spacing w:after="0" w:line="240" w:lineRule="auto"/>
        <w:ind w:left="709"/>
        <w:rPr>
          <w:rFonts w:ascii="Calibri" w:hAnsi="Calibri" w:cs="Calibri"/>
          <w:i/>
          <w:sz w:val="20"/>
          <w:szCs w:val="20"/>
        </w:rPr>
      </w:pPr>
      <w:r w:rsidRPr="005F1118">
        <w:rPr>
          <w:rFonts w:ascii="Calibri" w:hAnsi="Calibri" w:cs="Calibri"/>
          <w:i/>
          <w:sz w:val="20"/>
          <w:szCs w:val="20"/>
        </w:rPr>
        <w:t>Poznámka: AFR = Afrika; EAP = Východní Asie a Pacifik; ECE = Východní a střední Evropa; LAC = Latinská Amerika; SAS = Jižní Asie.</w:t>
      </w:r>
    </w:p>
    <w:p w:rsidR="005F1118" w:rsidRPr="00A33E45" w:rsidRDefault="005F1118" w:rsidP="00721427">
      <w:pPr>
        <w:keepNext/>
        <w:suppressLineNumbers/>
        <w:spacing w:after="0"/>
        <w:ind w:firstLine="709"/>
        <w:jc w:val="center"/>
        <w:rPr>
          <w:rFonts w:ascii="Calibri" w:hAnsi="Calibri" w:cs="Calibri"/>
          <w:i/>
        </w:rPr>
      </w:pPr>
      <w:r w:rsidRPr="00A33E45">
        <w:rPr>
          <w:rFonts w:ascii="Calibri" w:hAnsi="Calibri" w:cs="Calibri"/>
          <w:i/>
        </w:rPr>
        <w:t>Pramen: Dikhanov, Ward, 2003.</w:t>
      </w:r>
    </w:p>
    <w:p w:rsidR="005F1118" w:rsidRPr="00A33E45" w:rsidRDefault="005F1118" w:rsidP="008146BD">
      <w:pPr>
        <w:keepNext/>
        <w:suppressLineNumbers/>
        <w:spacing w:after="0"/>
        <w:ind w:left="709"/>
        <w:jc w:val="center"/>
        <w:rPr>
          <w:rFonts w:ascii="Calibri" w:hAnsi="Calibri" w:cs="Calibri"/>
          <w:i/>
        </w:rPr>
      </w:pPr>
    </w:p>
    <w:p w:rsidR="008146BD" w:rsidRPr="00370AC2" w:rsidRDefault="008146BD" w:rsidP="008146BD">
      <w:pPr>
        <w:keepNext/>
        <w:suppressLineNumbers/>
        <w:spacing w:before="200"/>
        <w:ind w:firstLine="709"/>
        <w:jc w:val="both"/>
        <w:rPr>
          <w:rFonts w:cs="TimesNewRomanPSMT"/>
          <w:sz w:val="24"/>
          <w:szCs w:val="24"/>
        </w:rPr>
      </w:pPr>
      <w:r w:rsidRPr="00370AC2">
        <w:rPr>
          <w:rFonts w:cs="TimesNewRomanPSMT"/>
          <w:sz w:val="24"/>
          <w:szCs w:val="24"/>
        </w:rPr>
        <w:t>Z grafu dále vyplývá, že značná část obyvatelstva nedosahuje ani poloviny příjmového mediánu, a dále že poměrně značné množství lidí se příjmov</w:t>
      </w:r>
      <w:r w:rsidR="00721427">
        <w:rPr>
          <w:rFonts w:cs="TimesNewRomanPSMT"/>
          <w:sz w:val="24"/>
          <w:szCs w:val="24"/>
        </w:rPr>
        <w:t>ě pohybuje pod hranicí 2 USD na </w:t>
      </w:r>
      <w:r w:rsidRPr="00370AC2">
        <w:rPr>
          <w:rFonts w:cs="TimesNewRomanPSMT"/>
          <w:sz w:val="24"/>
          <w:szCs w:val="24"/>
        </w:rPr>
        <w:t>den, což svědčí o obrovském rozsahu problému chudoby ve světě. Z tohoto důvodu je zvyšování nerovností mezi státy i mezi regiony uvnitř jednotlivých států považováno za jeden z významných problémů globální ekonomiky, který může</w:t>
      </w:r>
      <w:r w:rsidR="00A354CD">
        <w:rPr>
          <w:rFonts w:cs="TimesNewRomanPSMT"/>
          <w:sz w:val="24"/>
          <w:szCs w:val="24"/>
        </w:rPr>
        <w:t xml:space="preserve"> mít zpětné negativní dopady na </w:t>
      </w:r>
      <w:r w:rsidRPr="00370AC2">
        <w:rPr>
          <w:rFonts w:cs="TimesNewRomanPSMT"/>
          <w:sz w:val="24"/>
          <w:szCs w:val="24"/>
        </w:rPr>
        <w:t xml:space="preserve">ekonomický růst. </w:t>
      </w:r>
    </w:p>
    <w:p w:rsidR="008146BD" w:rsidRPr="00E63699" w:rsidRDefault="008146BD" w:rsidP="00A354CD">
      <w:pPr>
        <w:keepNext/>
        <w:suppressLineNumbers/>
        <w:spacing w:before="200"/>
        <w:ind w:firstLine="709"/>
        <w:jc w:val="center"/>
      </w:pPr>
      <w:r w:rsidRPr="00E63699">
        <w:rPr>
          <w:noProof/>
          <w:lang w:val="en-GB" w:eastAsia="en-GB"/>
        </w:rPr>
        <w:lastRenderedPageBreak/>
        <w:drawing>
          <wp:inline distT="0" distB="0" distL="0" distR="0" wp14:anchorId="05AD67FF" wp14:editId="687B5676">
            <wp:extent cx="5343525" cy="4732890"/>
            <wp:effectExtent l="0" t="0" r="0" b="0"/>
            <wp:docPr id="56" name="Obrázek 56"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a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47298" cy="4736231"/>
                    </a:xfrm>
                    <a:prstGeom prst="rect">
                      <a:avLst/>
                    </a:prstGeom>
                    <a:noFill/>
                    <a:ln>
                      <a:noFill/>
                    </a:ln>
                  </pic:spPr>
                </pic:pic>
              </a:graphicData>
            </a:graphic>
          </wp:inline>
        </w:drawing>
      </w:r>
    </w:p>
    <w:p w:rsidR="008146BD" w:rsidRPr="00E63699" w:rsidRDefault="006B61FE" w:rsidP="00A354CD">
      <w:pPr>
        <w:pStyle w:val="0G-Titulek"/>
        <w:ind w:firstLine="0"/>
        <w:rPr>
          <w:rFonts w:eastAsia="Batang"/>
        </w:rPr>
      </w:pPr>
      <w:bookmarkStart w:id="187" w:name="_Toc382326848"/>
      <w:r>
        <w:rPr>
          <w:rFonts w:eastAsia="Batang"/>
        </w:rPr>
        <w:t>Obrázek 44</w:t>
      </w:r>
      <w:r w:rsidR="008146BD" w:rsidRPr="008D0830">
        <w:rPr>
          <w:rFonts w:eastAsia="Batang"/>
        </w:rPr>
        <w:t xml:space="preserve">: Dopady </w:t>
      </w:r>
      <w:r w:rsidR="008146BD" w:rsidRPr="00E63699">
        <w:rPr>
          <w:rFonts w:eastAsia="Batang"/>
        </w:rPr>
        <w:t>chudoby na ekonomický růst</w:t>
      </w:r>
      <w:bookmarkEnd w:id="187"/>
    </w:p>
    <w:p w:rsidR="008146BD" w:rsidRPr="00A33E45" w:rsidRDefault="008146BD" w:rsidP="00A354CD">
      <w:pPr>
        <w:keepNext/>
        <w:suppressLineNumbers/>
        <w:jc w:val="center"/>
        <w:rPr>
          <w:rFonts w:ascii="Calibri" w:hAnsi="Calibri" w:cs="Calibri"/>
          <w:i/>
        </w:rPr>
      </w:pPr>
      <w:r w:rsidRPr="00A33E45">
        <w:rPr>
          <w:rFonts w:ascii="Calibri" w:hAnsi="Calibri" w:cs="Calibri"/>
          <w:i/>
        </w:rPr>
        <w:t>Pramen: Nissanke, Thorbecke, 2006, upraveno autorem.</w:t>
      </w:r>
    </w:p>
    <w:p w:rsidR="008146BD" w:rsidRPr="00370AC2" w:rsidRDefault="008146BD" w:rsidP="008146BD">
      <w:pPr>
        <w:keepNext/>
        <w:suppressLineNumbers/>
        <w:spacing w:before="200"/>
        <w:ind w:firstLine="709"/>
        <w:jc w:val="both"/>
        <w:rPr>
          <w:rFonts w:cs="TimesNewRomanPSMT"/>
          <w:sz w:val="24"/>
          <w:szCs w:val="24"/>
        </w:rPr>
      </w:pPr>
      <w:r w:rsidRPr="008360E0">
        <w:rPr>
          <w:noProof/>
          <w:lang w:val="en-GB" w:eastAsia="en-GB"/>
        </w:rPr>
        <w:drawing>
          <wp:anchor distT="0" distB="0" distL="114300" distR="114300" simplePos="0" relativeHeight="251758592" behindDoc="0" locked="0" layoutInCell="1" allowOverlap="1" wp14:anchorId="5EB0C8E1" wp14:editId="3F173BAD">
            <wp:simplePos x="0" y="0"/>
            <wp:positionH relativeFrom="column">
              <wp:posOffset>2448560</wp:posOffset>
            </wp:positionH>
            <wp:positionV relativeFrom="paragraph">
              <wp:posOffset>753745</wp:posOffset>
            </wp:positionV>
            <wp:extent cx="3347720" cy="2138045"/>
            <wp:effectExtent l="0" t="0" r="5080" b="0"/>
            <wp:wrapSquare wrapText="bothSides"/>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l="27003" t="51556" r="26566" b="8839"/>
                    <a:stretch>
                      <a:fillRect/>
                    </a:stretch>
                  </pic:blipFill>
                  <pic:spPr bwMode="auto">
                    <a:xfrm>
                      <a:off x="0" y="0"/>
                      <a:ext cx="3347720" cy="2138045"/>
                    </a:xfrm>
                    <a:prstGeom prst="rect">
                      <a:avLst/>
                    </a:prstGeom>
                    <a:noFill/>
                  </pic:spPr>
                </pic:pic>
              </a:graphicData>
            </a:graphic>
            <wp14:sizeRelH relativeFrom="margin">
              <wp14:pctWidth>0</wp14:pctWidth>
            </wp14:sizeRelH>
            <wp14:sizeRelV relativeFrom="margin">
              <wp14:pctHeight>0</wp14:pctHeight>
            </wp14:sizeRelV>
          </wp:anchor>
        </w:drawing>
      </w:r>
      <w:r w:rsidRPr="008360E0">
        <w:rPr>
          <w:rFonts w:cs="TimesNewRomanPSMT"/>
          <w:sz w:val="24"/>
          <w:szCs w:val="24"/>
        </w:rPr>
        <w:t xml:space="preserve">S ekonomickým růstem v globálním měřítku samozřejmě souvisí i problematika měnícího se životního prostředí. Mezi nejzávažnější globální problémy tohoto charakteru lze zařadit změnu klimatu (dle </w:t>
      </w:r>
      <w:r w:rsidRPr="00370AC2">
        <w:rPr>
          <w:rFonts w:cs="TimesNewRomanPSMT"/>
          <w:sz w:val="24"/>
          <w:szCs w:val="24"/>
        </w:rPr>
        <w:t xml:space="preserve">páté hodnotící zprávy IPCC způsobené převážně člověkem), zábor půdy, odlesňování, desertifikace a znečišťování ovzduší, vody a půdy. V důsledku klimatických změn dochází ke globálnímu oteplování, které se během posledního století zrychluje a začíná tak nabývat významných hodnot. Přiložený obrázek znázorňuje prostorové změny v teplotách, ze kterých je možné odvodit potenciálně nejohroženější oblasti. </w:t>
      </w:r>
    </w:p>
    <w:p w:rsidR="008146BD" w:rsidRDefault="008146BD" w:rsidP="008146BD">
      <w:pPr>
        <w:keepNext/>
        <w:suppressLineNumbers/>
        <w:spacing w:after="0"/>
        <w:ind w:left="3600"/>
        <w:jc w:val="center"/>
        <w:rPr>
          <w:rFonts w:ascii="Calibri" w:eastAsia="Batang" w:hAnsi="Calibri" w:cs="Calibri"/>
          <w:b/>
          <w:bCs/>
          <w:kern w:val="32"/>
          <w:sz w:val="24"/>
          <w:szCs w:val="24"/>
          <w:lang w:eastAsia="ar-SA"/>
        </w:rPr>
      </w:pPr>
    </w:p>
    <w:p w:rsidR="008146BD" w:rsidRPr="008360E0" w:rsidRDefault="006B61FE" w:rsidP="00A354CD">
      <w:pPr>
        <w:pStyle w:val="0G-Titulek"/>
        <w:jc w:val="right"/>
        <w:rPr>
          <w:rFonts w:cs="TimesNewRomanPSMT"/>
        </w:rPr>
      </w:pPr>
      <w:bookmarkStart w:id="188" w:name="_Toc382326849"/>
      <w:r>
        <w:rPr>
          <w:rFonts w:eastAsia="Batang"/>
        </w:rPr>
        <w:t>Obrázek 45</w:t>
      </w:r>
      <w:r w:rsidR="004179AF">
        <w:rPr>
          <w:rFonts w:eastAsia="Batang"/>
        </w:rPr>
        <w:t>:</w:t>
      </w:r>
      <w:r w:rsidR="008146BD" w:rsidRPr="008D0830">
        <w:rPr>
          <w:rFonts w:eastAsia="Batang"/>
        </w:rPr>
        <w:t xml:space="preserve"> Změny </w:t>
      </w:r>
      <w:r w:rsidR="008146BD" w:rsidRPr="008360E0">
        <w:rPr>
          <w:rFonts w:eastAsia="Batang"/>
        </w:rPr>
        <w:t>teploty v období 1901 až 2012</w:t>
      </w:r>
      <w:bookmarkEnd w:id="188"/>
    </w:p>
    <w:p w:rsidR="00B94599" w:rsidRPr="00A354CD" w:rsidRDefault="008146BD" w:rsidP="00A354CD">
      <w:pPr>
        <w:keepNext/>
        <w:suppressLineNumbers/>
        <w:spacing w:after="0"/>
        <w:ind w:left="2880" w:firstLine="720"/>
        <w:jc w:val="center"/>
        <w:rPr>
          <w:rFonts w:ascii="Calibri" w:hAnsi="Calibri" w:cs="Calibri"/>
          <w:i/>
        </w:rPr>
        <w:sectPr w:rsidR="00B94599" w:rsidRPr="00A354CD" w:rsidSect="00CA4356">
          <w:footerReference w:type="default" r:id="rId107"/>
          <w:footerReference w:type="first" r:id="rId108"/>
          <w:pgSz w:w="11906" w:h="16838"/>
          <w:pgMar w:top="1417" w:right="1417" w:bottom="1417" w:left="1417" w:header="708" w:footer="708" w:gutter="0"/>
          <w:pgNumType w:start="0"/>
          <w:cols w:space="708"/>
          <w:titlePg/>
          <w:docGrid w:linePitch="360"/>
        </w:sectPr>
      </w:pPr>
      <w:r w:rsidRPr="00E50911">
        <w:rPr>
          <w:rFonts w:ascii="Calibri" w:hAnsi="Calibri" w:cs="Calibri"/>
          <w:i/>
        </w:rPr>
        <w:t>Pramen: IPCC, 2013.</w:t>
      </w:r>
      <w:r w:rsidR="008C58B3">
        <w:br w:type="page"/>
      </w:r>
    </w:p>
    <w:tbl>
      <w:tblPr>
        <w:tblpPr w:leftFromText="141" w:rightFromText="141" w:tblpY="337"/>
        <w:tblW w:w="14189" w:type="dxa"/>
        <w:tblCellMar>
          <w:left w:w="70" w:type="dxa"/>
          <w:right w:w="70" w:type="dxa"/>
        </w:tblCellMar>
        <w:tblLook w:val="04A0" w:firstRow="1" w:lastRow="0" w:firstColumn="1" w:lastColumn="0" w:noHBand="0" w:noVBand="1"/>
      </w:tblPr>
      <w:tblGrid>
        <w:gridCol w:w="1593"/>
        <w:gridCol w:w="1290"/>
        <w:gridCol w:w="860"/>
        <w:gridCol w:w="859"/>
        <w:gridCol w:w="863"/>
        <w:gridCol w:w="859"/>
        <w:gridCol w:w="943"/>
        <w:gridCol w:w="924"/>
        <w:gridCol w:w="861"/>
        <w:gridCol w:w="859"/>
        <w:gridCol w:w="860"/>
        <w:gridCol w:w="859"/>
        <w:gridCol w:w="867"/>
        <w:gridCol w:w="815"/>
        <w:gridCol w:w="877"/>
      </w:tblGrid>
      <w:tr w:rsidR="00B94599" w:rsidRPr="0057626C" w:rsidTr="00B94599">
        <w:trPr>
          <w:trHeight w:hRule="exact" w:val="255"/>
        </w:trPr>
        <w:tc>
          <w:tcPr>
            <w:tcW w:w="1593" w:type="dxa"/>
            <w:tcBorders>
              <w:top w:val="single" w:sz="1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r w:rsidRPr="0057626C">
              <w:lastRenderedPageBreak/>
              <w:t> </w:t>
            </w:r>
          </w:p>
        </w:tc>
        <w:tc>
          <w:tcPr>
            <w:tcW w:w="3872" w:type="dxa"/>
            <w:gridSpan w:val="4"/>
            <w:tcBorders>
              <w:top w:val="single" w:sz="18" w:space="0" w:color="auto"/>
              <w:left w:val="single" w:sz="12" w:space="0" w:color="auto"/>
              <w:bottom w:val="single" w:sz="8" w:space="0" w:color="auto"/>
              <w:right w:val="single" w:sz="12"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Demografie</w:t>
            </w:r>
          </w:p>
        </w:tc>
        <w:tc>
          <w:tcPr>
            <w:tcW w:w="3587" w:type="dxa"/>
            <w:gridSpan w:val="4"/>
            <w:tcBorders>
              <w:top w:val="single" w:sz="18" w:space="0" w:color="auto"/>
              <w:left w:val="single" w:sz="12" w:space="0" w:color="auto"/>
              <w:bottom w:val="single" w:sz="8" w:space="0" w:color="auto"/>
              <w:right w:val="single" w:sz="12"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Ekonomika</w:t>
            </w:r>
          </w:p>
        </w:tc>
        <w:tc>
          <w:tcPr>
            <w:tcW w:w="3445" w:type="dxa"/>
            <w:gridSpan w:val="4"/>
            <w:tcBorders>
              <w:top w:val="single" w:sz="18" w:space="0" w:color="auto"/>
              <w:left w:val="single" w:sz="12" w:space="0" w:color="auto"/>
              <w:bottom w:val="single" w:sz="8" w:space="0" w:color="auto"/>
              <w:right w:val="single" w:sz="12"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Sociální oblast</w:t>
            </w:r>
          </w:p>
        </w:tc>
        <w:tc>
          <w:tcPr>
            <w:tcW w:w="1692" w:type="dxa"/>
            <w:gridSpan w:val="2"/>
            <w:tcBorders>
              <w:top w:val="single" w:sz="18" w:space="0" w:color="auto"/>
              <w:left w:val="single" w:sz="12" w:space="0" w:color="auto"/>
              <w:bottom w:val="single" w:sz="8" w:space="0" w:color="auto"/>
              <w:right w:val="single" w:sz="18"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Životní prostředí</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 </w:t>
            </w:r>
          </w:p>
        </w:tc>
        <w:tc>
          <w:tcPr>
            <w:tcW w:w="1290" w:type="dxa"/>
            <w:tcBorders>
              <w:top w:val="single" w:sz="8" w:space="0" w:color="auto"/>
              <w:left w:val="single" w:sz="12" w:space="0" w:color="auto"/>
              <w:bottom w:val="single" w:sz="8" w:space="0" w:color="auto"/>
              <w:right w:val="single" w:sz="8"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i/>
                <w:color w:val="000000"/>
                <w:sz w:val="20"/>
                <w:szCs w:val="20"/>
              </w:rPr>
            </w:pPr>
            <w:r w:rsidRPr="0057626C">
              <w:rPr>
                <w:rFonts w:asciiTheme="minorHAnsi" w:hAnsiTheme="minorHAnsi" w:cstheme="minorHAnsi"/>
                <w:i/>
                <w:color w:val="000000"/>
                <w:sz w:val="20"/>
                <w:szCs w:val="20"/>
              </w:rPr>
              <w:t>I</w:t>
            </w:r>
          </w:p>
        </w:tc>
        <w:tc>
          <w:tcPr>
            <w:tcW w:w="8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i/>
                <w:color w:val="000000"/>
                <w:sz w:val="20"/>
                <w:szCs w:val="20"/>
              </w:rPr>
            </w:pPr>
            <w:r w:rsidRPr="0057626C">
              <w:rPr>
                <w:rFonts w:asciiTheme="minorHAnsi" w:hAnsiTheme="minorHAnsi" w:cstheme="minorHAnsi"/>
                <w:i/>
                <w:color w:val="000000"/>
                <w:sz w:val="20"/>
                <w:szCs w:val="20"/>
              </w:rPr>
              <w:t>II</w:t>
            </w:r>
          </w:p>
        </w:tc>
        <w:tc>
          <w:tcPr>
            <w:tcW w:w="859"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i/>
                <w:color w:val="000000"/>
                <w:sz w:val="20"/>
                <w:szCs w:val="20"/>
              </w:rPr>
            </w:pPr>
            <w:r w:rsidRPr="0057626C">
              <w:rPr>
                <w:rFonts w:asciiTheme="minorHAnsi" w:hAnsiTheme="minorHAnsi" w:cstheme="minorHAnsi"/>
                <w:i/>
                <w:color w:val="000000"/>
                <w:sz w:val="20"/>
                <w:szCs w:val="20"/>
              </w:rPr>
              <w:t>III</w:t>
            </w:r>
          </w:p>
        </w:tc>
        <w:tc>
          <w:tcPr>
            <w:tcW w:w="863" w:type="dxa"/>
            <w:tcBorders>
              <w:top w:val="single" w:sz="8" w:space="0" w:color="auto"/>
              <w:left w:val="single" w:sz="8" w:space="0" w:color="auto"/>
              <w:bottom w:val="single" w:sz="8" w:space="0" w:color="auto"/>
              <w:right w:val="single" w:sz="12"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i/>
                <w:color w:val="000000"/>
                <w:sz w:val="20"/>
                <w:szCs w:val="20"/>
              </w:rPr>
            </w:pPr>
            <w:r w:rsidRPr="0057626C">
              <w:rPr>
                <w:rFonts w:asciiTheme="minorHAnsi" w:hAnsiTheme="minorHAnsi" w:cstheme="minorHAnsi"/>
                <w:i/>
                <w:color w:val="000000"/>
                <w:sz w:val="20"/>
                <w:szCs w:val="20"/>
              </w:rPr>
              <w:t>IV</w:t>
            </w:r>
          </w:p>
        </w:tc>
        <w:tc>
          <w:tcPr>
            <w:tcW w:w="859" w:type="dxa"/>
            <w:tcBorders>
              <w:top w:val="single" w:sz="8" w:space="0" w:color="auto"/>
              <w:left w:val="single" w:sz="12" w:space="0" w:color="auto"/>
              <w:bottom w:val="single" w:sz="8" w:space="0" w:color="auto"/>
              <w:right w:val="single" w:sz="8"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i/>
                <w:color w:val="000000"/>
                <w:sz w:val="20"/>
                <w:szCs w:val="20"/>
              </w:rPr>
            </w:pPr>
            <w:r w:rsidRPr="0057626C">
              <w:rPr>
                <w:rFonts w:asciiTheme="minorHAnsi" w:hAnsiTheme="minorHAnsi" w:cstheme="minorHAnsi"/>
                <w:i/>
                <w:color w:val="000000"/>
                <w:sz w:val="20"/>
                <w:szCs w:val="20"/>
              </w:rPr>
              <w:t>V</w:t>
            </w:r>
          </w:p>
        </w:tc>
        <w:tc>
          <w:tcPr>
            <w:tcW w:w="943"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i/>
                <w:color w:val="000000"/>
                <w:sz w:val="20"/>
                <w:szCs w:val="20"/>
              </w:rPr>
            </w:pPr>
            <w:r w:rsidRPr="0057626C">
              <w:rPr>
                <w:rFonts w:asciiTheme="minorHAnsi" w:hAnsiTheme="minorHAnsi" w:cstheme="minorHAnsi"/>
                <w:i/>
                <w:color w:val="000000"/>
                <w:sz w:val="20"/>
                <w:szCs w:val="20"/>
              </w:rPr>
              <w:t>VI</w:t>
            </w:r>
          </w:p>
        </w:tc>
        <w:tc>
          <w:tcPr>
            <w:tcW w:w="924"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i/>
                <w:color w:val="000000"/>
                <w:sz w:val="20"/>
                <w:szCs w:val="20"/>
              </w:rPr>
            </w:pPr>
            <w:r w:rsidRPr="0057626C">
              <w:rPr>
                <w:rFonts w:asciiTheme="minorHAnsi" w:hAnsiTheme="minorHAnsi" w:cstheme="minorHAnsi"/>
                <w:i/>
                <w:color w:val="000000"/>
                <w:sz w:val="20"/>
                <w:szCs w:val="20"/>
              </w:rPr>
              <w:t>VII</w:t>
            </w:r>
          </w:p>
        </w:tc>
        <w:tc>
          <w:tcPr>
            <w:tcW w:w="861" w:type="dxa"/>
            <w:tcBorders>
              <w:top w:val="single" w:sz="8" w:space="0" w:color="auto"/>
              <w:left w:val="single" w:sz="8" w:space="0" w:color="auto"/>
              <w:bottom w:val="single" w:sz="8" w:space="0" w:color="auto"/>
              <w:right w:val="single" w:sz="12"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i/>
                <w:color w:val="000000"/>
                <w:sz w:val="20"/>
                <w:szCs w:val="20"/>
              </w:rPr>
            </w:pPr>
            <w:r w:rsidRPr="0057626C">
              <w:rPr>
                <w:rFonts w:asciiTheme="minorHAnsi" w:hAnsiTheme="minorHAnsi" w:cstheme="minorHAnsi"/>
                <w:i/>
                <w:color w:val="000000"/>
                <w:sz w:val="20"/>
                <w:szCs w:val="20"/>
              </w:rPr>
              <w:t>VIII</w:t>
            </w:r>
          </w:p>
        </w:tc>
        <w:tc>
          <w:tcPr>
            <w:tcW w:w="859" w:type="dxa"/>
            <w:tcBorders>
              <w:top w:val="single" w:sz="8" w:space="0" w:color="auto"/>
              <w:left w:val="single" w:sz="12" w:space="0" w:color="auto"/>
              <w:bottom w:val="single" w:sz="8" w:space="0" w:color="auto"/>
              <w:right w:val="single" w:sz="8"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i/>
                <w:sz w:val="20"/>
                <w:szCs w:val="20"/>
              </w:rPr>
            </w:pPr>
            <w:r w:rsidRPr="0057626C">
              <w:rPr>
                <w:rFonts w:asciiTheme="minorHAnsi" w:hAnsiTheme="minorHAnsi" w:cstheme="minorHAnsi"/>
                <w:i/>
                <w:sz w:val="20"/>
                <w:szCs w:val="20"/>
              </w:rPr>
              <w:t>IX</w:t>
            </w:r>
          </w:p>
        </w:tc>
        <w:tc>
          <w:tcPr>
            <w:tcW w:w="8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i/>
                <w:sz w:val="20"/>
                <w:szCs w:val="20"/>
              </w:rPr>
            </w:pPr>
            <w:r w:rsidRPr="0057626C">
              <w:rPr>
                <w:rFonts w:asciiTheme="minorHAnsi" w:hAnsiTheme="minorHAnsi" w:cstheme="minorHAnsi"/>
                <w:i/>
                <w:sz w:val="20"/>
                <w:szCs w:val="20"/>
              </w:rPr>
              <w:t>X</w:t>
            </w:r>
          </w:p>
        </w:tc>
        <w:tc>
          <w:tcPr>
            <w:tcW w:w="859"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i/>
                <w:sz w:val="20"/>
                <w:szCs w:val="20"/>
              </w:rPr>
            </w:pPr>
            <w:r w:rsidRPr="0057626C">
              <w:rPr>
                <w:rFonts w:asciiTheme="minorHAnsi" w:hAnsiTheme="minorHAnsi" w:cstheme="minorHAnsi"/>
                <w:i/>
                <w:sz w:val="20"/>
                <w:szCs w:val="20"/>
              </w:rPr>
              <w:t>XI</w:t>
            </w:r>
          </w:p>
        </w:tc>
        <w:tc>
          <w:tcPr>
            <w:tcW w:w="867" w:type="dxa"/>
            <w:tcBorders>
              <w:top w:val="single" w:sz="8" w:space="0" w:color="auto"/>
              <w:left w:val="single" w:sz="8" w:space="0" w:color="auto"/>
              <w:bottom w:val="single" w:sz="8" w:space="0" w:color="auto"/>
              <w:right w:val="single" w:sz="12"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i/>
                <w:sz w:val="20"/>
                <w:szCs w:val="20"/>
              </w:rPr>
            </w:pPr>
            <w:r w:rsidRPr="0057626C">
              <w:rPr>
                <w:rFonts w:asciiTheme="minorHAnsi" w:hAnsiTheme="minorHAnsi" w:cstheme="minorHAnsi"/>
                <w:i/>
                <w:sz w:val="20"/>
                <w:szCs w:val="20"/>
              </w:rPr>
              <w:t>XII</w:t>
            </w:r>
          </w:p>
        </w:tc>
        <w:tc>
          <w:tcPr>
            <w:tcW w:w="815" w:type="dxa"/>
            <w:tcBorders>
              <w:top w:val="single" w:sz="8" w:space="0" w:color="auto"/>
              <w:left w:val="single" w:sz="12" w:space="0" w:color="auto"/>
              <w:bottom w:val="single" w:sz="8" w:space="0" w:color="auto"/>
              <w:right w:val="single" w:sz="8"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i/>
                <w:color w:val="000000"/>
                <w:sz w:val="20"/>
                <w:szCs w:val="20"/>
              </w:rPr>
            </w:pPr>
            <w:r w:rsidRPr="0057626C">
              <w:rPr>
                <w:rFonts w:asciiTheme="minorHAnsi" w:hAnsiTheme="minorHAnsi" w:cstheme="minorHAnsi"/>
                <w:i/>
                <w:color w:val="000000"/>
                <w:sz w:val="20"/>
                <w:szCs w:val="20"/>
              </w:rPr>
              <w:t>XIII</w:t>
            </w:r>
          </w:p>
        </w:tc>
        <w:tc>
          <w:tcPr>
            <w:tcW w:w="877" w:type="dxa"/>
            <w:tcBorders>
              <w:top w:val="single" w:sz="8" w:space="0" w:color="auto"/>
              <w:left w:val="single" w:sz="8" w:space="0" w:color="auto"/>
              <w:bottom w:val="single" w:sz="8" w:space="0" w:color="auto"/>
              <w:right w:val="single" w:sz="18" w:space="0" w:color="auto"/>
            </w:tcBorders>
            <w:shd w:val="clear" w:color="auto" w:fill="FFFFFF" w:themeFill="background1"/>
            <w:noWrap/>
            <w:vAlign w:val="bottom"/>
            <w:hideMark/>
          </w:tcPr>
          <w:p w:rsidR="00B94599" w:rsidRPr="0057626C" w:rsidRDefault="00B94599" w:rsidP="00144E4A">
            <w:pPr>
              <w:jc w:val="center"/>
              <w:rPr>
                <w:rFonts w:asciiTheme="minorHAnsi" w:hAnsiTheme="minorHAnsi" w:cstheme="minorHAnsi"/>
                <w:i/>
                <w:sz w:val="20"/>
                <w:szCs w:val="20"/>
              </w:rPr>
            </w:pPr>
            <w:r w:rsidRPr="0057626C">
              <w:rPr>
                <w:rFonts w:asciiTheme="minorHAnsi" w:hAnsiTheme="minorHAnsi" w:cstheme="minorHAnsi"/>
                <w:i/>
                <w:sz w:val="20"/>
                <w:szCs w:val="20"/>
              </w:rPr>
              <w:t>XIV</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F2F2F2" w:themeFill="background1" w:themeFillShade="F2"/>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EU 27</w:t>
            </w:r>
          </w:p>
        </w:tc>
        <w:tc>
          <w:tcPr>
            <w:tcW w:w="1290" w:type="dxa"/>
            <w:tcBorders>
              <w:top w:val="single" w:sz="8" w:space="0" w:color="auto"/>
              <w:left w:val="single" w:sz="12"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b/>
                <w:bCs/>
                <w:sz w:val="20"/>
                <w:szCs w:val="20"/>
              </w:rPr>
            </w:pPr>
            <w:r w:rsidRPr="0057626C">
              <w:rPr>
                <w:rFonts w:asciiTheme="minorHAnsi" w:hAnsiTheme="minorHAnsi" w:cstheme="minorHAnsi"/>
                <w:b/>
                <w:bCs/>
                <w:sz w:val="20"/>
                <w:szCs w:val="20"/>
              </w:rPr>
              <w:t>502 422 614</w:t>
            </w:r>
          </w:p>
        </w:tc>
        <w:tc>
          <w:tcPr>
            <w:tcW w:w="86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0,8</w:t>
            </w:r>
          </w:p>
        </w:tc>
        <w:tc>
          <w:tcPr>
            <w:tcW w:w="859"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3,1</w:t>
            </w:r>
          </w:p>
        </w:tc>
        <w:tc>
          <w:tcPr>
            <w:tcW w:w="863" w:type="dxa"/>
            <w:tcBorders>
              <w:top w:val="single" w:sz="8" w:space="0" w:color="auto"/>
              <w:left w:val="single" w:sz="8" w:space="0" w:color="auto"/>
              <w:bottom w:val="single" w:sz="8" w:space="0" w:color="auto"/>
              <w:right w:val="single" w:sz="12"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114,1</w:t>
            </w:r>
          </w:p>
        </w:tc>
        <w:tc>
          <w:tcPr>
            <w:tcW w:w="859" w:type="dxa"/>
            <w:tcBorders>
              <w:top w:val="single" w:sz="8" w:space="0" w:color="auto"/>
              <w:left w:val="single" w:sz="12"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25 600</w:t>
            </w:r>
          </w:p>
        </w:tc>
        <w:tc>
          <w:tcPr>
            <w:tcW w:w="94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122,8</w:t>
            </w:r>
          </w:p>
        </w:tc>
        <w:tc>
          <w:tcPr>
            <w:tcW w:w="92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103,4</w:t>
            </w:r>
          </w:p>
        </w:tc>
        <w:tc>
          <w:tcPr>
            <w:tcW w:w="861" w:type="dxa"/>
            <w:tcBorders>
              <w:top w:val="single" w:sz="8" w:space="0" w:color="auto"/>
              <w:left w:val="single" w:sz="8" w:space="0" w:color="auto"/>
              <w:bottom w:val="single" w:sz="8" w:space="0" w:color="auto"/>
              <w:right w:val="single" w:sz="12"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2,0</w:t>
            </w:r>
          </w:p>
        </w:tc>
        <w:tc>
          <w:tcPr>
            <w:tcW w:w="859" w:type="dxa"/>
            <w:tcBorders>
              <w:top w:val="single" w:sz="8" w:space="0" w:color="auto"/>
              <w:left w:val="single" w:sz="12"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8,2</w:t>
            </w:r>
          </w:p>
        </w:tc>
        <w:tc>
          <w:tcPr>
            <w:tcW w:w="86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8,8</w:t>
            </w:r>
          </w:p>
        </w:tc>
        <w:tc>
          <w:tcPr>
            <w:tcW w:w="859"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76,2</w:t>
            </w:r>
          </w:p>
        </w:tc>
        <w:tc>
          <w:tcPr>
            <w:tcW w:w="867" w:type="dxa"/>
            <w:tcBorders>
              <w:top w:val="single" w:sz="8" w:space="0" w:color="auto"/>
              <w:left w:val="single" w:sz="8" w:space="0" w:color="auto"/>
              <w:bottom w:val="single" w:sz="8" w:space="0" w:color="auto"/>
              <w:right w:val="single" w:sz="12"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27,7</w:t>
            </w:r>
          </w:p>
        </w:tc>
        <w:tc>
          <w:tcPr>
            <w:tcW w:w="815" w:type="dxa"/>
            <w:tcBorders>
              <w:top w:val="single" w:sz="8" w:space="0" w:color="auto"/>
              <w:left w:val="single" w:sz="12"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b/>
                <w:bCs/>
                <w:color w:val="000000"/>
                <w:sz w:val="20"/>
                <w:szCs w:val="20"/>
              </w:rPr>
            </w:pPr>
            <w:r w:rsidRPr="0057626C">
              <w:rPr>
                <w:rFonts w:asciiTheme="minorHAnsi" w:hAnsiTheme="minorHAnsi" w:cstheme="minorHAnsi"/>
                <w:b/>
                <w:bCs/>
                <w:color w:val="000000"/>
                <w:sz w:val="20"/>
                <w:szCs w:val="20"/>
              </w:rPr>
              <w:t>17,5</w:t>
            </w:r>
          </w:p>
        </w:tc>
        <w:tc>
          <w:tcPr>
            <w:tcW w:w="877" w:type="dxa"/>
            <w:tcBorders>
              <w:top w:val="single" w:sz="8" w:space="0" w:color="auto"/>
              <w:left w:val="single" w:sz="8" w:space="0" w:color="auto"/>
              <w:bottom w:val="single" w:sz="8" w:space="0" w:color="auto"/>
              <w:right w:val="single" w:sz="1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41,2</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Belgie</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11 094 850</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1,7</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5,1</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101,8</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30 500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121,6</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108,6</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2,0</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7,6</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7,4</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72,5</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35,3</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12,7</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23,1</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Bulharsko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7 327 224</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-5,0</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-0,6</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140,3</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12 100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167,5</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112,0</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0,6</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10,1</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9,0</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71,6</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24,0</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33,9</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35,4</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F2F2F2" w:themeFill="background1" w:themeFillShade="F2"/>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Česká republika</w:t>
            </w:r>
          </w:p>
        </w:tc>
        <w:tc>
          <w:tcPr>
            <w:tcW w:w="1290" w:type="dxa"/>
            <w:tcBorders>
              <w:top w:val="single" w:sz="8" w:space="0" w:color="auto"/>
              <w:left w:val="single" w:sz="12"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10 505 445</w:t>
            </w:r>
          </w:p>
        </w:tc>
        <w:tc>
          <w:tcPr>
            <w:tcW w:w="86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0,0</w:t>
            </w:r>
          </w:p>
        </w:tc>
        <w:tc>
          <w:tcPr>
            <w:tcW w:w="859"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3,3</w:t>
            </w:r>
          </w:p>
        </w:tc>
        <w:tc>
          <w:tcPr>
            <w:tcW w:w="863" w:type="dxa"/>
            <w:tcBorders>
              <w:top w:val="single" w:sz="8" w:space="0" w:color="auto"/>
              <w:left w:val="single" w:sz="8" w:space="0" w:color="auto"/>
              <w:bottom w:val="single" w:sz="8" w:space="0" w:color="auto"/>
              <w:right w:val="single" w:sz="12"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110,2</w:t>
            </w:r>
          </w:p>
        </w:tc>
        <w:tc>
          <w:tcPr>
            <w:tcW w:w="859" w:type="dxa"/>
            <w:tcBorders>
              <w:top w:val="single" w:sz="8" w:space="0" w:color="auto"/>
              <w:left w:val="single" w:sz="12"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20 200</w:t>
            </w:r>
          </w:p>
        </w:tc>
        <w:tc>
          <w:tcPr>
            <w:tcW w:w="94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156,3</w:t>
            </w:r>
          </w:p>
        </w:tc>
        <w:tc>
          <w:tcPr>
            <w:tcW w:w="92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98,7</w:t>
            </w:r>
          </w:p>
        </w:tc>
        <w:tc>
          <w:tcPr>
            <w:tcW w:w="861" w:type="dxa"/>
            <w:tcBorders>
              <w:top w:val="single" w:sz="8" w:space="0" w:color="auto"/>
              <w:left w:val="single" w:sz="8" w:space="0" w:color="auto"/>
              <w:bottom w:val="single" w:sz="8" w:space="0" w:color="auto"/>
              <w:right w:val="single" w:sz="12"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1,6</w:t>
            </w:r>
          </w:p>
        </w:tc>
        <w:tc>
          <w:tcPr>
            <w:tcW w:w="859" w:type="dxa"/>
            <w:tcBorders>
              <w:top w:val="single" w:sz="8" w:space="0" w:color="auto"/>
              <w:left w:val="single" w:sz="12"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7,0</w:t>
            </w:r>
          </w:p>
        </w:tc>
        <w:tc>
          <w:tcPr>
            <w:tcW w:w="86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6,2</w:t>
            </w:r>
          </w:p>
        </w:tc>
        <w:tc>
          <w:tcPr>
            <w:tcW w:w="859"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76,7</w:t>
            </w:r>
          </w:p>
        </w:tc>
        <w:tc>
          <w:tcPr>
            <w:tcW w:w="867" w:type="dxa"/>
            <w:tcBorders>
              <w:top w:val="single" w:sz="8" w:space="0" w:color="auto"/>
              <w:left w:val="single" w:sz="8" w:space="0" w:color="auto"/>
              <w:bottom w:val="single" w:sz="8" w:space="0" w:color="auto"/>
              <w:right w:val="single" w:sz="12"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19,3</w:t>
            </w:r>
          </w:p>
        </w:tc>
        <w:tc>
          <w:tcPr>
            <w:tcW w:w="815" w:type="dxa"/>
            <w:tcBorders>
              <w:top w:val="single" w:sz="8" w:space="0" w:color="auto"/>
              <w:left w:val="single" w:sz="12" w:space="0" w:color="auto"/>
              <w:bottom w:val="single" w:sz="8" w:space="0" w:color="auto"/>
              <w:right w:val="single" w:sz="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14,0</w:t>
            </w:r>
          </w:p>
        </w:tc>
        <w:tc>
          <w:tcPr>
            <w:tcW w:w="877" w:type="dxa"/>
            <w:tcBorders>
              <w:top w:val="single" w:sz="8" w:space="0" w:color="auto"/>
              <w:left w:val="single" w:sz="8" w:space="0" w:color="auto"/>
              <w:bottom w:val="single" w:sz="8" w:space="0" w:color="auto"/>
              <w:right w:val="single" w:sz="18" w:space="0" w:color="auto"/>
            </w:tcBorders>
            <w:shd w:val="clear" w:color="auto" w:fill="F2F2F2" w:themeFill="background1" w:themeFillShade="F2"/>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33,7</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Dánsko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5 573 894</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1,5</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2,2</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97,7</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32 000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120,7</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104,2</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3,1</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4,3</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5,9</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81,1</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34,8</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8,9</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14,7</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Estonsko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1 294 486</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-1,7</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0,1</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111,0</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17 500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184,3</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104,7</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1,6</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7,6</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11,6</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80,1</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37,3</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17,8</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51,7</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Finsko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5 401 267</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1,8</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2,1</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109,7</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29 400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123,6</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104,7</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3,9</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7,7</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6,9</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79,5</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39,7</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14,4</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68,4</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Francie</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65 327 724</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4,3</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1,9</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91,9</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27 500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118,8</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105,1</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2,2</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8,3</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8,6</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76,6</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30,8</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12,5</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32,0</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Irsko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4 582 769</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9,3</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4,9</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55,1</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33 100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134,0</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91,5</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1,7</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4,2</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12,0</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74,4</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39,7</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13,0</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11,2</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Itálie</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59 394 207</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-0,3</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6,8</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147,1</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25 200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115,8</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99,4</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7,1</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8,1</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68,0</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15,7</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19,2</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36,2</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Kypr</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862 011</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4,6</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13,5</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77,6</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23 200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136,4</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104,3</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0,5</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4,4</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7,0</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79,6</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39,3</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28,4</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41,8</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Litva</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3 003 641</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-3,0</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-5,5</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121,5</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17 800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173,4</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101,4</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0,8</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8,3</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13,1</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79,2</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34,3</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12,1</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34,5</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Lotyšsko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2 041 763</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-4,5</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-2,1</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130,1</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Pr>
                <w:rFonts w:asciiTheme="minorHAnsi" w:hAnsiTheme="minorHAnsi" w:cstheme="minorHAnsi"/>
                <w:color w:val="000000"/>
                <w:sz w:val="20"/>
                <w:szCs w:val="20"/>
              </w:rPr>
              <w:t>16 100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211,5</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97,2</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0,6</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8,2</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14,7</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80,0</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29,2</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11,3</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53,7</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Lucembursko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524 853</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3,7</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13,0</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81,9</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69 400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145,2</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118,9</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1,5</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4,2</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4,8</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75,2</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39,1</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18,1</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33,9</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Maďarsko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9 932 000</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-3,6</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1,5</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116,6</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16 800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134,6</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92,6</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6,6</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10,1</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69,6</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22,0</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21,4</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21,9</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Malta</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417 520</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2,1</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4,0</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112,2</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22 000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120,2</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114,1</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0,7</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5,6</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5,6</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66,8</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16,2</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13,0</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0,0</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Německo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81 843 743</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-1,9</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156,1</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31 100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113,1</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106,9</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2,8</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10,2</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6,7</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81,1</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28,1</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15,4</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31,0</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Nizozemsko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16 730 348</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3,2</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0,6</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93,6</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32 900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119,9</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101,0</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1,9</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3,6</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3,6</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81,1</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33,1</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13,8</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8,8</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Polsko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38 538 447</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0,3</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-0,3</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91,4</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16 800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162,3</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105,0</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0,7</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15,9</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8,8</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71,9</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24,5</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19,4</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29,8</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Portugalsko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10 542 398</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0,1</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2,6</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131,1</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19 200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118,0</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96,1</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1,6</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7,3</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11,5</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79,0</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18,5</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20,9</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39,3</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Rakousko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8 443 018</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0,3</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4,4</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122,8</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33 600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121,8</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109,9</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2,8</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4,6</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4,0</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78,8</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20,0</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14,7</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47,6</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Rumunsko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21 355 849</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-2,1</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-0,2</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100,0</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12 600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237,2</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94,3</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0,5</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6,9</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6,8</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68,6</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15,4</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17,9</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28,2</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Řecko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11 290 067</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0,3</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2,6</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136,8</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19 200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129,4</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83,1</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0,6</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9,2</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14,2</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72,8</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26,1</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27,1</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49,6</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Slovensko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5 404 322</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0,6</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0,7</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83,1</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19 200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185,9</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110,9</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0,6</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14,7</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12,3</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75,3</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19,0</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29,0</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39,7</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Slovinsko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2 055 496</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0,5</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3,3</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117,5</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21 000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134,0</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95,2</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2,1</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5,9</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6,9</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74,9</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26,4</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35,5</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62,8</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Španělsko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46 196 276</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2,1</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9,9</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114,5</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24 900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134,5</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96,5</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1,4</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9,2</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18,6</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78,6</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32,3</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27,2</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55,0</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Švédsko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9 482 855</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1,6</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4,7</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112,6</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32 800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121,2</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122,8</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3,4</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5,8</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6,8</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85,5</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35,7</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13,8</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73,8</w:t>
            </w:r>
          </w:p>
        </w:tc>
      </w:tr>
      <w:tr w:rsidR="00B94599" w:rsidRPr="0057626C" w:rsidTr="00B94599">
        <w:trPr>
          <w:trHeight w:hRule="exact" w:val="255"/>
        </w:trPr>
        <w:tc>
          <w:tcPr>
            <w:tcW w:w="1593" w:type="dxa"/>
            <w:tcBorders>
              <w:top w:val="single" w:sz="8" w:space="0" w:color="auto"/>
              <w:left w:val="single" w:sz="18" w:space="0" w:color="auto"/>
              <w:bottom w:val="single" w:sz="12" w:space="0" w:color="auto"/>
              <w:right w:val="single" w:sz="12" w:space="0" w:color="auto"/>
            </w:tcBorders>
            <w:shd w:val="clear" w:color="auto" w:fill="auto"/>
            <w:noWrap/>
            <w:vAlign w:val="bottom"/>
            <w:hideMark/>
          </w:tcPr>
          <w:p w:rsidR="00B94599" w:rsidRPr="0057626C" w:rsidRDefault="00B94599" w:rsidP="00144E4A">
            <w:pPr>
              <w:rPr>
                <w:rFonts w:asciiTheme="minorHAnsi" w:hAnsiTheme="minorHAnsi" w:cstheme="minorHAnsi"/>
                <w:b/>
                <w:bCs/>
                <w:sz w:val="20"/>
                <w:szCs w:val="20"/>
              </w:rPr>
            </w:pPr>
            <w:r w:rsidRPr="0057626C">
              <w:rPr>
                <w:rFonts w:asciiTheme="minorHAnsi" w:hAnsiTheme="minorHAnsi" w:cstheme="minorHAnsi"/>
                <w:b/>
                <w:bCs/>
                <w:sz w:val="20"/>
                <w:szCs w:val="20"/>
              </w:rPr>
              <w:t>Velká Británie</w:t>
            </w:r>
          </w:p>
        </w:tc>
        <w:tc>
          <w:tcPr>
            <w:tcW w:w="1290" w:type="dxa"/>
            <w:tcBorders>
              <w:top w:val="single" w:sz="8" w:space="0" w:color="auto"/>
              <w:left w:val="single" w:sz="12" w:space="0" w:color="auto"/>
              <w:bottom w:val="single" w:sz="12"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sz w:val="20"/>
                <w:szCs w:val="20"/>
              </w:rPr>
            </w:pPr>
            <w:r w:rsidRPr="0057626C">
              <w:rPr>
                <w:rFonts w:asciiTheme="minorHAnsi" w:hAnsiTheme="minorHAnsi" w:cstheme="minorHAnsi"/>
                <w:sz w:val="20"/>
                <w:szCs w:val="20"/>
              </w:rPr>
              <w:t>63 256 141</w:t>
            </w:r>
          </w:p>
        </w:tc>
        <w:tc>
          <w:tcPr>
            <w:tcW w:w="860" w:type="dxa"/>
            <w:tcBorders>
              <w:top w:val="single" w:sz="8" w:space="0" w:color="auto"/>
              <w:left w:val="single" w:sz="8" w:space="0" w:color="auto"/>
              <w:bottom w:val="single" w:sz="12"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2,8</w:t>
            </w:r>
          </w:p>
        </w:tc>
        <w:tc>
          <w:tcPr>
            <w:tcW w:w="859" w:type="dxa"/>
            <w:tcBorders>
              <w:top w:val="single" w:sz="8" w:space="0" w:color="auto"/>
              <w:left w:val="single" w:sz="8" w:space="0" w:color="auto"/>
              <w:bottom w:val="single" w:sz="12"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3,3</w:t>
            </w:r>
          </w:p>
        </w:tc>
        <w:tc>
          <w:tcPr>
            <w:tcW w:w="863" w:type="dxa"/>
            <w:tcBorders>
              <w:top w:val="single" w:sz="8" w:space="0" w:color="auto"/>
              <w:left w:val="single" w:sz="8" w:space="0" w:color="auto"/>
              <w:bottom w:val="single" w:sz="12"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96,6</w:t>
            </w:r>
          </w:p>
        </w:tc>
        <w:tc>
          <w:tcPr>
            <w:tcW w:w="859" w:type="dxa"/>
            <w:tcBorders>
              <w:top w:val="single" w:sz="8" w:space="0" w:color="auto"/>
              <w:left w:val="single" w:sz="12" w:space="0" w:color="auto"/>
              <w:bottom w:val="single" w:sz="12"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28 400</w:t>
            </w:r>
          </w:p>
        </w:tc>
        <w:tc>
          <w:tcPr>
            <w:tcW w:w="943" w:type="dxa"/>
            <w:tcBorders>
              <w:top w:val="single" w:sz="8" w:space="0" w:color="auto"/>
              <w:left w:val="single" w:sz="8" w:space="0" w:color="auto"/>
              <w:bottom w:val="single" w:sz="12"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125,7</w:t>
            </w:r>
          </w:p>
        </w:tc>
        <w:tc>
          <w:tcPr>
            <w:tcW w:w="924" w:type="dxa"/>
            <w:tcBorders>
              <w:top w:val="single" w:sz="8" w:space="0" w:color="auto"/>
              <w:left w:val="single" w:sz="8" w:space="0" w:color="auto"/>
              <w:bottom w:val="single" w:sz="12"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104,9</w:t>
            </w:r>
          </w:p>
        </w:tc>
        <w:tc>
          <w:tcPr>
            <w:tcW w:w="861" w:type="dxa"/>
            <w:tcBorders>
              <w:top w:val="single" w:sz="8" w:space="0" w:color="auto"/>
              <w:left w:val="single" w:sz="8" w:space="0" w:color="auto"/>
              <w:bottom w:val="single" w:sz="12"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1,8</w:t>
            </w:r>
          </w:p>
        </w:tc>
        <w:tc>
          <w:tcPr>
            <w:tcW w:w="859" w:type="dxa"/>
            <w:tcBorders>
              <w:top w:val="single" w:sz="8" w:space="0" w:color="auto"/>
              <w:left w:val="single" w:sz="12" w:space="0" w:color="auto"/>
              <w:bottom w:val="single" w:sz="12"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4,2</w:t>
            </w:r>
          </w:p>
        </w:tc>
        <w:tc>
          <w:tcPr>
            <w:tcW w:w="860" w:type="dxa"/>
            <w:tcBorders>
              <w:top w:val="single" w:sz="8" w:space="0" w:color="auto"/>
              <w:left w:val="single" w:sz="8" w:space="0" w:color="auto"/>
              <w:bottom w:val="single" w:sz="12"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6,4</w:t>
            </w:r>
          </w:p>
        </w:tc>
        <w:tc>
          <w:tcPr>
            <w:tcW w:w="859" w:type="dxa"/>
            <w:tcBorders>
              <w:top w:val="single" w:sz="8" w:space="0" w:color="auto"/>
              <w:left w:val="single" w:sz="8" w:space="0" w:color="auto"/>
              <w:bottom w:val="single" w:sz="12"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79,7</w:t>
            </w:r>
          </w:p>
        </w:tc>
        <w:tc>
          <w:tcPr>
            <w:tcW w:w="867" w:type="dxa"/>
            <w:tcBorders>
              <w:top w:val="single" w:sz="8" w:space="0" w:color="auto"/>
              <w:left w:val="single" w:sz="8" w:space="0" w:color="auto"/>
              <w:bottom w:val="single" w:sz="12"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38,6</w:t>
            </w:r>
          </w:p>
        </w:tc>
        <w:tc>
          <w:tcPr>
            <w:tcW w:w="815" w:type="dxa"/>
            <w:tcBorders>
              <w:top w:val="single" w:sz="8" w:space="0" w:color="auto"/>
              <w:left w:val="single" w:sz="12" w:space="0" w:color="auto"/>
              <w:bottom w:val="single" w:sz="12"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7,2</w:t>
            </w:r>
          </w:p>
        </w:tc>
        <w:tc>
          <w:tcPr>
            <w:tcW w:w="877" w:type="dxa"/>
            <w:tcBorders>
              <w:top w:val="single" w:sz="8" w:space="0" w:color="auto"/>
              <w:left w:val="single" w:sz="8" w:space="0" w:color="auto"/>
              <w:bottom w:val="single" w:sz="12"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color w:val="000000"/>
                <w:sz w:val="20"/>
                <w:szCs w:val="20"/>
              </w:rPr>
            </w:pPr>
            <w:r w:rsidRPr="0057626C">
              <w:rPr>
                <w:rFonts w:asciiTheme="minorHAnsi" w:hAnsiTheme="minorHAnsi" w:cstheme="minorHAnsi"/>
                <w:color w:val="000000"/>
                <w:sz w:val="20"/>
                <w:szCs w:val="20"/>
              </w:rPr>
              <w:t>11,8</w:t>
            </w:r>
          </w:p>
        </w:tc>
      </w:tr>
      <w:tr w:rsidR="00B94599" w:rsidRPr="0057626C" w:rsidTr="00B94599">
        <w:trPr>
          <w:trHeight w:hRule="exact" w:val="255"/>
        </w:trPr>
        <w:tc>
          <w:tcPr>
            <w:tcW w:w="1593" w:type="dxa"/>
            <w:tcBorders>
              <w:top w:val="single" w:sz="12" w:space="0" w:color="auto"/>
              <w:left w:val="single" w:sz="18" w:space="0" w:color="auto"/>
              <w:bottom w:val="single" w:sz="8" w:space="0" w:color="auto"/>
              <w:right w:val="single" w:sz="12" w:space="0" w:color="auto"/>
            </w:tcBorders>
            <w:shd w:val="clear" w:color="auto" w:fill="auto"/>
            <w:noWrap/>
            <w:vAlign w:val="bottom"/>
            <w:hideMark/>
          </w:tcPr>
          <w:p w:rsidR="00B94599" w:rsidRPr="0076377F" w:rsidRDefault="00B94599" w:rsidP="00144E4A">
            <w:pPr>
              <w:rPr>
                <w:rFonts w:asciiTheme="minorHAnsi" w:hAnsiTheme="minorHAnsi" w:cstheme="minorHAnsi"/>
                <w:iCs/>
                <w:sz w:val="20"/>
                <w:szCs w:val="20"/>
              </w:rPr>
            </w:pPr>
            <w:r w:rsidRPr="0076377F">
              <w:rPr>
                <w:rFonts w:asciiTheme="minorHAnsi" w:hAnsiTheme="minorHAnsi" w:cstheme="minorHAnsi"/>
                <w:iCs/>
                <w:sz w:val="20"/>
                <w:szCs w:val="20"/>
              </w:rPr>
              <w:t>Chorvatsko</w:t>
            </w:r>
          </w:p>
        </w:tc>
        <w:tc>
          <w:tcPr>
            <w:tcW w:w="1290" w:type="dxa"/>
            <w:tcBorders>
              <w:top w:val="single" w:sz="12"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sz w:val="20"/>
                <w:szCs w:val="20"/>
              </w:rPr>
            </w:pPr>
            <w:r w:rsidRPr="0057626C">
              <w:rPr>
                <w:rFonts w:asciiTheme="minorHAnsi" w:hAnsiTheme="minorHAnsi" w:cstheme="minorHAnsi"/>
                <w:i/>
                <w:iCs/>
                <w:sz w:val="20"/>
                <w:szCs w:val="20"/>
              </w:rPr>
              <w:t>4 398 150</w:t>
            </w:r>
          </w:p>
        </w:tc>
        <w:tc>
          <w:tcPr>
            <w:tcW w:w="860"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-2,2</w:t>
            </w:r>
          </w:p>
        </w:tc>
        <w:tc>
          <w:tcPr>
            <w:tcW w:w="859"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1,1</w:t>
            </w:r>
          </w:p>
        </w:tc>
        <w:tc>
          <w:tcPr>
            <w:tcW w:w="863" w:type="dxa"/>
            <w:tcBorders>
              <w:top w:val="single" w:sz="12"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116,1</w:t>
            </w:r>
          </w:p>
        </w:tc>
        <w:tc>
          <w:tcPr>
            <w:tcW w:w="859" w:type="dxa"/>
            <w:tcBorders>
              <w:top w:val="single" w:sz="12"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15 600</w:t>
            </w:r>
          </w:p>
        </w:tc>
        <w:tc>
          <w:tcPr>
            <w:tcW w:w="943"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143,4</w:t>
            </w:r>
          </w:p>
        </w:tc>
        <w:tc>
          <w:tcPr>
            <w:tcW w:w="924"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92,4</w:t>
            </w:r>
          </w:p>
        </w:tc>
        <w:tc>
          <w:tcPr>
            <w:tcW w:w="861" w:type="dxa"/>
            <w:tcBorders>
              <w:top w:val="single" w:sz="12"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0,8</w:t>
            </w:r>
          </w:p>
        </w:tc>
        <w:tc>
          <w:tcPr>
            <w:tcW w:w="859" w:type="dxa"/>
            <w:tcBorders>
              <w:top w:val="single" w:sz="12"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11,8</w:t>
            </w:r>
          </w:p>
        </w:tc>
        <w:tc>
          <w:tcPr>
            <w:tcW w:w="860"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11,3</w:t>
            </w:r>
          </w:p>
        </w:tc>
        <w:tc>
          <w:tcPr>
            <w:tcW w:w="859"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65,4</w:t>
            </w:r>
          </w:p>
        </w:tc>
        <w:tc>
          <w:tcPr>
            <w:tcW w:w="867" w:type="dxa"/>
            <w:tcBorders>
              <w:top w:val="single" w:sz="12"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18,6</w:t>
            </w:r>
          </w:p>
        </w:tc>
        <w:tc>
          <w:tcPr>
            <w:tcW w:w="815" w:type="dxa"/>
            <w:tcBorders>
              <w:top w:val="single" w:sz="12"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n/a</w:t>
            </w:r>
          </w:p>
        </w:tc>
        <w:tc>
          <w:tcPr>
            <w:tcW w:w="877" w:type="dxa"/>
            <w:tcBorders>
              <w:top w:val="single" w:sz="12"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43,7</w:t>
            </w:r>
          </w:p>
        </w:tc>
      </w:tr>
      <w:tr w:rsidR="00B94599" w:rsidRPr="0057626C" w:rsidTr="00B94599">
        <w:trPr>
          <w:trHeight w:hRule="exact" w:val="255"/>
        </w:trPr>
        <w:tc>
          <w:tcPr>
            <w:tcW w:w="1593" w:type="dxa"/>
            <w:tcBorders>
              <w:top w:val="single" w:sz="8" w:space="0" w:color="auto"/>
              <w:left w:val="single" w:sz="18" w:space="0" w:color="auto"/>
              <w:bottom w:val="single" w:sz="8" w:space="0" w:color="auto"/>
              <w:right w:val="single" w:sz="12" w:space="0" w:color="auto"/>
            </w:tcBorders>
            <w:shd w:val="clear" w:color="auto" w:fill="auto"/>
            <w:noWrap/>
            <w:vAlign w:val="bottom"/>
            <w:hideMark/>
          </w:tcPr>
          <w:p w:rsidR="00B94599" w:rsidRPr="0076377F" w:rsidRDefault="00B94599" w:rsidP="00144E4A">
            <w:pPr>
              <w:rPr>
                <w:rFonts w:asciiTheme="minorHAnsi" w:hAnsiTheme="minorHAnsi" w:cstheme="minorHAnsi"/>
                <w:iCs/>
                <w:sz w:val="20"/>
                <w:szCs w:val="20"/>
              </w:rPr>
            </w:pPr>
            <w:r w:rsidRPr="0076377F">
              <w:rPr>
                <w:rFonts w:asciiTheme="minorHAnsi" w:hAnsiTheme="minorHAnsi" w:cstheme="minorHAnsi"/>
                <w:iCs/>
                <w:sz w:val="20"/>
                <w:szCs w:val="20"/>
              </w:rPr>
              <w:t>Norsko</w:t>
            </w:r>
          </w:p>
        </w:tc>
        <w:tc>
          <w:tcPr>
            <w:tcW w:w="1290"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sz w:val="20"/>
                <w:szCs w:val="20"/>
              </w:rPr>
            </w:pPr>
            <w:r w:rsidRPr="0057626C">
              <w:rPr>
                <w:rFonts w:asciiTheme="minorHAnsi" w:hAnsiTheme="minorHAnsi" w:cstheme="minorHAnsi"/>
                <w:i/>
                <w:iCs/>
                <w:sz w:val="20"/>
                <w:szCs w:val="20"/>
              </w:rPr>
              <w:t>4 985 870</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3,6</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6,2</w:t>
            </w:r>
          </w:p>
        </w:tc>
        <w:tc>
          <w:tcPr>
            <w:tcW w:w="863"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83,2</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49 900</w:t>
            </w:r>
          </w:p>
        </w:tc>
        <w:tc>
          <w:tcPr>
            <w:tcW w:w="9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144,6</w:t>
            </w:r>
          </w:p>
        </w:tc>
        <w:tc>
          <w:tcPr>
            <w:tcW w:w="9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124,9</w:t>
            </w:r>
          </w:p>
        </w:tc>
        <w:tc>
          <w:tcPr>
            <w:tcW w:w="861"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1,7</w:t>
            </w:r>
          </w:p>
        </w:tc>
        <w:tc>
          <w:tcPr>
            <w:tcW w:w="859"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3,2</w:t>
            </w:r>
          </w:p>
        </w:tc>
        <w:tc>
          <w:tcPr>
            <w:tcW w:w="8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2,7</w:t>
            </w:r>
          </w:p>
        </w:tc>
        <w:tc>
          <w:tcPr>
            <w:tcW w:w="8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82,2</w:t>
            </w:r>
          </w:p>
        </w:tc>
        <w:tc>
          <w:tcPr>
            <w:tcW w:w="867" w:type="dxa"/>
            <w:tcBorders>
              <w:top w:val="single" w:sz="8" w:space="0" w:color="auto"/>
              <w:left w:val="single" w:sz="8" w:space="0" w:color="auto"/>
              <w:bottom w:val="single" w:sz="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38,6</w:t>
            </w:r>
          </w:p>
        </w:tc>
        <w:tc>
          <w:tcPr>
            <w:tcW w:w="81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n/a</w:t>
            </w:r>
          </w:p>
        </w:tc>
        <w:tc>
          <w:tcPr>
            <w:tcW w:w="877" w:type="dxa"/>
            <w:tcBorders>
              <w:top w:val="single" w:sz="8" w:space="0" w:color="auto"/>
              <w:left w:val="single" w:sz="8" w:space="0" w:color="auto"/>
              <w:bottom w:val="single" w:sz="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38,2</w:t>
            </w:r>
          </w:p>
        </w:tc>
      </w:tr>
      <w:tr w:rsidR="00B94599" w:rsidRPr="0057626C" w:rsidTr="00B94599">
        <w:trPr>
          <w:trHeight w:hRule="exact" w:val="255"/>
        </w:trPr>
        <w:tc>
          <w:tcPr>
            <w:tcW w:w="1593" w:type="dxa"/>
            <w:tcBorders>
              <w:top w:val="single" w:sz="8" w:space="0" w:color="auto"/>
              <w:left w:val="single" w:sz="18" w:space="0" w:color="auto"/>
              <w:bottom w:val="single" w:sz="18" w:space="0" w:color="auto"/>
              <w:right w:val="single" w:sz="12" w:space="0" w:color="auto"/>
            </w:tcBorders>
            <w:shd w:val="clear" w:color="auto" w:fill="auto"/>
            <w:noWrap/>
            <w:vAlign w:val="bottom"/>
            <w:hideMark/>
          </w:tcPr>
          <w:p w:rsidR="00B94599" w:rsidRPr="0076377F" w:rsidRDefault="00B94599" w:rsidP="00144E4A">
            <w:pPr>
              <w:rPr>
                <w:rFonts w:asciiTheme="minorHAnsi" w:hAnsiTheme="minorHAnsi" w:cstheme="minorHAnsi"/>
                <w:iCs/>
                <w:sz w:val="20"/>
                <w:szCs w:val="20"/>
              </w:rPr>
            </w:pPr>
            <w:r w:rsidRPr="0076377F">
              <w:rPr>
                <w:rFonts w:asciiTheme="minorHAnsi" w:hAnsiTheme="minorHAnsi" w:cstheme="minorHAnsi"/>
                <w:iCs/>
                <w:sz w:val="20"/>
                <w:szCs w:val="20"/>
              </w:rPr>
              <w:t>Švýcarsko</w:t>
            </w:r>
          </w:p>
        </w:tc>
        <w:tc>
          <w:tcPr>
            <w:tcW w:w="1290" w:type="dxa"/>
            <w:tcBorders>
              <w:top w:val="single" w:sz="8" w:space="0" w:color="auto"/>
              <w:left w:val="single" w:sz="12" w:space="0" w:color="auto"/>
              <w:bottom w:val="single" w:sz="1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sz w:val="20"/>
                <w:szCs w:val="20"/>
              </w:rPr>
            </w:pPr>
            <w:r w:rsidRPr="0057626C">
              <w:rPr>
                <w:rFonts w:asciiTheme="minorHAnsi" w:hAnsiTheme="minorHAnsi" w:cstheme="minorHAnsi"/>
                <w:i/>
                <w:iCs/>
                <w:sz w:val="20"/>
                <w:szCs w:val="20"/>
              </w:rPr>
              <w:t>7 954 662</w:t>
            </w:r>
          </w:p>
        </w:tc>
        <w:tc>
          <w:tcPr>
            <w:tcW w:w="860" w:type="dxa"/>
            <w:tcBorders>
              <w:top w:val="single" w:sz="8" w:space="0" w:color="auto"/>
              <w:left w:val="single" w:sz="8" w:space="0" w:color="auto"/>
              <w:bottom w:val="single" w:sz="1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1,8</w:t>
            </w:r>
          </w:p>
        </w:tc>
        <w:tc>
          <w:tcPr>
            <w:tcW w:w="859" w:type="dxa"/>
            <w:tcBorders>
              <w:top w:val="single" w:sz="8" w:space="0" w:color="auto"/>
              <w:left w:val="single" w:sz="8" w:space="0" w:color="auto"/>
              <w:bottom w:val="single" w:sz="1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7,3</w:t>
            </w:r>
          </w:p>
        </w:tc>
        <w:tc>
          <w:tcPr>
            <w:tcW w:w="863" w:type="dxa"/>
            <w:tcBorders>
              <w:top w:val="single" w:sz="8" w:space="0" w:color="auto"/>
              <w:left w:val="single" w:sz="8" w:space="0" w:color="auto"/>
              <w:bottom w:val="single" w:sz="1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114,7</w:t>
            </w:r>
          </w:p>
        </w:tc>
        <w:tc>
          <w:tcPr>
            <w:tcW w:w="859" w:type="dxa"/>
            <w:tcBorders>
              <w:top w:val="single" w:sz="8" w:space="0" w:color="auto"/>
              <w:left w:val="single" w:sz="12" w:space="0" w:color="auto"/>
              <w:bottom w:val="single" w:sz="1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40 800</w:t>
            </w:r>
          </w:p>
        </w:tc>
        <w:tc>
          <w:tcPr>
            <w:tcW w:w="943" w:type="dxa"/>
            <w:tcBorders>
              <w:top w:val="single" w:sz="8" w:space="0" w:color="auto"/>
              <w:left w:val="single" w:sz="8" w:space="0" w:color="auto"/>
              <w:bottom w:val="single" w:sz="1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111,1</w:t>
            </w:r>
          </w:p>
        </w:tc>
        <w:tc>
          <w:tcPr>
            <w:tcW w:w="924" w:type="dxa"/>
            <w:tcBorders>
              <w:top w:val="single" w:sz="8" w:space="0" w:color="auto"/>
              <w:left w:val="single" w:sz="8" w:space="0" w:color="auto"/>
              <w:bottom w:val="single" w:sz="1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137,1</w:t>
            </w:r>
          </w:p>
        </w:tc>
        <w:tc>
          <w:tcPr>
            <w:tcW w:w="861" w:type="dxa"/>
            <w:tcBorders>
              <w:top w:val="single" w:sz="8" w:space="0" w:color="auto"/>
              <w:left w:val="single" w:sz="8" w:space="0" w:color="auto"/>
              <w:bottom w:val="single" w:sz="1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Pr>
                <w:rFonts w:asciiTheme="minorHAnsi" w:hAnsiTheme="minorHAnsi" w:cstheme="minorHAnsi"/>
                <w:i/>
                <w:iCs/>
                <w:color w:val="000000"/>
                <w:sz w:val="20"/>
                <w:szCs w:val="20"/>
              </w:rPr>
              <w:t>3</w:t>
            </w:r>
            <w:r w:rsidRPr="0057626C">
              <w:rPr>
                <w:rFonts w:asciiTheme="minorHAnsi" w:hAnsiTheme="minorHAnsi" w:cstheme="minorHAnsi"/>
                <w:i/>
                <w:iCs/>
                <w:color w:val="000000"/>
                <w:sz w:val="20"/>
                <w:szCs w:val="20"/>
              </w:rPr>
              <w:t>,</w:t>
            </w:r>
            <w:r>
              <w:rPr>
                <w:rFonts w:asciiTheme="minorHAnsi" w:hAnsiTheme="minorHAnsi" w:cstheme="minorHAnsi"/>
                <w:i/>
                <w:iCs/>
                <w:color w:val="000000"/>
                <w:sz w:val="20"/>
                <w:szCs w:val="20"/>
              </w:rPr>
              <w:t>0</w:t>
            </w:r>
          </w:p>
        </w:tc>
        <w:tc>
          <w:tcPr>
            <w:tcW w:w="859" w:type="dxa"/>
            <w:tcBorders>
              <w:top w:val="single" w:sz="8" w:space="0" w:color="auto"/>
              <w:left w:val="single" w:sz="12" w:space="0" w:color="auto"/>
              <w:bottom w:val="single" w:sz="1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4,0</w:t>
            </w:r>
          </w:p>
        </w:tc>
        <w:tc>
          <w:tcPr>
            <w:tcW w:w="860" w:type="dxa"/>
            <w:tcBorders>
              <w:top w:val="single" w:sz="8" w:space="0" w:color="auto"/>
              <w:left w:val="single" w:sz="8" w:space="0" w:color="auto"/>
              <w:bottom w:val="single" w:sz="1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3,9</w:t>
            </w:r>
          </w:p>
        </w:tc>
        <w:tc>
          <w:tcPr>
            <w:tcW w:w="859" w:type="dxa"/>
            <w:tcBorders>
              <w:top w:val="single" w:sz="8" w:space="0" w:color="auto"/>
              <w:left w:val="single" w:sz="8" w:space="0" w:color="auto"/>
              <w:bottom w:val="single" w:sz="1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85,6</w:t>
            </w:r>
          </w:p>
        </w:tc>
        <w:tc>
          <w:tcPr>
            <w:tcW w:w="867" w:type="dxa"/>
            <w:tcBorders>
              <w:top w:val="single" w:sz="8" w:space="0" w:color="auto"/>
              <w:left w:val="single" w:sz="8" w:space="0" w:color="auto"/>
              <w:bottom w:val="single" w:sz="18" w:space="0" w:color="auto"/>
              <w:right w:val="single" w:sz="12"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36,6</w:t>
            </w:r>
          </w:p>
        </w:tc>
        <w:tc>
          <w:tcPr>
            <w:tcW w:w="815" w:type="dxa"/>
            <w:tcBorders>
              <w:top w:val="single" w:sz="8" w:space="0" w:color="auto"/>
              <w:left w:val="single" w:sz="12" w:space="0" w:color="auto"/>
              <w:bottom w:val="single" w:sz="18" w:space="0" w:color="auto"/>
              <w:right w:val="single" w:sz="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n/a</w:t>
            </w:r>
          </w:p>
        </w:tc>
        <w:tc>
          <w:tcPr>
            <w:tcW w:w="877" w:type="dxa"/>
            <w:tcBorders>
              <w:top w:val="single" w:sz="8" w:space="0" w:color="auto"/>
              <w:left w:val="single" w:sz="8" w:space="0" w:color="auto"/>
              <w:bottom w:val="single" w:sz="18" w:space="0" w:color="auto"/>
              <w:right w:val="single" w:sz="18" w:space="0" w:color="auto"/>
            </w:tcBorders>
            <w:shd w:val="clear" w:color="auto" w:fill="auto"/>
            <w:noWrap/>
            <w:vAlign w:val="bottom"/>
            <w:hideMark/>
          </w:tcPr>
          <w:p w:rsidR="00B94599" w:rsidRPr="0057626C" w:rsidRDefault="00B94599" w:rsidP="00144E4A">
            <w:pPr>
              <w:jc w:val="center"/>
              <w:rPr>
                <w:rFonts w:asciiTheme="minorHAnsi" w:hAnsiTheme="minorHAnsi" w:cstheme="minorHAnsi"/>
                <w:i/>
                <w:iCs/>
                <w:color w:val="000000"/>
                <w:sz w:val="20"/>
                <w:szCs w:val="20"/>
              </w:rPr>
            </w:pPr>
            <w:r w:rsidRPr="0057626C">
              <w:rPr>
                <w:rFonts w:asciiTheme="minorHAnsi" w:hAnsiTheme="minorHAnsi" w:cstheme="minorHAnsi"/>
                <w:i/>
                <w:iCs/>
                <w:color w:val="000000"/>
                <w:sz w:val="20"/>
                <w:szCs w:val="20"/>
              </w:rPr>
              <w:t>31,8</w:t>
            </w:r>
          </w:p>
        </w:tc>
      </w:tr>
    </w:tbl>
    <w:p w:rsidR="00B94599" w:rsidRDefault="00D449D4">
      <w:pPr>
        <w:spacing w:after="0" w:line="240" w:lineRule="auto"/>
        <w:rPr>
          <w:rFonts w:ascii="Cambria" w:hAnsi="Cambria"/>
          <w:b/>
          <w:bCs/>
          <w:color w:val="0070C0"/>
          <w:sz w:val="28"/>
          <w:szCs w:val="28"/>
        </w:rPr>
        <w:sectPr w:rsidR="00B94599" w:rsidSect="00B74D67">
          <w:footerReference w:type="first" r:id="rId109"/>
          <w:pgSz w:w="16838" w:h="11906" w:orient="landscape"/>
          <w:pgMar w:top="1417" w:right="1417" w:bottom="1417" w:left="1417" w:header="708" w:footer="708" w:gutter="0"/>
          <w:cols w:space="708"/>
          <w:titlePg/>
          <w:docGrid w:linePitch="360"/>
        </w:sectPr>
      </w:pPr>
      <w:bookmarkStart w:id="189" w:name="_Toc382326482"/>
      <w:r>
        <w:rPr>
          <w:rStyle w:val="0T-TitulekChar"/>
        </w:rPr>
        <w:t>Tabulka 55</w:t>
      </w:r>
      <w:r w:rsidR="00B94599" w:rsidRPr="00B94599">
        <w:rPr>
          <w:rStyle w:val="0T-TitulekChar"/>
        </w:rPr>
        <w:t>: Vybrané ukazatele za EU 27 + Chorvatsko, Norsko a Švýcarsko</w:t>
      </w:r>
      <w:bookmarkEnd w:id="189"/>
    </w:p>
    <w:p w:rsidR="00B94599" w:rsidRPr="00B94599" w:rsidRDefault="00B94599" w:rsidP="00B94599">
      <w:pPr>
        <w:spacing w:after="0" w:line="240" w:lineRule="auto"/>
        <w:rPr>
          <w:rFonts w:eastAsia="Calibri"/>
          <w:sz w:val="24"/>
          <w:lang w:eastAsia="en-US"/>
        </w:rPr>
      </w:pPr>
    </w:p>
    <w:tbl>
      <w:tblPr>
        <w:tblpPr w:leftFromText="141" w:rightFromText="141" w:vertAnchor="text" w:tblpY="1"/>
        <w:tblOverlap w:val="never"/>
        <w:tblW w:w="8629"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85"/>
        <w:gridCol w:w="470"/>
        <w:gridCol w:w="6974"/>
      </w:tblGrid>
      <w:tr w:rsidR="00B94599" w:rsidRPr="00B94599" w:rsidTr="00144E4A">
        <w:trPr>
          <w:trHeight w:val="389"/>
        </w:trPr>
        <w:tc>
          <w:tcPr>
            <w:tcW w:w="8629" w:type="dxa"/>
            <w:gridSpan w:val="3"/>
            <w:tcBorders>
              <w:top w:val="single" w:sz="18" w:space="0" w:color="auto"/>
              <w:left w:val="single" w:sz="18" w:space="0" w:color="auto"/>
              <w:bottom w:val="single" w:sz="12" w:space="0" w:color="auto"/>
              <w:right w:val="single" w:sz="18" w:space="0" w:color="auto"/>
            </w:tcBorders>
            <w:shd w:val="clear" w:color="auto" w:fill="auto"/>
            <w:noWrap/>
            <w:vAlign w:val="center"/>
            <w:hideMark/>
          </w:tcPr>
          <w:p w:rsidR="00B94599" w:rsidRPr="00B94599" w:rsidRDefault="00B94599" w:rsidP="00B94599">
            <w:pPr>
              <w:spacing w:after="0" w:line="240" w:lineRule="auto"/>
              <w:rPr>
                <w:rFonts w:ascii="Calibri" w:hAnsi="Calibri" w:cs="Calibri"/>
                <w:b/>
                <w:bCs/>
                <w:color w:val="000000"/>
                <w:sz w:val="20"/>
                <w:szCs w:val="20"/>
              </w:rPr>
            </w:pPr>
            <w:r w:rsidRPr="00B94599">
              <w:rPr>
                <w:rFonts w:ascii="Calibri" w:hAnsi="Calibri" w:cs="Calibri"/>
                <w:b/>
                <w:bCs/>
                <w:color w:val="000000"/>
                <w:sz w:val="20"/>
                <w:szCs w:val="20"/>
              </w:rPr>
              <w:t>Legenda:</w:t>
            </w:r>
          </w:p>
        </w:tc>
      </w:tr>
      <w:tr w:rsidR="00B94599" w:rsidRPr="00B94599" w:rsidTr="00144E4A">
        <w:trPr>
          <w:trHeight w:val="389"/>
        </w:trPr>
        <w:tc>
          <w:tcPr>
            <w:tcW w:w="1185" w:type="dxa"/>
            <w:vMerge w:val="restart"/>
            <w:tcBorders>
              <w:top w:val="single" w:sz="12" w:space="0" w:color="auto"/>
              <w:left w:val="single" w:sz="18" w:space="0" w:color="auto"/>
              <w:bottom w:val="single" w:sz="8" w:space="0" w:color="auto"/>
              <w:right w:val="single" w:sz="12" w:space="0" w:color="auto"/>
            </w:tcBorders>
            <w:shd w:val="clear" w:color="auto" w:fill="FFFFFF" w:themeFill="background1"/>
            <w:noWrap/>
            <w:textDirection w:val="btLr"/>
            <w:vAlign w:val="center"/>
            <w:hideMark/>
          </w:tcPr>
          <w:p w:rsidR="00B94599" w:rsidRPr="00B94599" w:rsidRDefault="00B94599" w:rsidP="00B94599">
            <w:pPr>
              <w:spacing w:after="0" w:line="240" w:lineRule="auto"/>
              <w:jc w:val="center"/>
              <w:rPr>
                <w:rFonts w:ascii="Calibri" w:hAnsi="Calibri" w:cs="Calibri"/>
                <w:b/>
                <w:bCs/>
                <w:color w:val="000000"/>
                <w:sz w:val="20"/>
                <w:szCs w:val="20"/>
              </w:rPr>
            </w:pPr>
            <w:r w:rsidRPr="00B94599">
              <w:rPr>
                <w:rFonts w:ascii="Calibri" w:hAnsi="Calibri" w:cs="Calibri"/>
                <w:b/>
                <w:bCs/>
                <w:color w:val="000000"/>
                <w:sz w:val="20"/>
                <w:szCs w:val="20"/>
              </w:rPr>
              <w:t>Demografie</w:t>
            </w:r>
          </w:p>
        </w:tc>
        <w:tc>
          <w:tcPr>
            <w:tcW w:w="470" w:type="dxa"/>
            <w:tcBorders>
              <w:top w:val="single" w:sz="12" w:space="0" w:color="auto"/>
              <w:left w:val="single" w:sz="12" w:space="0" w:color="auto"/>
              <w:right w:val="single" w:sz="12" w:space="0" w:color="auto"/>
            </w:tcBorders>
            <w:shd w:val="clear" w:color="auto" w:fill="FFFFFF" w:themeFill="background1"/>
            <w:noWrap/>
            <w:vAlign w:val="center"/>
            <w:hideMark/>
          </w:tcPr>
          <w:p w:rsidR="00B94599" w:rsidRPr="00B94599" w:rsidRDefault="00B94599" w:rsidP="00B94599">
            <w:pPr>
              <w:spacing w:after="0" w:line="240" w:lineRule="auto"/>
              <w:jc w:val="center"/>
              <w:rPr>
                <w:rFonts w:ascii="Calibri" w:hAnsi="Calibri" w:cs="Calibri"/>
                <w:i/>
                <w:iCs/>
                <w:color w:val="000000"/>
                <w:sz w:val="20"/>
                <w:szCs w:val="20"/>
              </w:rPr>
            </w:pPr>
            <w:r w:rsidRPr="00B94599">
              <w:rPr>
                <w:rFonts w:ascii="Calibri" w:hAnsi="Calibri" w:cs="Calibri"/>
                <w:i/>
                <w:iCs/>
                <w:color w:val="000000"/>
                <w:sz w:val="20"/>
                <w:szCs w:val="20"/>
              </w:rPr>
              <w:t>I</w:t>
            </w:r>
          </w:p>
        </w:tc>
        <w:tc>
          <w:tcPr>
            <w:tcW w:w="6974" w:type="dxa"/>
            <w:tcBorders>
              <w:top w:val="single" w:sz="12" w:space="0" w:color="auto"/>
              <w:left w:val="single" w:sz="12" w:space="0" w:color="auto"/>
              <w:right w:val="single" w:sz="18" w:space="0" w:color="auto"/>
            </w:tcBorders>
            <w:shd w:val="clear" w:color="auto" w:fill="auto"/>
            <w:noWrap/>
            <w:vAlign w:val="center"/>
            <w:hideMark/>
          </w:tcPr>
          <w:p w:rsidR="00B94599" w:rsidRPr="00B94599" w:rsidRDefault="00B94599" w:rsidP="00B94599">
            <w:pPr>
              <w:spacing w:after="0" w:line="240" w:lineRule="auto"/>
              <w:rPr>
                <w:rFonts w:ascii="Calibri" w:hAnsi="Calibri" w:cs="Calibri"/>
                <w:color w:val="000000"/>
                <w:sz w:val="20"/>
                <w:szCs w:val="20"/>
              </w:rPr>
            </w:pPr>
            <w:r w:rsidRPr="00B94599">
              <w:rPr>
                <w:rFonts w:ascii="Calibri" w:hAnsi="Calibri" w:cs="Calibri"/>
                <w:color w:val="000000"/>
                <w:sz w:val="20"/>
                <w:szCs w:val="20"/>
              </w:rPr>
              <w:t>Počet obyvatel (k 1. 1. 2012)</w:t>
            </w:r>
          </w:p>
        </w:tc>
      </w:tr>
      <w:tr w:rsidR="00B94599" w:rsidRPr="00B94599" w:rsidTr="00144E4A">
        <w:trPr>
          <w:trHeight w:val="389"/>
        </w:trPr>
        <w:tc>
          <w:tcPr>
            <w:tcW w:w="1185" w:type="dxa"/>
            <w:vMerge/>
            <w:tcBorders>
              <w:top w:val="single" w:sz="12" w:space="0" w:color="auto"/>
              <w:left w:val="single" w:sz="18" w:space="0" w:color="auto"/>
              <w:bottom w:val="single" w:sz="8" w:space="0" w:color="auto"/>
              <w:right w:val="single" w:sz="12" w:space="0" w:color="auto"/>
            </w:tcBorders>
            <w:shd w:val="clear" w:color="auto" w:fill="FFFFFF" w:themeFill="background1"/>
            <w:vAlign w:val="center"/>
            <w:hideMark/>
          </w:tcPr>
          <w:p w:rsidR="00B94599" w:rsidRPr="00B94599" w:rsidRDefault="00B94599" w:rsidP="00B94599">
            <w:pPr>
              <w:spacing w:after="0" w:line="240" w:lineRule="auto"/>
              <w:rPr>
                <w:rFonts w:ascii="Calibri" w:hAnsi="Calibri" w:cs="Calibri"/>
                <w:b/>
                <w:bCs/>
                <w:color w:val="000000"/>
                <w:sz w:val="20"/>
                <w:szCs w:val="20"/>
              </w:rPr>
            </w:pPr>
          </w:p>
        </w:tc>
        <w:tc>
          <w:tcPr>
            <w:tcW w:w="470" w:type="dxa"/>
            <w:tcBorders>
              <w:left w:val="single" w:sz="12" w:space="0" w:color="auto"/>
              <w:right w:val="single" w:sz="12" w:space="0" w:color="auto"/>
            </w:tcBorders>
            <w:shd w:val="clear" w:color="auto" w:fill="FFFFFF" w:themeFill="background1"/>
            <w:noWrap/>
            <w:vAlign w:val="center"/>
            <w:hideMark/>
          </w:tcPr>
          <w:p w:rsidR="00B94599" w:rsidRPr="00B94599" w:rsidRDefault="00B94599" w:rsidP="00B94599">
            <w:pPr>
              <w:spacing w:after="0" w:line="240" w:lineRule="auto"/>
              <w:jc w:val="center"/>
              <w:rPr>
                <w:rFonts w:ascii="Calibri" w:hAnsi="Calibri" w:cs="Calibri"/>
                <w:i/>
                <w:iCs/>
                <w:color w:val="000000"/>
                <w:sz w:val="20"/>
                <w:szCs w:val="20"/>
              </w:rPr>
            </w:pPr>
            <w:r w:rsidRPr="00B94599">
              <w:rPr>
                <w:rFonts w:ascii="Calibri" w:hAnsi="Calibri" w:cs="Calibri"/>
                <w:i/>
                <w:iCs/>
                <w:color w:val="000000"/>
                <w:sz w:val="20"/>
                <w:szCs w:val="20"/>
              </w:rPr>
              <w:t>II</w:t>
            </w:r>
          </w:p>
        </w:tc>
        <w:tc>
          <w:tcPr>
            <w:tcW w:w="6974" w:type="dxa"/>
            <w:tcBorders>
              <w:left w:val="single" w:sz="12" w:space="0" w:color="auto"/>
              <w:right w:val="single" w:sz="18" w:space="0" w:color="auto"/>
            </w:tcBorders>
            <w:shd w:val="clear" w:color="auto" w:fill="auto"/>
            <w:noWrap/>
            <w:vAlign w:val="center"/>
            <w:hideMark/>
          </w:tcPr>
          <w:p w:rsidR="00B94599" w:rsidRPr="00B94599" w:rsidRDefault="00B94599" w:rsidP="00B94599">
            <w:pPr>
              <w:spacing w:after="0" w:line="240" w:lineRule="auto"/>
              <w:rPr>
                <w:rFonts w:ascii="Calibri" w:hAnsi="Calibri" w:cs="Calibri"/>
                <w:color w:val="000000"/>
                <w:sz w:val="20"/>
                <w:szCs w:val="20"/>
              </w:rPr>
            </w:pPr>
            <w:r w:rsidRPr="00B94599">
              <w:rPr>
                <w:rFonts w:ascii="Calibri" w:hAnsi="Calibri" w:cs="Calibri"/>
                <w:color w:val="000000"/>
                <w:sz w:val="20"/>
                <w:szCs w:val="20"/>
              </w:rPr>
              <w:t>Přirozený pohyb obyvatel – přírůstek/úbytek v ‰ (průměr let 2002-2011)</w:t>
            </w:r>
          </w:p>
        </w:tc>
      </w:tr>
      <w:tr w:rsidR="00B94599" w:rsidRPr="00B94599" w:rsidTr="00144E4A">
        <w:trPr>
          <w:trHeight w:val="389"/>
        </w:trPr>
        <w:tc>
          <w:tcPr>
            <w:tcW w:w="1185" w:type="dxa"/>
            <w:vMerge/>
            <w:tcBorders>
              <w:top w:val="single" w:sz="12" w:space="0" w:color="auto"/>
              <w:left w:val="single" w:sz="18" w:space="0" w:color="auto"/>
              <w:bottom w:val="single" w:sz="8" w:space="0" w:color="auto"/>
              <w:right w:val="single" w:sz="12" w:space="0" w:color="auto"/>
            </w:tcBorders>
            <w:shd w:val="clear" w:color="auto" w:fill="FFFFFF" w:themeFill="background1"/>
            <w:vAlign w:val="center"/>
            <w:hideMark/>
          </w:tcPr>
          <w:p w:rsidR="00B94599" w:rsidRPr="00B94599" w:rsidRDefault="00B94599" w:rsidP="00B94599">
            <w:pPr>
              <w:spacing w:after="0" w:line="240" w:lineRule="auto"/>
              <w:rPr>
                <w:rFonts w:ascii="Calibri" w:hAnsi="Calibri" w:cs="Calibri"/>
                <w:b/>
                <w:bCs/>
                <w:color w:val="000000"/>
                <w:sz w:val="20"/>
                <w:szCs w:val="20"/>
              </w:rPr>
            </w:pPr>
          </w:p>
        </w:tc>
        <w:tc>
          <w:tcPr>
            <w:tcW w:w="470" w:type="dxa"/>
            <w:tcBorders>
              <w:left w:val="single" w:sz="12" w:space="0" w:color="auto"/>
              <w:bottom w:val="single" w:sz="8" w:space="0" w:color="auto"/>
              <w:right w:val="single" w:sz="12" w:space="0" w:color="auto"/>
            </w:tcBorders>
            <w:shd w:val="clear" w:color="auto" w:fill="FFFFFF" w:themeFill="background1"/>
            <w:noWrap/>
            <w:vAlign w:val="center"/>
            <w:hideMark/>
          </w:tcPr>
          <w:p w:rsidR="00B94599" w:rsidRPr="00B94599" w:rsidRDefault="00B94599" w:rsidP="00B94599">
            <w:pPr>
              <w:spacing w:after="0" w:line="240" w:lineRule="auto"/>
              <w:jc w:val="center"/>
              <w:rPr>
                <w:rFonts w:ascii="Calibri" w:hAnsi="Calibri" w:cs="Calibri"/>
                <w:i/>
                <w:iCs/>
                <w:color w:val="000000"/>
                <w:sz w:val="20"/>
                <w:szCs w:val="20"/>
              </w:rPr>
            </w:pPr>
            <w:r w:rsidRPr="00B94599">
              <w:rPr>
                <w:rFonts w:ascii="Calibri" w:hAnsi="Calibri" w:cs="Calibri"/>
                <w:i/>
                <w:iCs/>
                <w:color w:val="000000"/>
                <w:sz w:val="20"/>
                <w:szCs w:val="20"/>
              </w:rPr>
              <w:t>III</w:t>
            </w:r>
          </w:p>
        </w:tc>
        <w:tc>
          <w:tcPr>
            <w:tcW w:w="6974" w:type="dxa"/>
            <w:tcBorders>
              <w:left w:val="single" w:sz="12" w:space="0" w:color="auto"/>
              <w:bottom w:val="single" w:sz="8" w:space="0" w:color="auto"/>
              <w:right w:val="single" w:sz="18" w:space="0" w:color="auto"/>
            </w:tcBorders>
            <w:shd w:val="clear" w:color="auto" w:fill="auto"/>
            <w:noWrap/>
            <w:vAlign w:val="center"/>
            <w:hideMark/>
          </w:tcPr>
          <w:p w:rsidR="00B94599" w:rsidRPr="00B94599" w:rsidRDefault="00B94599" w:rsidP="00B94599">
            <w:pPr>
              <w:spacing w:after="0" w:line="240" w:lineRule="auto"/>
              <w:rPr>
                <w:rFonts w:ascii="Calibri" w:hAnsi="Calibri" w:cs="Calibri"/>
                <w:color w:val="000000"/>
                <w:sz w:val="20"/>
                <w:szCs w:val="20"/>
              </w:rPr>
            </w:pPr>
            <w:r w:rsidRPr="00B94599">
              <w:rPr>
                <w:rFonts w:ascii="Calibri" w:hAnsi="Calibri" w:cs="Calibri"/>
                <w:color w:val="000000"/>
                <w:sz w:val="20"/>
                <w:szCs w:val="20"/>
              </w:rPr>
              <w:t>Mechanický pohyb obyvatel – přírůstek/úbytek v ‰ (průměr let 2002-2011)</w:t>
            </w:r>
          </w:p>
        </w:tc>
      </w:tr>
      <w:tr w:rsidR="00B94599" w:rsidRPr="00B94599" w:rsidTr="00144E4A">
        <w:trPr>
          <w:trHeight w:val="389"/>
        </w:trPr>
        <w:tc>
          <w:tcPr>
            <w:tcW w:w="1185" w:type="dxa"/>
            <w:vMerge/>
            <w:tcBorders>
              <w:top w:val="single" w:sz="12" w:space="0" w:color="auto"/>
              <w:left w:val="single" w:sz="18" w:space="0" w:color="auto"/>
              <w:bottom w:val="single" w:sz="8" w:space="0" w:color="auto"/>
              <w:right w:val="single" w:sz="12" w:space="0" w:color="auto"/>
            </w:tcBorders>
            <w:shd w:val="clear" w:color="auto" w:fill="FFFFFF" w:themeFill="background1"/>
            <w:vAlign w:val="center"/>
            <w:hideMark/>
          </w:tcPr>
          <w:p w:rsidR="00B94599" w:rsidRPr="00B94599" w:rsidRDefault="00B94599" w:rsidP="00B94599">
            <w:pPr>
              <w:spacing w:after="0" w:line="240" w:lineRule="auto"/>
              <w:rPr>
                <w:rFonts w:ascii="Calibri" w:hAnsi="Calibri" w:cs="Calibri"/>
                <w:b/>
                <w:bCs/>
                <w:color w:val="000000"/>
                <w:sz w:val="20"/>
                <w:szCs w:val="20"/>
              </w:rPr>
            </w:pPr>
          </w:p>
        </w:tc>
        <w:tc>
          <w:tcPr>
            <w:tcW w:w="470" w:type="dxa"/>
            <w:tcBorders>
              <w:left w:val="single" w:sz="12" w:space="0" w:color="auto"/>
              <w:bottom w:val="single" w:sz="12" w:space="0" w:color="auto"/>
              <w:right w:val="single" w:sz="12" w:space="0" w:color="auto"/>
            </w:tcBorders>
            <w:shd w:val="clear" w:color="auto" w:fill="FFFFFF" w:themeFill="background1"/>
            <w:noWrap/>
            <w:vAlign w:val="center"/>
            <w:hideMark/>
          </w:tcPr>
          <w:p w:rsidR="00B94599" w:rsidRPr="00B94599" w:rsidRDefault="00B94599" w:rsidP="00B94599">
            <w:pPr>
              <w:spacing w:after="0" w:line="240" w:lineRule="auto"/>
              <w:jc w:val="center"/>
              <w:rPr>
                <w:rFonts w:ascii="Calibri" w:hAnsi="Calibri" w:cs="Calibri"/>
                <w:i/>
                <w:iCs/>
                <w:color w:val="000000"/>
                <w:sz w:val="20"/>
                <w:szCs w:val="20"/>
              </w:rPr>
            </w:pPr>
            <w:r w:rsidRPr="00B94599">
              <w:rPr>
                <w:rFonts w:ascii="Calibri" w:hAnsi="Calibri" w:cs="Calibri"/>
                <w:i/>
                <w:iCs/>
                <w:color w:val="000000"/>
                <w:sz w:val="20"/>
                <w:szCs w:val="20"/>
              </w:rPr>
              <w:t>IV</w:t>
            </w:r>
          </w:p>
        </w:tc>
        <w:tc>
          <w:tcPr>
            <w:tcW w:w="6974" w:type="dxa"/>
            <w:tcBorders>
              <w:left w:val="single" w:sz="12" w:space="0" w:color="auto"/>
              <w:bottom w:val="single" w:sz="12" w:space="0" w:color="auto"/>
              <w:right w:val="single" w:sz="18" w:space="0" w:color="auto"/>
            </w:tcBorders>
            <w:shd w:val="clear" w:color="auto" w:fill="auto"/>
            <w:noWrap/>
            <w:vAlign w:val="center"/>
            <w:hideMark/>
          </w:tcPr>
          <w:p w:rsidR="00B94599" w:rsidRPr="00B94599" w:rsidRDefault="00B94599" w:rsidP="00B94599">
            <w:pPr>
              <w:spacing w:after="0" w:line="240" w:lineRule="auto"/>
              <w:rPr>
                <w:rFonts w:ascii="Calibri" w:hAnsi="Calibri" w:cs="Calibri"/>
                <w:color w:val="000000"/>
                <w:sz w:val="20"/>
                <w:szCs w:val="20"/>
              </w:rPr>
            </w:pPr>
            <w:r w:rsidRPr="00B94599">
              <w:rPr>
                <w:rFonts w:ascii="Calibri" w:hAnsi="Calibri" w:cs="Calibri"/>
                <w:color w:val="000000"/>
                <w:sz w:val="20"/>
                <w:szCs w:val="20"/>
              </w:rPr>
              <w:t>Index stáří – 65+/0-14 (2012)</w:t>
            </w:r>
          </w:p>
        </w:tc>
      </w:tr>
      <w:tr w:rsidR="00B94599" w:rsidRPr="00B94599" w:rsidTr="00144E4A">
        <w:trPr>
          <w:trHeight w:val="389"/>
        </w:trPr>
        <w:tc>
          <w:tcPr>
            <w:tcW w:w="1185" w:type="dxa"/>
            <w:vMerge w:val="restart"/>
            <w:tcBorders>
              <w:top w:val="single" w:sz="12" w:space="0" w:color="auto"/>
              <w:left w:val="single" w:sz="18" w:space="0" w:color="auto"/>
              <w:bottom w:val="single" w:sz="8" w:space="0" w:color="auto"/>
              <w:right w:val="single" w:sz="12" w:space="0" w:color="auto"/>
            </w:tcBorders>
            <w:shd w:val="clear" w:color="auto" w:fill="FFFFFF" w:themeFill="background1"/>
            <w:noWrap/>
            <w:textDirection w:val="btLr"/>
            <w:vAlign w:val="center"/>
            <w:hideMark/>
          </w:tcPr>
          <w:p w:rsidR="00B94599" w:rsidRPr="00B94599" w:rsidRDefault="00B94599" w:rsidP="00B94599">
            <w:pPr>
              <w:spacing w:after="0" w:line="240" w:lineRule="auto"/>
              <w:jc w:val="center"/>
              <w:rPr>
                <w:rFonts w:ascii="Calibri" w:hAnsi="Calibri" w:cs="Calibri"/>
                <w:b/>
                <w:bCs/>
                <w:color w:val="000000"/>
                <w:sz w:val="20"/>
                <w:szCs w:val="20"/>
              </w:rPr>
            </w:pPr>
            <w:r w:rsidRPr="00B94599">
              <w:rPr>
                <w:rFonts w:ascii="Calibri" w:hAnsi="Calibri" w:cs="Calibri"/>
                <w:b/>
                <w:bCs/>
                <w:color w:val="000000"/>
                <w:sz w:val="20"/>
                <w:szCs w:val="20"/>
              </w:rPr>
              <w:t>Ekonomika</w:t>
            </w:r>
          </w:p>
        </w:tc>
        <w:tc>
          <w:tcPr>
            <w:tcW w:w="470" w:type="dxa"/>
            <w:tcBorders>
              <w:top w:val="single" w:sz="12" w:space="0" w:color="auto"/>
              <w:left w:val="single" w:sz="12" w:space="0" w:color="auto"/>
              <w:right w:val="single" w:sz="12" w:space="0" w:color="auto"/>
            </w:tcBorders>
            <w:shd w:val="clear" w:color="auto" w:fill="FFFFFF" w:themeFill="background1"/>
            <w:noWrap/>
            <w:vAlign w:val="center"/>
            <w:hideMark/>
          </w:tcPr>
          <w:p w:rsidR="00B94599" w:rsidRPr="00B94599" w:rsidRDefault="00B94599" w:rsidP="00B94599">
            <w:pPr>
              <w:spacing w:after="0" w:line="240" w:lineRule="auto"/>
              <w:jc w:val="center"/>
              <w:rPr>
                <w:rFonts w:ascii="Calibri" w:hAnsi="Calibri" w:cs="Calibri"/>
                <w:i/>
                <w:iCs/>
                <w:color w:val="000000"/>
                <w:sz w:val="20"/>
                <w:szCs w:val="20"/>
              </w:rPr>
            </w:pPr>
            <w:r w:rsidRPr="00B94599">
              <w:rPr>
                <w:rFonts w:ascii="Calibri" w:hAnsi="Calibri" w:cs="Calibri"/>
                <w:i/>
                <w:iCs/>
                <w:color w:val="000000"/>
                <w:sz w:val="20"/>
                <w:szCs w:val="20"/>
              </w:rPr>
              <w:t>V</w:t>
            </w:r>
          </w:p>
        </w:tc>
        <w:tc>
          <w:tcPr>
            <w:tcW w:w="6974" w:type="dxa"/>
            <w:tcBorders>
              <w:top w:val="single" w:sz="12" w:space="0" w:color="auto"/>
              <w:left w:val="single" w:sz="12" w:space="0" w:color="auto"/>
              <w:right w:val="single" w:sz="18" w:space="0" w:color="auto"/>
            </w:tcBorders>
            <w:shd w:val="clear" w:color="auto" w:fill="auto"/>
            <w:noWrap/>
            <w:vAlign w:val="center"/>
            <w:hideMark/>
          </w:tcPr>
          <w:p w:rsidR="00B94599" w:rsidRPr="00B94599" w:rsidRDefault="00B94599" w:rsidP="00B94599">
            <w:pPr>
              <w:spacing w:after="0" w:line="240" w:lineRule="auto"/>
              <w:rPr>
                <w:rFonts w:ascii="Calibri" w:hAnsi="Calibri" w:cs="Calibri"/>
                <w:color w:val="000000"/>
                <w:sz w:val="20"/>
                <w:szCs w:val="20"/>
              </w:rPr>
            </w:pPr>
            <w:r w:rsidRPr="00B94599">
              <w:rPr>
                <w:rFonts w:ascii="Calibri" w:hAnsi="Calibri" w:cs="Calibri"/>
                <w:color w:val="000000"/>
                <w:sz w:val="20"/>
                <w:szCs w:val="20"/>
              </w:rPr>
              <w:t>HDP na 1 obyvatele v PPS (2012)</w:t>
            </w:r>
          </w:p>
        </w:tc>
      </w:tr>
      <w:tr w:rsidR="00B94599" w:rsidRPr="00B94599" w:rsidTr="00144E4A">
        <w:trPr>
          <w:trHeight w:val="389"/>
        </w:trPr>
        <w:tc>
          <w:tcPr>
            <w:tcW w:w="1185" w:type="dxa"/>
            <w:vMerge/>
            <w:tcBorders>
              <w:top w:val="single" w:sz="12" w:space="0" w:color="auto"/>
              <w:left w:val="single" w:sz="18" w:space="0" w:color="auto"/>
              <w:bottom w:val="single" w:sz="8" w:space="0" w:color="auto"/>
              <w:right w:val="single" w:sz="12" w:space="0" w:color="auto"/>
            </w:tcBorders>
            <w:shd w:val="clear" w:color="auto" w:fill="FFFFFF" w:themeFill="background1"/>
            <w:vAlign w:val="center"/>
            <w:hideMark/>
          </w:tcPr>
          <w:p w:rsidR="00B94599" w:rsidRPr="00B94599" w:rsidRDefault="00B94599" w:rsidP="00B94599">
            <w:pPr>
              <w:spacing w:after="0" w:line="240" w:lineRule="auto"/>
              <w:rPr>
                <w:rFonts w:ascii="Calibri" w:hAnsi="Calibri" w:cs="Calibri"/>
                <w:b/>
                <w:bCs/>
                <w:color w:val="000000"/>
                <w:sz w:val="20"/>
                <w:szCs w:val="20"/>
              </w:rPr>
            </w:pPr>
          </w:p>
        </w:tc>
        <w:tc>
          <w:tcPr>
            <w:tcW w:w="470" w:type="dxa"/>
            <w:tcBorders>
              <w:left w:val="single" w:sz="12" w:space="0" w:color="auto"/>
              <w:right w:val="single" w:sz="12" w:space="0" w:color="auto"/>
            </w:tcBorders>
            <w:shd w:val="clear" w:color="auto" w:fill="FFFFFF" w:themeFill="background1"/>
            <w:noWrap/>
            <w:vAlign w:val="center"/>
            <w:hideMark/>
          </w:tcPr>
          <w:p w:rsidR="00B94599" w:rsidRPr="00B94599" w:rsidRDefault="00B94599" w:rsidP="00B94599">
            <w:pPr>
              <w:spacing w:after="0" w:line="240" w:lineRule="auto"/>
              <w:jc w:val="center"/>
              <w:rPr>
                <w:rFonts w:ascii="Calibri" w:hAnsi="Calibri" w:cs="Calibri"/>
                <w:i/>
                <w:iCs/>
                <w:color w:val="000000"/>
                <w:sz w:val="20"/>
                <w:szCs w:val="20"/>
              </w:rPr>
            </w:pPr>
            <w:r w:rsidRPr="00B94599">
              <w:rPr>
                <w:rFonts w:ascii="Calibri" w:hAnsi="Calibri" w:cs="Calibri"/>
                <w:i/>
                <w:iCs/>
                <w:color w:val="000000"/>
                <w:sz w:val="20"/>
                <w:szCs w:val="20"/>
              </w:rPr>
              <w:t>VI</w:t>
            </w:r>
          </w:p>
        </w:tc>
        <w:tc>
          <w:tcPr>
            <w:tcW w:w="6974" w:type="dxa"/>
            <w:tcBorders>
              <w:left w:val="single" w:sz="12" w:space="0" w:color="auto"/>
              <w:right w:val="single" w:sz="18" w:space="0" w:color="auto"/>
            </w:tcBorders>
            <w:shd w:val="clear" w:color="auto" w:fill="auto"/>
            <w:noWrap/>
            <w:vAlign w:val="center"/>
            <w:hideMark/>
          </w:tcPr>
          <w:p w:rsidR="00B94599" w:rsidRPr="00B94599" w:rsidRDefault="00B94599" w:rsidP="00B94599">
            <w:pPr>
              <w:spacing w:after="0" w:line="240" w:lineRule="auto"/>
              <w:rPr>
                <w:rFonts w:ascii="Calibri" w:hAnsi="Calibri" w:cs="Calibri"/>
                <w:color w:val="000000"/>
                <w:sz w:val="20"/>
                <w:szCs w:val="20"/>
              </w:rPr>
            </w:pPr>
            <w:r w:rsidRPr="00B94599">
              <w:rPr>
                <w:rFonts w:ascii="Calibri" w:hAnsi="Calibri" w:cs="Calibri"/>
                <w:color w:val="000000"/>
                <w:sz w:val="20"/>
                <w:szCs w:val="20"/>
              </w:rPr>
              <w:t>Vývoj nominálního HDP v Euro (2007/2003, 2003=100%)</w:t>
            </w:r>
          </w:p>
        </w:tc>
      </w:tr>
      <w:tr w:rsidR="00B94599" w:rsidRPr="00B94599" w:rsidTr="00144E4A">
        <w:trPr>
          <w:trHeight w:val="389"/>
        </w:trPr>
        <w:tc>
          <w:tcPr>
            <w:tcW w:w="1185" w:type="dxa"/>
            <w:vMerge/>
            <w:tcBorders>
              <w:top w:val="single" w:sz="12" w:space="0" w:color="auto"/>
              <w:left w:val="single" w:sz="18" w:space="0" w:color="auto"/>
              <w:bottom w:val="single" w:sz="8" w:space="0" w:color="auto"/>
              <w:right w:val="single" w:sz="12" w:space="0" w:color="auto"/>
            </w:tcBorders>
            <w:shd w:val="clear" w:color="auto" w:fill="FFFFFF" w:themeFill="background1"/>
            <w:vAlign w:val="center"/>
            <w:hideMark/>
          </w:tcPr>
          <w:p w:rsidR="00B94599" w:rsidRPr="00B94599" w:rsidRDefault="00B94599" w:rsidP="00B94599">
            <w:pPr>
              <w:spacing w:after="0" w:line="240" w:lineRule="auto"/>
              <w:rPr>
                <w:rFonts w:ascii="Calibri" w:hAnsi="Calibri" w:cs="Calibri"/>
                <w:b/>
                <w:bCs/>
                <w:color w:val="000000"/>
                <w:sz w:val="20"/>
                <w:szCs w:val="20"/>
              </w:rPr>
            </w:pPr>
          </w:p>
        </w:tc>
        <w:tc>
          <w:tcPr>
            <w:tcW w:w="470" w:type="dxa"/>
            <w:tcBorders>
              <w:left w:val="single" w:sz="12" w:space="0" w:color="auto"/>
              <w:bottom w:val="single" w:sz="8" w:space="0" w:color="auto"/>
              <w:right w:val="single" w:sz="12" w:space="0" w:color="auto"/>
            </w:tcBorders>
            <w:shd w:val="clear" w:color="auto" w:fill="FFFFFF" w:themeFill="background1"/>
            <w:noWrap/>
            <w:vAlign w:val="center"/>
            <w:hideMark/>
          </w:tcPr>
          <w:p w:rsidR="00B94599" w:rsidRPr="00B94599" w:rsidRDefault="00B94599" w:rsidP="00B94599">
            <w:pPr>
              <w:spacing w:after="0" w:line="240" w:lineRule="auto"/>
              <w:jc w:val="center"/>
              <w:rPr>
                <w:rFonts w:ascii="Calibri" w:hAnsi="Calibri" w:cs="Calibri"/>
                <w:i/>
                <w:iCs/>
                <w:color w:val="000000"/>
                <w:sz w:val="20"/>
                <w:szCs w:val="20"/>
              </w:rPr>
            </w:pPr>
            <w:r w:rsidRPr="00B94599">
              <w:rPr>
                <w:rFonts w:ascii="Calibri" w:hAnsi="Calibri" w:cs="Calibri"/>
                <w:i/>
                <w:iCs/>
                <w:color w:val="000000"/>
                <w:sz w:val="20"/>
                <w:szCs w:val="20"/>
              </w:rPr>
              <w:t>VII</w:t>
            </w:r>
          </w:p>
        </w:tc>
        <w:tc>
          <w:tcPr>
            <w:tcW w:w="6974" w:type="dxa"/>
            <w:tcBorders>
              <w:left w:val="single" w:sz="12" w:space="0" w:color="auto"/>
              <w:bottom w:val="single" w:sz="8" w:space="0" w:color="auto"/>
              <w:right w:val="single" w:sz="18" w:space="0" w:color="auto"/>
            </w:tcBorders>
            <w:shd w:val="clear" w:color="auto" w:fill="auto"/>
            <w:noWrap/>
            <w:vAlign w:val="center"/>
            <w:hideMark/>
          </w:tcPr>
          <w:p w:rsidR="00B94599" w:rsidRPr="00B94599" w:rsidRDefault="00B94599" w:rsidP="00B94599">
            <w:pPr>
              <w:spacing w:after="0" w:line="240" w:lineRule="auto"/>
              <w:rPr>
                <w:rFonts w:ascii="Calibri" w:hAnsi="Calibri" w:cs="Calibri"/>
                <w:color w:val="000000"/>
                <w:sz w:val="20"/>
                <w:szCs w:val="20"/>
              </w:rPr>
            </w:pPr>
            <w:r w:rsidRPr="00B94599">
              <w:rPr>
                <w:rFonts w:ascii="Calibri" w:hAnsi="Calibri" w:cs="Calibri"/>
                <w:color w:val="000000"/>
                <w:sz w:val="20"/>
                <w:szCs w:val="20"/>
              </w:rPr>
              <w:t>Vývoj nominálního HDP v Euro (2012/2008, 2008=100%)</w:t>
            </w:r>
          </w:p>
        </w:tc>
      </w:tr>
      <w:tr w:rsidR="00B94599" w:rsidRPr="00B94599" w:rsidTr="00144E4A">
        <w:trPr>
          <w:trHeight w:val="389"/>
        </w:trPr>
        <w:tc>
          <w:tcPr>
            <w:tcW w:w="1185" w:type="dxa"/>
            <w:vMerge/>
            <w:tcBorders>
              <w:top w:val="single" w:sz="12" w:space="0" w:color="auto"/>
              <w:left w:val="single" w:sz="18" w:space="0" w:color="auto"/>
              <w:bottom w:val="single" w:sz="8" w:space="0" w:color="auto"/>
              <w:right w:val="single" w:sz="12" w:space="0" w:color="auto"/>
            </w:tcBorders>
            <w:shd w:val="clear" w:color="auto" w:fill="FFFFFF" w:themeFill="background1"/>
            <w:vAlign w:val="center"/>
            <w:hideMark/>
          </w:tcPr>
          <w:p w:rsidR="00B94599" w:rsidRPr="00B94599" w:rsidRDefault="00B94599" w:rsidP="00B94599">
            <w:pPr>
              <w:spacing w:after="0" w:line="240" w:lineRule="auto"/>
              <w:rPr>
                <w:rFonts w:ascii="Calibri" w:hAnsi="Calibri" w:cs="Calibri"/>
                <w:b/>
                <w:bCs/>
                <w:color w:val="000000"/>
                <w:sz w:val="20"/>
                <w:szCs w:val="20"/>
              </w:rPr>
            </w:pPr>
          </w:p>
        </w:tc>
        <w:tc>
          <w:tcPr>
            <w:tcW w:w="470" w:type="dxa"/>
            <w:tcBorders>
              <w:left w:val="single" w:sz="12" w:space="0" w:color="auto"/>
              <w:bottom w:val="single" w:sz="12" w:space="0" w:color="auto"/>
              <w:right w:val="single" w:sz="12" w:space="0" w:color="auto"/>
            </w:tcBorders>
            <w:shd w:val="clear" w:color="auto" w:fill="FFFFFF" w:themeFill="background1"/>
            <w:noWrap/>
            <w:vAlign w:val="center"/>
            <w:hideMark/>
          </w:tcPr>
          <w:p w:rsidR="00B94599" w:rsidRPr="00B94599" w:rsidRDefault="00B94599" w:rsidP="00B94599">
            <w:pPr>
              <w:spacing w:after="0" w:line="240" w:lineRule="auto"/>
              <w:jc w:val="center"/>
              <w:rPr>
                <w:rFonts w:ascii="Calibri" w:hAnsi="Calibri" w:cs="Calibri"/>
                <w:i/>
                <w:iCs/>
                <w:color w:val="000000"/>
                <w:sz w:val="20"/>
                <w:szCs w:val="20"/>
              </w:rPr>
            </w:pPr>
            <w:r w:rsidRPr="00B94599">
              <w:rPr>
                <w:rFonts w:ascii="Calibri" w:hAnsi="Calibri" w:cs="Calibri"/>
                <w:i/>
                <w:iCs/>
                <w:color w:val="000000"/>
                <w:sz w:val="20"/>
                <w:szCs w:val="20"/>
              </w:rPr>
              <w:t>VIII</w:t>
            </w:r>
          </w:p>
        </w:tc>
        <w:tc>
          <w:tcPr>
            <w:tcW w:w="6974" w:type="dxa"/>
            <w:tcBorders>
              <w:left w:val="single" w:sz="12" w:space="0" w:color="auto"/>
              <w:bottom w:val="single" w:sz="12" w:space="0" w:color="auto"/>
              <w:right w:val="single" w:sz="18" w:space="0" w:color="auto"/>
            </w:tcBorders>
            <w:shd w:val="clear" w:color="auto" w:fill="auto"/>
            <w:noWrap/>
            <w:vAlign w:val="center"/>
            <w:hideMark/>
          </w:tcPr>
          <w:p w:rsidR="00B94599" w:rsidRPr="00B94599" w:rsidRDefault="00B94599" w:rsidP="00B94599">
            <w:pPr>
              <w:spacing w:after="0" w:line="240" w:lineRule="auto"/>
              <w:rPr>
                <w:rFonts w:ascii="Calibri" w:hAnsi="Calibri" w:cs="Calibri"/>
                <w:color w:val="000000"/>
                <w:sz w:val="20"/>
                <w:szCs w:val="20"/>
              </w:rPr>
            </w:pPr>
            <w:r w:rsidRPr="00B94599">
              <w:rPr>
                <w:rFonts w:ascii="Calibri" w:hAnsi="Calibri" w:cs="Calibri"/>
                <w:color w:val="000000"/>
                <w:sz w:val="20"/>
                <w:szCs w:val="20"/>
              </w:rPr>
              <w:t>Hrubé domácí výdaje na výzkum a vývoj v % HDP (2010)</w:t>
            </w:r>
          </w:p>
        </w:tc>
      </w:tr>
      <w:tr w:rsidR="00B94599" w:rsidRPr="00B94599" w:rsidTr="00144E4A">
        <w:trPr>
          <w:trHeight w:val="389"/>
        </w:trPr>
        <w:tc>
          <w:tcPr>
            <w:tcW w:w="1185" w:type="dxa"/>
            <w:vMerge w:val="restart"/>
            <w:tcBorders>
              <w:top w:val="single" w:sz="12" w:space="0" w:color="auto"/>
              <w:left w:val="single" w:sz="18" w:space="0" w:color="auto"/>
              <w:bottom w:val="single" w:sz="8" w:space="0" w:color="auto"/>
              <w:right w:val="single" w:sz="12" w:space="0" w:color="auto"/>
            </w:tcBorders>
            <w:shd w:val="clear" w:color="auto" w:fill="FFFFFF" w:themeFill="background1"/>
            <w:noWrap/>
            <w:textDirection w:val="btLr"/>
            <w:vAlign w:val="center"/>
            <w:hideMark/>
          </w:tcPr>
          <w:p w:rsidR="00B94599" w:rsidRPr="00B94599" w:rsidRDefault="00B94599" w:rsidP="00B94599">
            <w:pPr>
              <w:spacing w:after="0" w:line="240" w:lineRule="auto"/>
              <w:jc w:val="center"/>
              <w:rPr>
                <w:rFonts w:ascii="Calibri" w:hAnsi="Calibri" w:cs="Calibri"/>
                <w:b/>
                <w:bCs/>
                <w:color w:val="000000"/>
                <w:sz w:val="20"/>
                <w:szCs w:val="20"/>
              </w:rPr>
            </w:pPr>
            <w:r w:rsidRPr="00B94599">
              <w:rPr>
                <w:rFonts w:ascii="Calibri" w:hAnsi="Calibri" w:cs="Calibri"/>
                <w:b/>
                <w:bCs/>
                <w:color w:val="000000"/>
                <w:sz w:val="20"/>
                <w:szCs w:val="20"/>
              </w:rPr>
              <w:t>Sociální oblast</w:t>
            </w:r>
          </w:p>
        </w:tc>
        <w:tc>
          <w:tcPr>
            <w:tcW w:w="470" w:type="dxa"/>
            <w:tcBorders>
              <w:top w:val="single" w:sz="12" w:space="0" w:color="auto"/>
              <w:left w:val="single" w:sz="12" w:space="0" w:color="auto"/>
              <w:right w:val="single" w:sz="12" w:space="0" w:color="auto"/>
            </w:tcBorders>
            <w:shd w:val="clear" w:color="auto" w:fill="FFFFFF" w:themeFill="background1"/>
            <w:noWrap/>
            <w:vAlign w:val="center"/>
            <w:hideMark/>
          </w:tcPr>
          <w:p w:rsidR="00B94599" w:rsidRPr="00B94599" w:rsidRDefault="00B94599" w:rsidP="00B94599">
            <w:pPr>
              <w:spacing w:after="0" w:line="240" w:lineRule="auto"/>
              <w:jc w:val="center"/>
              <w:rPr>
                <w:rFonts w:ascii="Calibri" w:hAnsi="Calibri" w:cs="Calibri"/>
                <w:i/>
                <w:iCs/>
                <w:color w:val="000000"/>
                <w:sz w:val="20"/>
                <w:szCs w:val="20"/>
              </w:rPr>
            </w:pPr>
            <w:r w:rsidRPr="00B94599">
              <w:rPr>
                <w:rFonts w:ascii="Calibri" w:hAnsi="Calibri" w:cs="Calibri"/>
                <w:i/>
                <w:iCs/>
                <w:color w:val="000000"/>
                <w:sz w:val="20"/>
                <w:szCs w:val="20"/>
              </w:rPr>
              <w:t>IX</w:t>
            </w:r>
          </w:p>
        </w:tc>
        <w:tc>
          <w:tcPr>
            <w:tcW w:w="6974" w:type="dxa"/>
            <w:tcBorders>
              <w:top w:val="single" w:sz="12" w:space="0" w:color="auto"/>
              <w:left w:val="single" w:sz="12" w:space="0" w:color="auto"/>
              <w:right w:val="single" w:sz="18" w:space="0" w:color="auto"/>
            </w:tcBorders>
            <w:shd w:val="clear" w:color="auto" w:fill="auto"/>
            <w:noWrap/>
            <w:vAlign w:val="center"/>
            <w:hideMark/>
          </w:tcPr>
          <w:p w:rsidR="00B94599" w:rsidRPr="00B94599" w:rsidRDefault="00B94599" w:rsidP="00B94599">
            <w:pPr>
              <w:spacing w:after="0" w:line="240" w:lineRule="auto"/>
              <w:rPr>
                <w:rFonts w:ascii="Calibri" w:hAnsi="Calibri" w:cs="Calibri"/>
                <w:sz w:val="20"/>
                <w:szCs w:val="20"/>
              </w:rPr>
            </w:pPr>
            <w:r w:rsidRPr="00B94599">
              <w:rPr>
                <w:rFonts w:ascii="Calibri" w:hAnsi="Calibri" w:cs="Calibri"/>
                <w:sz w:val="20"/>
                <w:szCs w:val="20"/>
              </w:rPr>
              <w:t>Míra nezaměstnanosti obyvatel ve věku 20-64 let (průměr let 2003-2007)</w:t>
            </w:r>
          </w:p>
        </w:tc>
      </w:tr>
      <w:tr w:rsidR="00B94599" w:rsidRPr="00B94599" w:rsidTr="00144E4A">
        <w:trPr>
          <w:trHeight w:val="389"/>
        </w:trPr>
        <w:tc>
          <w:tcPr>
            <w:tcW w:w="1185" w:type="dxa"/>
            <w:vMerge/>
            <w:tcBorders>
              <w:top w:val="single" w:sz="12" w:space="0" w:color="auto"/>
              <w:left w:val="single" w:sz="18" w:space="0" w:color="auto"/>
              <w:bottom w:val="single" w:sz="8" w:space="0" w:color="auto"/>
              <w:right w:val="single" w:sz="12" w:space="0" w:color="auto"/>
            </w:tcBorders>
            <w:shd w:val="clear" w:color="auto" w:fill="FFFFFF" w:themeFill="background1"/>
            <w:vAlign w:val="center"/>
            <w:hideMark/>
          </w:tcPr>
          <w:p w:rsidR="00B94599" w:rsidRPr="00B94599" w:rsidRDefault="00B94599" w:rsidP="00B94599">
            <w:pPr>
              <w:spacing w:after="0" w:line="240" w:lineRule="auto"/>
              <w:rPr>
                <w:rFonts w:ascii="Calibri" w:hAnsi="Calibri" w:cs="Calibri"/>
                <w:b/>
                <w:bCs/>
                <w:color w:val="000000"/>
                <w:sz w:val="20"/>
                <w:szCs w:val="20"/>
              </w:rPr>
            </w:pPr>
          </w:p>
        </w:tc>
        <w:tc>
          <w:tcPr>
            <w:tcW w:w="470" w:type="dxa"/>
            <w:tcBorders>
              <w:left w:val="single" w:sz="12" w:space="0" w:color="auto"/>
              <w:right w:val="single" w:sz="12" w:space="0" w:color="auto"/>
            </w:tcBorders>
            <w:shd w:val="clear" w:color="auto" w:fill="FFFFFF" w:themeFill="background1"/>
            <w:noWrap/>
            <w:vAlign w:val="center"/>
            <w:hideMark/>
          </w:tcPr>
          <w:p w:rsidR="00B94599" w:rsidRPr="00B94599" w:rsidRDefault="00B94599" w:rsidP="00B94599">
            <w:pPr>
              <w:spacing w:after="0" w:line="240" w:lineRule="auto"/>
              <w:jc w:val="center"/>
              <w:rPr>
                <w:rFonts w:ascii="Calibri" w:hAnsi="Calibri" w:cs="Calibri"/>
                <w:i/>
                <w:iCs/>
                <w:color w:val="000000"/>
                <w:sz w:val="20"/>
                <w:szCs w:val="20"/>
              </w:rPr>
            </w:pPr>
            <w:r w:rsidRPr="00B94599">
              <w:rPr>
                <w:rFonts w:ascii="Calibri" w:hAnsi="Calibri" w:cs="Calibri"/>
                <w:i/>
                <w:iCs/>
                <w:color w:val="000000"/>
                <w:sz w:val="20"/>
                <w:szCs w:val="20"/>
              </w:rPr>
              <w:t>X</w:t>
            </w:r>
          </w:p>
        </w:tc>
        <w:tc>
          <w:tcPr>
            <w:tcW w:w="6974" w:type="dxa"/>
            <w:tcBorders>
              <w:left w:val="single" w:sz="12" w:space="0" w:color="auto"/>
              <w:right w:val="single" w:sz="18" w:space="0" w:color="auto"/>
            </w:tcBorders>
            <w:shd w:val="clear" w:color="auto" w:fill="auto"/>
            <w:noWrap/>
            <w:vAlign w:val="center"/>
            <w:hideMark/>
          </w:tcPr>
          <w:p w:rsidR="00B94599" w:rsidRPr="00B94599" w:rsidRDefault="00B94599" w:rsidP="00B94599">
            <w:pPr>
              <w:spacing w:after="0" w:line="240" w:lineRule="auto"/>
              <w:rPr>
                <w:rFonts w:ascii="Calibri" w:hAnsi="Calibri" w:cs="Calibri"/>
                <w:sz w:val="20"/>
                <w:szCs w:val="20"/>
              </w:rPr>
            </w:pPr>
            <w:r w:rsidRPr="00B94599">
              <w:rPr>
                <w:rFonts w:ascii="Calibri" w:hAnsi="Calibri" w:cs="Calibri"/>
                <w:sz w:val="20"/>
                <w:szCs w:val="20"/>
              </w:rPr>
              <w:t>Míra nezaměstnanosti obyvatel ve věku 20-64 let (průměr let 2008-2012)</w:t>
            </w:r>
          </w:p>
        </w:tc>
      </w:tr>
      <w:tr w:rsidR="00B94599" w:rsidRPr="00B94599" w:rsidTr="00144E4A">
        <w:trPr>
          <w:trHeight w:val="389"/>
        </w:trPr>
        <w:tc>
          <w:tcPr>
            <w:tcW w:w="1185" w:type="dxa"/>
            <w:vMerge/>
            <w:tcBorders>
              <w:top w:val="single" w:sz="12" w:space="0" w:color="auto"/>
              <w:left w:val="single" w:sz="18" w:space="0" w:color="auto"/>
              <w:bottom w:val="single" w:sz="8" w:space="0" w:color="auto"/>
              <w:right w:val="single" w:sz="12" w:space="0" w:color="auto"/>
            </w:tcBorders>
            <w:shd w:val="clear" w:color="auto" w:fill="FFFFFF" w:themeFill="background1"/>
            <w:vAlign w:val="center"/>
            <w:hideMark/>
          </w:tcPr>
          <w:p w:rsidR="00B94599" w:rsidRPr="00B94599" w:rsidRDefault="00B94599" w:rsidP="00B94599">
            <w:pPr>
              <w:spacing w:after="0" w:line="240" w:lineRule="auto"/>
              <w:rPr>
                <w:rFonts w:ascii="Calibri" w:hAnsi="Calibri" w:cs="Calibri"/>
                <w:b/>
                <w:bCs/>
                <w:color w:val="000000"/>
                <w:sz w:val="20"/>
                <w:szCs w:val="20"/>
              </w:rPr>
            </w:pPr>
          </w:p>
        </w:tc>
        <w:tc>
          <w:tcPr>
            <w:tcW w:w="470" w:type="dxa"/>
            <w:tcBorders>
              <w:left w:val="single" w:sz="12" w:space="0" w:color="auto"/>
              <w:bottom w:val="single" w:sz="8" w:space="0" w:color="auto"/>
              <w:right w:val="single" w:sz="12" w:space="0" w:color="auto"/>
            </w:tcBorders>
            <w:shd w:val="clear" w:color="auto" w:fill="FFFFFF" w:themeFill="background1"/>
            <w:noWrap/>
            <w:vAlign w:val="center"/>
            <w:hideMark/>
          </w:tcPr>
          <w:p w:rsidR="00B94599" w:rsidRPr="00B94599" w:rsidRDefault="00B94599" w:rsidP="00B94599">
            <w:pPr>
              <w:spacing w:after="0" w:line="240" w:lineRule="auto"/>
              <w:jc w:val="center"/>
              <w:rPr>
                <w:rFonts w:ascii="Calibri" w:hAnsi="Calibri" w:cs="Calibri"/>
                <w:i/>
                <w:iCs/>
                <w:color w:val="000000"/>
                <w:sz w:val="20"/>
                <w:szCs w:val="20"/>
              </w:rPr>
            </w:pPr>
            <w:r w:rsidRPr="00B94599">
              <w:rPr>
                <w:rFonts w:ascii="Calibri" w:hAnsi="Calibri" w:cs="Calibri"/>
                <w:i/>
                <w:iCs/>
                <w:color w:val="000000"/>
                <w:sz w:val="20"/>
                <w:szCs w:val="20"/>
              </w:rPr>
              <w:t>XI</w:t>
            </w:r>
          </w:p>
        </w:tc>
        <w:tc>
          <w:tcPr>
            <w:tcW w:w="6974" w:type="dxa"/>
            <w:tcBorders>
              <w:left w:val="single" w:sz="12" w:space="0" w:color="auto"/>
              <w:bottom w:val="single" w:sz="8" w:space="0" w:color="auto"/>
              <w:right w:val="single" w:sz="18" w:space="0" w:color="auto"/>
            </w:tcBorders>
            <w:shd w:val="clear" w:color="auto" w:fill="auto"/>
            <w:noWrap/>
            <w:vAlign w:val="center"/>
            <w:hideMark/>
          </w:tcPr>
          <w:p w:rsidR="00B94599" w:rsidRPr="00B94599" w:rsidRDefault="00B94599" w:rsidP="00B94599">
            <w:pPr>
              <w:spacing w:after="0" w:line="240" w:lineRule="auto"/>
              <w:rPr>
                <w:rFonts w:ascii="Calibri" w:hAnsi="Calibri" w:cs="Calibri"/>
                <w:sz w:val="20"/>
                <w:szCs w:val="20"/>
              </w:rPr>
            </w:pPr>
            <w:r w:rsidRPr="00B94599">
              <w:rPr>
                <w:rFonts w:ascii="Calibri" w:hAnsi="Calibri" w:cs="Calibri"/>
                <w:sz w:val="20"/>
                <w:szCs w:val="20"/>
              </w:rPr>
              <w:t>Míra ekonomické aktivity obyvatel ve věku 20-64 let v % (2012)</w:t>
            </w:r>
          </w:p>
        </w:tc>
      </w:tr>
      <w:tr w:rsidR="00B94599" w:rsidRPr="00B94599" w:rsidTr="00144E4A">
        <w:trPr>
          <w:trHeight w:val="389"/>
        </w:trPr>
        <w:tc>
          <w:tcPr>
            <w:tcW w:w="1185" w:type="dxa"/>
            <w:vMerge/>
            <w:tcBorders>
              <w:top w:val="single" w:sz="12" w:space="0" w:color="auto"/>
              <w:left w:val="single" w:sz="18" w:space="0" w:color="auto"/>
              <w:bottom w:val="single" w:sz="8" w:space="0" w:color="auto"/>
              <w:right w:val="single" w:sz="12" w:space="0" w:color="auto"/>
            </w:tcBorders>
            <w:shd w:val="clear" w:color="auto" w:fill="FFFFFF" w:themeFill="background1"/>
            <w:vAlign w:val="center"/>
            <w:hideMark/>
          </w:tcPr>
          <w:p w:rsidR="00B94599" w:rsidRPr="00B94599" w:rsidRDefault="00B94599" w:rsidP="00B94599">
            <w:pPr>
              <w:spacing w:after="0" w:line="240" w:lineRule="auto"/>
              <w:rPr>
                <w:rFonts w:ascii="Calibri" w:hAnsi="Calibri" w:cs="Calibri"/>
                <w:b/>
                <w:bCs/>
                <w:color w:val="000000"/>
                <w:sz w:val="20"/>
                <w:szCs w:val="20"/>
              </w:rPr>
            </w:pPr>
          </w:p>
        </w:tc>
        <w:tc>
          <w:tcPr>
            <w:tcW w:w="470" w:type="dxa"/>
            <w:tcBorders>
              <w:left w:val="single" w:sz="12" w:space="0" w:color="auto"/>
              <w:bottom w:val="single" w:sz="12" w:space="0" w:color="auto"/>
              <w:right w:val="single" w:sz="12" w:space="0" w:color="auto"/>
            </w:tcBorders>
            <w:shd w:val="clear" w:color="auto" w:fill="FFFFFF" w:themeFill="background1"/>
            <w:noWrap/>
            <w:vAlign w:val="center"/>
            <w:hideMark/>
          </w:tcPr>
          <w:p w:rsidR="00B94599" w:rsidRPr="00B94599" w:rsidRDefault="00B94599" w:rsidP="00B94599">
            <w:pPr>
              <w:spacing w:after="0" w:line="240" w:lineRule="auto"/>
              <w:jc w:val="center"/>
              <w:rPr>
                <w:rFonts w:ascii="Calibri" w:hAnsi="Calibri" w:cs="Calibri"/>
                <w:i/>
                <w:iCs/>
                <w:color w:val="000000"/>
                <w:sz w:val="20"/>
                <w:szCs w:val="20"/>
              </w:rPr>
            </w:pPr>
            <w:r w:rsidRPr="00B94599">
              <w:rPr>
                <w:rFonts w:ascii="Calibri" w:hAnsi="Calibri" w:cs="Calibri"/>
                <w:i/>
                <w:iCs/>
                <w:color w:val="000000"/>
                <w:sz w:val="20"/>
                <w:szCs w:val="20"/>
              </w:rPr>
              <w:t>XII</w:t>
            </w:r>
          </w:p>
        </w:tc>
        <w:tc>
          <w:tcPr>
            <w:tcW w:w="6974" w:type="dxa"/>
            <w:tcBorders>
              <w:left w:val="single" w:sz="12" w:space="0" w:color="auto"/>
              <w:bottom w:val="single" w:sz="12" w:space="0" w:color="auto"/>
              <w:right w:val="single" w:sz="18" w:space="0" w:color="auto"/>
            </w:tcBorders>
            <w:shd w:val="clear" w:color="auto" w:fill="auto"/>
            <w:noWrap/>
            <w:vAlign w:val="center"/>
            <w:hideMark/>
          </w:tcPr>
          <w:p w:rsidR="00B94599" w:rsidRPr="00B94599" w:rsidRDefault="00B94599" w:rsidP="00B94599">
            <w:pPr>
              <w:spacing w:after="0" w:line="240" w:lineRule="auto"/>
              <w:rPr>
                <w:rFonts w:ascii="Calibri" w:hAnsi="Calibri" w:cs="Calibri"/>
                <w:sz w:val="20"/>
                <w:szCs w:val="20"/>
              </w:rPr>
            </w:pPr>
            <w:r w:rsidRPr="00B94599">
              <w:rPr>
                <w:rFonts w:ascii="Calibri" w:hAnsi="Calibri" w:cs="Calibri"/>
                <w:sz w:val="20"/>
                <w:szCs w:val="20"/>
              </w:rPr>
              <w:t>Podíl vysokoškolsky vzdělaných obyvatel ve věku 25-64 let v % (2012)</w:t>
            </w:r>
          </w:p>
        </w:tc>
      </w:tr>
      <w:tr w:rsidR="00B94599" w:rsidRPr="00B94599" w:rsidTr="00144E4A">
        <w:trPr>
          <w:trHeight w:val="405"/>
        </w:trPr>
        <w:tc>
          <w:tcPr>
            <w:tcW w:w="1185" w:type="dxa"/>
            <w:vMerge w:val="restart"/>
            <w:tcBorders>
              <w:top w:val="single" w:sz="12" w:space="0" w:color="auto"/>
              <w:left w:val="single" w:sz="18" w:space="0" w:color="auto"/>
              <w:right w:val="single" w:sz="12" w:space="0" w:color="auto"/>
            </w:tcBorders>
            <w:shd w:val="clear" w:color="auto" w:fill="FFFFFF" w:themeFill="background1"/>
            <w:textDirection w:val="btLr"/>
            <w:vAlign w:val="center"/>
            <w:hideMark/>
          </w:tcPr>
          <w:p w:rsidR="00B94599" w:rsidRPr="00B94599" w:rsidRDefault="00B94599" w:rsidP="00B94599">
            <w:pPr>
              <w:spacing w:after="0" w:line="240" w:lineRule="auto"/>
              <w:jc w:val="center"/>
              <w:rPr>
                <w:rFonts w:ascii="Calibri" w:hAnsi="Calibri" w:cs="Calibri"/>
                <w:b/>
                <w:bCs/>
                <w:color w:val="000000"/>
                <w:sz w:val="20"/>
                <w:szCs w:val="20"/>
              </w:rPr>
            </w:pPr>
            <w:r w:rsidRPr="00B94599">
              <w:rPr>
                <w:rFonts w:ascii="Calibri" w:hAnsi="Calibri" w:cs="Calibri"/>
                <w:b/>
                <w:bCs/>
                <w:color w:val="000000"/>
                <w:sz w:val="20"/>
                <w:szCs w:val="20"/>
              </w:rPr>
              <w:t>Životní prostředí</w:t>
            </w:r>
          </w:p>
        </w:tc>
        <w:tc>
          <w:tcPr>
            <w:tcW w:w="470" w:type="dxa"/>
            <w:tcBorders>
              <w:top w:val="single" w:sz="12" w:space="0" w:color="auto"/>
              <w:left w:val="single" w:sz="12" w:space="0" w:color="auto"/>
              <w:right w:val="single" w:sz="12" w:space="0" w:color="auto"/>
            </w:tcBorders>
            <w:shd w:val="clear" w:color="auto" w:fill="FFFFFF" w:themeFill="background1"/>
            <w:noWrap/>
            <w:vAlign w:val="center"/>
            <w:hideMark/>
          </w:tcPr>
          <w:p w:rsidR="00B94599" w:rsidRPr="00B94599" w:rsidRDefault="00B94599" w:rsidP="00B94599">
            <w:pPr>
              <w:spacing w:after="0" w:line="240" w:lineRule="auto"/>
              <w:jc w:val="center"/>
              <w:rPr>
                <w:rFonts w:ascii="Calibri" w:hAnsi="Calibri" w:cs="Calibri"/>
                <w:i/>
                <w:iCs/>
                <w:color w:val="000000"/>
                <w:sz w:val="20"/>
                <w:szCs w:val="20"/>
              </w:rPr>
            </w:pPr>
            <w:r w:rsidRPr="00B94599">
              <w:rPr>
                <w:rFonts w:ascii="Calibri" w:hAnsi="Calibri" w:cs="Calibri"/>
                <w:i/>
                <w:iCs/>
                <w:color w:val="000000"/>
                <w:sz w:val="20"/>
                <w:szCs w:val="20"/>
              </w:rPr>
              <w:t>XIII</w:t>
            </w:r>
          </w:p>
        </w:tc>
        <w:tc>
          <w:tcPr>
            <w:tcW w:w="6974" w:type="dxa"/>
            <w:tcBorders>
              <w:top w:val="single" w:sz="12" w:space="0" w:color="auto"/>
              <w:left w:val="single" w:sz="12" w:space="0" w:color="auto"/>
              <w:right w:val="single" w:sz="18" w:space="0" w:color="auto"/>
            </w:tcBorders>
            <w:shd w:val="clear" w:color="auto" w:fill="auto"/>
            <w:noWrap/>
            <w:vAlign w:val="center"/>
            <w:hideMark/>
          </w:tcPr>
          <w:p w:rsidR="00B94599" w:rsidRPr="00B94599" w:rsidRDefault="00B94599" w:rsidP="00B94599">
            <w:pPr>
              <w:spacing w:after="0" w:line="240" w:lineRule="auto"/>
              <w:rPr>
                <w:rFonts w:ascii="Calibri" w:hAnsi="Calibri" w:cs="Calibri"/>
                <w:color w:val="000000"/>
                <w:sz w:val="20"/>
                <w:szCs w:val="20"/>
              </w:rPr>
            </w:pPr>
            <w:r w:rsidRPr="00B94599">
              <w:rPr>
                <w:rFonts w:ascii="Calibri" w:hAnsi="Calibri" w:cs="Calibri"/>
                <w:color w:val="000000"/>
                <w:sz w:val="20"/>
                <w:szCs w:val="20"/>
              </w:rPr>
              <w:t>Chráněná území NATURA v % rozlohy pevniny (2010)</w:t>
            </w:r>
          </w:p>
        </w:tc>
      </w:tr>
      <w:tr w:rsidR="00B94599" w:rsidRPr="00B94599" w:rsidTr="004A73A0">
        <w:trPr>
          <w:trHeight w:val="372"/>
        </w:trPr>
        <w:tc>
          <w:tcPr>
            <w:tcW w:w="1185" w:type="dxa"/>
            <w:vMerge/>
            <w:tcBorders>
              <w:top w:val="single" w:sz="12" w:space="0" w:color="auto"/>
              <w:left w:val="single" w:sz="18" w:space="0" w:color="auto"/>
              <w:bottom w:val="single" w:sz="12" w:space="0" w:color="auto"/>
              <w:right w:val="single" w:sz="12" w:space="0" w:color="auto"/>
            </w:tcBorders>
            <w:shd w:val="clear" w:color="auto" w:fill="FFFFFF" w:themeFill="background1"/>
            <w:vAlign w:val="center"/>
            <w:hideMark/>
          </w:tcPr>
          <w:p w:rsidR="00B94599" w:rsidRPr="00B94599" w:rsidRDefault="00B94599" w:rsidP="00B94599">
            <w:pPr>
              <w:spacing w:after="0" w:line="240" w:lineRule="auto"/>
              <w:rPr>
                <w:rFonts w:ascii="Calibri" w:hAnsi="Calibri" w:cs="Calibri"/>
                <w:b/>
                <w:bCs/>
                <w:color w:val="000000"/>
                <w:sz w:val="20"/>
                <w:szCs w:val="20"/>
              </w:rPr>
            </w:pPr>
          </w:p>
        </w:tc>
        <w:tc>
          <w:tcPr>
            <w:tcW w:w="470" w:type="dxa"/>
            <w:tcBorders>
              <w:left w:val="single" w:sz="12" w:space="0" w:color="auto"/>
              <w:bottom w:val="single" w:sz="12" w:space="0" w:color="auto"/>
              <w:right w:val="single" w:sz="12" w:space="0" w:color="auto"/>
            </w:tcBorders>
            <w:shd w:val="clear" w:color="auto" w:fill="FFFFFF" w:themeFill="background1"/>
            <w:noWrap/>
            <w:vAlign w:val="center"/>
            <w:hideMark/>
          </w:tcPr>
          <w:p w:rsidR="00B94599" w:rsidRPr="00B94599" w:rsidRDefault="00B94599" w:rsidP="00B94599">
            <w:pPr>
              <w:spacing w:after="0" w:line="240" w:lineRule="auto"/>
              <w:jc w:val="center"/>
              <w:rPr>
                <w:rFonts w:ascii="Calibri" w:hAnsi="Calibri" w:cs="Calibri"/>
                <w:i/>
                <w:iCs/>
                <w:color w:val="000000"/>
                <w:sz w:val="20"/>
                <w:szCs w:val="20"/>
              </w:rPr>
            </w:pPr>
            <w:r w:rsidRPr="00B94599">
              <w:rPr>
                <w:rFonts w:ascii="Calibri" w:hAnsi="Calibri" w:cs="Calibri"/>
                <w:i/>
                <w:iCs/>
                <w:color w:val="000000"/>
                <w:sz w:val="20"/>
                <w:szCs w:val="20"/>
              </w:rPr>
              <w:t>XIV</w:t>
            </w:r>
          </w:p>
        </w:tc>
        <w:tc>
          <w:tcPr>
            <w:tcW w:w="6974" w:type="dxa"/>
            <w:tcBorders>
              <w:left w:val="single" w:sz="12" w:space="0" w:color="auto"/>
              <w:bottom w:val="single" w:sz="12" w:space="0" w:color="auto"/>
              <w:right w:val="single" w:sz="18" w:space="0" w:color="auto"/>
            </w:tcBorders>
            <w:shd w:val="clear" w:color="auto" w:fill="auto"/>
            <w:noWrap/>
            <w:vAlign w:val="center"/>
            <w:hideMark/>
          </w:tcPr>
          <w:p w:rsidR="00B94599" w:rsidRPr="00B94599" w:rsidRDefault="00B94599" w:rsidP="00B94599">
            <w:pPr>
              <w:spacing w:after="0" w:line="240" w:lineRule="auto"/>
              <w:rPr>
                <w:rFonts w:ascii="Calibri" w:hAnsi="Calibri" w:cs="Calibri"/>
                <w:sz w:val="20"/>
                <w:szCs w:val="20"/>
              </w:rPr>
            </w:pPr>
            <w:r w:rsidRPr="00B94599">
              <w:rPr>
                <w:rFonts w:ascii="Calibri" w:hAnsi="Calibri" w:cs="Calibri"/>
                <w:sz w:val="20"/>
                <w:szCs w:val="20"/>
              </w:rPr>
              <w:t>Podíl zalesněných ploch na celkové rozloze území v % (2010)</w:t>
            </w:r>
          </w:p>
        </w:tc>
      </w:tr>
    </w:tbl>
    <w:p w:rsidR="00B94599" w:rsidRPr="00B94599" w:rsidRDefault="00B94599" w:rsidP="004A73A0">
      <w:pPr>
        <w:keepNext/>
        <w:suppressLineNumbers/>
        <w:spacing w:after="0"/>
        <w:jc w:val="center"/>
        <w:rPr>
          <w:rFonts w:ascii="Calibri" w:hAnsi="Calibri" w:cs="Calibri"/>
          <w:i/>
        </w:rPr>
      </w:pPr>
      <w:r w:rsidRPr="00B94599">
        <w:rPr>
          <w:rFonts w:ascii="Calibri" w:hAnsi="Calibri" w:cs="Calibri"/>
          <w:i/>
        </w:rPr>
        <w:t>Pramen: Eurostat; European Commission.</w:t>
      </w:r>
    </w:p>
    <w:p w:rsidR="008C58B3" w:rsidRDefault="008C58B3">
      <w:pPr>
        <w:spacing w:after="0" w:line="240" w:lineRule="auto"/>
        <w:rPr>
          <w:rFonts w:ascii="Cambria" w:hAnsi="Cambria"/>
          <w:b/>
          <w:bCs/>
          <w:color w:val="0070C0"/>
          <w:sz w:val="28"/>
          <w:szCs w:val="28"/>
        </w:rPr>
      </w:pPr>
    </w:p>
    <w:p w:rsidR="00B94599" w:rsidRDefault="00B94599">
      <w:pPr>
        <w:spacing w:after="0" w:line="240" w:lineRule="auto"/>
        <w:rPr>
          <w:rFonts w:ascii="Cambria" w:hAnsi="Cambria"/>
          <w:b/>
          <w:bCs/>
          <w:color w:val="0070C0"/>
          <w:sz w:val="28"/>
          <w:szCs w:val="28"/>
        </w:rPr>
      </w:pPr>
      <w:r>
        <w:br w:type="page"/>
      </w:r>
    </w:p>
    <w:p w:rsidR="008146BD" w:rsidRDefault="00D84BEB" w:rsidP="00890421">
      <w:pPr>
        <w:pStyle w:val="02-Nadpis2"/>
      </w:pPr>
      <w:bookmarkStart w:id="190" w:name="_Toc382327227"/>
      <w:r w:rsidRPr="00A91347">
        <w:lastRenderedPageBreak/>
        <w:t>Použitá literatura</w:t>
      </w:r>
      <w:bookmarkEnd w:id="190"/>
    </w:p>
    <w:p w:rsidR="008146BD" w:rsidRPr="00E50911" w:rsidRDefault="008146BD" w:rsidP="006969C1">
      <w:pPr>
        <w:keepNext/>
        <w:widowControl w:val="0"/>
        <w:suppressLineNumbers/>
        <w:spacing w:after="120"/>
        <w:jc w:val="both"/>
        <w:rPr>
          <w:rFonts w:cs="TimesNewRomanPSMT"/>
          <w:sz w:val="24"/>
          <w:szCs w:val="24"/>
        </w:rPr>
      </w:pPr>
      <w:r w:rsidRPr="00E50911">
        <w:rPr>
          <w:rFonts w:cs="TimesNewRomanPSMT"/>
          <w:sz w:val="24"/>
          <w:szCs w:val="24"/>
        </w:rPr>
        <w:t xml:space="preserve">BARDHAN, P. (2006). Globalization and Rural Poverty </w:t>
      </w:r>
      <w:r w:rsidRPr="00E50911">
        <w:rPr>
          <w:rFonts w:cs="TimesNewRomanPSMT"/>
          <w:i/>
          <w:sz w:val="24"/>
          <w:szCs w:val="24"/>
        </w:rPr>
        <w:t>World Development</w:t>
      </w:r>
      <w:r w:rsidRPr="00E50911">
        <w:rPr>
          <w:rFonts w:cs="TimesNewRomanPSMT"/>
          <w:sz w:val="24"/>
          <w:szCs w:val="24"/>
        </w:rPr>
        <w:t xml:space="preserve"> Vol. 34, No. 8, pp. 1393–1404.</w:t>
      </w:r>
    </w:p>
    <w:p w:rsidR="008146BD" w:rsidRPr="00E50911" w:rsidRDefault="008146BD" w:rsidP="006969C1">
      <w:pPr>
        <w:keepNext/>
        <w:widowControl w:val="0"/>
        <w:suppressLineNumbers/>
        <w:spacing w:after="120"/>
        <w:jc w:val="both"/>
        <w:rPr>
          <w:rFonts w:cs="TimesNewRomanPSMT"/>
          <w:sz w:val="24"/>
          <w:szCs w:val="24"/>
        </w:rPr>
      </w:pPr>
      <w:r w:rsidRPr="00E50911">
        <w:rPr>
          <w:rFonts w:cs="TimesNewRomanPSMT"/>
          <w:sz w:val="24"/>
          <w:szCs w:val="24"/>
        </w:rPr>
        <w:t>BARŠOVÁ, A., BARŠA P. (2005). Přistěhovalectví a liberální stát – Imigrační a integrační politiky v USA, západní Evropě a Česku. Adamov: Mikadapress.</w:t>
      </w:r>
    </w:p>
    <w:p w:rsidR="008146BD" w:rsidRPr="00AF61CF" w:rsidRDefault="008146BD" w:rsidP="006969C1">
      <w:pPr>
        <w:keepNext/>
        <w:widowControl w:val="0"/>
        <w:suppressLineNumbers/>
        <w:spacing w:after="120"/>
        <w:jc w:val="both"/>
        <w:rPr>
          <w:rFonts w:eastAsia="Calibri"/>
          <w:sz w:val="24"/>
          <w:szCs w:val="24"/>
        </w:rPr>
      </w:pPr>
      <w:r w:rsidRPr="00AF61CF">
        <w:rPr>
          <w:rFonts w:eastAsia="Calibri"/>
          <w:caps/>
          <w:sz w:val="24"/>
          <w:szCs w:val="24"/>
        </w:rPr>
        <w:t>Beneš, V. a kol</w:t>
      </w:r>
      <w:r w:rsidRPr="00AF61CF">
        <w:rPr>
          <w:rFonts w:eastAsia="Calibri"/>
          <w:sz w:val="24"/>
          <w:szCs w:val="24"/>
        </w:rPr>
        <w:t>. (2004): Zahraniční obchod. Praha: Grada Publishing</w:t>
      </w:r>
      <w:r w:rsidRPr="00B06500">
        <w:rPr>
          <w:rFonts w:eastAsia="Calibri"/>
          <w:sz w:val="24"/>
          <w:szCs w:val="24"/>
        </w:rPr>
        <w:t>.</w:t>
      </w:r>
      <w:r w:rsidRPr="00AF61CF">
        <w:rPr>
          <w:rFonts w:eastAsia="Calibri"/>
          <w:sz w:val="24"/>
          <w:szCs w:val="24"/>
        </w:rPr>
        <w:t xml:space="preserve"> </w:t>
      </w:r>
    </w:p>
    <w:p w:rsidR="008146BD" w:rsidRPr="008A430C" w:rsidRDefault="008146BD" w:rsidP="006969C1">
      <w:pPr>
        <w:keepNext/>
        <w:spacing w:after="120"/>
        <w:jc w:val="both"/>
        <w:rPr>
          <w:sz w:val="24"/>
          <w:szCs w:val="24"/>
        </w:rPr>
      </w:pPr>
      <w:r w:rsidRPr="008A430C">
        <w:rPr>
          <w:caps/>
          <w:sz w:val="24"/>
          <w:szCs w:val="24"/>
        </w:rPr>
        <w:t>Blažek, J.</w:t>
      </w:r>
      <w:r w:rsidRPr="008A430C">
        <w:rPr>
          <w:sz w:val="24"/>
          <w:szCs w:val="24"/>
        </w:rPr>
        <w:t xml:space="preserve"> (2012): Regionální inovační systémy a globální produkční sítě: dvojí optika na zdroje konkurenceschopnosti v současném světě? </w:t>
      </w:r>
      <w:r w:rsidRPr="008A430C">
        <w:rPr>
          <w:i/>
          <w:sz w:val="24"/>
          <w:szCs w:val="24"/>
        </w:rPr>
        <w:t>Geografie</w:t>
      </w:r>
      <w:r w:rsidRPr="008A430C">
        <w:rPr>
          <w:sz w:val="24"/>
          <w:szCs w:val="24"/>
        </w:rPr>
        <w:t xml:space="preserve">, roč. 117, č. 2, s. 209-233. </w:t>
      </w:r>
    </w:p>
    <w:p w:rsidR="008146BD" w:rsidRPr="008E0C0A" w:rsidRDefault="008146BD" w:rsidP="006969C1">
      <w:pPr>
        <w:keepNext/>
        <w:spacing w:after="120"/>
        <w:jc w:val="both"/>
        <w:rPr>
          <w:rFonts w:eastAsia="Calibri"/>
          <w:sz w:val="24"/>
          <w:szCs w:val="24"/>
          <w:lang w:val="en-GB"/>
        </w:rPr>
      </w:pPr>
      <w:r w:rsidRPr="008E0C0A">
        <w:rPr>
          <w:rFonts w:eastAsia="Calibri"/>
          <w:caps/>
          <w:sz w:val="24"/>
          <w:szCs w:val="24"/>
          <w:lang w:val="en-GB"/>
        </w:rPr>
        <w:t xml:space="preserve">Blažek, J., </w:t>
      </w:r>
      <w:proofErr w:type="gramStart"/>
      <w:r w:rsidRPr="008E0C0A">
        <w:rPr>
          <w:rFonts w:eastAsia="Calibri"/>
          <w:caps/>
          <w:sz w:val="24"/>
          <w:szCs w:val="24"/>
          <w:lang w:val="en-GB"/>
        </w:rPr>
        <w:t>Uhlíř.,</w:t>
      </w:r>
      <w:proofErr w:type="gramEnd"/>
      <w:r w:rsidRPr="008E0C0A">
        <w:rPr>
          <w:rFonts w:eastAsia="Calibri"/>
          <w:caps/>
          <w:sz w:val="24"/>
          <w:szCs w:val="24"/>
          <w:lang w:val="en-GB"/>
        </w:rPr>
        <w:t xml:space="preserve"> D.</w:t>
      </w:r>
      <w:r w:rsidRPr="008E0C0A">
        <w:rPr>
          <w:rFonts w:eastAsia="Calibri"/>
          <w:sz w:val="24"/>
          <w:szCs w:val="24"/>
          <w:lang w:val="en-GB"/>
        </w:rPr>
        <w:t xml:space="preserve"> (2011) Teorie regionálního rozvoje – nástin, kritika, implikace. Praha: Nakladatelství Karolinum.</w:t>
      </w:r>
    </w:p>
    <w:p w:rsidR="008146BD" w:rsidRPr="008A430C" w:rsidRDefault="008146BD" w:rsidP="006969C1">
      <w:pPr>
        <w:keepNext/>
        <w:spacing w:after="120"/>
        <w:jc w:val="both"/>
        <w:rPr>
          <w:sz w:val="24"/>
          <w:szCs w:val="24"/>
        </w:rPr>
      </w:pPr>
      <w:r w:rsidRPr="008A430C">
        <w:rPr>
          <w:caps/>
          <w:sz w:val="24"/>
          <w:szCs w:val="24"/>
        </w:rPr>
        <w:t xml:space="preserve">Blažek, </w:t>
      </w:r>
      <w:r w:rsidRPr="008A430C">
        <w:rPr>
          <w:sz w:val="24"/>
          <w:szCs w:val="24"/>
        </w:rPr>
        <w:t xml:space="preserve">L. a kol. (2010): Nadnárodní společnosti v České republice I. Brno: Masarykova univerzita. </w:t>
      </w:r>
    </w:p>
    <w:p w:rsidR="008146BD" w:rsidRPr="008A430C" w:rsidRDefault="008146BD" w:rsidP="006969C1">
      <w:pPr>
        <w:keepNext/>
        <w:spacing w:after="120"/>
        <w:jc w:val="both"/>
        <w:rPr>
          <w:sz w:val="24"/>
          <w:szCs w:val="24"/>
        </w:rPr>
      </w:pPr>
      <w:r w:rsidRPr="008A430C">
        <w:rPr>
          <w:caps/>
          <w:sz w:val="24"/>
          <w:szCs w:val="24"/>
        </w:rPr>
        <w:t xml:space="preserve">Blažek, </w:t>
      </w:r>
      <w:r w:rsidRPr="008A430C">
        <w:rPr>
          <w:sz w:val="24"/>
          <w:szCs w:val="24"/>
        </w:rPr>
        <w:t>L. a kol. (2011): Nadnárodní společnosti v České republice II. Brno: Masarykova univerzita.</w:t>
      </w:r>
    </w:p>
    <w:p w:rsidR="008146BD" w:rsidRPr="008A430C" w:rsidRDefault="008146BD" w:rsidP="006969C1">
      <w:pPr>
        <w:keepNext/>
        <w:spacing w:after="120"/>
        <w:jc w:val="both"/>
        <w:rPr>
          <w:sz w:val="24"/>
          <w:szCs w:val="24"/>
        </w:rPr>
      </w:pPr>
      <w:r w:rsidRPr="008A430C">
        <w:rPr>
          <w:caps/>
          <w:sz w:val="24"/>
          <w:szCs w:val="24"/>
        </w:rPr>
        <w:t>Blažek, L., Šafrová</w:t>
      </w:r>
      <w:r>
        <w:rPr>
          <w:caps/>
          <w:sz w:val="24"/>
          <w:szCs w:val="24"/>
        </w:rPr>
        <w:t>-</w:t>
      </w:r>
      <w:r w:rsidRPr="008A430C">
        <w:rPr>
          <w:caps/>
          <w:sz w:val="24"/>
          <w:szCs w:val="24"/>
        </w:rPr>
        <w:t>Drášilová</w:t>
      </w:r>
      <w:r w:rsidRPr="008A430C">
        <w:rPr>
          <w:sz w:val="24"/>
          <w:szCs w:val="24"/>
        </w:rPr>
        <w:t xml:space="preserve">, A. (2013): Nadnárodní společnosti v České republice: vývojové trendy, organizace a řízení, kultura a odpovědnost.  Praha: </w:t>
      </w:r>
      <w:proofErr w:type="gramStart"/>
      <w:r w:rsidRPr="008A430C">
        <w:rPr>
          <w:sz w:val="24"/>
          <w:szCs w:val="24"/>
        </w:rPr>
        <w:t>C.H.</w:t>
      </w:r>
      <w:proofErr w:type="gramEnd"/>
      <w:r w:rsidRPr="008A430C">
        <w:rPr>
          <w:sz w:val="24"/>
          <w:szCs w:val="24"/>
        </w:rPr>
        <w:t xml:space="preserve"> Beck. </w:t>
      </w:r>
    </w:p>
    <w:p w:rsidR="008146BD" w:rsidRPr="00E50911" w:rsidRDefault="008146BD" w:rsidP="006969C1">
      <w:pPr>
        <w:keepNext/>
        <w:widowControl w:val="0"/>
        <w:suppressLineNumbers/>
        <w:spacing w:after="120"/>
        <w:jc w:val="both"/>
        <w:rPr>
          <w:rFonts w:cs="TimesNewRomanPSMT"/>
          <w:sz w:val="24"/>
          <w:szCs w:val="24"/>
        </w:rPr>
      </w:pPr>
      <w:r w:rsidRPr="00E50911">
        <w:rPr>
          <w:rFonts w:cs="TimesNewRomanPSMT"/>
          <w:sz w:val="24"/>
          <w:szCs w:val="24"/>
        </w:rPr>
        <w:t>BOBKOVÁ, L. (2003). Velké dějiny zemí Koruny české IV</w:t>
      </w:r>
      <w:r>
        <w:rPr>
          <w:rFonts w:cs="TimesNewRomanPSMT"/>
          <w:sz w:val="24"/>
          <w:szCs w:val="24"/>
        </w:rPr>
        <w:t xml:space="preserve"> a</w:t>
      </w:r>
      <w:r w:rsidRPr="00E50911">
        <w:rPr>
          <w:rFonts w:cs="TimesNewRomanPSMT"/>
          <w:sz w:val="24"/>
          <w:szCs w:val="24"/>
        </w:rPr>
        <w:t xml:space="preserve">. Praha: Paseka. </w:t>
      </w:r>
    </w:p>
    <w:p w:rsidR="008146BD" w:rsidRPr="00E50911" w:rsidRDefault="008146BD" w:rsidP="006969C1">
      <w:pPr>
        <w:keepNext/>
        <w:widowControl w:val="0"/>
        <w:suppressLineNumbers/>
        <w:autoSpaceDE w:val="0"/>
        <w:autoSpaceDN w:val="0"/>
        <w:adjustRightInd w:val="0"/>
        <w:spacing w:after="120"/>
        <w:jc w:val="both"/>
        <w:rPr>
          <w:sz w:val="24"/>
          <w:szCs w:val="24"/>
        </w:rPr>
      </w:pPr>
      <w:r w:rsidRPr="00E50911">
        <w:rPr>
          <w:caps/>
          <w:sz w:val="24"/>
          <w:szCs w:val="24"/>
        </w:rPr>
        <w:t xml:space="preserve">coale, a. (1973): </w:t>
      </w:r>
      <w:r w:rsidRPr="00E50911">
        <w:rPr>
          <w:bCs/>
          <w:kern w:val="36"/>
          <w:sz w:val="24"/>
          <w:szCs w:val="24"/>
          <w:lang w:eastAsia="en-GB"/>
        </w:rPr>
        <w:t>The demographic transition reconsidered.</w:t>
      </w:r>
      <w:r w:rsidRPr="00E50911">
        <w:rPr>
          <w:sz w:val="24"/>
          <w:szCs w:val="24"/>
        </w:rPr>
        <w:t xml:space="preserve"> In Proceedings of the international population conference. Liège: Editions Ordina.</w:t>
      </w:r>
    </w:p>
    <w:p w:rsidR="008146BD" w:rsidRPr="005E2FA4" w:rsidRDefault="008146BD" w:rsidP="006969C1">
      <w:pPr>
        <w:keepNext/>
        <w:widowControl w:val="0"/>
        <w:suppressLineNumbers/>
        <w:spacing w:after="120"/>
        <w:jc w:val="both"/>
        <w:rPr>
          <w:sz w:val="24"/>
          <w:szCs w:val="24"/>
          <w:lang w:val="en-GB"/>
        </w:rPr>
      </w:pPr>
      <w:r w:rsidRPr="005E2FA4">
        <w:rPr>
          <w:caps/>
          <w:sz w:val="24"/>
          <w:szCs w:val="24"/>
          <w:lang w:val="en-GB"/>
        </w:rPr>
        <w:t>Cornell University, INSEAD,</w:t>
      </w:r>
      <w:r w:rsidRPr="005E2FA4">
        <w:rPr>
          <w:sz w:val="24"/>
          <w:szCs w:val="24"/>
          <w:lang w:val="en-GB"/>
        </w:rPr>
        <w:t xml:space="preserve"> WIPO (2013): The Global Innovation Index 2013. </w:t>
      </w:r>
      <w:proofErr w:type="gramStart"/>
      <w:r w:rsidRPr="005E2FA4">
        <w:rPr>
          <w:sz w:val="24"/>
          <w:szCs w:val="24"/>
          <w:lang w:val="en-GB"/>
        </w:rPr>
        <w:t>The</w:t>
      </w:r>
      <w:r>
        <w:rPr>
          <w:sz w:val="24"/>
          <w:szCs w:val="24"/>
          <w:lang w:val="en-GB"/>
        </w:rPr>
        <w:t xml:space="preserve"> </w:t>
      </w:r>
      <w:r w:rsidRPr="005E2FA4">
        <w:rPr>
          <w:sz w:val="24"/>
          <w:szCs w:val="24"/>
          <w:lang w:val="en-GB"/>
        </w:rPr>
        <w:t>Local Dynamics of Innovation.</w:t>
      </w:r>
      <w:proofErr w:type="gramEnd"/>
      <w:r w:rsidRPr="005E2FA4">
        <w:rPr>
          <w:sz w:val="24"/>
          <w:szCs w:val="24"/>
          <w:lang w:val="en-GB"/>
        </w:rPr>
        <w:t xml:space="preserve"> </w:t>
      </w:r>
      <w:proofErr w:type="gramStart"/>
      <w:r w:rsidRPr="005E2FA4">
        <w:rPr>
          <w:sz w:val="24"/>
          <w:szCs w:val="24"/>
          <w:lang w:val="en-GB"/>
        </w:rPr>
        <w:t>Geneva, Ithaca and Fontainebleau</w:t>
      </w:r>
      <w:r>
        <w:rPr>
          <w:sz w:val="24"/>
          <w:szCs w:val="24"/>
          <w:lang w:val="en-GB"/>
        </w:rPr>
        <w:t>.</w:t>
      </w:r>
      <w:proofErr w:type="gramEnd"/>
      <w:r w:rsidRPr="005E2FA4">
        <w:rPr>
          <w:sz w:val="24"/>
          <w:szCs w:val="24"/>
          <w:lang w:val="en-GB"/>
        </w:rPr>
        <w:t xml:space="preserve"> </w:t>
      </w:r>
    </w:p>
    <w:p w:rsidR="008146BD" w:rsidRPr="008A430C" w:rsidRDefault="008146BD" w:rsidP="006969C1">
      <w:pPr>
        <w:keepNext/>
        <w:widowControl w:val="0"/>
        <w:suppressLineNumbers/>
        <w:spacing w:after="120"/>
        <w:jc w:val="both"/>
        <w:rPr>
          <w:rFonts w:cs="TimesNewRomanPSMT"/>
          <w:sz w:val="24"/>
          <w:szCs w:val="24"/>
        </w:rPr>
      </w:pPr>
      <w:r w:rsidRPr="00E50911">
        <w:rPr>
          <w:rFonts w:cs="TimesNewRomanPSMT"/>
          <w:sz w:val="24"/>
          <w:szCs w:val="24"/>
        </w:rPr>
        <w:t xml:space="preserve">DIKHANOV, Y., WARD, M. (2003). Evolution of the global distribution of income in 1970–99. In Proceedings of the Global Poverty Workshop, Initiative for Policy Dialogue, Columbia </w:t>
      </w:r>
      <w:r w:rsidRPr="008A430C">
        <w:rPr>
          <w:rFonts w:cs="TimesNewRomanPSMT"/>
          <w:sz w:val="24"/>
          <w:szCs w:val="24"/>
        </w:rPr>
        <w:t xml:space="preserve">University. </w:t>
      </w:r>
    </w:p>
    <w:p w:rsidR="008146BD" w:rsidRPr="008A430C" w:rsidRDefault="008146BD" w:rsidP="006969C1">
      <w:pPr>
        <w:keepNext/>
        <w:spacing w:after="120"/>
        <w:jc w:val="both"/>
        <w:rPr>
          <w:sz w:val="24"/>
          <w:szCs w:val="24"/>
        </w:rPr>
      </w:pPr>
      <w:r w:rsidRPr="008A430C">
        <w:rPr>
          <w:caps/>
          <w:sz w:val="24"/>
          <w:szCs w:val="24"/>
        </w:rPr>
        <w:t>Evan,</w:t>
      </w:r>
      <w:r w:rsidRPr="008A430C">
        <w:rPr>
          <w:sz w:val="24"/>
          <w:szCs w:val="24"/>
        </w:rPr>
        <w:t xml:space="preserve"> T. (2010): Některé otázky politické ekonomie nadnárodních společností.</w:t>
      </w:r>
      <w:r w:rsidRPr="008A430C">
        <w:rPr>
          <w:i/>
          <w:sz w:val="24"/>
          <w:szCs w:val="24"/>
        </w:rPr>
        <w:t xml:space="preserve"> Acta Oeconomica Pragensia</w:t>
      </w:r>
      <w:r w:rsidRPr="008A430C">
        <w:rPr>
          <w:sz w:val="24"/>
          <w:szCs w:val="24"/>
        </w:rPr>
        <w:t xml:space="preserve">, roč. 18, č. 4, s. 32-43. </w:t>
      </w:r>
    </w:p>
    <w:p w:rsidR="008146BD" w:rsidRPr="00E50911" w:rsidRDefault="008146BD" w:rsidP="006969C1">
      <w:pPr>
        <w:keepNext/>
        <w:widowControl w:val="0"/>
        <w:suppressLineNumbers/>
        <w:spacing w:after="120"/>
        <w:jc w:val="both"/>
        <w:rPr>
          <w:rFonts w:cs="TimesNewRomanPSMT"/>
          <w:sz w:val="24"/>
          <w:szCs w:val="24"/>
        </w:rPr>
      </w:pPr>
      <w:r w:rsidRPr="00E50911">
        <w:rPr>
          <w:rFonts w:cs="TimesNewRomanPSMT"/>
          <w:sz w:val="24"/>
          <w:szCs w:val="24"/>
        </w:rPr>
        <w:t xml:space="preserve">EZCURRA, R., RODRIGUEZ-POSE, A. (2013): Does Economic Globalization affects Regional Inequality? </w:t>
      </w:r>
      <w:r w:rsidRPr="00E50911">
        <w:rPr>
          <w:rFonts w:cs="TimesNewRomanPSMT"/>
          <w:i/>
          <w:sz w:val="24"/>
          <w:szCs w:val="24"/>
        </w:rPr>
        <w:t>World Development</w:t>
      </w:r>
      <w:r w:rsidRPr="00E50911">
        <w:rPr>
          <w:rFonts w:cs="TimesNewRomanPSMT"/>
          <w:sz w:val="24"/>
          <w:szCs w:val="24"/>
        </w:rPr>
        <w:t>, vol. 52, pp. 92-103.</w:t>
      </w:r>
    </w:p>
    <w:p w:rsidR="008146BD" w:rsidRPr="00E50911" w:rsidRDefault="008146BD" w:rsidP="006969C1">
      <w:pPr>
        <w:keepNext/>
        <w:widowControl w:val="0"/>
        <w:suppressLineNumbers/>
        <w:autoSpaceDE w:val="0"/>
        <w:autoSpaceDN w:val="0"/>
        <w:adjustRightInd w:val="0"/>
        <w:spacing w:after="120"/>
        <w:jc w:val="both"/>
        <w:rPr>
          <w:sz w:val="24"/>
          <w:szCs w:val="24"/>
        </w:rPr>
      </w:pPr>
      <w:r w:rsidRPr="00E50911">
        <w:rPr>
          <w:sz w:val="24"/>
          <w:szCs w:val="24"/>
        </w:rPr>
        <w:t>G</w:t>
      </w:r>
      <w:r w:rsidRPr="00E50911">
        <w:rPr>
          <w:caps/>
          <w:sz w:val="24"/>
          <w:szCs w:val="24"/>
        </w:rPr>
        <w:t>iddens, A</w:t>
      </w:r>
      <w:r w:rsidRPr="00E50911">
        <w:rPr>
          <w:sz w:val="24"/>
          <w:szCs w:val="24"/>
        </w:rPr>
        <w:t>. (2003): Důsledky modernity. Praha: Sociologické nakladatelství SLON.</w:t>
      </w:r>
    </w:p>
    <w:p w:rsidR="008146BD" w:rsidRPr="00E50911" w:rsidRDefault="008146BD" w:rsidP="006969C1">
      <w:pPr>
        <w:keepNext/>
        <w:widowControl w:val="0"/>
        <w:suppressLineNumbers/>
        <w:autoSpaceDE w:val="0"/>
        <w:autoSpaceDN w:val="0"/>
        <w:adjustRightInd w:val="0"/>
        <w:spacing w:after="120"/>
        <w:jc w:val="both"/>
        <w:rPr>
          <w:sz w:val="24"/>
          <w:szCs w:val="24"/>
        </w:rPr>
      </w:pPr>
      <w:r w:rsidRPr="00E50911">
        <w:rPr>
          <w:caps/>
          <w:sz w:val="24"/>
          <w:szCs w:val="24"/>
        </w:rPr>
        <w:t>Hitzgerová, G.</w:t>
      </w:r>
      <w:r w:rsidRPr="00E50911">
        <w:rPr>
          <w:sz w:val="24"/>
          <w:szCs w:val="24"/>
        </w:rPr>
        <w:t xml:space="preserve"> (2000):  Instit</w:t>
      </w:r>
      <w:r>
        <w:rPr>
          <w:sz w:val="24"/>
          <w:szCs w:val="24"/>
        </w:rPr>
        <w:t>u</w:t>
      </w:r>
      <w:r w:rsidRPr="00E50911">
        <w:rPr>
          <w:sz w:val="24"/>
          <w:szCs w:val="24"/>
        </w:rPr>
        <w:t>ce ve světové ekonomice (učební text). Praha: VŠE.</w:t>
      </w:r>
    </w:p>
    <w:p w:rsidR="008146BD" w:rsidRPr="00E50911" w:rsidRDefault="008146BD" w:rsidP="006969C1">
      <w:pPr>
        <w:keepNext/>
        <w:widowControl w:val="0"/>
        <w:suppressLineNumbers/>
        <w:autoSpaceDE w:val="0"/>
        <w:autoSpaceDN w:val="0"/>
        <w:adjustRightInd w:val="0"/>
        <w:spacing w:after="120"/>
        <w:jc w:val="both"/>
        <w:rPr>
          <w:sz w:val="24"/>
          <w:szCs w:val="24"/>
        </w:rPr>
      </w:pPr>
      <w:r w:rsidRPr="00AF61CF">
        <w:rPr>
          <w:rFonts w:eastAsia="Calibri"/>
          <w:caps/>
          <w:sz w:val="24"/>
          <w:szCs w:val="24"/>
        </w:rPr>
        <w:t>Holman, R. a kol.</w:t>
      </w:r>
      <w:r w:rsidRPr="00AF61CF">
        <w:rPr>
          <w:rFonts w:eastAsia="Calibri"/>
          <w:sz w:val="24"/>
          <w:szCs w:val="24"/>
        </w:rPr>
        <w:t xml:space="preserve"> (2005): Dějiny ekonomického myšlení. Praha: C. H. Beck</w:t>
      </w:r>
      <w:r w:rsidRPr="00B06500">
        <w:rPr>
          <w:rFonts w:eastAsia="Calibri"/>
          <w:sz w:val="24"/>
          <w:szCs w:val="24"/>
        </w:rPr>
        <w:t>.</w:t>
      </w:r>
      <w:r w:rsidRPr="00B06500">
        <w:rPr>
          <w:caps/>
          <w:sz w:val="24"/>
          <w:szCs w:val="24"/>
        </w:rPr>
        <w:t xml:space="preserve"> </w:t>
      </w:r>
      <w:r w:rsidRPr="00E50911">
        <w:rPr>
          <w:caps/>
          <w:sz w:val="24"/>
          <w:szCs w:val="24"/>
        </w:rPr>
        <w:t>huntington, s</w:t>
      </w:r>
      <w:r w:rsidRPr="00E50911">
        <w:rPr>
          <w:sz w:val="24"/>
          <w:szCs w:val="24"/>
        </w:rPr>
        <w:t>. (2001): Střet civilizací, boj kultur a proměna světového řádu. Praha: Rybka publishers.</w:t>
      </w:r>
    </w:p>
    <w:p w:rsidR="008146BD" w:rsidRDefault="008146BD" w:rsidP="006969C1">
      <w:pPr>
        <w:keepNext/>
        <w:widowControl w:val="0"/>
        <w:suppressLineNumbers/>
        <w:shd w:val="clear" w:color="auto" w:fill="FFFFFF"/>
        <w:spacing w:after="120"/>
        <w:jc w:val="both"/>
        <w:outlineLvl w:val="1"/>
        <w:rPr>
          <w:sz w:val="24"/>
          <w:szCs w:val="24"/>
          <w:lang w:eastAsia="en-GB"/>
        </w:rPr>
      </w:pPr>
      <w:r w:rsidRPr="00E50911">
        <w:rPr>
          <w:caps/>
          <w:sz w:val="24"/>
          <w:szCs w:val="24"/>
          <w:lang w:eastAsia="en-GB"/>
        </w:rPr>
        <w:t xml:space="preserve">lee, R. </w:t>
      </w:r>
      <w:r w:rsidRPr="00E50911">
        <w:rPr>
          <w:sz w:val="24"/>
          <w:szCs w:val="24"/>
          <w:lang w:eastAsia="en-GB"/>
        </w:rPr>
        <w:t>(2003):</w:t>
      </w:r>
      <w:r w:rsidRPr="00E50911">
        <w:rPr>
          <w:bCs/>
          <w:kern w:val="36"/>
          <w:sz w:val="24"/>
          <w:szCs w:val="24"/>
          <w:lang w:eastAsia="en-GB"/>
        </w:rPr>
        <w:t xml:space="preserve"> The Demographic Transition: Three Centuries of Fundamental Change. Journal of Economic Perspective,</w:t>
      </w:r>
      <w:r w:rsidRPr="00E50911">
        <w:rPr>
          <w:sz w:val="24"/>
          <w:szCs w:val="24"/>
          <w:lang w:eastAsia="en-GB"/>
        </w:rPr>
        <w:t xml:space="preserve"> 4, pp. 167-190. </w:t>
      </w:r>
    </w:p>
    <w:p w:rsidR="008146BD" w:rsidRPr="007448D0" w:rsidRDefault="008146BD" w:rsidP="006969C1">
      <w:pPr>
        <w:keepNext/>
        <w:widowControl w:val="0"/>
        <w:suppressLineNumbers/>
        <w:shd w:val="clear" w:color="auto" w:fill="FFFFFF"/>
        <w:spacing w:after="120"/>
        <w:jc w:val="both"/>
        <w:outlineLvl w:val="1"/>
        <w:rPr>
          <w:sz w:val="24"/>
          <w:szCs w:val="24"/>
          <w:lang w:eastAsia="en-GB"/>
        </w:rPr>
      </w:pPr>
      <w:r w:rsidRPr="007448D0">
        <w:rPr>
          <w:caps/>
          <w:sz w:val="24"/>
          <w:szCs w:val="24"/>
        </w:rPr>
        <w:t>Lněnička, L.</w:t>
      </w:r>
      <w:r w:rsidRPr="007448D0">
        <w:rPr>
          <w:sz w:val="24"/>
          <w:szCs w:val="24"/>
        </w:rPr>
        <w:t xml:space="preserve"> (2014)</w:t>
      </w:r>
      <w:r w:rsidRPr="007448D0">
        <w:rPr>
          <w:caps/>
          <w:sz w:val="24"/>
          <w:szCs w:val="24"/>
        </w:rPr>
        <w:t>:</w:t>
      </w:r>
      <w:r w:rsidRPr="007448D0">
        <w:rPr>
          <w:sz w:val="24"/>
          <w:szCs w:val="24"/>
        </w:rPr>
        <w:t xml:space="preserve"> Vybrané texty z politické geografie. Brno: Masarykova univerzita. </w:t>
      </w:r>
    </w:p>
    <w:p w:rsidR="008146BD" w:rsidRPr="00E50911" w:rsidRDefault="008146BD" w:rsidP="006969C1">
      <w:pPr>
        <w:keepNext/>
        <w:widowControl w:val="0"/>
        <w:suppressLineNumbers/>
        <w:autoSpaceDE w:val="0"/>
        <w:autoSpaceDN w:val="0"/>
        <w:adjustRightInd w:val="0"/>
        <w:spacing w:after="120"/>
        <w:jc w:val="both"/>
        <w:rPr>
          <w:caps/>
          <w:sz w:val="24"/>
          <w:szCs w:val="24"/>
        </w:rPr>
      </w:pPr>
      <w:r w:rsidRPr="00E50911">
        <w:rPr>
          <w:caps/>
          <w:sz w:val="24"/>
          <w:szCs w:val="24"/>
        </w:rPr>
        <w:lastRenderedPageBreak/>
        <w:t>kalibová, K. (1997): Ú</w:t>
      </w:r>
      <w:r w:rsidRPr="00E50911">
        <w:rPr>
          <w:sz w:val="24"/>
          <w:szCs w:val="24"/>
        </w:rPr>
        <w:t>vod do demografie. Praha: Karolinum.</w:t>
      </w:r>
    </w:p>
    <w:p w:rsidR="008146BD" w:rsidRPr="008A430C" w:rsidRDefault="008146BD" w:rsidP="006969C1">
      <w:pPr>
        <w:keepNext/>
        <w:spacing w:after="120"/>
        <w:jc w:val="both"/>
        <w:rPr>
          <w:sz w:val="24"/>
          <w:szCs w:val="24"/>
        </w:rPr>
      </w:pPr>
      <w:r w:rsidRPr="008A430C">
        <w:rPr>
          <w:caps/>
          <w:sz w:val="24"/>
          <w:szCs w:val="24"/>
        </w:rPr>
        <w:t>Kislingerová, E., Nový</w:t>
      </w:r>
      <w:r w:rsidRPr="008A430C">
        <w:rPr>
          <w:sz w:val="24"/>
          <w:szCs w:val="24"/>
        </w:rPr>
        <w:t xml:space="preserve">, I. (2005): Chování podniku v globalizujícím se prostředí. Praha: </w:t>
      </w:r>
      <w:proofErr w:type="gramStart"/>
      <w:r w:rsidRPr="008A430C">
        <w:rPr>
          <w:sz w:val="24"/>
          <w:szCs w:val="24"/>
        </w:rPr>
        <w:t>C.H.</w:t>
      </w:r>
      <w:proofErr w:type="gramEnd"/>
      <w:r w:rsidRPr="008A430C">
        <w:rPr>
          <w:sz w:val="24"/>
          <w:szCs w:val="24"/>
        </w:rPr>
        <w:t xml:space="preserve"> Beck..</w:t>
      </w:r>
    </w:p>
    <w:p w:rsidR="008146BD" w:rsidRPr="008A430C" w:rsidRDefault="008146BD" w:rsidP="006969C1">
      <w:pPr>
        <w:keepNext/>
        <w:widowControl w:val="0"/>
        <w:suppressLineNumbers/>
        <w:spacing w:after="120"/>
        <w:jc w:val="both"/>
        <w:rPr>
          <w:rFonts w:eastAsia="Calibri"/>
          <w:sz w:val="24"/>
          <w:szCs w:val="24"/>
        </w:rPr>
      </w:pPr>
      <w:r w:rsidRPr="008A430C">
        <w:rPr>
          <w:rFonts w:eastAsia="Calibri"/>
          <w:caps/>
          <w:sz w:val="24"/>
          <w:szCs w:val="24"/>
        </w:rPr>
        <w:t>Kliková, Ch., Kotlán, I. a kol.</w:t>
      </w:r>
      <w:r w:rsidRPr="008A430C">
        <w:rPr>
          <w:rFonts w:eastAsia="Calibri"/>
          <w:sz w:val="24"/>
          <w:szCs w:val="24"/>
        </w:rPr>
        <w:t xml:space="preserve"> (2012): Hospodářská politika. Ostrava: Sokrates. </w:t>
      </w:r>
    </w:p>
    <w:p w:rsidR="008146BD" w:rsidRPr="00AF61CF" w:rsidRDefault="008146BD" w:rsidP="006969C1">
      <w:pPr>
        <w:keepNext/>
        <w:widowControl w:val="0"/>
        <w:suppressLineNumbers/>
        <w:spacing w:after="120"/>
        <w:jc w:val="both"/>
        <w:rPr>
          <w:rFonts w:eastAsia="Calibri"/>
          <w:sz w:val="24"/>
          <w:szCs w:val="24"/>
        </w:rPr>
      </w:pPr>
      <w:r w:rsidRPr="00AF61CF">
        <w:rPr>
          <w:rFonts w:eastAsia="Calibri"/>
          <w:caps/>
          <w:sz w:val="24"/>
          <w:szCs w:val="24"/>
        </w:rPr>
        <w:t>Lebiedzik, M., Nezval, P., Majerová, I.</w:t>
      </w:r>
      <w:r w:rsidRPr="00AF61CF">
        <w:rPr>
          <w:rFonts w:eastAsia="Calibri"/>
          <w:sz w:val="24"/>
          <w:szCs w:val="24"/>
        </w:rPr>
        <w:t xml:space="preserve"> (2006): Světová ekonomika. Brno: Computer Press</w:t>
      </w:r>
      <w:r w:rsidRPr="00B06500">
        <w:rPr>
          <w:rFonts w:eastAsia="Calibri"/>
          <w:sz w:val="24"/>
          <w:szCs w:val="24"/>
        </w:rPr>
        <w:t>.</w:t>
      </w:r>
    </w:p>
    <w:p w:rsidR="008146BD" w:rsidRPr="00E50911" w:rsidRDefault="008146BD" w:rsidP="006969C1">
      <w:pPr>
        <w:keepNext/>
        <w:widowControl w:val="0"/>
        <w:suppressLineNumbers/>
        <w:spacing w:after="120"/>
        <w:jc w:val="both"/>
        <w:rPr>
          <w:rFonts w:cs="TimesNewRomanPSMT"/>
          <w:sz w:val="24"/>
          <w:szCs w:val="24"/>
        </w:rPr>
      </w:pPr>
      <w:r w:rsidRPr="00E50911">
        <w:rPr>
          <w:rFonts w:cs="TimesNewRomanPSMT"/>
          <w:sz w:val="24"/>
          <w:szCs w:val="24"/>
        </w:rPr>
        <w:t>MADISON, A. (2001). The world economy: a millennial perspective. Paris: OECD.</w:t>
      </w:r>
    </w:p>
    <w:p w:rsidR="008146BD" w:rsidRPr="00E50911" w:rsidRDefault="008146BD" w:rsidP="006969C1">
      <w:pPr>
        <w:keepNext/>
        <w:widowControl w:val="0"/>
        <w:suppressLineNumbers/>
        <w:spacing w:after="120"/>
        <w:jc w:val="both"/>
        <w:rPr>
          <w:rFonts w:cs="TimesNewRomanPSMT"/>
          <w:sz w:val="24"/>
          <w:szCs w:val="24"/>
        </w:rPr>
      </w:pPr>
      <w:r w:rsidRPr="00E50911">
        <w:rPr>
          <w:rFonts w:cs="TimesNewRomanPSMT"/>
          <w:sz w:val="24"/>
          <w:szCs w:val="24"/>
        </w:rPr>
        <w:t>MILANOVIC, B. (2005). Half a world: regional inequality in five great federations. Washington: World Bank policy research working paper no. 3699.</w:t>
      </w:r>
    </w:p>
    <w:p w:rsidR="008146BD" w:rsidRPr="00E50911" w:rsidRDefault="008146BD" w:rsidP="006969C1">
      <w:pPr>
        <w:keepNext/>
        <w:widowControl w:val="0"/>
        <w:suppressLineNumbers/>
        <w:autoSpaceDE w:val="0"/>
        <w:autoSpaceDN w:val="0"/>
        <w:adjustRightInd w:val="0"/>
        <w:spacing w:after="120"/>
        <w:jc w:val="both"/>
        <w:rPr>
          <w:sz w:val="24"/>
          <w:szCs w:val="24"/>
        </w:rPr>
      </w:pPr>
      <w:r w:rsidRPr="00E50911">
        <w:rPr>
          <w:caps/>
          <w:sz w:val="24"/>
          <w:szCs w:val="24"/>
        </w:rPr>
        <w:t>Morgenthau,</w:t>
      </w:r>
      <w:r w:rsidRPr="00E50911">
        <w:rPr>
          <w:sz w:val="24"/>
          <w:szCs w:val="24"/>
        </w:rPr>
        <w:t xml:space="preserve"> H. (1993): Politics Among Nations: The Struggle for Power and Peace. Boston: McGraw-Hill,</w:t>
      </w:r>
    </w:p>
    <w:p w:rsidR="008146BD" w:rsidRPr="00E50911" w:rsidRDefault="008146BD" w:rsidP="006969C1">
      <w:pPr>
        <w:keepNext/>
        <w:widowControl w:val="0"/>
        <w:suppressLineNumbers/>
        <w:spacing w:after="120"/>
        <w:jc w:val="both"/>
        <w:rPr>
          <w:rFonts w:cs="TimesNewRomanPSMT"/>
          <w:sz w:val="24"/>
          <w:szCs w:val="24"/>
        </w:rPr>
      </w:pPr>
      <w:r w:rsidRPr="00E50911">
        <w:rPr>
          <w:rFonts w:cs="TimesNewRomanPSMT"/>
          <w:sz w:val="24"/>
          <w:szCs w:val="24"/>
        </w:rPr>
        <w:t xml:space="preserve">NISSANKE, M., THORBECKE, E. (2006). Channels and Policy Debate in the Globalization-Inequality-Poverty Nexus. </w:t>
      </w:r>
      <w:r w:rsidRPr="00E50911">
        <w:rPr>
          <w:rFonts w:cs="TimesNewRomanPSMT"/>
          <w:i/>
          <w:sz w:val="24"/>
          <w:szCs w:val="24"/>
        </w:rPr>
        <w:t>World Development</w:t>
      </w:r>
      <w:r w:rsidRPr="00E50911">
        <w:rPr>
          <w:rFonts w:cs="TimesNewRomanPSMT"/>
          <w:sz w:val="24"/>
          <w:szCs w:val="24"/>
        </w:rPr>
        <w:t xml:space="preserve"> Vol. 34, No. 8, pp. 1338–1360. </w:t>
      </w:r>
    </w:p>
    <w:p w:rsidR="008146BD" w:rsidRPr="00E50911" w:rsidRDefault="008146BD" w:rsidP="006969C1">
      <w:pPr>
        <w:keepNext/>
        <w:widowControl w:val="0"/>
        <w:suppressLineNumbers/>
        <w:spacing w:after="120"/>
        <w:jc w:val="both"/>
        <w:rPr>
          <w:rFonts w:cs="TimesNewRomanPSMT"/>
          <w:sz w:val="24"/>
          <w:szCs w:val="24"/>
        </w:rPr>
      </w:pPr>
      <w:r w:rsidRPr="00E50911">
        <w:rPr>
          <w:rFonts w:cs="TimesNewRomanPSMT"/>
          <w:sz w:val="24"/>
          <w:szCs w:val="24"/>
        </w:rPr>
        <w:t>OCÁSKOVÁ, K. (2006). Evropská migrace a multikulturní společnost. Brno: PedF MU.</w:t>
      </w:r>
    </w:p>
    <w:p w:rsidR="008146BD" w:rsidRPr="00E50911" w:rsidRDefault="008146BD" w:rsidP="006969C1">
      <w:pPr>
        <w:keepNext/>
        <w:widowControl w:val="0"/>
        <w:suppressLineNumbers/>
        <w:shd w:val="clear" w:color="auto" w:fill="FFFFFF"/>
        <w:spacing w:after="120"/>
        <w:jc w:val="both"/>
        <w:outlineLvl w:val="1"/>
        <w:rPr>
          <w:sz w:val="24"/>
          <w:szCs w:val="24"/>
          <w:lang w:eastAsia="en-GB"/>
        </w:rPr>
      </w:pPr>
      <w:r w:rsidRPr="00E50911">
        <w:rPr>
          <w:caps/>
          <w:sz w:val="24"/>
          <w:szCs w:val="24"/>
          <w:lang w:eastAsia="en-GB"/>
        </w:rPr>
        <w:t xml:space="preserve">pavlík, z. </w:t>
      </w:r>
      <w:r w:rsidRPr="00E50911">
        <w:rPr>
          <w:bCs/>
          <w:sz w:val="24"/>
          <w:szCs w:val="24"/>
        </w:rPr>
        <w:t xml:space="preserve">A </w:t>
      </w:r>
      <w:r w:rsidRPr="00E50911">
        <w:rPr>
          <w:caps/>
          <w:sz w:val="24"/>
          <w:szCs w:val="24"/>
          <w:lang w:eastAsia="en-GB"/>
        </w:rPr>
        <w:t xml:space="preserve">Kol. </w:t>
      </w:r>
      <w:r w:rsidRPr="00E50911">
        <w:rPr>
          <w:sz w:val="24"/>
          <w:szCs w:val="24"/>
          <w:lang w:eastAsia="en-GB"/>
        </w:rPr>
        <w:t>(1999):</w:t>
      </w:r>
      <w:r w:rsidRPr="00E50911">
        <w:rPr>
          <w:bCs/>
          <w:kern w:val="36"/>
          <w:sz w:val="24"/>
          <w:szCs w:val="24"/>
          <w:lang w:eastAsia="en-GB"/>
        </w:rPr>
        <w:t xml:space="preserve"> </w:t>
      </w:r>
      <w:r w:rsidRPr="00E50911">
        <w:rPr>
          <w:sz w:val="24"/>
          <w:szCs w:val="24"/>
        </w:rPr>
        <w:t>Populační vývoj České republiky. Praha: PřF UK.</w:t>
      </w:r>
    </w:p>
    <w:p w:rsidR="008146BD" w:rsidRPr="00E50911" w:rsidRDefault="008146BD" w:rsidP="006969C1">
      <w:pPr>
        <w:keepNext/>
        <w:widowControl w:val="0"/>
        <w:suppressLineNumbers/>
        <w:autoSpaceDE w:val="0"/>
        <w:autoSpaceDN w:val="0"/>
        <w:adjustRightInd w:val="0"/>
        <w:spacing w:after="120"/>
        <w:jc w:val="both"/>
        <w:rPr>
          <w:bCs/>
          <w:sz w:val="24"/>
          <w:szCs w:val="24"/>
        </w:rPr>
      </w:pPr>
      <w:r w:rsidRPr="00E50911">
        <w:rPr>
          <w:bCs/>
          <w:sz w:val="24"/>
          <w:szCs w:val="24"/>
        </w:rPr>
        <w:t>PAVLÍK, P. (2000): Integrační procesy ve světě. In Jehlička, P., Tomeš, J., Daněk, P. (eds.)</w:t>
      </w:r>
    </w:p>
    <w:p w:rsidR="008146BD" w:rsidRPr="00E50911" w:rsidRDefault="008146BD" w:rsidP="006969C1">
      <w:pPr>
        <w:keepNext/>
        <w:widowControl w:val="0"/>
        <w:suppressLineNumbers/>
        <w:autoSpaceDE w:val="0"/>
        <w:autoSpaceDN w:val="0"/>
        <w:adjustRightInd w:val="0"/>
        <w:spacing w:after="120"/>
        <w:jc w:val="both"/>
        <w:rPr>
          <w:bCs/>
          <w:sz w:val="24"/>
          <w:szCs w:val="24"/>
        </w:rPr>
      </w:pPr>
      <w:r w:rsidRPr="00E50911">
        <w:rPr>
          <w:bCs/>
          <w:sz w:val="24"/>
          <w:szCs w:val="24"/>
        </w:rPr>
        <w:t>Stát, prostor, politika. Praha: PřF UK, s. 200-221.</w:t>
      </w:r>
    </w:p>
    <w:p w:rsidR="008146BD" w:rsidRPr="00AF61CF" w:rsidRDefault="008146BD" w:rsidP="006969C1">
      <w:pPr>
        <w:keepNext/>
        <w:widowControl w:val="0"/>
        <w:suppressLineNumbers/>
        <w:spacing w:after="120"/>
        <w:jc w:val="both"/>
        <w:rPr>
          <w:rFonts w:eastAsia="Calibri"/>
          <w:sz w:val="24"/>
          <w:szCs w:val="24"/>
        </w:rPr>
      </w:pPr>
      <w:r w:rsidRPr="00AF61CF">
        <w:rPr>
          <w:rFonts w:eastAsia="Calibri"/>
          <w:caps/>
          <w:sz w:val="24"/>
          <w:szCs w:val="24"/>
        </w:rPr>
        <w:t>Pipek, J. a kol.</w:t>
      </w:r>
      <w:r w:rsidRPr="00AF61CF">
        <w:rPr>
          <w:rFonts w:eastAsia="Calibri"/>
          <w:sz w:val="24"/>
          <w:szCs w:val="24"/>
        </w:rPr>
        <w:t xml:space="preserve"> (1996): Mezinárodní obchod. Praha: Vysoká škola ekonomická</w:t>
      </w:r>
      <w:r w:rsidRPr="00B06500">
        <w:rPr>
          <w:rFonts w:eastAsia="Calibri"/>
          <w:sz w:val="24"/>
          <w:szCs w:val="24"/>
        </w:rPr>
        <w:t>.</w:t>
      </w:r>
    </w:p>
    <w:p w:rsidR="008146BD" w:rsidRPr="00AF61CF" w:rsidRDefault="008146BD" w:rsidP="006969C1">
      <w:pPr>
        <w:keepNext/>
        <w:widowControl w:val="0"/>
        <w:suppressLineNumbers/>
        <w:spacing w:after="120"/>
        <w:jc w:val="both"/>
        <w:rPr>
          <w:rFonts w:eastAsia="Calibri"/>
          <w:sz w:val="24"/>
          <w:szCs w:val="24"/>
        </w:rPr>
      </w:pPr>
      <w:r w:rsidRPr="00AF61CF">
        <w:rPr>
          <w:rFonts w:eastAsia="Calibri"/>
          <w:caps/>
          <w:sz w:val="24"/>
          <w:szCs w:val="24"/>
        </w:rPr>
        <w:t>Samuelson, P.</w:t>
      </w:r>
      <w:r w:rsidRPr="00B06500">
        <w:rPr>
          <w:rFonts w:eastAsia="Calibri"/>
          <w:caps/>
          <w:sz w:val="24"/>
          <w:szCs w:val="24"/>
        </w:rPr>
        <w:t>,</w:t>
      </w:r>
      <w:r w:rsidRPr="00AF61CF">
        <w:rPr>
          <w:rFonts w:eastAsia="Calibri"/>
          <w:caps/>
          <w:sz w:val="24"/>
          <w:szCs w:val="24"/>
        </w:rPr>
        <w:t xml:space="preserve"> Nordhaus, W</w:t>
      </w:r>
      <w:r w:rsidRPr="00B06500">
        <w:rPr>
          <w:rFonts w:eastAsia="Calibri"/>
          <w:caps/>
          <w:sz w:val="24"/>
          <w:szCs w:val="24"/>
        </w:rPr>
        <w:t xml:space="preserve">. </w:t>
      </w:r>
      <w:r w:rsidRPr="00AF61CF">
        <w:rPr>
          <w:rFonts w:eastAsia="Calibri"/>
          <w:sz w:val="24"/>
          <w:szCs w:val="24"/>
        </w:rPr>
        <w:t>(1991): Ekonomie. Praha: Svoboda</w:t>
      </w:r>
      <w:r w:rsidRPr="00B06500">
        <w:rPr>
          <w:rFonts w:eastAsia="Calibri"/>
          <w:sz w:val="24"/>
          <w:szCs w:val="24"/>
        </w:rPr>
        <w:t>.</w:t>
      </w:r>
    </w:p>
    <w:p w:rsidR="008146BD" w:rsidRPr="00E50911" w:rsidRDefault="008146BD" w:rsidP="006969C1">
      <w:pPr>
        <w:keepNext/>
        <w:keepLines/>
        <w:widowControl w:val="0"/>
        <w:suppressLineNumbers/>
        <w:spacing w:after="120"/>
        <w:jc w:val="both"/>
        <w:rPr>
          <w:rFonts w:ascii="Calibri" w:eastAsia="Calibri" w:hAnsi="Calibri" w:cs="Calibri"/>
          <w:b/>
          <w:color w:val="FF0000"/>
          <w:sz w:val="24"/>
          <w:szCs w:val="24"/>
        </w:rPr>
      </w:pPr>
      <w:r w:rsidRPr="00E50911">
        <w:rPr>
          <w:rFonts w:eastAsia="Batang"/>
          <w:bCs/>
          <w:caps/>
          <w:kern w:val="32"/>
          <w:sz w:val="24"/>
          <w:szCs w:val="24"/>
          <w:lang w:eastAsia="ar-SA"/>
        </w:rPr>
        <w:t>Schmitter,</w:t>
      </w:r>
      <w:r w:rsidRPr="00E50911">
        <w:rPr>
          <w:rFonts w:eastAsia="Batang"/>
          <w:bCs/>
          <w:kern w:val="32"/>
          <w:sz w:val="24"/>
          <w:szCs w:val="24"/>
          <w:lang w:eastAsia="ar-SA"/>
        </w:rPr>
        <w:t xml:space="preserve"> P. (2005):  Neo-neofunkcionalism. In Wiener, A., Diez, T. (eds.) European Integration Theory. Oxford: Oxford University Press, pp 45-74. </w:t>
      </w:r>
    </w:p>
    <w:p w:rsidR="008146BD" w:rsidRPr="005E2FA4" w:rsidRDefault="008146BD" w:rsidP="006969C1">
      <w:pPr>
        <w:keepNext/>
        <w:widowControl w:val="0"/>
        <w:suppressLineNumbers/>
        <w:spacing w:after="120"/>
        <w:jc w:val="both"/>
        <w:rPr>
          <w:sz w:val="24"/>
          <w:szCs w:val="24"/>
          <w:lang w:val="en-GB"/>
        </w:rPr>
      </w:pPr>
      <w:r w:rsidRPr="005E2FA4">
        <w:rPr>
          <w:caps/>
          <w:sz w:val="24"/>
          <w:szCs w:val="24"/>
          <w:lang w:val="en-GB"/>
        </w:rPr>
        <w:t>Schwab, K. Sala-i-Martín, X.</w:t>
      </w:r>
      <w:r w:rsidRPr="005E2FA4">
        <w:rPr>
          <w:sz w:val="24"/>
          <w:szCs w:val="24"/>
          <w:lang w:val="en-GB"/>
        </w:rPr>
        <w:t xml:space="preserve"> (2013): The Global Competitiveness Report 2013-2014. Geneva: World Economic Forum. </w:t>
      </w:r>
    </w:p>
    <w:p w:rsidR="008146BD" w:rsidRPr="00AF61CF" w:rsidRDefault="008146BD" w:rsidP="006969C1">
      <w:pPr>
        <w:keepNext/>
        <w:widowControl w:val="0"/>
        <w:suppressLineNumbers/>
        <w:spacing w:after="120"/>
        <w:jc w:val="both"/>
        <w:rPr>
          <w:rFonts w:eastAsia="Calibri"/>
          <w:sz w:val="24"/>
          <w:szCs w:val="24"/>
        </w:rPr>
      </w:pPr>
      <w:r w:rsidRPr="00AF61CF">
        <w:rPr>
          <w:rFonts w:eastAsia="Calibri"/>
          <w:caps/>
          <w:sz w:val="24"/>
          <w:szCs w:val="24"/>
        </w:rPr>
        <w:t>Smith, A.</w:t>
      </w:r>
      <w:r w:rsidRPr="00AF61CF">
        <w:rPr>
          <w:rFonts w:eastAsia="Calibri"/>
          <w:sz w:val="24"/>
          <w:szCs w:val="24"/>
        </w:rPr>
        <w:t xml:space="preserve"> (2001): Pojednání o podstatě a bohatství národů. Praha: Liberální institut</w:t>
      </w:r>
      <w:r w:rsidRPr="00B06500">
        <w:rPr>
          <w:rFonts w:eastAsia="Calibri"/>
          <w:sz w:val="24"/>
          <w:szCs w:val="24"/>
        </w:rPr>
        <w:t>.</w:t>
      </w:r>
      <w:r w:rsidRPr="00AF61CF">
        <w:rPr>
          <w:rFonts w:eastAsia="Calibri"/>
          <w:sz w:val="24"/>
          <w:szCs w:val="24"/>
        </w:rPr>
        <w:t xml:space="preserve"> </w:t>
      </w:r>
    </w:p>
    <w:p w:rsidR="008146BD" w:rsidRPr="00E50911" w:rsidRDefault="008146BD" w:rsidP="006969C1">
      <w:pPr>
        <w:keepNext/>
        <w:widowControl w:val="0"/>
        <w:suppressLineNumbers/>
        <w:spacing w:after="120"/>
        <w:jc w:val="both"/>
        <w:rPr>
          <w:bCs/>
          <w:sz w:val="24"/>
          <w:szCs w:val="24"/>
        </w:rPr>
      </w:pPr>
      <w:r w:rsidRPr="00E50911">
        <w:rPr>
          <w:bCs/>
          <w:caps/>
          <w:sz w:val="24"/>
          <w:szCs w:val="24"/>
        </w:rPr>
        <w:t>Stančíková</w:t>
      </w:r>
      <w:r w:rsidRPr="00E50911">
        <w:rPr>
          <w:bCs/>
          <w:sz w:val="24"/>
          <w:szCs w:val="24"/>
        </w:rPr>
        <w:t>, A. (2011): Obecné a dílčí teorie politicko-ekonomické integrace a jejich aplikace na příkladě EU (diplomová práce). ESF MU: Brno.</w:t>
      </w:r>
    </w:p>
    <w:p w:rsidR="008146BD" w:rsidRPr="008A430C" w:rsidRDefault="008146BD" w:rsidP="006969C1">
      <w:pPr>
        <w:keepNext/>
        <w:widowControl w:val="0"/>
        <w:suppressLineNumbers/>
        <w:spacing w:after="120"/>
        <w:jc w:val="both"/>
        <w:rPr>
          <w:rFonts w:cs="TimesNewRomanPSMT"/>
          <w:sz w:val="24"/>
          <w:szCs w:val="24"/>
        </w:rPr>
      </w:pPr>
      <w:r w:rsidRPr="00E50911">
        <w:rPr>
          <w:rFonts w:cs="TimesNewRomanPSMT"/>
          <w:sz w:val="24"/>
          <w:szCs w:val="24"/>
        </w:rPr>
        <w:t xml:space="preserve">ŠAŠINKA, P. (2012). Proměny osídlení na českém území ve 2. polovině 20. století </w:t>
      </w:r>
      <w:r w:rsidRPr="008A430C">
        <w:rPr>
          <w:rFonts w:cs="TimesNewRomanPSMT"/>
          <w:sz w:val="24"/>
          <w:szCs w:val="24"/>
        </w:rPr>
        <w:t>v kontextu zásadních společenskopolitických událostí (s důrazem na vývoj obecního zřízení). In Historická geografie, 2, s. 299 – 333.</w:t>
      </w:r>
    </w:p>
    <w:p w:rsidR="008146BD" w:rsidRPr="008A430C" w:rsidRDefault="008146BD" w:rsidP="006969C1">
      <w:pPr>
        <w:keepNext/>
        <w:spacing w:after="120"/>
        <w:jc w:val="both"/>
        <w:rPr>
          <w:sz w:val="24"/>
          <w:szCs w:val="24"/>
        </w:rPr>
      </w:pPr>
      <w:r w:rsidRPr="008A430C">
        <w:rPr>
          <w:caps/>
          <w:sz w:val="24"/>
          <w:szCs w:val="24"/>
        </w:rPr>
        <w:t>Ševela</w:t>
      </w:r>
      <w:r w:rsidRPr="008A430C">
        <w:rPr>
          <w:sz w:val="24"/>
          <w:szCs w:val="24"/>
        </w:rPr>
        <w:t xml:space="preserve">, M. (2003): Nadnárodní firmy v mezinárodním obchodu. In Agrární perspektivy XII. Praha: Česká zemědělská univerzita v Praze, s. 347-353. </w:t>
      </w:r>
    </w:p>
    <w:p w:rsidR="008146BD" w:rsidRPr="00E50911" w:rsidRDefault="008146BD" w:rsidP="006969C1">
      <w:pPr>
        <w:keepNext/>
        <w:widowControl w:val="0"/>
        <w:suppressLineNumbers/>
        <w:spacing w:after="120"/>
        <w:jc w:val="both"/>
        <w:rPr>
          <w:sz w:val="24"/>
          <w:szCs w:val="24"/>
          <w:lang w:eastAsia="en-GB"/>
        </w:rPr>
      </w:pPr>
      <w:r w:rsidRPr="008A430C">
        <w:rPr>
          <w:caps/>
          <w:sz w:val="24"/>
          <w:szCs w:val="24"/>
          <w:lang w:eastAsia="en-GB"/>
        </w:rPr>
        <w:t>Therborn, G.</w:t>
      </w:r>
      <w:r w:rsidRPr="008A430C">
        <w:rPr>
          <w:sz w:val="24"/>
          <w:szCs w:val="24"/>
          <w:lang w:eastAsia="en-GB"/>
        </w:rPr>
        <w:t xml:space="preserve"> (2000):</w:t>
      </w:r>
      <w:r w:rsidRPr="008A430C">
        <w:rPr>
          <w:bCs/>
          <w:kern w:val="36"/>
          <w:sz w:val="24"/>
          <w:szCs w:val="24"/>
          <w:lang w:eastAsia="en-GB"/>
        </w:rPr>
        <w:t xml:space="preserve"> Globalizations (d</w:t>
      </w:r>
      <w:r w:rsidRPr="008A430C">
        <w:rPr>
          <w:bCs/>
          <w:sz w:val="24"/>
          <w:szCs w:val="24"/>
          <w:lang w:eastAsia="en-GB"/>
        </w:rPr>
        <w:t xml:space="preserve">imensions, historical waves, regional effects, </w:t>
      </w:r>
      <w:r w:rsidRPr="00E50911">
        <w:rPr>
          <w:bCs/>
          <w:sz w:val="24"/>
          <w:szCs w:val="24"/>
          <w:lang w:eastAsia="en-GB"/>
        </w:rPr>
        <w:t xml:space="preserve">normative governance). </w:t>
      </w:r>
      <w:r w:rsidRPr="00E50911">
        <w:rPr>
          <w:sz w:val="24"/>
          <w:szCs w:val="24"/>
          <w:lang w:eastAsia="en-GB"/>
        </w:rPr>
        <w:t xml:space="preserve">International sociology, 2, pp. 151-179. </w:t>
      </w:r>
    </w:p>
    <w:p w:rsidR="008146BD" w:rsidRDefault="008146BD" w:rsidP="006969C1">
      <w:pPr>
        <w:keepNext/>
        <w:widowControl w:val="0"/>
        <w:suppressLineNumbers/>
        <w:spacing w:after="120"/>
        <w:jc w:val="both"/>
        <w:rPr>
          <w:rFonts w:cs="TimesNewRomanPSMT"/>
          <w:sz w:val="24"/>
          <w:szCs w:val="24"/>
        </w:rPr>
      </w:pPr>
      <w:r w:rsidRPr="00E50911">
        <w:rPr>
          <w:rFonts w:cs="TimesNewRomanPSMT"/>
          <w:sz w:val="24"/>
          <w:szCs w:val="24"/>
        </w:rPr>
        <w:t xml:space="preserve">VAŇKOVÁ, M. (2014): Komparativní analýza regionální politiky v ČR a v Německu. Brno: Masarykova univerzita (Diplomová práce). </w:t>
      </w:r>
    </w:p>
    <w:p w:rsidR="008146BD" w:rsidRPr="00AF61CF" w:rsidRDefault="008146BD" w:rsidP="006969C1">
      <w:pPr>
        <w:keepNext/>
        <w:widowControl w:val="0"/>
        <w:suppressLineNumbers/>
        <w:spacing w:after="120"/>
        <w:jc w:val="both"/>
        <w:rPr>
          <w:rFonts w:eastAsia="Calibri"/>
          <w:sz w:val="24"/>
          <w:szCs w:val="24"/>
        </w:rPr>
      </w:pPr>
      <w:r w:rsidRPr="00AF61CF">
        <w:rPr>
          <w:rFonts w:eastAsia="Calibri"/>
          <w:caps/>
          <w:sz w:val="24"/>
          <w:szCs w:val="24"/>
        </w:rPr>
        <w:lastRenderedPageBreak/>
        <w:t>Volejníková, J.</w:t>
      </w:r>
      <w:r w:rsidRPr="00AF61CF">
        <w:rPr>
          <w:rFonts w:eastAsia="Calibri"/>
          <w:sz w:val="24"/>
          <w:szCs w:val="24"/>
        </w:rPr>
        <w:t xml:space="preserve"> (2005)</w:t>
      </w:r>
      <w:r w:rsidRPr="00B06500">
        <w:rPr>
          <w:rFonts w:eastAsia="Calibri"/>
          <w:sz w:val="24"/>
          <w:szCs w:val="24"/>
        </w:rPr>
        <w:t>.</w:t>
      </w:r>
      <w:r w:rsidRPr="00AF61CF">
        <w:rPr>
          <w:rFonts w:eastAsia="Calibri"/>
          <w:sz w:val="24"/>
          <w:szCs w:val="24"/>
        </w:rPr>
        <w:t xml:space="preserve"> Moderní kompendium ekonomických teorií. Praha: </w:t>
      </w:r>
      <w:r w:rsidRPr="00AF61CF">
        <w:rPr>
          <w:rFonts w:eastAsia="Calibri"/>
          <w:sz w:val="24"/>
          <w:szCs w:val="24"/>
          <w:lang w:val="en-GB"/>
        </w:rPr>
        <w:t>Profess Consulting</w:t>
      </w:r>
      <w:r w:rsidRPr="00B06500">
        <w:rPr>
          <w:rFonts w:eastAsia="Calibri"/>
          <w:sz w:val="24"/>
          <w:szCs w:val="24"/>
          <w:lang w:val="en-GB"/>
        </w:rPr>
        <w:t>.</w:t>
      </w:r>
      <w:r w:rsidRPr="00AF61CF">
        <w:rPr>
          <w:rFonts w:eastAsia="Calibri"/>
          <w:sz w:val="24"/>
          <w:szCs w:val="24"/>
        </w:rPr>
        <w:t xml:space="preserve"> </w:t>
      </w:r>
    </w:p>
    <w:p w:rsidR="008146BD" w:rsidRDefault="008146BD" w:rsidP="00F172A0">
      <w:pPr>
        <w:keepNext/>
        <w:keepLines/>
        <w:widowControl w:val="0"/>
        <w:suppressLineNumbers/>
        <w:autoSpaceDE w:val="0"/>
        <w:autoSpaceDN w:val="0"/>
        <w:adjustRightInd w:val="0"/>
        <w:spacing w:after="120" w:line="240" w:lineRule="auto"/>
        <w:jc w:val="both"/>
        <w:rPr>
          <w:rFonts w:eastAsia="Calibri"/>
          <w:sz w:val="24"/>
          <w:szCs w:val="24"/>
        </w:rPr>
      </w:pPr>
      <w:r w:rsidRPr="00AF61CF">
        <w:rPr>
          <w:rFonts w:eastAsia="Calibri"/>
          <w:caps/>
          <w:sz w:val="24"/>
          <w:szCs w:val="24"/>
        </w:rPr>
        <w:t>Zlý, B.</w:t>
      </w:r>
      <w:r w:rsidRPr="00AF61CF">
        <w:rPr>
          <w:rFonts w:eastAsia="Calibri"/>
          <w:sz w:val="24"/>
          <w:szCs w:val="24"/>
        </w:rPr>
        <w:t xml:space="preserve"> (2006): Teorie mezinárodní ekonomické integrace. Opava: </w:t>
      </w:r>
      <w:r w:rsidRPr="00B06500">
        <w:rPr>
          <w:rFonts w:eastAsia="Calibri"/>
          <w:sz w:val="24"/>
          <w:szCs w:val="24"/>
        </w:rPr>
        <w:t>S</w:t>
      </w:r>
      <w:r w:rsidRPr="00AF61CF">
        <w:rPr>
          <w:rFonts w:eastAsia="Calibri"/>
          <w:sz w:val="24"/>
          <w:szCs w:val="24"/>
        </w:rPr>
        <w:t>lezská univerzita</w:t>
      </w:r>
      <w:r w:rsidRPr="00B06500">
        <w:rPr>
          <w:rFonts w:eastAsia="Calibri"/>
          <w:sz w:val="24"/>
          <w:szCs w:val="24"/>
        </w:rPr>
        <w:t>.</w:t>
      </w:r>
      <w:r w:rsidRPr="00AF61CF">
        <w:rPr>
          <w:rFonts w:eastAsia="Calibri"/>
          <w:sz w:val="24"/>
          <w:szCs w:val="24"/>
        </w:rPr>
        <w:t xml:space="preserve"> </w:t>
      </w:r>
    </w:p>
    <w:p w:rsidR="00F172A0" w:rsidRPr="00C90049" w:rsidRDefault="00F172A0" w:rsidP="00F172A0">
      <w:pPr>
        <w:keepNext/>
        <w:spacing w:after="120" w:line="240" w:lineRule="auto"/>
        <w:jc w:val="both"/>
        <w:rPr>
          <w:rFonts w:asciiTheme="majorHAnsi" w:hAnsiTheme="majorHAnsi"/>
          <w:b/>
          <w:color w:val="0070C0"/>
          <w:sz w:val="24"/>
          <w:szCs w:val="24"/>
          <w:lang w:eastAsia="en-US"/>
        </w:rPr>
      </w:pPr>
      <w:r w:rsidRPr="00C90049">
        <w:rPr>
          <w:rFonts w:asciiTheme="majorHAnsi" w:hAnsiTheme="majorHAnsi"/>
          <w:b/>
          <w:color w:val="0070C0"/>
          <w:sz w:val="24"/>
          <w:szCs w:val="24"/>
          <w:lang w:eastAsia="en-US"/>
        </w:rPr>
        <w:t>Ostatní zdroje</w:t>
      </w:r>
    </w:p>
    <w:p w:rsidR="008146BD" w:rsidRPr="008A430C" w:rsidRDefault="008146BD" w:rsidP="006969C1">
      <w:pPr>
        <w:keepNext/>
        <w:spacing w:before="200" w:after="120"/>
        <w:jc w:val="both"/>
        <w:rPr>
          <w:sz w:val="24"/>
          <w:szCs w:val="24"/>
        </w:rPr>
      </w:pPr>
      <w:r w:rsidRPr="008A430C">
        <w:rPr>
          <w:sz w:val="24"/>
          <w:szCs w:val="24"/>
        </w:rPr>
        <w:t>Bosch v ČR: www.bosch.cz.</w:t>
      </w:r>
    </w:p>
    <w:p w:rsidR="008146BD" w:rsidRPr="00AF61CF" w:rsidRDefault="008146BD" w:rsidP="006969C1">
      <w:pPr>
        <w:keepNext/>
        <w:widowControl w:val="0"/>
        <w:suppressLineNumbers/>
        <w:spacing w:after="120"/>
        <w:jc w:val="both"/>
        <w:rPr>
          <w:rFonts w:eastAsia="Calibri"/>
          <w:sz w:val="24"/>
          <w:szCs w:val="24"/>
        </w:rPr>
      </w:pPr>
      <w:r w:rsidRPr="005E2FA4">
        <w:rPr>
          <w:rFonts w:eastAsia="Calibri"/>
          <w:sz w:val="24"/>
          <w:szCs w:val="24"/>
        </w:rPr>
        <w:t>European Free Trade Association</w:t>
      </w:r>
      <w:r w:rsidRPr="00AF61CF">
        <w:rPr>
          <w:rFonts w:eastAsia="Calibri"/>
          <w:sz w:val="24"/>
          <w:szCs w:val="24"/>
        </w:rPr>
        <w:t xml:space="preserve"> (2014)</w:t>
      </w:r>
      <w:r w:rsidRPr="00B06500">
        <w:rPr>
          <w:rFonts w:eastAsia="Calibri"/>
          <w:sz w:val="24"/>
          <w:szCs w:val="24"/>
        </w:rPr>
        <w:t>:</w:t>
      </w:r>
      <w:r w:rsidRPr="00AF61CF">
        <w:rPr>
          <w:rFonts w:eastAsia="Calibri"/>
          <w:sz w:val="24"/>
          <w:szCs w:val="24"/>
        </w:rPr>
        <w:t xml:space="preserve"> 11.</w:t>
      </w:r>
      <w:r w:rsidRPr="00B06500">
        <w:rPr>
          <w:rFonts w:eastAsia="Calibri"/>
          <w:sz w:val="24"/>
          <w:szCs w:val="24"/>
        </w:rPr>
        <w:t xml:space="preserve"> </w:t>
      </w:r>
      <w:r w:rsidRPr="00AF61CF">
        <w:rPr>
          <w:rFonts w:eastAsia="Calibri"/>
          <w:sz w:val="24"/>
          <w:szCs w:val="24"/>
        </w:rPr>
        <w:t>2.</w:t>
      </w:r>
      <w:r w:rsidRPr="00B06500">
        <w:rPr>
          <w:rFonts w:eastAsia="Calibri"/>
          <w:sz w:val="24"/>
          <w:szCs w:val="24"/>
        </w:rPr>
        <w:t xml:space="preserve"> </w:t>
      </w:r>
      <w:r w:rsidRPr="00AF61CF">
        <w:rPr>
          <w:rFonts w:eastAsia="Calibri"/>
          <w:sz w:val="24"/>
          <w:szCs w:val="24"/>
        </w:rPr>
        <w:t>2014</w:t>
      </w:r>
      <w:r w:rsidRPr="00B06500">
        <w:rPr>
          <w:rFonts w:eastAsia="Calibri"/>
          <w:sz w:val="24"/>
          <w:szCs w:val="24"/>
        </w:rPr>
        <w:t xml:space="preserve"> (Available on </w:t>
      </w:r>
      <w:r w:rsidRPr="00AF61CF">
        <w:rPr>
          <w:rFonts w:eastAsia="Calibri"/>
          <w:sz w:val="24"/>
          <w:szCs w:val="24"/>
        </w:rPr>
        <w:t>http://www.efta.int/</w:t>
      </w:r>
      <w:r w:rsidRPr="00B06500">
        <w:rPr>
          <w:rFonts w:eastAsia="Calibri"/>
          <w:sz w:val="24"/>
          <w:szCs w:val="24"/>
        </w:rPr>
        <w:t>).</w:t>
      </w:r>
    </w:p>
    <w:p w:rsidR="008146BD" w:rsidRPr="005E2FA4" w:rsidRDefault="008146BD" w:rsidP="006969C1">
      <w:pPr>
        <w:keepNext/>
        <w:widowControl w:val="0"/>
        <w:suppressLineNumbers/>
        <w:spacing w:after="120"/>
        <w:jc w:val="both"/>
        <w:rPr>
          <w:sz w:val="24"/>
          <w:szCs w:val="24"/>
          <w:lang w:val="en-GB"/>
        </w:rPr>
      </w:pPr>
      <w:r w:rsidRPr="005E2FA4">
        <w:rPr>
          <w:sz w:val="24"/>
          <w:szCs w:val="24"/>
          <w:lang w:val="en-GB"/>
        </w:rPr>
        <w:t xml:space="preserve">Evropská komise (2013): Innovation Union Scoreboard 2013. Luxembourg: The Office for Official Publications of the European Communities. </w:t>
      </w:r>
    </w:p>
    <w:p w:rsidR="008146BD" w:rsidRPr="008A430C" w:rsidRDefault="008146BD" w:rsidP="006969C1">
      <w:pPr>
        <w:keepNext/>
        <w:spacing w:after="120"/>
        <w:jc w:val="both"/>
        <w:rPr>
          <w:sz w:val="24"/>
          <w:szCs w:val="24"/>
        </w:rPr>
      </w:pPr>
      <w:r w:rsidRPr="008A430C">
        <w:rPr>
          <w:sz w:val="24"/>
          <w:szCs w:val="24"/>
        </w:rPr>
        <w:t xml:space="preserve">Financial Times (2013): FT 500 2013:  </w:t>
      </w:r>
      <w:r w:rsidRPr="008A430C">
        <w:rPr>
          <w:rFonts w:eastAsia="Calibri"/>
          <w:sz w:val="24"/>
          <w:szCs w:val="24"/>
        </w:rPr>
        <w:t xml:space="preserve">(Available on </w:t>
      </w:r>
      <w:r w:rsidRPr="008A430C">
        <w:rPr>
          <w:sz w:val="24"/>
          <w:szCs w:val="24"/>
        </w:rPr>
        <w:t>http://www.ft.com/indepth/ft500).</w:t>
      </w:r>
    </w:p>
    <w:p w:rsidR="008146BD" w:rsidRPr="005E2FA4" w:rsidRDefault="008146BD" w:rsidP="006969C1">
      <w:pPr>
        <w:keepNext/>
        <w:widowControl w:val="0"/>
        <w:suppressLineNumbers/>
        <w:spacing w:after="120"/>
        <w:jc w:val="both"/>
        <w:rPr>
          <w:sz w:val="24"/>
          <w:szCs w:val="24"/>
          <w:lang w:val="en-GB"/>
        </w:rPr>
      </w:pPr>
      <w:r w:rsidRPr="005E2FA4">
        <w:rPr>
          <w:sz w:val="24"/>
          <w:szCs w:val="24"/>
          <w:lang w:val="en-GB"/>
        </w:rPr>
        <w:t>IMD (2013): IMD World Competitiveness Yearbook 2014. Lausanne: IMD World Competitiveness Center.</w:t>
      </w:r>
    </w:p>
    <w:p w:rsidR="008146BD" w:rsidRPr="00E50911" w:rsidRDefault="008146BD" w:rsidP="006969C1">
      <w:pPr>
        <w:keepNext/>
        <w:widowControl w:val="0"/>
        <w:suppressLineNumbers/>
        <w:spacing w:after="120"/>
        <w:jc w:val="both"/>
        <w:rPr>
          <w:rFonts w:cs="TimesNewRomanPSMT"/>
          <w:sz w:val="24"/>
          <w:szCs w:val="24"/>
        </w:rPr>
      </w:pPr>
      <w:r w:rsidRPr="00E50911">
        <w:rPr>
          <w:rFonts w:cs="TimesNewRomanPSMT"/>
          <w:sz w:val="24"/>
          <w:szCs w:val="24"/>
        </w:rPr>
        <w:t xml:space="preserve">IPCC (2013). Fifth Assessment Report (Working Group I). Summary for Policy Makers. (Dostupné on-line: </w:t>
      </w:r>
      <w:hyperlink r:id="rId110" w:history="1">
        <w:r w:rsidRPr="00E50911">
          <w:rPr>
            <w:rFonts w:cs="TimesNewRomanPSMT"/>
            <w:sz w:val="24"/>
            <w:szCs w:val="24"/>
          </w:rPr>
          <w:t>http://www.ipcc.ch</w:t>
        </w:r>
      </w:hyperlink>
      <w:r w:rsidRPr="00E50911">
        <w:rPr>
          <w:rFonts w:cs="TimesNewRomanPSMT"/>
          <w:sz w:val="24"/>
          <w:szCs w:val="24"/>
        </w:rPr>
        <w:t>).</w:t>
      </w:r>
    </w:p>
    <w:p w:rsidR="008146BD" w:rsidRPr="00E50911" w:rsidRDefault="008146BD" w:rsidP="006969C1">
      <w:pPr>
        <w:keepNext/>
        <w:widowControl w:val="0"/>
        <w:suppressLineNumbers/>
        <w:autoSpaceDE w:val="0"/>
        <w:autoSpaceDN w:val="0"/>
        <w:adjustRightInd w:val="0"/>
        <w:spacing w:after="120"/>
        <w:jc w:val="both"/>
        <w:rPr>
          <w:sz w:val="24"/>
          <w:szCs w:val="24"/>
        </w:rPr>
      </w:pPr>
      <w:r w:rsidRPr="00E50911">
        <w:rPr>
          <w:sz w:val="24"/>
          <w:szCs w:val="24"/>
        </w:rPr>
        <w:t xml:space="preserve">MZV ČR (2014): NATO </w:t>
      </w:r>
      <w:r>
        <w:rPr>
          <w:sz w:val="24"/>
          <w:szCs w:val="24"/>
        </w:rPr>
        <w:t xml:space="preserve">– </w:t>
      </w:r>
      <w:r w:rsidRPr="00E50911">
        <w:rPr>
          <w:sz w:val="24"/>
          <w:szCs w:val="24"/>
        </w:rPr>
        <w:t>bezpe</w:t>
      </w:r>
      <w:r>
        <w:rPr>
          <w:sz w:val="24"/>
          <w:szCs w:val="24"/>
        </w:rPr>
        <w:t>č</w:t>
      </w:r>
      <w:r w:rsidRPr="00E50911">
        <w:rPr>
          <w:sz w:val="24"/>
          <w:szCs w:val="24"/>
        </w:rPr>
        <w:t>nostni politika</w:t>
      </w:r>
      <w:r>
        <w:rPr>
          <w:sz w:val="24"/>
          <w:szCs w:val="24"/>
        </w:rPr>
        <w:t xml:space="preserve"> </w:t>
      </w:r>
      <w:r w:rsidRPr="00E50911">
        <w:rPr>
          <w:sz w:val="24"/>
          <w:szCs w:val="24"/>
        </w:rPr>
        <w:t>(dostupné na http://www.</w:t>
      </w:r>
      <w:r>
        <w:rPr>
          <w:sz w:val="24"/>
          <w:szCs w:val="24"/>
        </w:rPr>
        <w:t xml:space="preserve"> </w:t>
      </w:r>
      <w:r w:rsidRPr="00E50911">
        <w:rPr>
          <w:sz w:val="24"/>
          <w:szCs w:val="24"/>
        </w:rPr>
        <w:t>mzv.cz/</w:t>
      </w:r>
      <w:r>
        <w:rPr>
          <w:sz w:val="24"/>
          <w:szCs w:val="24"/>
        </w:rPr>
        <w:t xml:space="preserve"> </w:t>
      </w:r>
      <w:r w:rsidRPr="00E50911">
        <w:rPr>
          <w:sz w:val="24"/>
          <w:szCs w:val="24"/>
        </w:rPr>
        <w:t>jnp/</w:t>
      </w:r>
      <w:r>
        <w:rPr>
          <w:sz w:val="24"/>
          <w:szCs w:val="24"/>
        </w:rPr>
        <w:t xml:space="preserve"> </w:t>
      </w:r>
      <w:r w:rsidRPr="00E50911">
        <w:rPr>
          <w:sz w:val="24"/>
          <w:szCs w:val="24"/>
        </w:rPr>
        <w:t>cz/</w:t>
      </w:r>
      <w:r>
        <w:rPr>
          <w:sz w:val="24"/>
          <w:szCs w:val="24"/>
        </w:rPr>
        <w:t xml:space="preserve"> </w:t>
      </w:r>
      <w:r w:rsidRPr="00E50911">
        <w:rPr>
          <w:sz w:val="24"/>
          <w:szCs w:val="24"/>
        </w:rPr>
        <w:t>zahranicni.vztahy/</w:t>
      </w:r>
      <w:r>
        <w:rPr>
          <w:sz w:val="24"/>
          <w:szCs w:val="24"/>
        </w:rPr>
        <w:t xml:space="preserve"> – </w:t>
      </w:r>
      <w:r w:rsidRPr="00E50911">
        <w:rPr>
          <w:sz w:val="24"/>
          <w:szCs w:val="24"/>
        </w:rPr>
        <w:t>20. 2. 2014</w:t>
      </w:r>
      <w:r>
        <w:rPr>
          <w:sz w:val="24"/>
          <w:szCs w:val="24"/>
        </w:rPr>
        <w:t>).</w:t>
      </w:r>
    </w:p>
    <w:p w:rsidR="008146BD" w:rsidRPr="00AF61CF" w:rsidRDefault="008146BD" w:rsidP="006969C1">
      <w:pPr>
        <w:keepNext/>
        <w:suppressLineNumbers/>
        <w:spacing w:after="120"/>
        <w:jc w:val="both"/>
        <w:rPr>
          <w:rFonts w:eastAsia="Calibri"/>
          <w:sz w:val="24"/>
          <w:szCs w:val="24"/>
        </w:rPr>
      </w:pPr>
      <w:r w:rsidRPr="005E2FA4">
        <w:rPr>
          <w:rFonts w:eastAsia="Calibri"/>
          <w:sz w:val="24"/>
          <w:szCs w:val="24"/>
        </w:rPr>
        <w:t>Nordic Council</w:t>
      </w:r>
      <w:r w:rsidRPr="00AF61CF">
        <w:rPr>
          <w:rFonts w:eastAsia="Calibri"/>
          <w:sz w:val="24"/>
          <w:szCs w:val="24"/>
        </w:rPr>
        <w:t xml:space="preserve"> (2014)</w:t>
      </w:r>
      <w:r w:rsidRPr="00B06500">
        <w:rPr>
          <w:rFonts w:eastAsia="Calibri"/>
          <w:sz w:val="24"/>
          <w:szCs w:val="24"/>
        </w:rPr>
        <w:t xml:space="preserve">: </w:t>
      </w:r>
      <w:r w:rsidRPr="00AF61CF">
        <w:rPr>
          <w:rFonts w:eastAsia="Calibri"/>
          <w:sz w:val="24"/>
          <w:szCs w:val="24"/>
        </w:rPr>
        <w:t>11.</w:t>
      </w:r>
      <w:r w:rsidRPr="00B06500">
        <w:rPr>
          <w:rFonts w:eastAsia="Calibri"/>
          <w:sz w:val="24"/>
          <w:szCs w:val="24"/>
        </w:rPr>
        <w:t xml:space="preserve"> </w:t>
      </w:r>
      <w:r w:rsidRPr="00AF61CF">
        <w:rPr>
          <w:rFonts w:eastAsia="Calibri"/>
          <w:sz w:val="24"/>
          <w:szCs w:val="24"/>
        </w:rPr>
        <w:t>2.</w:t>
      </w:r>
      <w:r w:rsidRPr="00B06500">
        <w:rPr>
          <w:rFonts w:eastAsia="Calibri"/>
          <w:sz w:val="24"/>
          <w:szCs w:val="24"/>
        </w:rPr>
        <w:t xml:space="preserve"> </w:t>
      </w:r>
      <w:r w:rsidRPr="00AF61CF">
        <w:rPr>
          <w:rFonts w:eastAsia="Calibri"/>
          <w:sz w:val="24"/>
          <w:szCs w:val="24"/>
        </w:rPr>
        <w:t>2014</w:t>
      </w:r>
      <w:r w:rsidRPr="00B06500">
        <w:rPr>
          <w:rFonts w:eastAsia="Calibri"/>
          <w:sz w:val="24"/>
          <w:szCs w:val="24"/>
        </w:rPr>
        <w:t xml:space="preserve"> (Available on </w:t>
      </w:r>
      <w:r w:rsidRPr="00AF61CF">
        <w:rPr>
          <w:rFonts w:eastAsia="Calibri"/>
          <w:sz w:val="24"/>
          <w:szCs w:val="24"/>
        </w:rPr>
        <w:t>http://www.norden.org/en/nordic-council</w:t>
      </w:r>
      <w:r w:rsidRPr="00B06500">
        <w:rPr>
          <w:rFonts w:eastAsia="Calibri"/>
          <w:sz w:val="24"/>
          <w:szCs w:val="24"/>
        </w:rPr>
        <w:t>).</w:t>
      </w:r>
    </w:p>
    <w:p w:rsidR="008146BD" w:rsidRPr="00354622" w:rsidRDefault="008146BD" w:rsidP="006969C1">
      <w:pPr>
        <w:keepNext/>
        <w:widowControl w:val="0"/>
        <w:suppressLineNumbers/>
        <w:autoSpaceDE w:val="0"/>
        <w:autoSpaceDN w:val="0"/>
        <w:adjustRightInd w:val="0"/>
        <w:spacing w:after="120"/>
        <w:jc w:val="both"/>
        <w:rPr>
          <w:sz w:val="24"/>
          <w:szCs w:val="24"/>
        </w:rPr>
      </w:pPr>
      <w:r w:rsidRPr="00354622">
        <w:rPr>
          <w:sz w:val="24"/>
          <w:szCs w:val="24"/>
        </w:rPr>
        <w:t>OECD (2003): Směrnice OECD pro nadnárodní podniky. 20. 2. 2014 (dostupné na http://</w:t>
      </w:r>
      <w:r>
        <w:rPr>
          <w:sz w:val="24"/>
          <w:szCs w:val="24"/>
        </w:rPr>
        <w:t xml:space="preserve"> </w:t>
      </w:r>
      <w:r w:rsidRPr="00354622">
        <w:rPr>
          <w:sz w:val="24"/>
          <w:szCs w:val="24"/>
        </w:rPr>
        <w:t>www. eecd.org/bookshop/).</w:t>
      </w:r>
    </w:p>
    <w:p w:rsidR="008146BD" w:rsidRPr="00AF61CF" w:rsidRDefault="008146BD" w:rsidP="006969C1">
      <w:pPr>
        <w:keepNext/>
        <w:suppressLineNumbers/>
        <w:spacing w:after="120"/>
        <w:jc w:val="both"/>
        <w:rPr>
          <w:rFonts w:eastAsia="Calibri"/>
          <w:sz w:val="24"/>
          <w:szCs w:val="24"/>
        </w:rPr>
      </w:pPr>
      <w:r w:rsidRPr="00AF61CF">
        <w:rPr>
          <w:rFonts w:eastAsia="Calibri"/>
          <w:sz w:val="24"/>
          <w:szCs w:val="24"/>
        </w:rPr>
        <w:t>OPEC (2013): Organization of the Petroleum Exporting Countries</w:t>
      </w:r>
      <w:r w:rsidRPr="00B06500">
        <w:rPr>
          <w:rFonts w:eastAsia="Calibri"/>
          <w:sz w:val="24"/>
          <w:szCs w:val="24"/>
        </w:rPr>
        <w:t xml:space="preserve"> (Available on </w:t>
      </w:r>
      <w:r w:rsidRPr="00AF61CF">
        <w:rPr>
          <w:rFonts w:eastAsia="Calibri"/>
          <w:sz w:val="24"/>
          <w:szCs w:val="24"/>
        </w:rPr>
        <w:t>http://</w:t>
      </w:r>
      <w:r w:rsidRPr="00B06500">
        <w:rPr>
          <w:rFonts w:eastAsia="Calibri"/>
          <w:sz w:val="24"/>
          <w:szCs w:val="24"/>
        </w:rPr>
        <w:t xml:space="preserve"> </w:t>
      </w:r>
      <w:r w:rsidRPr="00AF61CF">
        <w:rPr>
          <w:rFonts w:eastAsia="Calibri"/>
          <w:sz w:val="24"/>
          <w:szCs w:val="24"/>
        </w:rPr>
        <w:t>www.opec.org/opec_web/en/</w:t>
      </w:r>
      <w:r w:rsidRPr="00B06500">
        <w:rPr>
          <w:rFonts w:eastAsia="Calibri"/>
          <w:sz w:val="24"/>
          <w:szCs w:val="24"/>
        </w:rPr>
        <w:t>).</w:t>
      </w:r>
    </w:p>
    <w:p w:rsidR="008146BD" w:rsidRPr="00A354CD" w:rsidRDefault="008146BD" w:rsidP="006969C1">
      <w:pPr>
        <w:keepNext/>
        <w:suppressLineNumbers/>
        <w:spacing w:after="120"/>
        <w:jc w:val="both"/>
        <w:rPr>
          <w:rFonts w:cs="TimesNewRomanPSMT"/>
          <w:sz w:val="24"/>
          <w:szCs w:val="24"/>
        </w:rPr>
      </w:pPr>
      <w:r w:rsidRPr="00AC4868">
        <w:rPr>
          <w:sz w:val="24"/>
          <w:szCs w:val="24"/>
        </w:rPr>
        <w:t>Portál</w:t>
      </w:r>
      <w:r>
        <w:rPr>
          <w:sz w:val="24"/>
          <w:szCs w:val="24"/>
        </w:rPr>
        <w:t xml:space="preserve"> </w:t>
      </w:r>
      <w:r w:rsidRPr="00AC4868">
        <w:rPr>
          <w:sz w:val="24"/>
          <w:szCs w:val="24"/>
        </w:rPr>
        <w:t>Evropa:</w:t>
      </w:r>
      <w:r w:rsidRPr="00E50911">
        <w:rPr>
          <w:caps/>
          <w:sz w:val="24"/>
          <w:szCs w:val="24"/>
        </w:rPr>
        <w:t xml:space="preserve"> </w:t>
      </w:r>
      <w:r w:rsidRPr="00E50911">
        <w:rPr>
          <w:sz w:val="24"/>
          <w:szCs w:val="24"/>
        </w:rPr>
        <w:t xml:space="preserve">Základní informace o Evropské unii (dostupné na </w:t>
      </w:r>
      <w:hyperlink r:id="rId111" w:history="1">
        <w:r w:rsidRPr="00A354CD">
          <w:rPr>
            <w:rStyle w:val="Hypertextovodkaz"/>
            <w:color w:val="auto"/>
            <w:szCs w:val="24"/>
            <w:u w:val="none"/>
          </w:rPr>
          <w:t>http://europa.eu/about -eu/</w:t>
        </w:r>
      </w:hyperlink>
      <w:r w:rsidRPr="00A354CD">
        <w:rPr>
          <w:sz w:val="24"/>
          <w:szCs w:val="24"/>
        </w:rPr>
        <w:t>index _ cs. htm – 20. 2. 2014).</w:t>
      </w:r>
    </w:p>
    <w:p w:rsidR="008146BD" w:rsidRPr="00A354CD" w:rsidRDefault="008146BD" w:rsidP="006969C1">
      <w:pPr>
        <w:keepNext/>
        <w:suppressLineNumbers/>
        <w:spacing w:after="120"/>
        <w:jc w:val="both"/>
        <w:rPr>
          <w:bCs/>
          <w:kern w:val="36"/>
          <w:sz w:val="24"/>
          <w:szCs w:val="24"/>
          <w:lang w:eastAsia="en-GB"/>
        </w:rPr>
      </w:pPr>
      <w:r w:rsidRPr="00A354CD">
        <w:rPr>
          <w:caps/>
          <w:sz w:val="24"/>
          <w:szCs w:val="24"/>
          <w:lang w:eastAsia="en-GB"/>
        </w:rPr>
        <w:t xml:space="preserve">UN </w:t>
      </w:r>
      <w:r w:rsidRPr="00A354CD">
        <w:rPr>
          <w:sz w:val="24"/>
          <w:szCs w:val="24"/>
          <w:lang w:eastAsia="en-GB"/>
        </w:rPr>
        <w:t>Population division (1999):</w:t>
      </w:r>
      <w:r w:rsidRPr="00A354CD">
        <w:rPr>
          <w:bCs/>
          <w:kern w:val="36"/>
          <w:sz w:val="24"/>
          <w:szCs w:val="24"/>
          <w:lang w:eastAsia="en-GB"/>
        </w:rPr>
        <w:t xml:space="preserve"> The World at Six Billion New York: United Nations.</w:t>
      </w:r>
    </w:p>
    <w:p w:rsidR="008146BD" w:rsidRPr="00A354CD" w:rsidRDefault="008146BD" w:rsidP="006969C1">
      <w:pPr>
        <w:keepNext/>
        <w:suppressLineNumbers/>
        <w:spacing w:after="120"/>
        <w:jc w:val="both"/>
        <w:rPr>
          <w:bCs/>
          <w:kern w:val="36"/>
          <w:sz w:val="24"/>
          <w:szCs w:val="24"/>
          <w:lang w:eastAsia="en-GB"/>
        </w:rPr>
      </w:pPr>
      <w:r w:rsidRPr="00A354CD">
        <w:rPr>
          <w:caps/>
          <w:sz w:val="24"/>
          <w:szCs w:val="24"/>
          <w:lang w:eastAsia="en-GB"/>
        </w:rPr>
        <w:t xml:space="preserve">UN </w:t>
      </w:r>
      <w:r w:rsidRPr="00A354CD">
        <w:rPr>
          <w:sz w:val="24"/>
          <w:szCs w:val="24"/>
          <w:lang w:eastAsia="en-GB"/>
        </w:rPr>
        <w:t>Population division (2000):</w:t>
      </w:r>
      <w:r w:rsidRPr="00A354CD">
        <w:rPr>
          <w:bCs/>
          <w:kern w:val="36"/>
          <w:sz w:val="24"/>
          <w:szCs w:val="24"/>
          <w:lang w:eastAsia="en-GB"/>
        </w:rPr>
        <w:t xml:space="preserve"> Long-Range World Population Projections: Based on the 1998 Revision. New York: United Nations.</w:t>
      </w:r>
    </w:p>
    <w:p w:rsidR="008146BD" w:rsidRPr="00A354CD" w:rsidRDefault="008146BD" w:rsidP="006969C1">
      <w:pPr>
        <w:keepNext/>
        <w:suppressLineNumbers/>
        <w:spacing w:after="120"/>
        <w:jc w:val="both"/>
        <w:rPr>
          <w:bCs/>
          <w:kern w:val="36"/>
          <w:sz w:val="24"/>
          <w:szCs w:val="24"/>
          <w:lang w:eastAsia="en-GB"/>
        </w:rPr>
      </w:pPr>
      <w:r w:rsidRPr="00A354CD">
        <w:rPr>
          <w:caps/>
          <w:sz w:val="24"/>
          <w:szCs w:val="24"/>
          <w:lang w:eastAsia="en-GB"/>
        </w:rPr>
        <w:t xml:space="preserve">UN </w:t>
      </w:r>
      <w:r w:rsidRPr="00A354CD">
        <w:rPr>
          <w:sz w:val="24"/>
          <w:szCs w:val="24"/>
          <w:lang w:eastAsia="en-GB"/>
        </w:rPr>
        <w:t xml:space="preserve">Population division (2010): </w:t>
      </w:r>
      <w:hyperlink r:id="rId112" w:history="1">
        <w:r w:rsidRPr="00A354CD">
          <w:rPr>
            <w:sz w:val="24"/>
            <w:szCs w:val="24"/>
            <w:lang w:eastAsia="en-GB"/>
          </w:rPr>
          <w:t>World Population Prospects, the 2010 Revision</w:t>
        </w:r>
      </w:hyperlink>
      <w:r w:rsidRPr="00A354CD">
        <w:rPr>
          <w:sz w:val="24"/>
          <w:szCs w:val="24"/>
          <w:lang w:eastAsia="en-GB"/>
        </w:rPr>
        <w:t>.</w:t>
      </w:r>
      <w:r w:rsidRPr="00A354CD">
        <w:rPr>
          <w:caps/>
          <w:sz w:val="24"/>
          <w:szCs w:val="24"/>
          <w:lang w:eastAsia="en-GB"/>
        </w:rPr>
        <w:t xml:space="preserve"> </w:t>
      </w:r>
      <w:r w:rsidRPr="00A354CD">
        <w:rPr>
          <w:bCs/>
          <w:kern w:val="36"/>
          <w:sz w:val="24"/>
          <w:szCs w:val="24"/>
          <w:lang w:eastAsia="en-GB"/>
        </w:rPr>
        <w:t>New York: United Nations.</w:t>
      </w:r>
    </w:p>
    <w:p w:rsidR="008146BD" w:rsidRPr="00A354CD" w:rsidRDefault="008146BD" w:rsidP="006969C1">
      <w:pPr>
        <w:keepNext/>
        <w:spacing w:after="120"/>
        <w:jc w:val="both"/>
        <w:rPr>
          <w:sz w:val="24"/>
          <w:szCs w:val="24"/>
        </w:rPr>
      </w:pPr>
      <w:r w:rsidRPr="00A354CD">
        <w:rPr>
          <w:sz w:val="24"/>
          <w:szCs w:val="24"/>
        </w:rPr>
        <w:t xml:space="preserve">UNCTAD (2013): World Investment Report 2013. New York and Geneva: United Nations. </w:t>
      </w:r>
    </w:p>
    <w:p w:rsidR="008146BD" w:rsidRPr="00A354CD" w:rsidRDefault="008146BD" w:rsidP="006969C1">
      <w:pPr>
        <w:keepNext/>
        <w:suppressLineNumbers/>
        <w:spacing w:after="120"/>
        <w:jc w:val="both"/>
        <w:rPr>
          <w:szCs w:val="24"/>
          <w:lang w:val="en-GB"/>
        </w:rPr>
      </w:pPr>
      <w:r w:rsidRPr="00A354CD">
        <w:rPr>
          <w:sz w:val="24"/>
          <w:szCs w:val="24"/>
          <w:lang w:val="en-GB"/>
        </w:rPr>
        <w:t xml:space="preserve">World Bank (2011): Knowledge Assessment Methodology (Available on: </w:t>
      </w:r>
      <w:hyperlink r:id="rId113" w:history="1">
        <w:r w:rsidRPr="00A354CD">
          <w:rPr>
            <w:rStyle w:val="Hypertextovodkaz"/>
            <w:color w:val="auto"/>
            <w:szCs w:val="24"/>
            <w:u w:val="none"/>
            <w:lang w:val="en-GB"/>
          </w:rPr>
          <w:t>www.worldbank</w:t>
        </w:r>
      </w:hyperlink>
      <w:r w:rsidRPr="00A354CD">
        <w:rPr>
          <w:sz w:val="24"/>
          <w:szCs w:val="24"/>
          <w:lang w:val="en-GB"/>
        </w:rPr>
        <w:t xml:space="preserve">. org/kam). </w:t>
      </w:r>
    </w:p>
    <w:p w:rsidR="008146BD" w:rsidRPr="005E2FA4" w:rsidRDefault="008146BD" w:rsidP="006969C1">
      <w:pPr>
        <w:keepNext/>
        <w:suppressLineNumbers/>
        <w:spacing w:after="120"/>
        <w:jc w:val="both"/>
        <w:rPr>
          <w:sz w:val="24"/>
          <w:szCs w:val="24"/>
          <w:lang w:val="en-GB"/>
        </w:rPr>
      </w:pPr>
      <w:r w:rsidRPr="005E2FA4">
        <w:rPr>
          <w:sz w:val="24"/>
          <w:szCs w:val="24"/>
          <w:lang w:val="en-GB"/>
        </w:rPr>
        <w:t>World Bank (2013): Doing Business 2014. Washington: The World Bank.</w:t>
      </w:r>
    </w:p>
    <w:p w:rsidR="008146BD" w:rsidRDefault="008146BD" w:rsidP="006969C1">
      <w:pPr>
        <w:keepNext/>
        <w:suppressLineNumbers/>
        <w:spacing w:after="120"/>
        <w:jc w:val="both"/>
        <w:rPr>
          <w:rFonts w:eastAsia="Calibri"/>
          <w:color w:val="FF0000"/>
          <w:sz w:val="24"/>
          <w:szCs w:val="24"/>
        </w:rPr>
      </w:pPr>
      <w:r w:rsidRPr="00E50911">
        <w:rPr>
          <w:rFonts w:cs="TimesNewRomanPSMT"/>
          <w:sz w:val="24"/>
          <w:szCs w:val="24"/>
        </w:rPr>
        <w:t>World Bank (2014). GDP per capita in US dollars in current prices (Dostupné on-line:</w:t>
      </w:r>
      <w:hyperlink w:history="1">
        <w:r w:rsidRPr="00E50911">
          <w:rPr>
            <w:rFonts w:cs="TimesNewRomanPSMT"/>
            <w:sz w:val="24"/>
            <w:szCs w:val="24"/>
          </w:rPr>
          <w:t>http:// data. worldbank. org/indicator/NY.GDP.PCAP.CD</w:t>
        </w:r>
      </w:hyperlink>
      <w:r>
        <w:rPr>
          <w:rFonts w:cs="TimesNewRomanPSMT"/>
          <w:sz w:val="24"/>
          <w:szCs w:val="24"/>
        </w:rPr>
        <w:t>).</w:t>
      </w:r>
      <w:r w:rsidRPr="00007D12">
        <w:rPr>
          <w:rFonts w:eastAsia="Calibri"/>
          <w:color w:val="FF0000"/>
          <w:sz w:val="24"/>
          <w:szCs w:val="24"/>
        </w:rPr>
        <w:t xml:space="preserve"> </w:t>
      </w:r>
    </w:p>
    <w:p w:rsidR="008146BD" w:rsidRPr="004265D0" w:rsidRDefault="008146BD" w:rsidP="006969C1">
      <w:pPr>
        <w:keepNext/>
        <w:suppressLineNumbers/>
        <w:spacing w:after="120"/>
        <w:jc w:val="both"/>
        <w:rPr>
          <w:rFonts w:eastAsia="Calibri"/>
          <w:sz w:val="24"/>
          <w:szCs w:val="24"/>
        </w:rPr>
      </w:pPr>
      <w:r w:rsidRPr="004265D0">
        <w:rPr>
          <w:rFonts w:eastAsia="Calibri"/>
          <w:sz w:val="24"/>
          <w:szCs w:val="24"/>
        </w:rPr>
        <w:t>WTO (2014): World trade organization. 11. 2. 2014 (Available on http://www.wto.org/).</w:t>
      </w:r>
    </w:p>
    <w:p w:rsidR="00D84BEB" w:rsidRDefault="00D84BEB" w:rsidP="00890421">
      <w:pPr>
        <w:pStyle w:val="02-Nadpis2"/>
        <w:rPr>
          <w:rFonts w:ascii="Times New Roman" w:hAnsi="Times New Roman"/>
          <w:b w:val="0"/>
          <w:bCs w:val="0"/>
          <w:caps/>
          <w:color w:val="FF0000"/>
          <w:sz w:val="24"/>
          <w:szCs w:val="24"/>
          <w:lang w:val="en-GB"/>
        </w:rPr>
      </w:pPr>
    </w:p>
    <w:p w:rsidR="00D84BEB" w:rsidRPr="003C57FB" w:rsidRDefault="00D84BEB" w:rsidP="003C57FB">
      <w:pPr>
        <w:pStyle w:val="02-Nadpis2"/>
      </w:pPr>
      <w:bookmarkStart w:id="191" w:name="_Toc382327228"/>
      <w:r w:rsidRPr="003C57FB">
        <w:lastRenderedPageBreak/>
        <w:t>Seznam tabulek</w:t>
      </w:r>
      <w:bookmarkEnd w:id="191"/>
    </w:p>
    <w:p w:rsidR="004179AF" w:rsidRDefault="00D44284">
      <w:pPr>
        <w:pStyle w:val="Obsah1"/>
        <w:rPr>
          <w:rFonts w:asciiTheme="minorHAnsi" w:eastAsiaTheme="minorEastAsia" w:hAnsiTheme="minorHAnsi" w:cstheme="minorBidi"/>
          <w:lang w:eastAsia="cs-CZ"/>
        </w:rPr>
      </w:pPr>
      <w:r w:rsidRPr="005D7683">
        <w:rPr>
          <w:b/>
        </w:rPr>
        <w:fldChar w:fldCharType="begin"/>
      </w:r>
      <w:r w:rsidR="00D84BEB" w:rsidRPr="005D7683">
        <w:rPr>
          <w:b/>
        </w:rPr>
        <w:instrText xml:space="preserve"> TOC \h \z \t "Nadpis 1;1;Nadpis 2;2;Nadpis 3;3;0T-Titulek;1" </w:instrText>
      </w:r>
      <w:r w:rsidRPr="005D7683">
        <w:rPr>
          <w:b/>
        </w:rPr>
        <w:fldChar w:fldCharType="separate"/>
      </w:r>
      <w:hyperlink w:anchor="_Toc382326428" w:history="1">
        <w:r w:rsidR="004179AF" w:rsidRPr="00CE0B39">
          <w:rPr>
            <w:rStyle w:val="Hypertextovodkaz"/>
          </w:rPr>
          <w:t>Tabulka 1: Index globálních měst</w:t>
        </w:r>
        <w:r w:rsidR="004179AF">
          <w:rPr>
            <w:webHidden/>
          </w:rPr>
          <w:tab/>
        </w:r>
        <w:r w:rsidR="004179AF">
          <w:rPr>
            <w:webHidden/>
          </w:rPr>
          <w:fldChar w:fldCharType="begin"/>
        </w:r>
        <w:r w:rsidR="004179AF">
          <w:rPr>
            <w:webHidden/>
          </w:rPr>
          <w:instrText xml:space="preserve"> PAGEREF _Toc382326428 \h </w:instrText>
        </w:r>
        <w:r w:rsidR="004179AF">
          <w:rPr>
            <w:webHidden/>
          </w:rPr>
        </w:r>
        <w:r w:rsidR="004179AF">
          <w:rPr>
            <w:webHidden/>
          </w:rPr>
          <w:fldChar w:fldCharType="separate"/>
        </w:r>
        <w:r w:rsidR="00315423">
          <w:rPr>
            <w:webHidden/>
          </w:rPr>
          <w:t>19</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29" w:history="1">
        <w:r w:rsidR="004179AF" w:rsidRPr="00CE0B39">
          <w:rPr>
            <w:rStyle w:val="Hypertextovodkaz"/>
          </w:rPr>
          <w:t>Tabulka 2: Příklad ocenění bytu (v Kč)</w:t>
        </w:r>
        <w:r w:rsidR="004179AF">
          <w:rPr>
            <w:webHidden/>
          </w:rPr>
          <w:tab/>
        </w:r>
        <w:r w:rsidR="004179AF">
          <w:rPr>
            <w:webHidden/>
          </w:rPr>
          <w:fldChar w:fldCharType="begin"/>
        </w:r>
        <w:r w:rsidR="004179AF">
          <w:rPr>
            <w:webHidden/>
          </w:rPr>
          <w:instrText xml:space="preserve"> PAGEREF _Toc382326429 \h </w:instrText>
        </w:r>
        <w:r w:rsidR="004179AF">
          <w:rPr>
            <w:webHidden/>
          </w:rPr>
        </w:r>
        <w:r w:rsidR="004179AF">
          <w:rPr>
            <w:webHidden/>
          </w:rPr>
          <w:fldChar w:fldCharType="separate"/>
        </w:r>
        <w:r w:rsidR="00315423">
          <w:rPr>
            <w:webHidden/>
          </w:rPr>
          <w:t>25</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30" w:history="1">
        <w:r w:rsidR="004179AF" w:rsidRPr="00CE0B39">
          <w:rPr>
            <w:rStyle w:val="Hypertextovodkaz"/>
          </w:rPr>
          <w:t>Tabulka 3: Ocenění bytu ve vybraných městech (v Kč)</w:t>
        </w:r>
        <w:r w:rsidR="004179AF">
          <w:rPr>
            <w:webHidden/>
          </w:rPr>
          <w:tab/>
        </w:r>
        <w:r w:rsidR="004179AF">
          <w:rPr>
            <w:webHidden/>
          </w:rPr>
          <w:fldChar w:fldCharType="begin"/>
        </w:r>
        <w:r w:rsidR="004179AF">
          <w:rPr>
            <w:webHidden/>
          </w:rPr>
          <w:instrText xml:space="preserve"> PAGEREF _Toc382326430 \h </w:instrText>
        </w:r>
        <w:r w:rsidR="004179AF">
          <w:rPr>
            <w:webHidden/>
          </w:rPr>
        </w:r>
        <w:r w:rsidR="004179AF">
          <w:rPr>
            <w:webHidden/>
          </w:rPr>
          <w:fldChar w:fldCharType="separate"/>
        </w:r>
        <w:r w:rsidR="00315423">
          <w:rPr>
            <w:webHidden/>
          </w:rPr>
          <w:t>26</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31" w:history="1">
        <w:r w:rsidR="004179AF" w:rsidRPr="00CE0B39">
          <w:rPr>
            <w:rStyle w:val="Hypertextovodkaz"/>
          </w:rPr>
          <w:t>Tabulka 4: Nejvýznamnější položky provozních výdajů</w:t>
        </w:r>
        <w:r w:rsidR="004179AF">
          <w:rPr>
            <w:webHidden/>
          </w:rPr>
          <w:tab/>
        </w:r>
        <w:r w:rsidR="004179AF">
          <w:rPr>
            <w:webHidden/>
          </w:rPr>
          <w:fldChar w:fldCharType="begin"/>
        </w:r>
        <w:r w:rsidR="004179AF">
          <w:rPr>
            <w:webHidden/>
          </w:rPr>
          <w:instrText xml:space="preserve"> PAGEREF _Toc382326431 \h </w:instrText>
        </w:r>
        <w:r w:rsidR="004179AF">
          <w:rPr>
            <w:webHidden/>
          </w:rPr>
        </w:r>
        <w:r w:rsidR="004179AF">
          <w:rPr>
            <w:webHidden/>
          </w:rPr>
          <w:fldChar w:fldCharType="separate"/>
        </w:r>
        <w:r w:rsidR="00315423">
          <w:rPr>
            <w:webHidden/>
          </w:rPr>
          <w:t>32</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32" w:history="1">
        <w:r w:rsidR="004179AF" w:rsidRPr="00CE0B39">
          <w:rPr>
            <w:rStyle w:val="Hypertextovodkaz"/>
          </w:rPr>
          <w:t>Tabulka 5: Přehled výsledků finanční analýzy</w:t>
        </w:r>
        <w:r w:rsidR="004179AF">
          <w:rPr>
            <w:webHidden/>
          </w:rPr>
          <w:tab/>
        </w:r>
        <w:r w:rsidR="004179AF">
          <w:rPr>
            <w:webHidden/>
          </w:rPr>
          <w:fldChar w:fldCharType="begin"/>
        </w:r>
        <w:r w:rsidR="004179AF">
          <w:rPr>
            <w:webHidden/>
          </w:rPr>
          <w:instrText xml:space="preserve"> PAGEREF _Toc382326432 \h </w:instrText>
        </w:r>
        <w:r w:rsidR="004179AF">
          <w:rPr>
            <w:webHidden/>
          </w:rPr>
        </w:r>
        <w:r w:rsidR="004179AF">
          <w:rPr>
            <w:webHidden/>
          </w:rPr>
          <w:fldChar w:fldCharType="separate"/>
        </w:r>
        <w:r w:rsidR="00315423">
          <w:rPr>
            <w:webHidden/>
          </w:rPr>
          <w:t>32</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33" w:history="1">
        <w:r w:rsidR="004179AF" w:rsidRPr="00CE0B39">
          <w:rPr>
            <w:rStyle w:val="Hypertextovodkaz"/>
          </w:rPr>
          <w:t>Tabulka 6: Předpokládané socio-ekonomické dopady projektu</w:t>
        </w:r>
        <w:r w:rsidR="004179AF">
          <w:rPr>
            <w:webHidden/>
          </w:rPr>
          <w:tab/>
        </w:r>
        <w:r w:rsidR="004179AF">
          <w:rPr>
            <w:webHidden/>
          </w:rPr>
          <w:fldChar w:fldCharType="begin"/>
        </w:r>
        <w:r w:rsidR="004179AF">
          <w:rPr>
            <w:webHidden/>
          </w:rPr>
          <w:instrText xml:space="preserve"> PAGEREF _Toc382326433 \h </w:instrText>
        </w:r>
        <w:r w:rsidR="004179AF">
          <w:rPr>
            <w:webHidden/>
          </w:rPr>
        </w:r>
        <w:r w:rsidR="004179AF">
          <w:rPr>
            <w:webHidden/>
          </w:rPr>
          <w:fldChar w:fldCharType="separate"/>
        </w:r>
        <w:r w:rsidR="00315423">
          <w:rPr>
            <w:webHidden/>
          </w:rPr>
          <w:t>33</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34" w:history="1">
        <w:r w:rsidR="004179AF" w:rsidRPr="00CE0B39">
          <w:rPr>
            <w:rStyle w:val="Hypertextovodkaz"/>
          </w:rPr>
          <w:t>Tabulka 7: Faktory kvality podnikatelského prostředí a jejich významové váhy</w:t>
        </w:r>
        <w:r w:rsidR="004179AF">
          <w:rPr>
            <w:webHidden/>
          </w:rPr>
          <w:tab/>
        </w:r>
        <w:r w:rsidR="004179AF">
          <w:rPr>
            <w:webHidden/>
          </w:rPr>
          <w:fldChar w:fldCharType="begin"/>
        </w:r>
        <w:r w:rsidR="004179AF">
          <w:rPr>
            <w:webHidden/>
          </w:rPr>
          <w:instrText xml:space="preserve"> PAGEREF _Toc382326434 \h </w:instrText>
        </w:r>
        <w:r w:rsidR="004179AF">
          <w:rPr>
            <w:webHidden/>
          </w:rPr>
        </w:r>
        <w:r w:rsidR="004179AF">
          <w:rPr>
            <w:webHidden/>
          </w:rPr>
          <w:fldChar w:fldCharType="separate"/>
        </w:r>
        <w:r w:rsidR="00315423">
          <w:rPr>
            <w:webHidden/>
          </w:rPr>
          <w:t>40</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35" w:history="1">
        <w:r w:rsidR="004179AF" w:rsidRPr="00CE0B39">
          <w:rPr>
            <w:rStyle w:val="Hypertextovodkaz"/>
          </w:rPr>
          <w:t>Tabulka 8: Faktory kvality sociálního prostředí a jejich významové váhy</w:t>
        </w:r>
        <w:r w:rsidR="004179AF">
          <w:rPr>
            <w:webHidden/>
          </w:rPr>
          <w:tab/>
        </w:r>
        <w:r w:rsidR="004179AF">
          <w:rPr>
            <w:webHidden/>
          </w:rPr>
          <w:fldChar w:fldCharType="begin"/>
        </w:r>
        <w:r w:rsidR="004179AF">
          <w:rPr>
            <w:webHidden/>
          </w:rPr>
          <w:instrText xml:space="preserve"> PAGEREF _Toc382326435 \h </w:instrText>
        </w:r>
        <w:r w:rsidR="004179AF">
          <w:rPr>
            <w:webHidden/>
          </w:rPr>
        </w:r>
        <w:r w:rsidR="004179AF">
          <w:rPr>
            <w:webHidden/>
          </w:rPr>
          <w:fldChar w:fldCharType="separate"/>
        </w:r>
        <w:r w:rsidR="00315423">
          <w:rPr>
            <w:webHidden/>
          </w:rPr>
          <w:t>45</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36" w:history="1">
        <w:r w:rsidR="004179AF" w:rsidRPr="00CE0B39">
          <w:rPr>
            <w:rStyle w:val="Hypertextovodkaz"/>
          </w:rPr>
          <w:t>Tabulka 9: Počet ekonomicky aktivních obyvatel a průměrná hrubá mzda v českých krajích</w:t>
        </w:r>
        <w:r w:rsidR="004179AF">
          <w:rPr>
            <w:webHidden/>
          </w:rPr>
          <w:tab/>
        </w:r>
        <w:r w:rsidR="004179AF">
          <w:rPr>
            <w:webHidden/>
          </w:rPr>
          <w:fldChar w:fldCharType="begin"/>
        </w:r>
        <w:r w:rsidR="004179AF">
          <w:rPr>
            <w:webHidden/>
          </w:rPr>
          <w:instrText xml:space="preserve"> PAGEREF _Toc382326436 \h </w:instrText>
        </w:r>
        <w:r w:rsidR="004179AF">
          <w:rPr>
            <w:webHidden/>
          </w:rPr>
        </w:r>
        <w:r w:rsidR="004179AF">
          <w:rPr>
            <w:webHidden/>
          </w:rPr>
          <w:fldChar w:fldCharType="separate"/>
        </w:r>
        <w:r w:rsidR="00315423">
          <w:rPr>
            <w:webHidden/>
          </w:rPr>
          <w:t>51</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37" w:history="1">
        <w:r w:rsidR="004179AF" w:rsidRPr="00CE0B39">
          <w:rPr>
            <w:rStyle w:val="Hypertextovodkaz"/>
          </w:rPr>
          <w:t>Tabulka 10: Počet zaměstnaných a nezaměstnaných v českých krajích</w:t>
        </w:r>
        <w:r w:rsidR="004179AF">
          <w:rPr>
            <w:webHidden/>
          </w:rPr>
          <w:tab/>
        </w:r>
        <w:r w:rsidR="004179AF">
          <w:rPr>
            <w:webHidden/>
          </w:rPr>
          <w:fldChar w:fldCharType="begin"/>
        </w:r>
        <w:r w:rsidR="004179AF">
          <w:rPr>
            <w:webHidden/>
          </w:rPr>
          <w:instrText xml:space="preserve"> PAGEREF _Toc382326437 \h </w:instrText>
        </w:r>
        <w:r w:rsidR="004179AF">
          <w:rPr>
            <w:webHidden/>
          </w:rPr>
        </w:r>
        <w:r w:rsidR="004179AF">
          <w:rPr>
            <w:webHidden/>
          </w:rPr>
          <w:fldChar w:fldCharType="separate"/>
        </w:r>
        <w:r w:rsidR="00315423">
          <w:rPr>
            <w:webHidden/>
          </w:rPr>
          <w:t>52</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38" w:history="1">
        <w:r w:rsidR="004179AF" w:rsidRPr="00CE0B39">
          <w:rPr>
            <w:rStyle w:val="Hypertextovodkaz"/>
          </w:rPr>
          <w:t>Tabulka 11: Míra ekonomické aktivity a míra nezaměstnanosti v českých krajích (v %)</w:t>
        </w:r>
        <w:r w:rsidR="004179AF">
          <w:rPr>
            <w:webHidden/>
          </w:rPr>
          <w:tab/>
        </w:r>
        <w:r w:rsidR="004179AF">
          <w:rPr>
            <w:webHidden/>
          </w:rPr>
          <w:fldChar w:fldCharType="begin"/>
        </w:r>
        <w:r w:rsidR="004179AF">
          <w:rPr>
            <w:webHidden/>
          </w:rPr>
          <w:instrText xml:space="preserve"> PAGEREF _Toc382326438 \h </w:instrText>
        </w:r>
        <w:r w:rsidR="004179AF">
          <w:rPr>
            <w:webHidden/>
          </w:rPr>
        </w:r>
        <w:r w:rsidR="004179AF">
          <w:rPr>
            <w:webHidden/>
          </w:rPr>
          <w:fldChar w:fldCharType="separate"/>
        </w:r>
        <w:r w:rsidR="00315423">
          <w:rPr>
            <w:webHidden/>
          </w:rPr>
          <w:t>52</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39" w:history="1">
        <w:r w:rsidR="004179AF" w:rsidRPr="00CE0B39">
          <w:rPr>
            <w:rStyle w:val="Hypertextovodkaz"/>
          </w:rPr>
          <w:t>Tabulka 12: Základní determinanty prostorového uspořádání společenských systémů</w:t>
        </w:r>
        <w:r w:rsidR="004179AF">
          <w:rPr>
            <w:webHidden/>
          </w:rPr>
          <w:tab/>
        </w:r>
        <w:r w:rsidR="004179AF">
          <w:rPr>
            <w:webHidden/>
          </w:rPr>
          <w:fldChar w:fldCharType="begin"/>
        </w:r>
        <w:r w:rsidR="004179AF">
          <w:rPr>
            <w:webHidden/>
          </w:rPr>
          <w:instrText xml:space="preserve"> PAGEREF _Toc382326439 \h </w:instrText>
        </w:r>
        <w:r w:rsidR="004179AF">
          <w:rPr>
            <w:webHidden/>
          </w:rPr>
        </w:r>
        <w:r w:rsidR="004179AF">
          <w:rPr>
            <w:webHidden/>
          </w:rPr>
          <w:fldChar w:fldCharType="separate"/>
        </w:r>
        <w:r w:rsidR="00315423">
          <w:rPr>
            <w:webHidden/>
          </w:rPr>
          <w:t>53</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40" w:history="1">
        <w:r w:rsidR="004179AF" w:rsidRPr="00CE0B39">
          <w:rPr>
            <w:rStyle w:val="Hypertextovodkaz"/>
          </w:rPr>
          <w:t>Tabulka 13: Mezní míra mobility dle dojížďkových zón a potenciálního přírůstku příjmů</w:t>
        </w:r>
        <w:r w:rsidR="004179AF">
          <w:rPr>
            <w:webHidden/>
          </w:rPr>
          <w:tab/>
        </w:r>
        <w:r w:rsidR="004179AF">
          <w:rPr>
            <w:webHidden/>
          </w:rPr>
          <w:fldChar w:fldCharType="begin"/>
        </w:r>
        <w:r w:rsidR="004179AF">
          <w:rPr>
            <w:webHidden/>
          </w:rPr>
          <w:instrText xml:space="preserve"> PAGEREF _Toc382326440 \h </w:instrText>
        </w:r>
        <w:r w:rsidR="004179AF">
          <w:rPr>
            <w:webHidden/>
          </w:rPr>
        </w:r>
        <w:r w:rsidR="004179AF">
          <w:rPr>
            <w:webHidden/>
          </w:rPr>
          <w:fldChar w:fldCharType="separate"/>
        </w:r>
        <w:r w:rsidR="00315423">
          <w:rPr>
            <w:webHidden/>
          </w:rPr>
          <w:t>55</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41" w:history="1">
        <w:r w:rsidR="004179AF" w:rsidRPr="00CE0B39">
          <w:rPr>
            <w:rStyle w:val="Hypertextovodkaz"/>
          </w:rPr>
          <w:t>Tabulka 14: Průměrná hrubá mzda a saldo migrace v českých krajích</w:t>
        </w:r>
        <w:r w:rsidR="004179AF">
          <w:rPr>
            <w:webHidden/>
          </w:rPr>
          <w:tab/>
        </w:r>
        <w:r w:rsidR="004179AF">
          <w:rPr>
            <w:webHidden/>
          </w:rPr>
          <w:fldChar w:fldCharType="begin"/>
        </w:r>
        <w:r w:rsidR="004179AF">
          <w:rPr>
            <w:webHidden/>
          </w:rPr>
          <w:instrText xml:space="preserve"> PAGEREF _Toc382326441 \h </w:instrText>
        </w:r>
        <w:r w:rsidR="004179AF">
          <w:rPr>
            <w:webHidden/>
          </w:rPr>
        </w:r>
        <w:r w:rsidR="004179AF">
          <w:rPr>
            <w:webHidden/>
          </w:rPr>
          <w:fldChar w:fldCharType="separate"/>
        </w:r>
        <w:r w:rsidR="00315423">
          <w:rPr>
            <w:webHidden/>
          </w:rPr>
          <w:t>57</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42" w:history="1">
        <w:r w:rsidR="004179AF" w:rsidRPr="00CE0B39">
          <w:rPr>
            <w:rStyle w:val="Hypertextovodkaz"/>
          </w:rPr>
          <w:t>Tabulka 15: Počet obyvatel v českých krajích v tis (k 1. 1.)</w:t>
        </w:r>
        <w:r w:rsidR="004179AF">
          <w:rPr>
            <w:webHidden/>
          </w:rPr>
          <w:tab/>
        </w:r>
        <w:r w:rsidR="004179AF">
          <w:rPr>
            <w:webHidden/>
          </w:rPr>
          <w:fldChar w:fldCharType="begin"/>
        </w:r>
        <w:r w:rsidR="004179AF">
          <w:rPr>
            <w:webHidden/>
          </w:rPr>
          <w:instrText xml:space="preserve"> PAGEREF _Toc382326442 \h </w:instrText>
        </w:r>
        <w:r w:rsidR="004179AF">
          <w:rPr>
            <w:webHidden/>
          </w:rPr>
        </w:r>
        <w:r w:rsidR="004179AF">
          <w:rPr>
            <w:webHidden/>
          </w:rPr>
          <w:fldChar w:fldCharType="separate"/>
        </w:r>
        <w:r w:rsidR="00315423">
          <w:rPr>
            <w:webHidden/>
          </w:rPr>
          <w:t>60</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43" w:history="1">
        <w:r w:rsidR="004179AF" w:rsidRPr="00CE0B39">
          <w:rPr>
            <w:rStyle w:val="Hypertextovodkaz"/>
          </w:rPr>
          <w:t>Tabulka 16: Nejvýznamnější položky provozních výdajů</w:t>
        </w:r>
        <w:r w:rsidR="004179AF">
          <w:rPr>
            <w:webHidden/>
          </w:rPr>
          <w:tab/>
        </w:r>
        <w:r w:rsidR="004179AF">
          <w:rPr>
            <w:webHidden/>
          </w:rPr>
          <w:fldChar w:fldCharType="begin"/>
        </w:r>
        <w:r w:rsidR="004179AF">
          <w:rPr>
            <w:webHidden/>
          </w:rPr>
          <w:instrText xml:space="preserve"> PAGEREF _Toc382326443 \h </w:instrText>
        </w:r>
        <w:r w:rsidR="004179AF">
          <w:rPr>
            <w:webHidden/>
          </w:rPr>
        </w:r>
        <w:r w:rsidR="004179AF">
          <w:rPr>
            <w:webHidden/>
          </w:rPr>
          <w:fldChar w:fldCharType="separate"/>
        </w:r>
        <w:r w:rsidR="00315423">
          <w:rPr>
            <w:webHidden/>
          </w:rPr>
          <w:t>65</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44" w:history="1">
        <w:r w:rsidR="004179AF" w:rsidRPr="00CE0B39">
          <w:rPr>
            <w:rStyle w:val="Hypertextovodkaz"/>
          </w:rPr>
          <w:t>Tabulka 17: Přehled výsledků finanční analýzy</w:t>
        </w:r>
        <w:r w:rsidR="004179AF">
          <w:rPr>
            <w:webHidden/>
          </w:rPr>
          <w:tab/>
        </w:r>
        <w:r w:rsidR="004179AF">
          <w:rPr>
            <w:webHidden/>
          </w:rPr>
          <w:fldChar w:fldCharType="begin"/>
        </w:r>
        <w:r w:rsidR="004179AF">
          <w:rPr>
            <w:webHidden/>
          </w:rPr>
          <w:instrText xml:space="preserve"> PAGEREF _Toc382326444 \h </w:instrText>
        </w:r>
        <w:r w:rsidR="004179AF">
          <w:rPr>
            <w:webHidden/>
          </w:rPr>
        </w:r>
        <w:r w:rsidR="004179AF">
          <w:rPr>
            <w:webHidden/>
          </w:rPr>
          <w:fldChar w:fldCharType="separate"/>
        </w:r>
        <w:r w:rsidR="00315423">
          <w:rPr>
            <w:webHidden/>
          </w:rPr>
          <w:t>65</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45" w:history="1">
        <w:r w:rsidR="004179AF" w:rsidRPr="00CE0B39">
          <w:rPr>
            <w:rStyle w:val="Hypertextovodkaz"/>
          </w:rPr>
          <w:t>Tabulka 18: Předpokládané socioekonomické dopady projektu</w:t>
        </w:r>
        <w:r w:rsidR="004179AF">
          <w:rPr>
            <w:webHidden/>
          </w:rPr>
          <w:tab/>
        </w:r>
        <w:r w:rsidR="004179AF">
          <w:rPr>
            <w:webHidden/>
          </w:rPr>
          <w:fldChar w:fldCharType="begin"/>
        </w:r>
        <w:r w:rsidR="004179AF">
          <w:rPr>
            <w:webHidden/>
          </w:rPr>
          <w:instrText xml:space="preserve"> PAGEREF _Toc382326445 \h </w:instrText>
        </w:r>
        <w:r w:rsidR="004179AF">
          <w:rPr>
            <w:webHidden/>
          </w:rPr>
        </w:r>
        <w:r w:rsidR="004179AF">
          <w:rPr>
            <w:webHidden/>
          </w:rPr>
          <w:fldChar w:fldCharType="separate"/>
        </w:r>
        <w:r w:rsidR="00315423">
          <w:rPr>
            <w:webHidden/>
          </w:rPr>
          <w:t>66</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46" w:history="1">
        <w:r w:rsidR="004179AF" w:rsidRPr="00CE0B39">
          <w:rPr>
            <w:rStyle w:val="Hypertextovodkaz"/>
          </w:rPr>
          <w:t>Tabulka 19: Typy přímých zahraničních investic</w:t>
        </w:r>
        <w:r w:rsidR="004179AF">
          <w:rPr>
            <w:webHidden/>
          </w:rPr>
          <w:tab/>
        </w:r>
        <w:r w:rsidR="004179AF">
          <w:rPr>
            <w:webHidden/>
          </w:rPr>
          <w:fldChar w:fldCharType="begin"/>
        </w:r>
        <w:r w:rsidR="004179AF">
          <w:rPr>
            <w:webHidden/>
          </w:rPr>
          <w:instrText xml:space="preserve"> PAGEREF _Toc382326446 \h </w:instrText>
        </w:r>
        <w:r w:rsidR="004179AF">
          <w:rPr>
            <w:webHidden/>
          </w:rPr>
        </w:r>
        <w:r w:rsidR="004179AF">
          <w:rPr>
            <w:webHidden/>
          </w:rPr>
          <w:fldChar w:fldCharType="separate"/>
        </w:r>
        <w:r w:rsidR="00315423">
          <w:rPr>
            <w:webHidden/>
          </w:rPr>
          <w:t>75</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47" w:history="1">
        <w:r w:rsidR="004179AF" w:rsidRPr="00CE0B39">
          <w:rPr>
            <w:rStyle w:val="Hypertextovodkaz"/>
          </w:rPr>
          <w:t>Tabulka 20: Celkové hodnoty KPP podle krajů</w:t>
        </w:r>
        <w:r w:rsidR="004179AF">
          <w:rPr>
            <w:webHidden/>
          </w:rPr>
          <w:tab/>
        </w:r>
        <w:r w:rsidR="004179AF">
          <w:rPr>
            <w:webHidden/>
          </w:rPr>
          <w:fldChar w:fldCharType="begin"/>
        </w:r>
        <w:r w:rsidR="004179AF">
          <w:rPr>
            <w:webHidden/>
          </w:rPr>
          <w:instrText xml:space="preserve"> PAGEREF _Toc382326447 \h </w:instrText>
        </w:r>
        <w:r w:rsidR="004179AF">
          <w:rPr>
            <w:webHidden/>
          </w:rPr>
        </w:r>
        <w:r w:rsidR="004179AF">
          <w:rPr>
            <w:webHidden/>
          </w:rPr>
          <w:fldChar w:fldCharType="separate"/>
        </w:r>
        <w:r w:rsidR="00315423">
          <w:rPr>
            <w:webHidden/>
          </w:rPr>
          <w:t>78</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48" w:history="1">
        <w:r w:rsidR="004179AF" w:rsidRPr="00CE0B39">
          <w:rPr>
            <w:rStyle w:val="Hypertextovodkaz"/>
          </w:rPr>
          <w:t>Tabulka 21: Celkové hodnoty KSP podle krajů</w:t>
        </w:r>
        <w:r w:rsidR="004179AF">
          <w:rPr>
            <w:webHidden/>
          </w:rPr>
          <w:tab/>
        </w:r>
        <w:r w:rsidR="004179AF">
          <w:rPr>
            <w:webHidden/>
          </w:rPr>
          <w:fldChar w:fldCharType="begin"/>
        </w:r>
        <w:r w:rsidR="004179AF">
          <w:rPr>
            <w:webHidden/>
          </w:rPr>
          <w:instrText xml:space="preserve"> PAGEREF _Toc382326448 \h </w:instrText>
        </w:r>
        <w:r w:rsidR="004179AF">
          <w:rPr>
            <w:webHidden/>
          </w:rPr>
        </w:r>
        <w:r w:rsidR="004179AF">
          <w:rPr>
            <w:webHidden/>
          </w:rPr>
          <w:fldChar w:fldCharType="separate"/>
        </w:r>
        <w:r w:rsidR="00315423">
          <w:rPr>
            <w:webHidden/>
          </w:rPr>
          <w:t>80</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49" w:history="1">
        <w:r w:rsidR="004179AF" w:rsidRPr="00CE0B39">
          <w:rPr>
            <w:rStyle w:val="Hypertextovodkaz"/>
          </w:rPr>
          <w:t>Tabulka 22: Celkové zhodnocení konkurenčního potenciálu českých krajů</w:t>
        </w:r>
        <w:r w:rsidR="004179AF">
          <w:rPr>
            <w:webHidden/>
          </w:rPr>
          <w:tab/>
        </w:r>
        <w:r w:rsidR="004179AF">
          <w:rPr>
            <w:webHidden/>
          </w:rPr>
          <w:fldChar w:fldCharType="begin"/>
        </w:r>
        <w:r w:rsidR="004179AF">
          <w:rPr>
            <w:webHidden/>
          </w:rPr>
          <w:instrText xml:space="preserve"> PAGEREF _Toc382326449 \h </w:instrText>
        </w:r>
        <w:r w:rsidR="004179AF">
          <w:rPr>
            <w:webHidden/>
          </w:rPr>
        </w:r>
        <w:r w:rsidR="004179AF">
          <w:rPr>
            <w:webHidden/>
          </w:rPr>
          <w:fldChar w:fldCharType="separate"/>
        </w:r>
        <w:r w:rsidR="00315423">
          <w:rPr>
            <w:webHidden/>
          </w:rPr>
          <w:t>83</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50" w:history="1">
        <w:r w:rsidR="004179AF" w:rsidRPr="00CE0B39">
          <w:rPr>
            <w:rStyle w:val="Hypertextovodkaz"/>
          </w:rPr>
          <w:t>Tabulka 23: Index specializace v českých krajích (2012)</w:t>
        </w:r>
        <w:r w:rsidR="004179AF">
          <w:rPr>
            <w:webHidden/>
          </w:rPr>
          <w:tab/>
        </w:r>
        <w:r w:rsidR="004179AF">
          <w:rPr>
            <w:webHidden/>
          </w:rPr>
          <w:fldChar w:fldCharType="begin"/>
        </w:r>
        <w:r w:rsidR="004179AF">
          <w:rPr>
            <w:webHidden/>
          </w:rPr>
          <w:instrText xml:space="preserve"> PAGEREF _Toc382326450 \h </w:instrText>
        </w:r>
        <w:r w:rsidR="004179AF">
          <w:rPr>
            <w:webHidden/>
          </w:rPr>
        </w:r>
        <w:r w:rsidR="004179AF">
          <w:rPr>
            <w:webHidden/>
          </w:rPr>
          <w:fldChar w:fldCharType="separate"/>
        </w:r>
        <w:r w:rsidR="00315423">
          <w:rPr>
            <w:webHidden/>
          </w:rPr>
          <w:t>96</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51" w:history="1">
        <w:r w:rsidR="004179AF" w:rsidRPr="00CE0B39">
          <w:rPr>
            <w:rStyle w:val="Hypertextovodkaz"/>
          </w:rPr>
          <w:t>Tabulka 24: Lokalizační kvocient v českých krajích dle  CZ-NACE (2012)</w:t>
        </w:r>
        <w:r w:rsidR="004179AF">
          <w:rPr>
            <w:webHidden/>
          </w:rPr>
          <w:tab/>
        </w:r>
        <w:r w:rsidR="004179AF">
          <w:rPr>
            <w:webHidden/>
          </w:rPr>
          <w:fldChar w:fldCharType="begin"/>
        </w:r>
        <w:r w:rsidR="004179AF">
          <w:rPr>
            <w:webHidden/>
          </w:rPr>
          <w:instrText xml:space="preserve"> PAGEREF _Toc382326451 \h </w:instrText>
        </w:r>
        <w:r w:rsidR="004179AF">
          <w:rPr>
            <w:webHidden/>
          </w:rPr>
        </w:r>
        <w:r w:rsidR="004179AF">
          <w:rPr>
            <w:webHidden/>
          </w:rPr>
          <w:fldChar w:fldCharType="separate"/>
        </w:r>
        <w:r w:rsidR="00315423">
          <w:rPr>
            <w:webHidden/>
          </w:rPr>
          <w:t>97</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52" w:history="1">
        <w:r w:rsidR="004179AF" w:rsidRPr="00CE0B39">
          <w:rPr>
            <w:rStyle w:val="Hypertextovodkaz"/>
          </w:rPr>
          <w:t>Tabulka 25: Hrubý index diverzifikace v českých krajích (2012)</w:t>
        </w:r>
        <w:r w:rsidR="004179AF">
          <w:rPr>
            <w:webHidden/>
          </w:rPr>
          <w:tab/>
        </w:r>
        <w:r w:rsidR="004179AF">
          <w:rPr>
            <w:webHidden/>
          </w:rPr>
          <w:fldChar w:fldCharType="begin"/>
        </w:r>
        <w:r w:rsidR="004179AF">
          <w:rPr>
            <w:webHidden/>
          </w:rPr>
          <w:instrText xml:space="preserve"> PAGEREF _Toc382326452 \h </w:instrText>
        </w:r>
        <w:r w:rsidR="004179AF">
          <w:rPr>
            <w:webHidden/>
          </w:rPr>
        </w:r>
        <w:r w:rsidR="004179AF">
          <w:rPr>
            <w:webHidden/>
          </w:rPr>
          <w:fldChar w:fldCharType="separate"/>
        </w:r>
        <w:r w:rsidR="00315423">
          <w:rPr>
            <w:webHidden/>
          </w:rPr>
          <w:t>98</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53" w:history="1">
        <w:r w:rsidR="004179AF" w:rsidRPr="00CE0B39">
          <w:rPr>
            <w:rStyle w:val="Hypertextovodkaz"/>
          </w:rPr>
          <w:t>Tabulka 26: Přehled výsledků finanční analýzy</w:t>
        </w:r>
        <w:r w:rsidR="004179AF">
          <w:rPr>
            <w:webHidden/>
          </w:rPr>
          <w:tab/>
        </w:r>
        <w:r w:rsidR="004179AF">
          <w:rPr>
            <w:webHidden/>
          </w:rPr>
          <w:fldChar w:fldCharType="begin"/>
        </w:r>
        <w:r w:rsidR="004179AF">
          <w:rPr>
            <w:webHidden/>
          </w:rPr>
          <w:instrText xml:space="preserve"> PAGEREF _Toc382326453 \h </w:instrText>
        </w:r>
        <w:r w:rsidR="004179AF">
          <w:rPr>
            <w:webHidden/>
          </w:rPr>
        </w:r>
        <w:r w:rsidR="004179AF">
          <w:rPr>
            <w:webHidden/>
          </w:rPr>
          <w:fldChar w:fldCharType="separate"/>
        </w:r>
        <w:r w:rsidR="00315423">
          <w:rPr>
            <w:webHidden/>
          </w:rPr>
          <w:t>103</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54" w:history="1">
        <w:r w:rsidR="004179AF" w:rsidRPr="00CE0B39">
          <w:rPr>
            <w:rStyle w:val="Hypertextovodkaz"/>
          </w:rPr>
          <w:t>Tabulka 27: Doporučené dopady projektů výstavby vědecko-výzkumných center</w:t>
        </w:r>
        <w:r w:rsidR="004179AF">
          <w:rPr>
            <w:webHidden/>
          </w:rPr>
          <w:tab/>
        </w:r>
        <w:r w:rsidR="004179AF">
          <w:rPr>
            <w:webHidden/>
          </w:rPr>
          <w:fldChar w:fldCharType="begin"/>
        </w:r>
        <w:r w:rsidR="004179AF">
          <w:rPr>
            <w:webHidden/>
          </w:rPr>
          <w:instrText xml:space="preserve"> PAGEREF _Toc382326454 \h </w:instrText>
        </w:r>
        <w:r w:rsidR="004179AF">
          <w:rPr>
            <w:webHidden/>
          </w:rPr>
        </w:r>
        <w:r w:rsidR="004179AF">
          <w:rPr>
            <w:webHidden/>
          </w:rPr>
          <w:fldChar w:fldCharType="separate"/>
        </w:r>
        <w:r w:rsidR="00315423">
          <w:rPr>
            <w:webHidden/>
          </w:rPr>
          <w:t>104</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55" w:history="1">
        <w:r w:rsidR="004179AF" w:rsidRPr="00CE0B39">
          <w:rPr>
            <w:rStyle w:val="Hypertextovodkaz"/>
          </w:rPr>
          <w:t>Tabulka 28: Přehled výsledků socioekonomické analýzy</w:t>
        </w:r>
        <w:r w:rsidR="004179AF">
          <w:rPr>
            <w:webHidden/>
          </w:rPr>
          <w:tab/>
        </w:r>
        <w:r w:rsidR="004179AF">
          <w:rPr>
            <w:webHidden/>
          </w:rPr>
          <w:fldChar w:fldCharType="begin"/>
        </w:r>
        <w:r w:rsidR="004179AF">
          <w:rPr>
            <w:webHidden/>
          </w:rPr>
          <w:instrText xml:space="preserve"> PAGEREF _Toc382326455 \h </w:instrText>
        </w:r>
        <w:r w:rsidR="004179AF">
          <w:rPr>
            <w:webHidden/>
          </w:rPr>
        </w:r>
        <w:r w:rsidR="004179AF">
          <w:rPr>
            <w:webHidden/>
          </w:rPr>
          <w:fldChar w:fldCharType="separate"/>
        </w:r>
        <w:r w:rsidR="00315423">
          <w:rPr>
            <w:webHidden/>
          </w:rPr>
          <w:t>105</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56" w:history="1">
        <w:r w:rsidR="004179AF" w:rsidRPr="00CE0B39">
          <w:rPr>
            <w:rStyle w:val="Hypertextovodkaz"/>
          </w:rPr>
          <w:t>Tabulka 29: Vzájemný vztah mezi specifičností aktiv a nejistotou</w:t>
        </w:r>
        <w:r w:rsidR="004179AF">
          <w:rPr>
            <w:webHidden/>
          </w:rPr>
          <w:tab/>
        </w:r>
        <w:r w:rsidR="004179AF">
          <w:rPr>
            <w:webHidden/>
          </w:rPr>
          <w:fldChar w:fldCharType="begin"/>
        </w:r>
        <w:r w:rsidR="004179AF">
          <w:rPr>
            <w:webHidden/>
          </w:rPr>
          <w:instrText xml:space="preserve"> PAGEREF _Toc382326456 \h </w:instrText>
        </w:r>
        <w:r w:rsidR="004179AF">
          <w:rPr>
            <w:webHidden/>
          </w:rPr>
        </w:r>
        <w:r w:rsidR="004179AF">
          <w:rPr>
            <w:webHidden/>
          </w:rPr>
          <w:fldChar w:fldCharType="separate"/>
        </w:r>
        <w:r w:rsidR="00315423">
          <w:rPr>
            <w:webHidden/>
          </w:rPr>
          <w:t>113</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57" w:history="1">
        <w:r w:rsidR="004179AF" w:rsidRPr="00CE0B39">
          <w:rPr>
            <w:rStyle w:val="Hypertextovodkaz"/>
          </w:rPr>
          <w:t>Tabulka 30: Charakteristiky byrokracie, new public managementu a new governance</w:t>
        </w:r>
        <w:r w:rsidR="004179AF">
          <w:rPr>
            <w:webHidden/>
          </w:rPr>
          <w:tab/>
        </w:r>
        <w:r w:rsidR="004179AF">
          <w:rPr>
            <w:webHidden/>
          </w:rPr>
          <w:fldChar w:fldCharType="begin"/>
        </w:r>
        <w:r w:rsidR="004179AF">
          <w:rPr>
            <w:webHidden/>
          </w:rPr>
          <w:instrText xml:space="preserve"> PAGEREF _Toc382326457 \h </w:instrText>
        </w:r>
        <w:r w:rsidR="004179AF">
          <w:rPr>
            <w:webHidden/>
          </w:rPr>
        </w:r>
        <w:r w:rsidR="004179AF">
          <w:rPr>
            <w:webHidden/>
          </w:rPr>
          <w:fldChar w:fldCharType="separate"/>
        </w:r>
        <w:r w:rsidR="00315423">
          <w:rPr>
            <w:webHidden/>
          </w:rPr>
          <w:t>117</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58" w:history="1">
        <w:r w:rsidR="004179AF" w:rsidRPr="00CE0B39">
          <w:rPr>
            <w:rStyle w:val="Hypertextovodkaz"/>
          </w:rPr>
          <w:t>Tabulka 31: Podíl státního rozpočtu a rozpočtů ÚSC na celkových veřejných rozpočtech</w:t>
        </w:r>
        <w:r w:rsidR="004179AF">
          <w:rPr>
            <w:webHidden/>
          </w:rPr>
          <w:tab/>
        </w:r>
        <w:r w:rsidR="004179AF">
          <w:rPr>
            <w:webHidden/>
          </w:rPr>
          <w:fldChar w:fldCharType="begin"/>
        </w:r>
        <w:r w:rsidR="004179AF">
          <w:rPr>
            <w:webHidden/>
          </w:rPr>
          <w:instrText xml:space="preserve"> PAGEREF _Toc382326458 \h </w:instrText>
        </w:r>
        <w:r w:rsidR="004179AF">
          <w:rPr>
            <w:webHidden/>
          </w:rPr>
        </w:r>
        <w:r w:rsidR="004179AF">
          <w:rPr>
            <w:webHidden/>
          </w:rPr>
          <w:fldChar w:fldCharType="separate"/>
        </w:r>
        <w:r w:rsidR="00315423">
          <w:rPr>
            <w:webHidden/>
          </w:rPr>
          <w:t>120</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59" w:history="1">
        <w:r w:rsidR="004179AF" w:rsidRPr="00CE0B39">
          <w:rPr>
            <w:rStyle w:val="Hypertextovodkaz"/>
          </w:rPr>
          <w:t>Tabulka 32: Typologie inovací</w:t>
        </w:r>
        <w:r w:rsidR="004179AF">
          <w:rPr>
            <w:webHidden/>
          </w:rPr>
          <w:tab/>
        </w:r>
        <w:r w:rsidR="004179AF">
          <w:rPr>
            <w:webHidden/>
          </w:rPr>
          <w:fldChar w:fldCharType="begin"/>
        </w:r>
        <w:r w:rsidR="004179AF">
          <w:rPr>
            <w:webHidden/>
          </w:rPr>
          <w:instrText xml:space="preserve"> PAGEREF _Toc382326459 \h </w:instrText>
        </w:r>
        <w:r w:rsidR="004179AF">
          <w:rPr>
            <w:webHidden/>
          </w:rPr>
        </w:r>
        <w:r w:rsidR="004179AF">
          <w:rPr>
            <w:webHidden/>
          </w:rPr>
          <w:fldChar w:fldCharType="separate"/>
        </w:r>
        <w:r w:rsidR="00315423">
          <w:rPr>
            <w:webHidden/>
          </w:rPr>
          <w:t>121</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60" w:history="1">
        <w:r w:rsidR="004179AF" w:rsidRPr="00CE0B39">
          <w:rPr>
            <w:rStyle w:val="Hypertextovodkaz"/>
          </w:rPr>
          <w:t>Tabulka 33: Typologie ideálních RIS</w:t>
        </w:r>
        <w:r w:rsidR="004179AF">
          <w:rPr>
            <w:webHidden/>
          </w:rPr>
          <w:tab/>
        </w:r>
        <w:r w:rsidR="004179AF">
          <w:rPr>
            <w:webHidden/>
          </w:rPr>
          <w:fldChar w:fldCharType="begin"/>
        </w:r>
        <w:r w:rsidR="004179AF">
          <w:rPr>
            <w:webHidden/>
          </w:rPr>
          <w:instrText xml:space="preserve"> PAGEREF _Toc382326460 \h </w:instrText>
        </w:r>
        <w:r w:rsidR="004179AF">
          <w:rPr>
            <w:webHidden/>
          </w:rPr>
        </w:r>
        <w:r w:rsidR="004179AF">
          <w:rPr>
            <w:webHidden/>
          </w:rPr>
          <w:fldChar w:fldCharType="separate"/>
        </w:r>
        <w:r w:rsidR="00315423">
          <w:rPr>
            <w:webHidden/>
          </w:rPr>
          <w:t>126</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61" w:history="1">
        <w:r w:rsidR="004179AF" w:rsidRPr="00CE0B39">
          <w:rPr>
            <w:rStyle w:val="Hypertextovodkaz"/>
          </w:rPr>
          <w:t>Tabulka 34: Typologie neúplných RIS</w:t>
        </w:r>
        <w:r w:rsidR="004179AF">
          <w:rPr>
            <w:webHidden/>
          </w:rPr>
          <w:tab/>
        </w:r>
        <w:r w:rsidR="004179AF">
          <w:rPr>
            <w:webHidden/>
          </w:rPr>
          <w:fldChar w:fldCharType="begin"/>
        </w:r>
        <w:r w:rsidR="004179AF">
          <w:rPr>
            <w:webHidden/>
          </w:rPr>
          <w:instrText xml:space="preserve"> PAGEREF _Toc382326461 \h </w:instrText>
        </w:r>
        <w:r w:rsidR="004179AF">
          <w:rPr>
            <w:webHidden/>
          </w:rPr>
        </w:r>
        <w:r w:rsidR="004179AF">
          <w:rPr>
            <w:webHidden/>
          </w:rPr>
          <w:fldChar w:fldCharType="separate"/>
        </w:r>
        <w:r w:rsidR="00315423">
          <w:rPr>
            <w:webHidden/>
          </w:rPr>
          <w:t>127</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62" w:history="1">
        <w:r w:rsidR="004179AF" w:rsidRPr="00CE0B39">
          <w:rPr>
            <w:rStyle w:val="Hypertextovodkaz"/>
          </w:rPr>
          <w:t>Tabulka 35: Index konkurenceschopnosti regionů v UK (UK = 100)</w:t>
        </w:r>
        <w:r w:rsidR="004179AF">
          <w:rPr>
            <w:webHidden/>
          </w:rPr>
          <w:tab/>
        </w:r>
        <w:r w:rsidR="004179AF">
          <w:rPr>
            <w:webHidden/>
          </w:rPr>
          <w:fldChar w:fldCharType="begin"/>
        </w:r>
        <w:r w:rsidR="004179AF">
          <w:rPr>
            <w:webHidden/>
          </w:rPr>
          <w:instrText xml:space="preserve"> PAGEREF _Toc382326462 \h </w:instrText>
        </w:r>
        <w:r w:rsidR="004179AF">
          <w:rPr>
            <w:webHidden/>
          </w:rPr>
        </w:r>
        <w:r w:rsidR="004179AF">
          <w:rPr>
            <w:webHidden/>
          </w:rPr>
          <w:fldChar w:fldCharType="separate"/>
        </w:r>
        <w:r w:rsidR="00315423">
          <w:rPr>
            <w:webHidden/>
          </w:rPr>
          <w:t>132</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63" w:history="1">
        <w:r w:rsidR="004179AF" w:rsidRPr="00CE0B39">
          <w:rPr>
            <w:rStyle w:val="Hypertextovodkaz"/>
          </w:rPr>
          <w:t>Tabulka 36: Nejvíce a nejméně konkurenceschopné lokality v UK (UK = 100)</w:t>
        </w:r>
        <w:r w:rsidR="004179AF">
          <w:rPr>
            <w:webHidden/>
          </w:rPr>
          <w:tab/>
        </w:r>
        <w:r w:rsidR="004179AF">
          <w:rPr>
            <w:webHidden/>
          </w:rPr>
          <w:fldChar w:fldCharType="begin"/>
        </w:r>
        <w:r w:rsidR="004179AF">
          <w:rPr>
            <w:webHidden/>
          </w:rPr>
          <w:instrText xml:space="preserve"> PAGEREF _Toc382326463 \h </w:instrText>
        </w:r>
        <w:r w:rsidR="004179AF">
          <w:rPr>
            <w:webHidden/>
          </w:rPr>
        </w:r>
        <w:r w:rsidR="004179AF">
          <w:rPr>
            <w:webHidden/>
          </w:rPr>
          <w:fldChar w:fldCharType="separate"/>
        </w:r>
        <w:r w:rsidR="00315423">
          <w:rPr>
            <w:webHidden/>
          </w:rPr>
          <w:t>133</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64" w:history="1">
        <w:r w:rsidR="004179AF" w:rsidRPr="00CE0B39">
          <w:rPr>
            <w:rStyle w:val="Hypertextovodkaz"/>
          </w:rPr>
          <w:t>Tabulka 37: Pořadí konkurenceschopnosti polských vojvodství</w:t>
        </w:r>
        <w:r w:rsidR="004179AF">
          <w:rPr>
            <w:webHidden/>
          </w:rPr>
          <w:tab/>
        </w:r>
        <w:r w:rsidR="004179AF">
          <w:rPr>
            <w:webHidden/>
          </w:rPr>
          <w:fldChar w:fldCharType="begin"/>
        </w:r>
        <w:r w:rsidR="004179AF">
          <w:rPr>
            <w:webHidden/>
          </w:rPr>
          <w:instrText xml:space="preserve"> PAGEREF _Toc382326464 \h </w:instrText>
        </w:r>
        <w:r w:rsidR="004179AF">
          <w:rPr>
            <w:webHidden/>
          </w:rPr>
        </w:r>
        <w:r w:rsidR="004179AF">
          <w:rPr>
            <w:webHidden/>
          </w:rPr>
          <w:fldChar w:fldCharType="separate"/>
        </w:r>
        <w:r w:rsidR="00315423">
          <w:rPr>
            <w:webHidden/>
          </w:rPr>
          <w:t>134</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65" w:history="1">
        <w:r w:rsidR="004179AF" w:rsidRPr="00CE0B39">
          <w:rPr>
            <w:rStyle w:val="Hypertextovodkaz"/>
          </w:rPr>
          <w:t>Tabulka 38: Konkurenceschopnost maďarských žup</w:t>
        </w:r>
        <w:r w:rsidR="004179AF">
          <w:rPr>
            <w:webHidden/>
          </w:rPr>
          <w:tab/>
        </w:r>
        <w:r w:rsidR="004179AF">
          <w:rPr>
            <w:webHidden/>
          </w:rPr>
          <w:fldChar w:fldCharType="begin"/>
        </w:r>
        <w:r w:rsidR="004179AF">
          <w:rPr>
            <w:webHidden/>
          </w:rPr>
          <w:instrText xml:space="preserve"> PAGEREF _Toc382326465 \h </w:instrText>
        </w:r>
        <w:r w:rsidR="004179AF">
          <w:rPr>
            <w:webHidden/>
          </w:rPr>
        </w:r>
        <w:r w:rsidR="004179AF">
          <w:rPr>
            <w:webHidden/>
          </w:rPr>
          <w:fldChar w:fldCharType="separate"/>
        </w:r>
        <w:r w:rsidR="00315423">
          <w:rPr>
            <w:webHidden/>
          </w:rPr>
          <w:t>135</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66" w:history="1">
        <w:r w:rsidR="004179AF" w:rsidRPr="00CE0B39">
          <w:rPr>
            <w:rStyle w:val="Hypertextovodkaz"/>
          </w:rPr>
          <w:t>Tabulka 39: Konkurenceschopnost maďarských regionů soudržnosti</w:t>
        </w:r>
        <w:r w:rsidR="004179AF">
          <w:rPr>
            <w:webHidden/>
          </w:rPr>
          <w:tab/>
        </w:r>
        <w:r w:rsidR="004179AF">
          <w:rPr>
            <w:webHidden/>
          </w:rPr>
          <w:fldChar w:fldCharType="begin"/>
        </w:r>
        <w:r w:rsidR="004179AF">
          <w:rPr>
            <w:webHidden/>
          </w:rPr>
          <w:instrText xml:space="preserve"> PAGEREF _Toc382326466 \h </w:instrText>
        </w:r>
        <w:r w:rsidR="004179AF">
          <w:rPr>
            <w:webHidden/>
          </w:rPr>
        </w:r>
        <w:r w:rsidR="004179AF">
          <w:rPr>
            <w:webHidden/>
          </w:rPr>
          <w:fldChar w:fldCharType="separate"/>
        </w:r>
        <w:r w:rsidR="00315423">
          <w:rPr>
            <w:webHidden/>
          </w:rPr>
          <w:t>136</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67" w:history="1">
        <w:r w:rsidR="004179AF" w:rsidRPr="00CE0B39">
          <w:rPr>
            <w:rStyle w:val="Hypertextovodkaz"/>
          </w:rPr>
          <w:t>Tabulka 40: Pořadí konkurenceschopnosti litevských krajů</w:t>
        </w:r>
        <w:r w:rsidR="004179AF">
          <w:rPr>
            <w:webHidden/>
          </w:rPr>
          <w:tab/>
        </w:r>
        <w:r w:rsidR="004179AF">
          <w:rPr>
            <w:webHidden/>
          </w:rPr>
          <w:fldChar w:fldCharType="begin"/>
        </w:r>
        <w:r w:rsidR="004179AF">
          <w:rPr>
            <w:webHidden/>
          </w:rPr>
          <w:instrText xml:space="preserve"> PAGEREF _Toc382326467 \h </w:instrText>
        </w:r>
        <w:r w:rsidR="004179AF">
          <w:rPr>
            <w:webHidden/>
          </w:rPr>
        </w:r>
        <w:r w:rsidR="004179AF">
          <w:rPr>
            <w:webHidden/>
          </w:rPr>
          <w:fldChar w:fldCharType="separate"/>
        </w:r>
        <w:r w:rsidR="00315423">
          <w:rPr>
            <w:webHidden/>
          </w:rPr>
          <w:t>137</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68" w:history="1">
        <w:r w:rsidR="004179AF" w:rsidRPr="00CE0B39">
          <w:rPr>
            <w:rStyle w:val="Hypertextovodkaz"/>
          </w:rPr>
          <w:t>Tabulka 41: Syntéza účelnosti výstavby vybraných dálnic a rychlostních silnic</w:t>
        </w:r>
        <w:r w:rsidR="004179AF">
          <w:rPr>
            <w:webHidden/>
          </w:rPr>
          <w:tab/>
        </w:r>
        <w:r w:rsidR="004179AF">
          <w:rPr>
            <w:webHidden/>
          </w:rPr>
          <w:fldChar w:fldCharType="begin"/>
        </w:r>
        <w:r w:rsidR="004179AF">
          <w:rPr>
            <w:webHidden/>
          </w:rPr>
          <w:instrText xml:space="preserve"> PAGEREF _Toc382326468 \h </w:instrText>
        </w:r>
        <w:r w:rsidR="004179AF">
          <w:rPr>
            <w:webHidden/>
          </w:rPr>
        </w:r>
        <w:r w:rsidR="004179AF">
          <w:rPr>
            <w:webHidden/>
          </w:rPr>
          <w:fldChar w:fldCharType="separate"/>
        </w:r>
        <w:r w:rsidR="00315423">
          <w:rPr>
            <w:webHidden/>
          </w:rPr>
          <w:t>142</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69" w:history="1">
        <w:r w:rsidR="004179AF" w:rsidRPr="00CE0B39">
          <w:rPr>
            <w:rStyle w:val="Hypertextovodkaz"/>
          </w:rPr>
          <w:t>Tabulka 42: 15 největších nadnárodních společností na světě (tržní hodnota v roce 2013)</w:t>
        </w:r>
        <w:r w:rsidR="004179AF">
          <w:rPr>
            <w:webHidden/>
          </w:rPr>
          <w:tab/>
        </w:r>
        <w:r w:rsidR="004179AF">
          <w:rPr>
            <w:webHidden/>
          </w:rPr>
          <w:fldChar w:fldCharType="begin"/>
        </w:r>
        <w:r w:rsidR="004179AF">
          <w:rPr>
            <w:webHidden/>
          </w:rPr>
          <w:instrText xml:space="preserve"> PAGEREF _Toc382326469 \h </w:instrText>
        </w:r>
        <w:r w:rsidR="004179AF">
          <w:rPr>
            <w:webHidden/>
          </w:rPr>
        </w:r>
        <w:r w:rsidR="004179AF">
          <w:rPr>
            <w:webHidden/>
          </w:rPr>
          <w:fldChar w:fldCharType="separate"/>
        </w:r>
        <w:r w:rsidR="00315423">
          <w:rPr>
            <w:webHidden/>
          </w:rPr>
          <w:t>156</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70" w:history="1">
        <w:r w:rsidR="004179AF" w:rsidRPr="00CE0B39">
          <w:rPr>
            <w:rStyle w:val="Hypertextovodkaz"/>
          </w:rPr>
          <w:t>Tabulka 43: Příliv a odliv přímých zahraničních investic (% světových investic)</w:t>
        </w:r>
        <w:r w:rsidR="004179AF">
          <w:rPr>
            <w:webHidden/>
          </w:rPr>
          <w:tab/>
        </w:r>
        <w:r w:rsidR="004179AF">
          <w:rPr>
            <w:webHidden/>
          </w:rPr>
          <w:fldChar w:fldCharType="begin"/>
        </w:r>
        <w:r w:rsidR="004179AF">
          <w:rPr>
            <w:webHidden/>
          </w:rPr>
          <w:instrText xml:space="preserve"> PAGEREF _Toc382326470 \h </w:instrText>
        </w:r>
        <w:r w:rsidR="004179AF">
          <w:rPr>
            <w:webHidden/>
          </w:rPr>
        </w:r>
        <w:r w:rsidR="004179AF">
          <w:rPr>
            <w:webHidden/>
          </w:rPr>
          <w:fldChar w:fldCharType="separate"/>
        </w:r>
        <w:r w:rsidR="00315423">
          <w:rPr>
            <w:webHidden/>
          </w:rPr>
          <w:t>156</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71" w:history="1">
        <w:r w:rsidR="004179AF" w:rsidRPr="00CE0B39">
          <w:rPr>
            <w:rStyle w:val="Hypertextovodkaz"/>
          </w:rPr>
          <w:t>Tabulka 44: Společnosti skupiny Robert Bosch Group registrované v České republice</w:t>
        </w:r>
        <w:r w:rsidR="004179AF">
          <w:rPr>
            <w:webHidden/>
          </w:rPr>
          <w:tab/>
        </w:r>
        <w:r w:rsidR="004179AF">
          <w:rPr>
            <w:webHidden/>
          </w:rPr>
          <w:fldChar w:fldCharType="begin"/>
        </w:r>
        <w:r w:rsidR="004179AF">
          <w:rPr>
            <w:webHidden/>
          </w:rPr>
          <w:instrText xml:space="preserve"> PAGEREF _Toc382326471 \h </w:instrText>
        </w:r>
        <w:r w:rsidR="004179AF">
          <w:rPr>
            <w:webHidden/>
          </w:rPr>
        </w:r>
        <w:r w:rsidR="004179AF">
          <w:rPr>
            <w:webHidden/>
          </w:rPr>
          <w:fldChar w:fldCharType="separate"/>
        </w:r>
        <w:r w:rsidR="00315423">
          <w:rPr>
            <w:webHidden/>
          </w:rPr>
          <w:t>160</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72" w:history="1">
        <w:r w:rsidR="004179AF" w:rsidRPr="00CE0B39">
          <w:rPr>
            <w:rStyle w:val="Hypertextovodkaz"/>
          </w:rPr>
          <w:t>Tabulka 45: Migrační saldo cizinců v ČR dle státního občanství v letech 2003 až 2010</w:t>
        </w:r>
        <w:r w:rsidR="004179AF">
          <w:rPr>
            <w:webHidden/>
          </w:rPr>
          <w:tab/>
        </w:r>
        <w:r w:rsidR="004179AF">
          <w:rPr>
            <w:webHidden/>
          </w:rPr>
          <w:fldChar w:fldCharType="begin"/>
        </w:r>
        <w:r w:rsidR="004179AF">
          <w:rPr>
            <w:webHidden/>
          </w:rPr>
          <w:instrText xml:space="preserve"> PAGEREF _Toc382326472 \h </w:instrText>
        </w:r>
        <w:r w:rsidR="004179AF">
          <w:rPr>
            <w:webHidden/>
          </w:rPr>
        </w:r>
        <w:r w:rsidR="004179AF">
          <w:rPr>
            <w:webHidden/>
          </w:rPr>
          <w:fldChar w:fldCharType="separate"/>
        </w:r>
        <w:r w:rsidR="00315423">
          <w:rPr>
            <w:webHidden/>
          </w:rPr>
          <w:t>167</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73" w:history="1">
        <w:r w:rsidR="004179AF" w:rsidRPr="00CE0B39">
          <w:rPr>
            <w:rStyle w:val="Hypertextovodkaz"/>
          </w:rPr>
          <w:t>Tabulka 46: Srovnání cizinců žijících v ČR v roce 2011 dle státní příslušnosti</w:t>
        </w:r>
        <w:r w:rsidR="004179AF">
          <w:rPr>
            <w:webHidden/>
          </w:rPr>
          <w:tab/>
        </w:r>
        <w:r w:rsidR="004179AF">
          <w:rPr>
            <w:webHidden/>
          </w:rPr>
          <w:fldChar w:fldCharType="begin"/>
        </w:r>
        <w:r w:rsidR="004179AF">
          <w:rPr>
            <w:webHidden/>
          </w:rPr>
          <w:instrText xml:space="preserve"> PAGEREF _Toc382326473 \h </w:instrText>
        </w:r>
        <w:r w:rsidR="004179AF">
          <w:rPr>
            <w:webHidden/>
          </w:rPr>
        </w:r>
        <w:r w:rsidR="004179AF">
          <w:rPr>
            <w:webHidden/>
          </w:rPr>
          <w:fldChar w:fldCharType="separate"/>
        </w:r>
        <w:r w:rsidR="00315423">
          <w:rPr>
            <w:webHidden/>
          </w:rPr>
          <w:t>167</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74" w:history="1">
        <w:r w:rsidR="004179AF" w:rsidRPr="00CE0B39">
          <w:rPr>
            <w:rStyle w:val="Hypertextovodkaz"/>
            <w:lang w:val="en-GB"/>
          </w:rPr>
          <w:t>Tabulka 47: Index globální konkurenceschopnosti GCI 2013–2014</w:t>
        </w:r>
        <w:r w:rsidR="004179AF">
          <w:rPr>
            <w:webHidden/>
          </w:rPr>
          <w:tab/>
        </w:r>
        <w:r w:rsidR="004179AF">
          <w:rPr>
            <w:webHidden/>
          </w:rPr>
          <w:fldChar w:fldCharType="begin"/>
        </w:r>
        <w:r w:rsidR="004179AF">
          <w:rPr>
            <w:webHidden/>
          </w:rPr>
          <w:instrText xml:space="preserve"> PAGEREF _Toc382326474 \h </w:instrText>
        </w:r>
        <w:r w:rsidR="004179AF">
          <w:rPr>
            <w:webHidden/>
          </w:rPr>
        </w:r>
        <w:r w:rsidR="004179AF">
          <w:rPr>
            <w:webHidden/>
          </w:rPr>
          <w:fldChar w:fldCharType="separate"/>
        </w:r>
        <w:r w:rsidR="00315423">
          <w:rPr>
            <w:webHidden/>
          </w:rPr>
          <w:t>169</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75" w:history="1">
        <w:r w:rsidR="004179AF" w:rsidRPr="00CE0B39">
          <w:rPr>
            <w:rStyle w:val="Hypertextovodkaz"/>
            <w:lang w:val="en-GB"/>
          </w:rPr>
          <w:t>Tabulka 48: Žebříček světové konkurenceschopnosti 2013 (WCS)</w:t>
        </w:r>
        <w:r w:rsidR="004179AF">
          <w:rPr>
            <w:webHidden/>
          </w:rPr>
          <w:tab/>
        </w:r>
        <w:r w:rsidR="004179AF">
          <w:rPr>
            <w:webHidden/>
          </w:rPr>
          <w:fldChar w:fldCharType="begin"/>
        </w:r>
        <w:r w:rsidR="004179AF">
          <w:rPr>
            <w:webHidden/>
          </w:rPr>
          <w:instrText xml:space="preserve"> PAGEREF _Toc382326475 \h </w:instrText>
        </w:r>
        <w:r w:rsidR="004179AF">
          <w:rPr>
            <w:webHidden/>
          </w:rPr>
        </w:r>
        <w:r w:rsidR="004179AF">
          <w:rPr>
            <w:webHidden/>
          </w:rPr>
          <w:fldChar w:fldCharType="separate"/>
        </w:r>
        <w:r w:rsidR="00315423">
          <w:rPr>
            <w:webHidden/>
          </w:rPr>
          <w:t>170</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76" w:history="1">
        <w:r w:rsidR="004179AF" w:rsidRPr="00CE0B39">
          <w:rPr>
            <w:rStyle w:val="Hypertextovodkaz"/>
            <w:lang w:val="en-GB"/>
          </w:rPr>
          <w:t>Tabulka 49: Doing Business 2014</w:t>
        </w:r>
        <w:r w:rsidR="004179AF">
          <w:rPr>
            <w:webHidden/>
          </w:rPr>
          <w:tab/>
        </w:r>
        <w:r w:rsidR="004179AF">
          <w:rPr>
            <w:webHidden/>
          </w:rPr>
          <w:fldChar w:fldCharType="begin"/>
        </w:r>
        <w:r w:rsidR="004179AF">
          <w:rPr>
            <w:webHidden/>
          </w:rPr>
          <w:instrText xml:space="preserve"> PAGEREF _Toc382326476 \h </w:instrText>
        </w:r>
        <w:r w:rsidR="004179AF">
          <w:rPr>
            <w:webHidden/>
          </w:rPr>
        </w:r>
        <w:r w:rsidR="004179AF">
          <w:rPr>
            <w:webHidden/>
          </w:rPr>
          <w:fldChar w:fldCharType="separate"/>
        </w:r>
        <w:r w:rsidR="00315423">
          <w:rPr>
            <w:webHidden/>
          </w:rPr>
          <w:t>171</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77" w:history="1">
        <w:r w:rsidR="004179AF" w:rsidRPr="00CE0B39">
          <w:rPr>
            <w:rStyle w:val="Hypertextovodkaz"/>
            <w:lang w:val="en-GB"/>
          </w:rPr>
          <w:t>Tabulka 50: Indexy KEI a KI v roce 2012</w:t>
        </w:r>
        <w:r w:rsidR="004179AF">
          <w:rPr>
            <w:webHidden/>
          </w:rPr>
          <w:tab/>
        </w:r>
        <w:r w:rsidR="004179AF">
          <w:rPr>
            <w:webHidden/>
          </w:rPr>
          <w:fldChar w:fldCharType="begin"/>
        </w:r>
        <w:r w:rsidR="004179AF">
          <w:rPr>
            <w:webHidden/>
          </w:rPr>
          <w:instrText xml:space="preserve"> PAGEREF _Toc382326477 \h </w:instrText>
        </w:r>
        <w:r w:rsidR="004179AF">
          <w:rPr>
            <w:webHidden/>
          </w:rPr>
        </w:r>
        <w:r w:rsidR="004179AF">
          <w:rPr>
            <w:webHidden/>
          </w:rPr>
          <w:fldChar w:fldCharType="separate"/>
        </w:r>
        <w:r w:rsidR="00315423">
          <w:rPr>
            <w:webHidden/>
          </w:rPr>
          <w:t>172</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78" w:history="1">
        <w:r w:rsidR="004179AF" w:rsidRPr="00CE0B39">
          <w:rPr>
            <w:rStyle w:val="Hypertextovodkaz"/>
            <w:lang w:val="en-GB"/>
          </w:rPr>
          <w:t>Tabulka 51: Globální inovační index 2013</w:t>
        </w:r>
        <w:r w:rsidR="004179AF">
          <w:rPr>
            <w:webHidden/>
          </w:rPr>
          <w:tab/>
        </w:r>
        <w:r w:rsidR="004179AF">
          <w:rPr>
            <w:webHidden/>
          </w:rPr>
          <w:fldChar w:fldCharType="begin"/>
        </w:r>
        <w:r w:rsidR="004179AF">
          <w:rPr>
            <w:webHidden/>
          </w:rPr>
          <w:instrText xml:space="preserve"> PAGEREF _Toc382326478 \h </w:instrText>
        </w:r>
        <w:r w:rsidR="004179AF">
          <w:rPr>
            <w:webHidden/>
          </w:rPr>
        </w:r>
        <w:r w:rsidR="004179AF">
          <w:rPr>
            <w:webHidden/>
          </w:rPr>
          <w:fldChar w:fldCharType="separate"/>
        </w:r>
        <w:r w:rsidR="00315423">
          <w:rPr>
            <w:webHidden/>
          </w:rPr>
          <w:t>174</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79" w:history="1">
        <w:r w:rsidR="004179AF" w:rsidRPr="00CE0B39">
          <w:rPr>
            <w:rStyle w:val="Hypertextovodkaz"/>
          </w:rPr>
          <w:t>Tabulka 52: Nejlidnatější země k roku 2030</w:t>
        </w:r>
        <w:r w:rsidR="004179AF">
          <w:rPr>
            <w:webHidden/>
          </w:rPr>
          <w:tab/>
        </w:r>
        <w:r w:rsidR="004179AF">
          <w:rPr>
            <w:webHidden/>
          </w:rPr>
          <w:fldChar w:fldCharType="begin"/>
        </w:r>
        <w:r w:rsidR="004179AF">
          <w:rPr>
            <w:webHidden/>
          </w:rPr>
          <w:instrText xml:space="preserve"> PAGEREF _Toc382326479 \h </w:instrText>
        </w:r>
        <w:r w:rsidR="004179AF">
          <w:rPr>
            <w:webHidden/>
          </w:rPr>
        </w:r>
        <w:r w:rsidR="004179AF">
          <w:rPr>
            <w:webHidden/>
          </w:rPr>
          <w:fldChar w:fldCharType="separate"/>
        </w:r>
        <w:r w:rsidR="00315423">
          <w:rPr>
            <w:webHidden/>
          </w:rPr>
          <w:t>176</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80" w:history="1">
        <w:r w:rsidR="004179AF" w:rsidRPr="00CE0B39">
          <w:rPr>
            <w:rStyle w:val="Hypertextovodkaz"/>
          </w:rPr>
          <w:t>Tabulka 53: Populační trendy během demografického přechodu 1700–2100</w:t>
        </w:r>
        <w:r w:rsidR="004179AF">
          <w:rPr>
            <w:webHidden/>
          </w:rPr>
          <w:tab/>
        </w:r>
        <w:r w:rsidR="004179AF">
          <w:rPr>
            <w:webHidden/>
          </w:rPr>
          <w:fldChar w:fldCharType="begin"/>
        </w:r>
        <w:r w:rsidR="004179AF">
          <w:rPr>
            <w:webHidden/>
          </w:rPr>
          <w:instrText xml:space="preserve"> PAGEREF _Toc382326480 \h </w:instrText>
        </w:r>
        <w:r w:rsidR="004179AF">
          <w:rPr>
            <w:webHidden/>
          </w:rPr>
        </w:r>
        <w:r w:rsidR="004179AF">
          <w:rPr>
            <w:webHidden/>
          </w:rPr>
          <w:fldChar w:fldCharType="separate"/>
        </w:r>
        <w:r w:rsidR="00315423">
          <w:rPr>
            <w:webHidden/>
          </w:rPr>
          <w:t>177</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81" w:history="1">
        <w:r w:rsidR="004179AF" w:rsidRPr="00CE0B39">
          <w:rPr>
            <w:rStyle w:val="Hypertextovodkaz"/>
          </w:rPr>
          <w:t>Tabulka 54: Srovnání zemí dle HDP per capita v letech 1980, 1990 a 2011 (USD)</w:t>
        </w:r>
        <w:r w:rsidR="004179AF">
          <w:rPr>
            <w:webHidden/>
          </w:rPr>
          <w:tab/>
        </w:r>
        <w:r w:rsidR="004179AF">
          <w:rPr>
            <w:webHidden/>
          </w:rPr>
          <w:fldChar w:fldCharType="begin"/>
        </w:r>
        <w:r w:rsidR="004179AF">
          <w:rPr>
            <w:webHidden/>
          </w:rPr>
          <w:instrText xml:space="preserve"> PAGEREF _Toc382326481 \h </w:instrText>
        </w:r>
        <w:r w:rsidR="004179AF">
          <w:rPr>
            <w:webHidden/>
          </w:rPr>
        </w:r>
        <w:r w:rsidR="004179AF">
          <w:rPr>
            <w:webHidden/>
          </w:rPr>
          <w:fldChar w:fldCharType="separate"/>
        </w:r>
        <w:r w:rsidR="00315423">
          <w:rPr>
            <w:webHidden/>
          </w:rPr>
          <w:t>178</w:t>
        </w:r>
        <w:r w:rsidR="004179AF">
          <w:rPr>
            <w:webHidden/>
          </w:rPr>
          <w:fldChar w:fldCharType="end"/>
        </w:r>
      </w:hyperlink>
    </w:p>
    <w:p w:rsidR="004179AF" w:rsidRDefault="00B40349">
      <w:pPr>
        <w:pStyle w:val="Obsah1"/>
        <w:rPr>
          <w:rFonts w:asciiTheme="minorHAnsi" w:eastAsiaTheme="minorEastAsia" w:hAnsiTheme="minorHAnsi" w:cstheme="minorBidi"/>
          <w:lang w:eastAsia="cs-CZ"/>
        </w:rPr>
      </w:pPr>
      <w:hyperlink w:anchor="_Toc382326482" w:history="1">
        <w:r w:rsidR="004179AF" w:rsidRPr="00CE0B39">
          <w:rPr>
            <w:rStyle w:val="Hypertextovodkaz"/>
          </w:rPr>
          <w:t>Tabulka 55: Vybrané ukazatele za EU 27 + Chorvatsko, Norsko a Švýcarsko</w:t>
        </w:r>
        <w:r w:rsidR="004179AF">
          <w:rPr>
            <w:webHidden/>
          </w:rPr>
          <w:tab/>
        </w:r>
        <w:r w:rsidR="004179AF">
          <w:rPr>
            <w:webHidden/>
          </w:rPr>
          <w:fldChar w:fldCharType="begin"/>
        </w:r>
        <w:r w:rsidR="004179AF">
          <w:rPr>
            <w:webHidden/>
          </w:rPr>
          <w:instrText xml:space="preserve"> PAGEREF _Toc382326482 \h </w:instrText>
        </w:r>
        <w:r w:rsidR="004179AF">
          <w:rPr>
            <w:webHidden/>
          </w:rPr>
        </w:r>
        <w:r w:rsidR="004179AF">
          <w:rPr>
            <w:webHidden/>
          </w:rPr>
          <w:fldChar w:fldCharType="separate"/>
        </w:r>
        <w:r w:rsidR="00315423">
          <w:rPr>
            <w:webHidden/>
          </w:rPr>
          <w:t>182</w:t>
        </w:r>
        <w:r w:rsidR="004179AF">
          <w:rPr>
            <w:webHidden/>
          </w:rPr>
          <w:fldChar w:fldCharType="end"/>
        </w:r>
      </w:hyperlink>
    </w:p>
    <w:p w:rsidR="00466054" w:rsidRPr="006C35F5" w:rsidRDefault="00D44284" w:rsidP="006B61FE">
      <w:pPr>
        <w:pStyle w:val="Obsah1"/>
        <w:spacing w:before="0" w:after="200"/>
      </w:pPr>
      <w:r w:rsidRPr="005D7683">
        <w:rPr>
          <w:b/>
        </w:rPr>
        <w:fldChar w:fldCharType="end"/>
      </w:r>
      <w:r w:rsidR="006B61FE" w:rsidRPr="006C35F5">
        <w:t xml:space="preserve"> </w:t>
      </w:r>
    </w:p>
    <w:p w:rsidR="005A07E0" w:rsidRDefault="005A07E0" w:rsidP="00423120">
      <w:pPr>
        <w:rPr>
          <w:rFonts w:eastAsiaTheme="minorEastAsia"/>
        </w:rPr>
      </w:pPr>
    </w:p>
    <w:p w:rsidR="006C35F5" w:rsidRDefault="006C35F5" w:rsidP="00423120">
      <w:pPr>
        <w:rPr>
          <w:rFonts w:eastAsiaTheme="minorEastAsia"/>
        </w:rPr>
      </w:pPr>
    </w:p>
    <w:p w:rsidR="006C35F5" w:rsidRDefault="006C35F5" w:rsidP="00423120">
      <w:pPr>
        <w:rPr>
          <w:rFonts w:eastAsiaTheme="minorEastAsia"/>
        </w:rPr>
      </w:pPr>
    </w:p>
    <w:p w:rsidR="006C35F5" w:rsidRDefault="006C35F5" w:rsidP="00423120">
      <w:pPr>
        <w:rPr>
          <w:rFonts w:eastAsiaTheme="minorEastAsia"/>
        </w:rPr>
      </w:pPr>
    </w:p>
    <w:p w:rsidR="006C35F5" w:rsidRDefault="006C35F5" w:rsidP="00423120">
      <w:pPr>
        <w:rPr>
          <w:rFonts w:eastAsiaTheme="minorEastAsia"/>
        </w:rPr>
      </w:pPr>
    </w:p>
    <w:p w:rsidR="006C35F5" w:rsidRDefault="006C35F5" w:rsidP="00423120">
      <w:pPr>
        <w:rPr>
          <w:rFonts w:eastAsiaTheme="minorEastAsia"/>
        </w:rPr>
      </w:pPr>
    </w:p>
    <w:p w:rsidR="006C35F5" w:rsidRDefault="006C35F5" w:rsidP="00423120">
      <w:pPr>
        <w:rPr>
          <w:rFonts w:eastAsiaTheme="minorEastAsia"/>
        </w:rPr>
      </w:pPr>
    </w:p>
    <w:p w:rsidR="006C35F5" w:rsidRDefault="006C35F5" w:rsidP="00423120">
      <w:pPr>
        <w:rPr>
          <w:rFonts w:eastAsiaTheme="minorEastAsia"/>
        </w:rPr>
      </w:pPr>
    </w:p>
    <w:p w:rsidR="006C35F5" w:rsidRDefault="006C35F5" w:rsidP="00423120">
      <w:pPr>
        <w:rPr>
          <w:rFonts w:eastAsiaTheme="minorEastAsia"/>
        </w:rPr>
      </w:pPr>
    </w:p>
    <w:p w:rsidR="00315423" w:rsidRDefault="00315423">
      <w:pPr>
        <w:spacing w:after="0" w:line="240" w:lineRule="auto"/>
        <w:rPr>
          <w:rFonts w:ascii="Cambria" w:hAnsi="Cambria"/>
          <w:b/>
          <w:bCs/>
          <w:color w:val="0070C0"/>
          <w:sz w:val="28"/>
          <w:szCs w:val="28"/>
        </w:rPr>
      </w:pPr>
      <w:bookmarkStart w:id="192" w:name="_Toc382327229"/>
      <w:r>
        <w:br w:type="page"/>
      </w:r>
    </w:p>
    <w:p w:rsidR="00D84BEB" w:rsidRPr="003C57FB" w:rsidRDefault="00D84BEB" w:rsidP="003C57FB">
      <w:pPr>
        <w:pStyle w:val="02-Nadpis2"/>
      </w:pPr>
      <w:r w:rsidRPr="003C57FB">
        <w:lastRenderedPageBreak/>
        <w:t>Seznam obrázků</w:t>
      </w:r>
      <w:bookmarkEnd w:id="192"/>
    </w:p>
    <w:p w:rsidR="0064127C" w:rsidRDefault="00D44284">
      <w:pPr>
        <w:pStyle w:val="Obsah1"/>
        <w:rPr>
          <w:rFonts w:asciiTheme="minorHAnsi" w:eastAsiaTheme="minorEastAsia" w:hAnsiTheme="minorHAnsi" w:cstheme="minorBidi"/>
          <w:lang w:eastAsia="cs-CZ"/>
        </w:rPr>
      </w:pPr>
      <w:r w:rsidRPr="00007323">
        <w:rPr>
          <w:b/>
        </w:rPr>
        <w:fldChar w:fldCharType="begin"/>
      </w:r>
      <w:r w:rsidR="00D84BEB" w:rsidRPr="00007323">
        <w:rPr>
          <w:b/>
        </w:rPr>
        <w:instrText xml:space="preserve"> TOC \h \z \t "0G-Titulek;1" </w:instrText>
      </w:r>
      <w:r w:rsidRPr="00007323">
        <w:rPr>
          <w:b/>
        </w:rPr>
        <w:fldChar w:fldCharType="separate"/>
      </w:r>
      <w:hyperlink w:anchor="_Toc382326805" w:history="1">
        <w:r w:rsidR="0064127C" w:rsidRPr="00607D74">
          <w:rPr>
            <w:rStyle w:val="Hypertextovodkaz"/>
          </w:rPr>
          <w:t>Obrázek 1: Thünenův model využití půdy: polohová renta pěstování zeleniny a obilí</w:t>
        </w:r>
        <w:r w:rsidR="0064127C">
          <w:rPr>
            <w:webHidden/>
          </w:rPr>
          <w:tab/>
        </w:r>
        <w:r w:rsidR="0064127C">
          <w:rPr>
            <w:webHidden/>
          </w:rPr>
          <w:fldChar w:fldCharType="begin"/>
        </w:r>
        <w:r w:rsidR="0064127C">
          <w:rPr>
            <w:webHidden/>
          </w:rPr>
          <w:instrText xml:space="preserve"> PAGEREF _Toc382326805 \h </w:instrText>
        </w:r>
        <w:r w:rsidR="0064127C">
          <w:rPr>
            <w:webHidden/>
          </w:rPr>
        </w:r>
        <w:r w:rsidR="0064127C">
          <w:rPr>
            <w:webHidden/>
          </w:rPr>
          <w:fldChar w:fldCharType="separate"/>
        </w:r>
        <w:r w:rsidR="00315423">
          <w:rPr>
            <w:webHidden/>
          </w:rPr>
          <w:t>7</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06" w:history="1">
        <w:r w:rsidR="0064127C" w:rsidRPr="00607D74">
          <w:rPr>
            <w:rStyle w:val="Hypertextovodkaz"/>
          </w:rPr>
          <w:t>Obrázek 2: Thünenův model koncentrických zón zemědělské výroby</w:t>
        </w:r>
        <w:r w:rsidR="0064127C">
          <w:rPr>
            <w:webHidden/>
          </w:rPr>
          <w:tab/>
        </w:r>
        <w:r w:rsidR="0064127C">
          <w:rPr>
            <w:webHidden/>
          </w:rPr>
          <w:fldChar w:fldCharType="begin"/>
        </w:r>
        <w:r w:rsidR="0064127C">
          <w:rPr>
            <w:webHidden/>
          </w:rPr>
          <w:instrText xml:space="preserve"> PAGEREF _Toc382326806 \h </w:instrText>
        </w:r>
        <w:r w:rsidR="0064127C">
          <w:rPr>
            <w:webHidden/>
          </w:rPr>
        </w:r>
        <w:r w:rsidR="0064127C">
          <w:rPr>
            <w:webHidden/>
          </w:rPr>
          <w:fldChar w:fldCharType="separate"/>
        </w:r>
        <w:r w:rsidR="00315423">
          <w:rPr>
            <w:webHidden/>
          </w:rPr>
          <w:t>8</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07" w:history="1">
        <w:r w:rsidR="0064127C" w:rsidRPr="00607D74">
          <w:rPr>
            <w:rStyle w:val="Hypertextovodkaz"/>
          </w:rPr>
          <w:t>Obrázek 3: Bid rent křivky pro dvě domácnosti s různými příjmy</w:t>
        </w:r>
        <w:r w:rsidR="0064127C">
          <w:rPr>
            <w:webHidden/>
          </w:rPr>
          <w:tab/>
        </w:r>
        <w:r w:rsidR="0064127C">
          <w:rPr>
            <w:webHidden/>
          </w:rPr>
          <w:fldChar w:fldCharType="begin"/>
        </w:r>
        <w:r w:rsidR="0064127C">
          <w:rPr>
            <w:webHidden/>
          </w:rPr>
          <w:instrText xml:space="preserve"> PAGEREF _Toc382326807 \h </w:instrText>
        </w:r>
        <w:r w:rsidR="0064127C">
          <w:rPr>
            <w:webHidden/>
          </w:rPr>
        </w:r>
        <w:r w:rsidR="0064127C">
          <w:rPr>
            <w:webHidden/>
          </w:rPr>
          <w:fldChar w:fldCharType="separate"/>
        </w:r>
        <w:r w:rsidR="00315423">
          <w:rPr>
            <w:webHidden/>
          </w:rPr>
          <w:t>9</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08" w:history="1">
        <w:r w:rsidR="0064127C" w:rsidRPr="00607D74">
          <w:rPr>
            <w:rStyle w:val="Hypertextovodkaz"/>
          </w:rPr>
          <w:t>Obrázek 4: Alonsův model struktury města</w:t>
        </w:r>
        <w:r w:rsidR="0064127C">
          <w:rPr>
            <w:webHidden/>
          </w:rPr>
          <w:tab/>
        </w:r>
        <w:r w:rsidR="0064127C">
          <w:rPr>
            <w:webHidden/>
          </w:rPr>
          <w:fldChar w:fldCharType="begin"/>
        </w:r>
        <w:r w:rsidR="0064127C">
          <w:rPr>
            <w:webHidden/>
          </w:rPr>
          <w:instrText xml:space="preserve"> PAGEREF _Toc382326808 \h </w:instrText>
        </w:r>
        <w:r w:rsidR="0064127C">
          <w:rPr>
            <w:webHidden/>
          </w:rPr>
        </w:r>
        <w:r w:rsidR="0064127C">
          <w:rPr>
            <w:webHidden/>
          </w:rPr>
          <w:fldChar w:fldCharType="separate"/>
        </w:r>
        <w:r w:rsidR="00315423">
          <w:rPr>
            <w:webHidden/>
          </w:rPr>
          <w:t>10</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09" w:history="1">
        <w:r w:rsidR="0064127C" w:rsidRPr="00607D74">
          <w:rPr>
            <w:rStyle w:val="Hypertextovodkaz"/>
          </w:rPr>
          <w:t>Obrázek 5: Modely struktury města</w:t>
        </w:r>
        <w:r w:rsidR="0064127C">
          <w:rPr>
            <w:webHidden/>
          </w:rPr>
          <w:tab/>
        </w:r>
        <w:r w:rsidR="0064127C">
          <w:rPr>
            <w:webHidden/>
          </w:rPr>
          <w:fldChar w:fldCharType="begin"/>
        </w:r>
        <w:r w:rsidR="0064127C">
          <w:rPr>
            <w:webHidden/>
          </w:rPr>
          <w:instrText xml:space="preserve"> PAGEREF _Toc382326809 \h </w:instrText>
        </w:r>
        <w:r w:rsidR="0064127C">
          <w:rPr>
            <w:webHidden/>
          </w:rPr>
        </w:r>
        <w:r w:rsidR="0064127C">
          <w:rPr>
            <w:webHidden/>
          </w:rPr>
          <w:fldChar w:fldCharType="separate"/>
        </w:r>
        <w:r w:rsidR="00315423">
          <w:rPr>
            <w:webHidden/>
          </w:rPr>
          <w:t>14</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10" w:history="1">
        <w:r w:rsidR="0064127C" w:rsidRPr="00607D74">
          <w:rPr>
            <w:rStyle w:val="Hypertextovodkaz"/>
          </w:rPr>
          <w:t>Obrázek 6: Metabolismus sídel</w:t>
        </w:r>
        <w:r w:rsidR="0064127C">
          <w:rPr>
            <w:webHidden/>
          </w:rPr>
          <w:tab/>
        </w:r>
        <w:r w:rsidR="0064127C">
          <w:rPr>
            <w:webHidden/>
          </w:rPr>
          <w:fldChar w:fldCharType="begin"/>
        </w:r>
        <w:r w:rsidR="0064127C">
          <w:rPr>
            <w:webHidden/>
          </w:rPr>
          <w:instrText xml:space="preserve"> PAGEREF _Toc382326810 \h </w:instrText>
        </w:r>
        <w:r w:rsidR="0064127C">
          <w:rPr>
            <w:webHidden/>
          </w:rPr>
        </w:r>
        <w:r w:rsidR="0064127C">
          <w:rPr>
            <w:webHidden/>
          </w:rPr>
          <w:fldChar w:fldCharType="separate"/>
        </w:r>
        <w:r w:rsidR="00315423">
          <w:rPr>
            <w:webHidden/>
          </w:rPr>
          <w:t>21</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11" w:history="1">
        <w:r w:rsidR="0064127C" w:rsidRPr="00607D74">
          <w:rPr>
            <w:rStyle w:val="Hypertextovodkaz"/>
          </w:rPr>
          <w:t>Obrázek 7: Ekonomické přístupy k životnímu prostředí</w:t>
        </w:r>
        <w:r w:rsidR="0064127C">
          <w:rPr>
            <w:webHidden/>
          </w:rPr>
          <w:tab/>
        </w:r>
        <w:r w:rsidR="0064127C">
          <w:rPr>
            <w:webHidden/>
          </w:rPr>
          <w:fldChar w:fldCharType="begin"/>
        </w:r>
        <w:r w:rsidR="0064127C">
          <w:rPr>
            <w:webHidden/>
          </w:rPr>
          <w:instrText xml:space="preserve"> PAGEREF _Toc382326811 \h </w:instrText>
        </w:r>
        <w:r w:rsidR="0064127C">
          <w:rPr>
            <w:webHidden/>
          </w:rPr>
        </w:r>
        <w:r w:rsidR="0064127C">
          <w:rPr>
            <w:webHidden/>
          </w:rPr>
          <w:fldChar w:fldCharType="separate"/>
        </w:r>
        <w:r w:rsidR="00315423">
          <w:rPr>
            <w:webHidden/>
          </w:rPr>
          <w:t>23</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12" w:history="1">
        <w:r w:rsidR="0064127C" w:rsidRPr="00607D74">
          <w:rPr>
            <w:rStyle w:val="Hypertextovodkaz"/>
          </w:rPr>
          <w:t>Obrázek 8: Výřez cenové mapy města Brna</w:t>
        </w:r>
        <w:r w:rsidR="0064127C">
          <w:rPr>
            <w:webHidden/>
          </w:rPr>
          <w:tab/>
        </w:r>
        <w:r w:rsidR="0064127C">
          <w:rPr>
            <w:webHidden/>
          </w:rPr>
          <w:fldChar w:fldCharType="begin"/>
        </w:r>
        <w:r w:rsidR="0064127C">
          <w:rPr>
            <w:webHidden/>
          </w:rPr>
          <w:instrText xml:space="preserve"> PAGEREF _Toc382326812 \h </w:instrText>
        </w:r>
        <w:r w:rsidR="0064127C">
          <w:rPr>
            <w:webHidden/>
          </w:rPr>
        </w:r>
        <w:r w:rsidR="0064127C">
          <w:rPr>
            <w:webHidden/>
          </w:rPr>
          <w:fldChar w:fldCharType="separate"/>
        </w:r>
        <w:r w:rsidR="00315423">
          <w:rPr>
            <w:webHidden/>
          </w:rPr>
          <w:t>28</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13" w:history="1">
        <w:r w:rsidR="0064127C" w:rsidRPr="00607D74">
          <w:rPr>
            <w:rStyle w:val="Hypertextovodkaz"/>
          </w:rPr>
          <w:t>Obrázek 9: Kvalita podnikatelského prostředí podle regionů ORP</w:t>
        </w:r>
        <w:r w:rsidR="0064127C">
          <w:rPr>
            <w:webHidden/>
          </w:rPr>
          <w:tab/>
        </w:r>
        <w:r w:rsidR="0064127C">
          <w:rPr>
            <w:webHidden/>
          </w:rPr>
          <w:fldChar w:fldCharType="begin"/>
        </w:r>
        <w:r w:rsidR="0064127C">
          <w:rPr>
            <w:webHidden/>
          </w:rPr>
          <w:instrText xml:space="preserve"> PAGEREF _Toc382326813 \h </w:instrText>
        </w:r>
        <w:r w:rsidR="0064127C">
          <w:rPr>
            <w:webHidden/>
          </w:rPr>
        </w:r>
        <w:r w:rsidR="0064127C">
          <w:rPr>
            <w:webHidden/>
          </w:rPr>
          <w:fldChar w:fldCharType="separate"/>
        </w:r>
        <w:r w:rsidR="00315423">
          <w:rPr>
            <w:webHidden/>
          </w:rPr>
          <w:t>42</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14" w:history="1">
        <w:r w:rsidR="0064127C" w:rsidRPr="00607D74">
          <w:rPr>
            <w:rStyle w:val="Hypertextovodkaz"/>
          </w:rPr>
          <w:t>Obrázek 10: Regresní mocninná křivka závislosti hodnot KPP na velikosti mikroregionů</w:t>
        </w:r>
        <w:r w:rsidR="0064127C">
          <w:rPr>
            <w:webHidden/>
          </w:rPr>
          <w:tab/>
        </w:r>
        <w:r w:rsidR="0064127C">
          <w:rPr>
            <w:webHidden/>
          </w:rPr>
          <w:fldChar w:fldCharType="begin"/>
        </w:r>
        <w:r w:rsidR="0064127C">
          <w:rPr>
            <w:webHidden/>
          </w:rPr>
          <w:instrText xml:space="preserve"> PAGEREF _Toc382326814 \h </w:instrText>
        </w:r>
        <w:r w:rsidR="0064127C">
          <w:rPr>
            <w:webHidden/>
          </w:rPr>
        </w:r>
        <w:r w:rsidR="0064127C">
          <w:rPr>
            <w:webHidden/>
          </w:rPr>
          <w:fldChar w:fldCharType="separate"/>
        </w:r>
        <w:r w:rsidR="00315423">
          <w:rPr>
            <w:webHidden/>
          </w:rPr>
          <w:t>43</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15" w:history="1">
        <w:r w:rsidR="0064127C" w:rsidRPr="00607D74">
          <w:rPr>
            <w:rStyle w:val="Hypertextovodkaz"/>
          </w:rPr>
          <w:t>Obrázek 11: KSP v regionech ORP a jejich typologie podle rovnováhy KSP a KPP</w:t>
        </w:r>
        <w:r w:rsidR="0064127C">
          <w:rPr>
            <w:webHidden/>
          </w:rPr>
          <w:tab/>
        </w:r>
        <w:r w:rsidR="0064127C">
          <w:rPr>
            <w:webHidden/>
          </w:rPr>
          <w:fldChar w:fldCharType="begin"/>
        </w:r>
        <w:r w:rsidR="0064127C">
          <w:rPr>
            <w:webHidden/>
          </w:rPr>
          <w:instrText xml:space="preserve"> PAGEREF _Toc382326815 \h </w:instrText>
        </w:r>
        <w:r w:rsidR="0064127C">
          <w:rPr>
            <w:webHidden/>
          </w:rPr>
        </w:r>
        <w:r w:rsidR="0064127C">
          <w:rPr>
            <w:webHidden/>
          </w:rPr>
          <w:fldChar w:fldCharType="separate"/>
        </w:r>
        <w:r w:rsidR="00315423">
          <w:rPr>
            <w:webHidden/>
          </w:rPr>
          <w:t>46</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16" w:history="1">
        <w:r w:rsidR="0064127C" w:rsidRPr="00607D74">
          <w:rPr>
            <w:rStyle w:val="Hypertextovodkaz"/>
          </w:rPr>
          <w:t>Obrázek 12: Neoklasický trh práce</w:t>
        </w:r>
        <w:r w:rsidR="0064127C">
          <w:rPr>
            <w:webHidden/>
          </w:rPr>
          <w:tab/>
        </w:r>
        <w:r w:rsidR="0064127C">
          <w:rPr>
            <w:webHidden/>
          </w:rPr>
          <w:fldChar w:fldCharType="begin"/>
        </w:r>
        <w:r w:rsidR="0064127C">
          <w:rPr>
            <w:webHidden/>
          </w:rPr>
          <w:instrText xml:space="preserve"> PAGEREF _Toc382326816 \h </w:instrText>
        </w:r>
        <w:r w:rsidR="0064127C">
          <w:rPr>
            <w:webHidden/>
          </w:rPr>
        </w:r>
        <w:r w:rsidR="0064127C">
          <w:rPr>
            <w:webHidden/>
          </w:rPr>
          <w:fldChar w:fldCharType="separate"/>
        </w:r>
        <w:r w:rsidR="00315423">
          <w:rPr>
            <w:webHidden/>
          </w:rPr>
          <w:t>48</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17" w:history="1">
        <w:r w:rsidR="0064127C" w:rsidRPr="00607D74">
          <w:rPr>
            <w:rStyle w:val="Hypertextovodkaz"/>
          </w:rPr>
          <w:t>Obrázek 13: Neoklasický model migrace</w:t>
        </w:r>
        <w:r w:rsidR="0064127C">
          <w:rPr>
            <w:webHidden/>
          </w:rPr>
          <w:tab/>
        </w:r>
        <w:r w:rsidR="0064127C">
          <w:rPr>
            <w:webHidden/>
          </w:rPr>
          <w:fldChar w:fldCharType="begin"/>
        </w:r>
        <w:r w:rsidR="0064127C">
          <w:rPr>
            <w:webHidden/>
          </w:rPr>
          <w:instrText xml:space="preserve"> PAGEREF _Toc382326817 \h </w:instrText>
        </w:r>
        <w:r w:rsidR="0064127C">
          <w:rPr>
            <w:webHidden/>
          </w:rPr>
        </w:r>
        <w:r w:rsidR="0064127C">
          <w:rPr>
            <w:webHidden/>
          </w:rPr>
          <w:fldChar w:fldCharType="separate"/>
        </w:r>
        <w:r w:rsidR="00315423">
          <w:rPr>
            <w:webHidden/>
          </w:rPr>
          <w:t>49</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18" w:history="1">
        <w:r w:rsidR="0064127C" w:rsidRPr="00607D74">
          <w:rPr>
            <w:rStyle w:val="Hypertextovodkaz"/>
          </w:rPr>
          <w:t>Obrázek 14: Poptávkový přístup k migraci</w:t>
        </w:r>
        <w:r w:rsidR="0064127C">
          <w:rPr>
            <w:webHidden/>
          </w:rPr>
          <w:tab/>
        </w:r>
        <w:r w:rsidR="0064127C">
          <w:rPr>
            <w:webHidden/>
          </w:rPr>
          <w:fldChar w:fldCharType="begin"/>
        </w:r>
        <w:r w:rsidR="0064127C">
          <w:rPr>
            <w:webHidden/>
          </w:rPr>
          <w:instrText xml:space="preserve"> PAGEREF _Toc382326818 \h </w:instrText>
        </w:r>
        <w:r w:rsidR="0064127C">
          <w:rPr>
            <w:webHidden/>
          </w:rPr>
        </w:r>
        <w:r w:rsidR="0064127C">
          <w:rPr>
            <w:webHidden/>
          </w:rPr>
          <w:fldChar w:fldCharType="separate"/>
        </w:r>
        <w:r w:rsidR="00315423">
          <w:rPr>
            <w:webHidden/>
          </w:rPr>
          <w:t>50</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19" w:history="1">
        <w:r w:rsidR="0064127C" w:rsidRPr="00607D74">
          <w:rPr>
            <w:rStyle w:val="Hypertextovodkaz"/>
          </w:rPr>
          <w:t>Obrázek 15: Očekávané změny počtu obyvatel krajů v období 2008–2050 (v %)</w:t>
        </w:r>
        <w:r w:rsidR="0064127C">
          <w:rPr>
            <w:webHidden/>
          </w:rPr>
          <w:tab/>
        </w:r>
        <w:r w:rsidR="0064127C">
          <w:rPr>
            <w:webHidden/>
          </w:rPr>
          <w:fldChar w:fldCharType="begin"/>
        </w:r>
        <w:r w:rsidR="0064127C">
          <w:rPr>
            <w:webHidden/>
          </w:rPr>
          <w:instrText xml:space="preserve"> PAGEREF _Toc382326819 \h </w:instrText>
        </w:r>
        <w:r w:rsidR="0064127C">
          <w:rPr>
            <w:webHidden/>
          </w:rPr>
        </w:r>
        <w:r w:rsidR="0064127C">
          <w:rPr>
            <w:webHidden/>
          </w:rPr>
          <w:fldChar w:fldCharType="separate"/>
        </w:r>
        <w:r w:rsidR="00315423">
          <w:rPr>
            <w:webHidden/>
          </w:rPr>
          <w:t>62</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20" w:history="1">
        <w:r w:rsidR="0064127C" w:rsidRPr="00607D74">
          <w:rPr>
            <w:rStyle w:val="Hypertextovodkaz"/>
          </w:rPr>
          <w:t>Obrázek 16: Dynamický model rozvojového potenciálu regionů České republiky</w:t>
        </w:r>
        <w:r w:rsidR="0064127C">
          <w:rPr>
            <w:webHidden/>
          </w:rPr>
          <w:tab/>
        </w:r>
        <w:r w:rsidR="0064127C">
          <w:rPr>
            <w:webHidden/>
          </w:rPr>
          <w:fldChar w:fldCharType="begin"/>
        </w:r>
        <w:r w:rsidR="0064127C">
          <w:rPr>
            <w:webHidden/>
          </w:rPr>
          <w:instrText xml:space="preserve"> PAGEREF _Toc382326820 \h </w:instrText>
        </w:r>
        <w:r w:rsidR="0064127C">
          <w:rPr>
            <w:webHidden/>
          </w:rPr>
        </w:r>
        <w:r w:rsidR="0064127C">
          <w:rPr>
            <w:webHidden/>
          </w:rPr>
          <w:fldChar w:fldCharType="separate"/>
        </w:r>
        <w:r w:rsidR="00315423">
          <w:rPr>
            <w:webHidden/>
          </w:rPr>
          <w:t>86</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21" w:history="1">
        <w:r w:rsidR="0064127C" w:rsidRPr="00607D74">
          <w:rPr>
            <w:rStyle w:val="Hypertextovodkaz"/>
          </w:rPr>
          <w:t>Obrázek 17: Explanační schéma integrační teorie udržitelného regionálního rozvoje</w:t>
        </w:r>
        <w:r w:rsidR="0064127C">
          <w:rPr>
            <w:webHidden/>
          </w:rPr>
          <w:tab/>
        </w:r>
        <w:r w:rsidR="0064127C">
          <w:rPr>
            <w:webHidden/>
          </w:rPr>
          <w:fldChar w:fldCharType="begin"/>
        </w:r>
        <w:r w:rsidR="0064127C">
          <w:rPr>
            <w:webHidden/>
          </w:rPr>
          <w:instrText xml:space="preserve"> PAGEREF _Toc382326821 \h </w:instrText>
        </w:r>
        <w:r w:rsidR="0064127C">
          <w:rPr>
            <w:webHidden/>
          </w:rPr>
        </w:r>
        <w:r w:rsidR="0064127C">
          <w:rPr>
            <w:webHidden/>
          </w:rPr>
          <w:fldChar w:fldCharType="separate"/>
        </w:r>
        <w:r w:rsidR="00315423">
          <w:rPr>
            <w:webHidden/>
          </w:rPr>
          <w:t>88</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22" w:history="1">
        <w:r w:rsidR="0064127C" w:rsidRPr="00607D74">
          <w:rPr>
            <w:rStyle w:val="Hypertextovodkaz"/>
          </w:rPr>
          <w:t>Obrázek 18: Schéma aktivit partnerských sítí a klastrů</w:t>
        </w:r>
        <w:r w:rsidR="0064127C">
          <w:rPr>
            <w:webHidden/>
          </w:rPr>
          <w:tab/>
        </w:r>
        <w:r w:rsidR="0064127C">
          <w:rPr>
            <w:webHidden/>
          </w:rPr>
          <w:fldChar w:fldCharType="begin"/>
        </w:r>
        <w:r w:rsidR="0064127C">
          <w:rPr>
            <w:webHidden/>
          </w:rPr>
          <w:instrText xml:space="preserve"> PAGEREF _Toc382326822 \h </w:instrText>
        </w:r>
        <w:r w:rsidR="0064127C">
          <w:rPr>
            <w:webHidden/>
          </w:rPr>
        </w:r>
        <w:r w:rsidR="0064127C">
          <w:rPr>
            <w:webHidden/>
          </w:rPr>
          <w:fldChar w:fldCharType="separate"/>
        </w:r>
        <w:r w:rsidR="00315423">
          <w:rPr>
            <w:webHidden/>
          </w:rPr>
          <w:t>91</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23" w:history="1">
        <w:r w:rsidR="0064127C" w:rsidRPr="00607D74">
          <w:rPr>
            <w:rStyle w:val="Hypertextovodkaz"/>
          </w:rPr>
          <w:t>Obrázek 19: Klastry v České republice</w:t>
        </w:r>
        <w:r w:rsidR="0064127C">
          <w:rPr>
            <w:webHidden/>
          </w:rPr>
          <w:tab/>
        </w:r>
        <w:r w:rsidR="0064127C">
          <w:rPr>
            <w:webHidden/>
          </w:rPr>
          <w:fldChar w:fldCharType="begin"/>
        </w:r>
        <w:r w:rsidR="0064127C">
          <w:rPr>
            <w:webHidden/>
          </w:rPr>
          <w:instrText xml:space="preserve"> PAGEREF _Toc382326823 \h </w:instrText>
        </w:r>
        <w:r w:rsidR="0064127C">
          <w:rPr>
            <w:webHidden/>
          </w:rPr>
        </w:r>
        <w:r w:rsidR="0064127C">
          <w:rPr>
            <w:webHidden/>
          </w:rPr>
          <w:fldChar w:fldCharType="separate"/>
        </w:r>
        <w:r w:rsidR="00315423">
          <w:rPr>
            <w:webHidden/>
          </w:rPr>
          <w:t>93</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24" w:history="1">
        <w:r w:rsidR="0064127C" w:rsidRPr="00607D74">
          <w:rPr>
            <w:rStyle w:val="Hypertextovodkaz"/>
          </w:rPr>
          <w:t>Obrázek 20: Postup identifikace klastru</w:t>
        </w:r>
        <w:r w:rsidR="0064127C">
          <w:rPr>
            <w:webHidden/>
          </w:rPr>
          <w:tab/>
        </w:r>
        <w:r w:rsidR="0064127C">
          <w:rPr>
            <w:webHidden/>
          </w:rPr>
          <w:fldChar w:fldCharType="begin"/>
        </w:r>
        <w:r w:rsidR="0064127C">
          <w:rPr>
            <w:webHidden/>
          </w:rPr>
          <w:instrText xml:space="preserve"> PAGEREF _Toc382326824 \h </w:instrText>
        </w:r>
        <w:r w:rsidR="0064127C">
          <w:rPr>
            <w:webHidden/>
          </w:rPr>
        </w:r>
        <w:r w:rsidR="0064127C">
          <w:rPr>
            <w:webHidden/>
          </w:rPr>
          <w:fldChar w:fldCharType="separate"/>
        </w:r>
        <w:r w:rsidR="00315423">
          <w:rPr>
            <w:webHidden/>
          </w:rPr>
          <w:t>99</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26" w:history="1">
        <w:r w:rsidR="0064127C" w:rsidRPr="00607D74">
          <w:rPr>
            <w:rStyle w:val="Hypertextovodkaz"/>
          </w:rPr>
          <w:t>Obrázek 21: Mapa skotského potravinářského klastru</w:t>
        </w:r>
        <w:r w:rsidR="0064127C">
          <w:rPr>
            <w:webHidden/>
          </w:rPr>
          <w:tab/>
        </w:r>
        <w:r w:rsidR="0064127C">
          <w:rPr>
            <w:webHidden/>
          </w:rPr>
          <w:fldChar w:fldCharType="begin"/>
        </w:r>
        <w:r w:rsidR="0064127C">
          <w:rPr>
            <w:webHidden/>
          </w:rPr>
          <w:instrText xml:space="preserve"> PAGEREF _Toc382326826 \h </w:instrText>
        </w:r>
        <w:r w:rsidR="0064127C">
          <w:rPr>
            <w:webHidden/>
          </w:rPr>
        </w:r>
        <w:r w:rsidR="0064127C">
          <w:rPr>
            <w:webHidden/>
          </w:rPr>
          <w:fldChar w:fldCharType="separate"/>
        </w:r>
        <w:r w:rsidR="00315423">
          <w:rPr>
            <w:webHidden/>
          </w:rPr>
          <w:t>100</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27" w:history="1">
        <w:r w:rsidR="0064127C" w:rsidRPr="00607D74">
          <w:rPr>
            <w:rStyle w:val="Hypertextovodkaz"/>
          </w:rPr>
          <w:t>Obrázek 22: Mezní zisk továrníka a mezní ztráta zemědělce při různém stupni znečištění</w:t>
        </w:r>
        <w:r w:rsidR="0064127C">
          <w:rPr>
            <w:webHidden/>
          </w:rPr>
          <w:tab/>
        </w:r>
        <w:r w:rsidR="0064127C">
          <w:rPr>
            <w:webHidden/>
          </w:rPr>
          <w:fldChar w:fldCharType="begin"/>
        </w:r>
        <w:r w:rsidR="0064127C">
          <w:rPr>
            <w:webHidden/>
          </w:rPr>
          <w:instrText xml:space="preserve"> PAGEREF _Toc382326827 \h </w:instrText>
        </w:r>
        <w:r w:rsidR="0064127C">
          <w:rPr>
            <w:webHidden/>
          </w:rPr>
        </w:r>
        <w:r w:rsidR="0064127C">
          <w:rPr>
            <w:webHidden/>
          </w:rPr>
          <w:fldChar w:fldCharType="separate"/>
        </w:r>
        <w:r w:rsidR="00315423">
          <w:rPr>
            <w:webHidden/>
          </w:rPr>
          <w:t>112</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28" w:history="1">
        <w:r w:rsidR="0064127C" w:rsidRPr="00607D74">
          <w:rPr>
            <w:rStyle w:val="Hypertextovodkaz"/>
          </w:rPr>
          <w:t>Obrázek 23: Volba mezi firemním a tržním zajištěním produktu (vymezení hranice firmy)</w:t>
        </w:r>
        <w:r w:rsidR="0064127C">
          <w:rPr>
            <w:webHidden/>
          </w:rPr>
          <w:tab/>
        </w:r>
        <w:r w:rsidR="0064127C">
          <w:rPr>
            <w:webHidden/>
          </w:rPr>
          <w:fldChar w:fldCharType="begin"/>
        </w:r>
        <w:r w:rsidR="0064127C">
          <w:rPr>
            <w:webHidden/>
          </w:rPr>
          <w:instrText xml:space="preserve"> PAGEREF _Toc382326828 \h </w:instrText>
        </w:r>
        <w:r w:rsidR="0064127C">
          <w:rPr>
            <w:webHidden/>
          </w:rPr>
        </w:r>
        <w:r w:rsidR="0064127C">
          <w:rPr>
            <w:webHidden/>
          </w:rPr>
          <w:fldChar w:fldCharType="separate"/>
        </w:r>
        <w:r w:rsidR="00315423">
          <w:rPr>
            <w:webHidden/>
          </w:rPr>
          <w:t>114</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29" w:history="1">
        <w:r w:rsidR="0064127C" w:rsidRPr="00607D74">
          <w:rPr>
            <w:rStyle w:val="Hypertextovodkaz"/>
          </w:rPr>
          <w:t>Obrázek 24: Komparativní náklady na výrobu</w:t>
        </w:r>
        <w:r w:rsidR="0064127C">
          <w:rPr>
            <w:webHidden/>
          </w:rPr>
          <w:tab/>
        </w:r>
        <w:r w:rsidR="0064127C">
          <w:rPr>
            <w:webHidden/>
          </w:rPr>
          <w:fldChar w:fldCharType="begin"/>
        </w:r>
        <w:r w:rsidR="0064127C">
          <w:rPr>
            <w:webHidden/>
          </w:rPr>
          <w:instrText xml:space="preserve"> PAGEREF _Toc382326829 \h </w:instrText>
        </w:r>
        <w:r w:rsidR="0064127C">
          <w:rPr>
            <w:webHidden/>
          </w:rPr>
        </w:r>
        <w:r w:rsidR="0064127C">
          <w:rPr>
            <w:webHidden/>
          </w:rPr>
          <w:fldChar w:fldCharType="separate"/>
        </w:r>
        <w:r w:rsidR="00315423">
          <w:rPr>
            <w:webHidden/>
          </w:rPr>
          <w:t>114</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30" w:history="1">
        <w:r w:rsidR="0064127C" w:rsidRPr="00607D74">
          <w:rPr>
            <w:rStyle w:val="Hypertextovodkaz"/>
          </w:rPr>
          <w:t>Obrázek 25: Ilustrativní schéma horizontální, vertikální a diagonální integrace</w:t>
        </w:r>
        <w:r w:rsidR="0064127C">
          <w:rPr>
            <w:webHidden/>
          </w:rPr>
          <w:tab/>
        </w:r>
        <w:r w:rsidR="0064127C">
          <w:rPr>
            <w:webHidden/>
          </w:rPr>
          <w:fldChar w:fldCharType="begin"/>
        </w:r>
        <w:r w:rsidR="0064127C">
          <w:rPr>
            <w:webHidden/>
          </w:rPr>
          <w:instrText xml:space="preserve"> PAGEREF _Toc382326830 \h </w:instrText>
        </w:r>
        <w:r w:rsidR="0064127C">
          <w:rPr>
            <w:webHidden/>
          </w:rPr>
        </w:r>
        <w:r w:rsidR="0064127C">
          <w:rPr>
            <w:webHidden/>
          </w:rPr>
          <w:fldChar w:fldCharType="separate"/>
        </w:r>
        <w:r w:rsidR="00315423">
          <w:rPr>
            <w:webHidden/>
          </w:rPr>
          <w:t>116</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31" w:history="1">
        <w:r w:rsidR="0064127C" w:rsidRPr="00607D74">
          <w:rPr>
            <w:rStyle w:val="Hypertextovodkaz"/>
            <w:rFonts w:cstheme="minorHAnsi"/>
          </w:rPr>
          <w:t xml:space="preserve">Obrázek 26: </w:t>
        </w:r>
        <w:r w:rsidR="0064127C" w:rsidRPr="00607D74">
          <w:rPr>
            <w:rStyle w:val="Hypertextovodkaz"/>
          </w:rPr>
          <w:t>Vývoj triple helix</w:t>
        </w:r>
        <w:r w:rsidR="0064127C">
          <w:rPr>
            <w:webHidden/>
          </w:rPr>
          <w:tab/>
        </w:r>
        <w:r w:rsidR="0064127C">
          <w:rPr>
            <w:webHidden/>
          </w:rPr>
          <w:fldChar w:fldCharType="begin"/>
        </w:r>
        <w:r w:rsidR="0064127C">
          <w:rPr>
            <w:webHidden/>
          </w:rPr>
          <w:instrText xml:space="preserve"> PAGEREF _Toc382326831 \h </w:instrText>
        </w:r>
        <w:r w:rsidR="0064127C">
          <w:rPr>
            <w:webHidden/>
          </w:rPr>
        </w:r>
        <w:r w:rsidR="0064127C">
          <w:rPr>
            <w:webHidden/>
          </w:rPr>
          <w:fldChar w:fldCharType="separate"/>
        </w:r>
        <w:r w:rsidR="00315423">
          <w:rPr>
            <w:webHidden/>
          </w:rPr>
          <w:t>129</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32" w:history="1">
        <w:r w:rsidR="0064127C" w:rsidRPr="00607D74">
          <w:rPr>
            <w:rStyle w:val="Hypertextovodkaz"/>
          </w:rPr>
          <w:t>Obrázek 27: Účelnost výstavby plánovaných dálnic a rychlostních silnic v České republice</w:t>
        </w:r>
        <w:r w:rsidR="0064127C">
          <w:rPr>
            <w:webHidden/>
          </w:rPr>
          <w:tab/>
        </w:r>
        <w:r w:rsidR="0064127C">
          <w:rPr>
            <w:webHidden/>
          </w:rPr>
          <w:fldChar w:fldCharType="begin"/>
        </w:r>
        <w:r w:rsidR="0064127C">
          <w:rPr>
            <w:webHidden/>
          </w:rPr>
          <w:instrText xml:space="preserve"> PAGEREF _Toc382326832 \h </w:instrText>
        </w:r>
        <w:r w:rsidR="0064127C">
          <w:rPr>
            <w:webHidden/>
          </w:rPr>
        </w:r>
        <w:r w:rsidR="0064127C">
          <w:rPr>
            <w:webHidden/>
          </w:rPr>
          <w:fldChar w:fldCharType="separate"/>
        </w:r>
        <w:r w:rsidR="00315423">
          <w:rPr>
            <w:webHidden/>
          </w:rPr>
          <w:t>143</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33" w:history="1">
        <w:r w:rsidR="0064127C" w:rsidRPr="00607D74">
          <w:rPr>
            <w:rStyle w:val="Hypertextovodkaz"/>
            <w:rFonts w:eastAsia="Batang"/>
          </w:rPr>
          <w:t>Obrázek 28: Teorie integrace</w:t>
        </w:r>
        <w:r w:rsidR="0064127C">
          <w:rPr>
            <w:webHidden/>
          </w:rPr>
          <w:tab/>
        </w:r>
        <w:r w:rsidR="0064127C">
          <w:rPr>
            <w:webHidden/>
          </w:rPr>
          <w:fldChar w:fldCharType="begin"/>
        </w:r>
        <w:r w:rsidR="0064127C">
          <w:rPr>
            <w:webHidden/>
          </w:rPr>
          <w:instrText xml:space="preserve"> PAGEREF _Toc382326833 \h </w:instrText>
        </w:r>
        <w:r w:rsidR="0064127C">
          <w:rPr>
            <w:webHidden/>
          </w:rPr>
        </w:r>
        <w:r w:rsidR="0064127C">
          <w:rPr>
            <w:webHidden/>
          </w:rPr>
          <w:fldChar w:fldCharType="separate"/>
        </w:r>
        <w:r w:rsidR="00315423">
          <w:rPr>
            <w:webHidden/>
          </w:rPr>
          <w:t>147</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34" w:history="1">
        <w:r w:rsidR="0064127C" w:rsidRPr="00607D74">
          <w:rPr>
            <w:rStyle w:val="Hypertextovodkaz"/>
            <w:rFonts w:eastAsia="Batang"/>
            <w:bCs/>
            <w:kern w:val="32"/>
          </w:rPr>
          <w:t xml:space="preserve">Obrázek 29: </w:t>
        </w:r>
        <w:r w:rsidR="0064127C" w:rsidRPr="00607D74">
          <w:rPr>
            <w:rStyle w:val="Hypertextovodkaz"/>
            <w:rFonts w:eastAsia="SimSun"/>
          </w:rPr>
          <w:t>Schéma světové ekonomiky</w:t>
        </w:r>
        <w:r w:rsidR="0064127C">
          <w:rPr>
            <w:webHidden/>
          </w:rPr>
          <w:tab/>
        </w:r>
        <w:r w:rsidR="0064127C">
          <w:rPr>
            <w:webHidden/>
          </w:rPr>
          <w:fldChar w:fldCharType="begin"/>
        </w:r>
        <w:r w:rsidR="0064127C">
          <w:rPr>
            <w:webHidden/>
          </w:rPr>
          <w:instrText xml:space="preserve"> PAGEREF _Toc382326834 \h </w:instrText>
        </w:r>
        <w:r w:rsidR="0064127C">
          <w:rPr>
            <w:webHidden/>
          </w:rPr>
        </w:r>
        <w:r w:rsidR="0064127C">
          <w:rPr>
            <w:webHidden/>
          </w:rPr>
          <w:fldChar w:fldCharType="separate"/>
        </w:r>
        <w:r w:rsidR="00315423">
          <w:rPr>
            <w:webHidden/>
          </w:rPr>
          <w:t>155</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35" w:history="1">
        <w:r w:rsidR="0064127C" w:rsidRPr="00607D74">
          <w:rPr>
            <w:rStyle w:val="Hypertextovodkaz"/>
          </w:rPr>
          <w:t>Obrázek 30: Organizační struktury dle Barletta a Ghoshala</w:t>
        </w:r>
        <w:r w:rsidR="0064127C">
          <w:rPr>
            <w:webHidden/>
          </w:rPr>
          <w:tab/>
        </w:r>
        <w:r w:rsidR="0064127C">
          <w:rPr>
            <w:webHidden/>
          </w:rPr>
          <w:fldChar w:fldCharType="begin"/>
        </w:r>
        <w:r w:rsidR="0064127C">
          <w:rPr>
            <w:webHidden/>
          </w:rPr>
          <w:instrText xml:space="preserve"> PAGEREF _Toc382326835 \h </w:instrText>
        </w:r>
        <w:r w:rsidR="0064127C">
          <w:rPr>
            <w:webHidden/>
          </w:rPr>
        </w:r>
        <w:r w:rsidR="0064127C">
          <w:rPr>
            <w:webHidden/>
          </w:rPr>
          <w:fldChar w:fldCharType="separate"/>
        </w:r>
        <w:r w:rsidR="00315423">
          <w:rPr>
            <w:webHidden/>
          </w:rPr>
          <w:t>160</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36" w:history="1">
        <w:r w:rsidR="0064127C" w:rsidRPr="00607D74">
          <w:rPr>
            <w:rStyle w:val="Hypertextovodkaz"/>
          </w:rPr>
          <w:t>Obrázek 31: Organizace výroby ve skupině firem</w:t>
        </w:r>
        <w:r w:rsidR="0064127C">
          <w:rPr>
            <w:webHidden/>
          </w:rPr>
          <w:tab/>
        </w:r>
        <w:r w:rsidR="0064127C">
          <w:rPr>
            <w:webHidden/>
          </w:rPr>
          <w:fldChar w:fldCharType="begin"/>
        </w:r>
        <w:r w:rsidR="0064127C">
          <w:rPr>
            <w:webHidden/>
          </w:rPr>
          <w:instrText xml:space="preserve"> PAGEREF _Toc382326836 \h </w:instrText>
        </w:r>
        <w:r w:rsidR="0064127C">
          <w:rPr>
            <w:webHidden/>
          </w:rPr>
        </w:r>
        <w:r w:rsidR="0064127C">
          <w:rPr>
            <w:webHidden/>
          </w:rPr>
          <w:fldChar w:fldCharType="separate"/>
        </w:r>
        <w:r w:rsidR="00315423">
          <w:rPr>
            <w:webHidden/>
          </w:rPr>
          <w:t>161</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37" w:history="1">
        <w:r w:rsidR="0064127C" w:rsidRPr="00607D74">
          <w:rPr>
            <w:rStyle w:val="Hypertextovodkaz"/>
            <w:rFonts w:eastAsia="Batang"/>
          </w:rPr>
          <w:t>Obrázek 33: Vývoj migračního salda cizinců v ČR v období 1995 až 2010</w:t>
        </w:r>
        <w:r w:rsidR="0064127C">
          <w:rPr>
            <w:webHidden/>
          </w:rPr>
          <w:tab/>
        </w:r>
        <w:r w:rsidR="0064127C">
          <w:rPr>
            <w:webHidden/>
          </w:rPr>
          <w:fldChar w:fldCharType="begin"/>
        </w:r>
        <w:r w:rsidR="0064127C">
          <w:rPr>
            <w:webHidden/>
          </w:rPr>
          <w:instrText xml:space="preserve"> PAGEREF _Toc382326837 \h </w:instrText>
        </w:r>
        <w:r w:rsidR="0064127C">
          <w:rPr>
            <w:webHidden/>
          </w:rPr>
        </w:r>
        <w:r w:rsidR="0064127C">
          <w:rPr>
            <w:webHidden/>
          </w:rPr>
          <w:fldChar w:fldCharType="separate"/>
        </w:r>
        <w:r w:rsidR="00315423">
          <w:rPr>
            <w:webHidden/>
          </w:rPr>
          <w:t>166</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38" w:history="1">
        <w:r w:rsidR="0064127C" w:rsidRPr="00607D74">
          <w:rPr>
            <w:rStyle w:val="Hypertextovodkaz"/>
          </w:rPr>
          <w:t>Obrázek 34: Index globální konkurenceschopnosti GCI</w:t>
        </w:r>
        <w:r w:rsidR="0064127C">
          <w:rPr>
            <w:webHidden/>
          </w:rPr>
          <w:tab/>
        </w:r>
        <w:r w:rsidR="0064127C">
          <w:rPr>
            <w:webHidden/>
          </w:rPr>
          <w:fldChar w:fldCharType="begin"/>
        </w:r>
        <w:r w:rsidR="0064127C">
          <w:rPr>
            <w:webHidden/>
          </w:rPr>
          <w:instrText xml:space="preserve"> PAGEREF _Toc382326838 \h </w:instrText>
        </w:r>
        <w:r w:rsidR="0064127C">
          <w:rPr>
            <w:webHidden/>
          </w:rPr>
        </w:r>
        <w:r w:rsidR="0064127C">
          <w:rPr>
            <w:webHidden/>
          </w:rPr>
          <w:fldChar w:fldCharType="separate"/>
        </w:r>
        <w:r w:rsidR="00315423">
          <w:rPr>
            <w:webHidden/>
          </w:rPr>
          <w:t>168</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39" w:history="1">
        <w:r w:rsidR="0064127C" w:rsidRPr="00607D74">
          <w:rPr>
            <w:rStyle w:val="Hypertextovodkaz"/>
          </w:rPr>
          <w:t>Obrázek 35: Faktory a subfaktory</w:t>
        </w:r>
        <w:r w:rsidR="0064127C">
          <w:rPr>
            <w:webHidden/>
          </w:rPr>
          <w:tab/>
        </w:r>
        <w:r w:rsidR="0064127C">
          <w:rPr>
            <w:webHidden/>
          </w:rPr>
          <w:fldChar w:fldCharType="begin"/>
        </w:r>
        <w:r w:rsidR="0064127C">
          <w:rPr>
            <w:webHidden/>
          </w:rPr>
          <w:instrText xml:space="preserve"> PAGEREF _Toc382326839 \h </w:instrText>
        </w:r>
        <w:r w:rsidR="0064127C">
          <w:rPr>
            <w:webHidden/>
          </w:rPr>
        </w:r>
        <w:r w:rsidR="0064127C">
          <w:rPr>
            <w:webHidden/>
          </w:rPr>
          <w:fldChar w:fldCharType="separate"/>
        </w:r>
        <w:r w:rsidR="00315423">
          <w:rPr>
            <w:webHidden/>
          </w:rPr>
          <w:t>169</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40" w:history="1">
        <w:r w:rsidR="0064127C" w:rsidRPr="00607D74">
          <w:rPr>
            <w:rStyle w:val="Hypertextovodkaz"/>
            <w:lang w:val="en-GB"/>
          </w:rPr>
          <w:t>Obrázek 36: Metodika Doing Business</w:t>
        </w:r>
        <w:r w:rsidR="0064127C">
          <w:rPr>
            <w:webHidden/>
          </w:rPr>
          <w:tab/>
        </w:r>
        <w:r w:rsidR="0064127C">
          <w:rPr>
            <w:webHidden/>
          </w:rPr>
          <w:fldChar w:fldCharType="begin"/>
        </w:r>
        <w:r w:rsidR="0064127C">
          <w:rPr>
            <w:webHidden/>
          </w:rPr>
          <w:instrText xml:space="preserve"> PAGEREF _Toc382326840 \h </w:instrText>
        </w:r>
        <w:r w:rsidR="0064127C">
          <w:rPr>
            <w:webHidden/>
          </w:rPr>
        </w:r>
        <w:r w:rsidR="0064127C">
          <w:rPr>
            <w:webHidden/>
          </w:rPr>
          <w:fldChar w:fldCharType="separate"/>
        </w:r>
        <w:r w:rsidR="00315423">
          <w:rPr>
            <w:webHidden/>
          </w:rPr>
          <w:t>170</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41" w:history="1">
        <w:r w:rsidR="0064127C" w:rsidRPr="00607D74">
          <w:rPr>
            <w:rStyle w:val="Hypertextovodkaz"/>
            <w:lang w:val="en-GB"/>
          </w:rPr>
          <w:t>Obrázek 37: Indexy KEI a KI</w:t>
        </w:r>
        <w:r w:rsidR="0064127C">
          <w:rPr>
            <w:webHidden/>
          </w:rPr>
          <w:tab/>
        </w:r>
        <w:r w:rsidR="0064127C">
          <w:rPr>
            <w:webHidden/>
          </w:rPr>
          <w:fldChar w:fldCharType="begin"/>
        </w:r>
        <w:r w:rsidR="0064127C">
          <w:rPr>
            <w:webHidden/>
          </w:rPr>
          <w:instrText xml:space="preserve"> PAGEREF _Toc382326841 \h </w:instrText>
        </w:r>
        <w:r w:rsidR="0064127C">
          <w:rPr>
            <w:webHidden/>
          </w:rPr>
        </w:r>
        <w:r w:rsidR="0064127C">
          <w:rPr>
            <w:webHidden/>
          </w:rPr>
          <w:fldChar w:fldCharType="separate"/>
        </w:r>
        <w:r w:rsidR="00315423">
          <w:rPr>
            <w:webHidden/>
          </w:rPr>
          <w:t>171</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42" w:history="1">
        <w:r w:rsidR="0064127C" w:rsidRPr="00607D74">
          <w:rPr>
            <w:rStyle w:val="Hypertextovodkaz"/>
            <w:lang w:val="en-GB"/>
          </w:rPr>
          <w:t>Obrázek 38: Metodika Innovation Union Scoreboard</w:t>
        </w:r>
        <w:r w:rsidR="0064127C">
          <w:rPr>
            <w:webHidden/>
          </w:rPr>
          <w:tab/>
        </w:r>
        <w:r w:rsidR="0064127C">
          <w:rPr>
            <w:webHidden/>
          </w:rPr>
          <w:fldChar w:fldCharType="begin"/>
        </w:r>
        <w:r w:rsidR="0064127C">
          <w:rPr>
            <w:webHidden/>
          </w:rPr>
          <w:instrText xml:space="preserve"> PAGEREF _Toc382326842 \h </w:instrText>
        </w:r>
        <w:r w:rsidR="0064127C">
          <w:rPr>
            <w:webHidden/>
          </w:rPr>
        </w:r>
        <w:r w:rsidR="0064127C">
          <w:rPr>
            <w:webHidden/>
          </w:rPr>
          <w:fldChar w:fldCharType="separate"/>
        </w:r>
        <w:r w:rsidR="00315423">
          <w:rPr>
            <w:webHidden/>
          </w:rPr>
          <w:t>172</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43" w:history="1">
        <w:r w:rsidR="0064127C" w:rsidRPr="00607D74">
          <w:rPr>
            <w:rStyle w:val="Hypertextovodkaz"/>
            <w:lang w:val="en-GB"/>
          </w:rPr>
          <w:t>Obrázek 39: Sumární inovační index 2013</w:t>
        </w:r>
        <w:r w:rsidR="0064127C">
          <w:rPr>
            <w:webHidden/>
          </w:rPr>
          <w:tab/>
        </w:r>
        <w:r w:rsidR="0064127C">
          <w:rPr>
            <w:webHidden/>
          </w:rPr>
          <w:fldChar w:fldCharType="begin"/>
        </w:r>
        <w:r w:rsidR="0064127C">
          <w:rPr>
            <w:webHidden/>
          </w:rPr>
          <w:instrText xml:space="preserve"> PAGEREF _Toc382326843 \h </w:instrText>
        </w:r>
        <w:r w:rsidR="0064127C">
          <w:rPr>
            <w:webHidden/>
          </w:rPr>
        </w:r>
        <w:r w:rsidR="0064127C">
          <w:rPr>
            <w:webHidden/>
          </w:rPr>
          <w:fldChar w:fldCharType="separate"/>
        </w:r>
        <w:r w:rsidR="00315423">
          <w:rPr>
            <w:webHidden/>
          </w:rPr>
          <w:t>173</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44" w:history="1">
        <w:r w:rsidR="0064127C" w:rsidRPr="00607D74">
          <w:rPr>
            <w:rStyle w:val="Hypertextovodkaz"/>
          </w:rPr>
          <w:t>Obrázek 40: Metodika sestavení Globálního inovačního indexu</w:t>
        </w:r>
        <w:r w:rsidR="0064127C">
          <w:rPr>
            <w:webHidden/>
          </w:rPr>
          <w:tab/>
        </w:r>
        <w:r w:rsidR="0064127C">
          <w:rPr>
            <w:webHidden/>
          </w:rPr>
          <w:fldChar w:fldCharType="begin"/>
        </w:r>
        <w:r w:rsidR="0064127C">
          <w:rPr>
            <w:webHidden/>
          </w:rPr>
          <w:instrText xml:space="preserve"> PAGEREF _Toc382326844 \h </w:instrText>
        </w:r>
        <w:r w:rsidR="0064127C">
          <w:rPr>
            <w:webHidden/>
          </w:rPr>
        </w:r>
        <w:r w:rsidR="0064127C">
          <w:rPr>
            <w:webHidden/>
          </w:rPr>
          <w:fldChar w:fldCharType="separate"/>
        </w:r>
        <w:r w:rsidR="00315423">
          <w:rPr>
            <w:webHidden/>
          </w:rPr>
          <w:t>173</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45" w:history="1">
        <w:r w:rsidR="0064127C" w:rsidRPr="00607D74">
          <w:rPr>
            <w:rStyle w:val="Hypertextovodkaz"/>
            <w:rFonts w:eastAsia="Batang"/>
          </w:rPr>
          <w:t>Obrázek 41: Populační růst</w:t>
        </w:r>
        <w:r w:rsidR="0064127C" w:rsidRPr="00607D74">
          <w:rPr>
            <w:rStyle w:val="Hypertextovodkaz"/>
            <w:lang w:eastAsia="en-GB"/>
          </w:rPr>
          <w:t xml:space="preserve"> 1750-2150</w:t>
        </w:r>
        <w:r w:rsidR="0064127C">
          <w:rPr>
            <w:webHidden/>
          </w:rPr>
          <w:tab/>
        </w:r>
        <w:r w:rsidR="0064127C">
          <w:rPr>
            <w:webHidden/>
          </w:rPr>
          <w:fldChar w:fldCharType="begin"/>
        </w:r>
        <w:r w:rsidR="0064127C">
          <w:rPr>
            <w:webHidden/>
          </w:rPr>
          <w:instrText xml:space="preserve"> PAGEREF _Toc382326845 \h </w:instrText>
        </w:r>
        <w:r w:rsidR="0064127C">
          <w:rPr>
            <w:webHidden/>
          </w:rPr>
        </w:r>
        <w:r w:rsidR="0064127C">
          <w:rPr>
            <w:webHidden/>
          </w:rPr>
          <w:fldChar w:fldCharType="separate"/>
        </w:r>
        <w:r w:rsidR="00315423">
          <w:rPr>
            <w:webHidden/>
          </w:rPr>
          <w:t>175</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46" w:history="1">
        <w:r w:rsidR="0064127C" w:rsidRPr="00607D74">
          <w:rPr>
            <w:rStyle w:val="Hypertextovodkaz"/>
            <w:rFonts w:eastAsia="Batang"/>
            <w:bCs/>
            <w:kern w:val="32"/>
            <w:lang w:eastAsia="ar-SA"/>
          </w:rPr>
          <w:t>Obrázek 42: Populační růst</w:t>
        </w:r>
        <w:r w:rsidR="0064127C" w:rsidRPr="00607D74">
          <w:rPr>
            <w:rStyle w:val="Hypertextovodkaz"/>
          </w:rPr>
          <w:t xml:space="preserve"> kontinentů 1950–2050 (logaritmická stupnice v mil.)</w:t>
        </w:r>
        <w:r w:rsidR="0064127C">
          <w:rPr>
            <w:webHidden/>
          </w:rPr>
          <w:tab/>
        </w:r>
        <w:r w:rsidR="0064127C">
          <w:rPr>
            <w:webHidden/>
          </w:rPr>
          <w:fldChar w:fldCharType="begin"/>
        </w:r>
        <w:r w:rsidR="0064127C">
          <w:rPr>
            <w:webHidden/>
          </w:rPr>
          <w:instrText xml:space="preserve"> PAGEREF _Toc382326846 \h </w:instrText>
        </w:r>
        <w:r w:rsidR="0064127C">
          <w:rPr>
            <w:webHidden/>
          </w:rPr>
        </w:r>
        <w:r w:rsidR="0064127C">
          <w:rPr>
            <w:webHidden/>
          </w:rPr>
          <w:fldChar w:fldCharType="separate"/>
        </w:r>
        <w:r w:rsidR="00315423">
          <w:rPr>
            <w:webHidden/>
          </w:rPr>
          <w:t>176</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47" w:history="1">
        <w:r w:rsidR="0064127C" w:rsidRPr="00607D74">
          <w:rPr>
            <w:rStyle w:val="Hypertextovodkaz"/>
            <w:rFonts w:eastAsia="Batang"/>
          </w:rPr>
          <w:t>Obrázek 43: Rozložení příjmů a obyvatelstva v makroregionech v roce 1999</w:t>
        </w:r>
        <w:r w:rsidR="0064127C">
          <w:rPr>
            <w:webHidden/>
          </w:rPr>
          <w:tab/>
        </w:r>
        <w:r w:rsidR="0064127C">
          <w:rPr>
            <w:webHidden/>
          </w:rPr>
          <w:fldChar w:fldCharType="begin"/>
        </w:r>
        <w:r w:rsidR="0064127C">
          <w:rPr>
            <w:webHidden/>
          </w:rPr>
          <w:instrText xml:space="preserve"> PAGEREF _Toc382326847 \h </w:instrText>
        </w:r>
        <w:r w:rsidR="0064127C">
          <w:rPr>
            <w:webHidden/>
          </w:rPr>
        </w:r>
        <w:r w:rsidR="0064127C">
          <w:rPr>
            <w:webHidden/>
          </w:rPr>
          <w:fldChar w:fldCharType="separate"/>
        </w:r>
        <w:r w:rsidR="00315423">
          <w:rPr>
            <w:webHidden/>
          </w:rPr>
          <w:t>180</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48" w:history="1">
        <w:r w:rsidR="0064127C" w:rsidRPr="00607D74">
          <w:rPr>
            <w:rStyle w:val="Hypertextovodkaz"/>
            <w:rFonts w:eastAsia="Batang"/>
          </w:rPr>
          <w:t>Obrázek 44: Dopady chudoby na ekonomický růst</w:t>
        </w:r>
        <w:r w:rsidR="0064127C">
          <w:rPr>
            <w:webHidden/>
          </w:rPr>
          <w:tab/>
        </w:r>
        <w:r w:rsidR="0064127C">
          <w:rPr>
            <w:webHidden/>
          </w:rPr>
          <w:fldChar w:fldCharType="begin"/>
        </w:r>
        <w:r w:rsidR="0064127C">
          <w:rPr>
            <w:webHidden/>
          </w:rPr>
          <w:instrText xml:space="preserve"> PAGEREF _Toc382326848 \h </w:instrText>
        </w:r>
        <w:r w:rsidR="0064127C">
          <w:rPr>
            <w:webHidden/>
          </w:rPr>
        </w:r>
        <w:r w:rsidR="0064127C">
          <w:rPr>
            <w:webHidden/>
          </w:rPr>
          <w:fldChar w:fldCharType="separate"/>
        </w:r>
        <w:r w:rsidR="00315423">
          <w:rPr>
            <w:webHidden/>
          </w:rPr>
          <w:t>181</w:t>
        </w:r>
        <w:r w:rsidR="0064127C">
          <w:rPr>
            <w:webHidden/>
          </w:rPr>
          <w:fldChar w:fldCharType="end"/>
        </w:r>
      </w:hyperlink>
    </w:p>
    <w:p w:rsidR="0064127C" w:rsidRDefault="00B40349">
      <w:pPr>
        <w:pStyle w:val="Obsah1"/>
        <w:rPr>
          <w:rFonts w:asciiTheme="minorHAnsi" w:eastAsiaTheme="minorEastAsia" w:hAnsiTheme="minorHAnsi" w:cstheme="minorBidi"/>
          <w:lang w:eastAsia="cs-CZ"/>
        </w:rPr>
      </w:pPr>
      <w:hyperlink w:anchor="_Toc382326849" w:history="1">
        <w:r w:rsidR="0064127C" w:rsidRPr="00607D74">
          <w:rPr>
            <w:rStyle w:val="Hypertextovodkaz"/>
            <w:rFonts w:eastAsia="Batang"/>
          </w:rPr>
          <w:t>Obrázek 45: Změny teploty v období 1901 až 2012</w:t>
        </w:r>
        <w:r w:rsidR="0064127C">
          <w:rPr>
            <w:webHidden/>
          </w:rPr>
          <w:tab/>
        </w:r>
        <w:r w:rsidR="0064127C">
          <w:rPr>
            <w:webHidden/>
          </w:rPr>
          <w:fldChar w:fldCharType="begin"/>
        </w:r>
        <w:r w:rsidR="0064127C">
          <w:rPr>
            <w:webHidden/>
          </w:rPr>
          <w:instrText xml:space="preserve"> PAGEREF _Toc382326849 \h </w:instrText>
        </w:r>
        <w:r w:rsidR="0064127C">
          <w:rPr>
            <w:webHidden/>
          </w:rPr>
        </w:r>
        <w:r w:rsidR="0064127C">
          <w:rPr>
            <w:webHidden/>
          </w:rPr>
          <w:fldChar w:fldCharType="separate"/>
        </w:r>
        <w:r w:rsidR="00315423">
          <w:rPr>
            <w:webHidden/>
          </w:rPr>
          <w:t>181</w:t>
        </w:r>
        <w:r w:rsidR="0064127C">
          <w:rPr>
            <w:webHidden/>
          </w:rPr>
          <w:fldChar w:fldCharType="end"/>
        </w:r>
      </w:hyperlink>
    </w:p>
    <w:p w:rsidR="002C3C00" w:rsidRDefault="00D44284" w:rsidP="006B61FE">
      <w:pPr>
        <w:pStyle w:val="Obsah1"/>
        <w:spacing w:before="0" w:after="200"/>
      </w:pPr>
      <w:r w:rsidRPr="00007323">
        <w:fldChar w:fldCharType="end"/>
      </w:r>
    </w:p>
    <w:p w:rsidR="002C3C00" w:rsidRDefault="002C3C00">
      <w:pPr>
        <w:spacing w:after="0" w:line="240" w:lineRule="auto"/>
        <w:rPr>
          <w:rFonts w:eastAsia="Calibri"/>
          <w:noProof/>
          <w:lang w:eastAsia="en-US"/>
        </w:rPr>
      </w:pPr>
      <w:r>
        <w:br w:type="page"/>
      </w:r>
    </w:p>
    <w:p w:rsidR="001636DA" w:rsidRDefault="006969C1" w:rsidP="006969C1">
      <w:pPr>
        <w:pStyle w:val="02-Nadpis2"/>
        <w:rPr>
          <w:rFonts w:eastAsiaTheme="minorEastAsia" w:cstheme="minorBidi"/>
        </w:rPr>
      </w:pPr>
      <w:bookmarkStart w:id="193" w:name="_Toc382327230"/>
      <w:r>
        <w:rPr>
          <w:rFonts w:eastAsiaTheme="minorEastAsia" w:cstheme="minorBidi"/>
        </w:rPr>
        <w:lastRenderedPageBreak/>
        <w:t>Jmenný rejstřík</w:t>
      </w:r>
      <w:bookmarkEnd w:id="193"/>
    </w:p>
    <w:p w:rsidR="006969C1" w:rsidRPr="006C35F5" w:rsidRDefault="006969C1" w:rsidP="006969C1">
      <w:pPr>
        <w:pStyle w:val="02-Nadpis2"/>
        <w:rPr>
          <w:rFonts w:eastAsiaTheme="minorEastAsia" w:cstheme="minorBidi"/>
        </w:rPr>
      </w:pPr>
      <w:bookmarkStart w:id="194" w:name="_Toc382327231"/>
      <w:r>
        <w:rPr>
          <w:rFonts w:eastAsiaTheme="minorEastAsia" w:cstheme="minorBidi"/>
        </w:rPr>
        <w:t>Věcný rejs</w:t>
      </w:r>
      <w:r w:rsidR="00CD4A65">
        <w:rPr>
          <w:rFonts w:eastAsiaTheme="minorEastAsia" w:cstheme="minorBidi"/>
        </w:rPr>
        <w:t>t</w:t>
      </w:r>
      <w:r>
        <w:rPr>
          <w:rFonts w:eastAsiaTheme="minorEastAsia" w:cstheme="minorBidi"/>
        </w:rPr>
        <w:t>řík</w:t>
      </w:r>
      <w:bookmarkEnd w:id="194"/>
    </w:p>
    <w:p w:rsidR="001636DA" w:rsidRPr="001636DA" w:rsidRDefault="001636DA" w:rsidP="00423120">
      <w:pPr>
        <w:rPr>
          <w:rFonts w:eastAsiaTheme="minorEastAsia"/>
        </w:rPr>
      </w:pPr>
    </w:p>
    <w:sectPr w:rsidR="001636DA" w:rsidRPr="001636DA" w:rsidSect="00B74D6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4A8" w:rsidRDefault="006D64A8" w:rsidP="0022190A">
      <w:pPr>
        <w:spacing w:after="0" w:line="240" w:lineRule="auto"/>
      </w:pPr>
      <w:r>
        <w:separator/>
      </w:r>
    </w:p>
  </w:endnote>
  <w:endnote w:type="continuationSeparator" w:id="0">
    <w:p w:rsidR="006D64A8" w:rsidRDefault="006D64A8" w:rsidP="00221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hrhardt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Arial Unicode MS"/>
    <w:panose1 w:val="00000000000000000000"/>
    <w:charset w:val="00"/>
    <w:family w:val="roman"/>
    <w:notTrueType/>
    <w:pitch w:val="default"/>
    <w:sig w:usb0="00000007" w:usb1="08070000" w:usb2="00000010" w:usb3="00000000" w:csb0="00020003" w:csb1="00000000"/>
  </w:font>
  <w:font w:name="CenturySchL-Roma">
    <w:altName w:val="MS Mincho"/>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0" w:usb1="08070000" w:usb2="00000010" w:usb3="00000000" w:csb0="00020003"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RealpageBAS6-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349" w:rsidRDefault="00B40349">
    <w:pPr>
      <w:pStyle w:val="Zpat"/>
      <w:jc w:val="center"/>
    </w:pPr>
    <w:r>
      <w:fldChar w:fldCharType="begin"/>
    </w:r>
    <w:r>
      <w:instrText>PAGE   \* MERGEFORMAT</w:instrText>
    </w:r>
    <w:r>
      <w:fldChar w:fldCharType="separate"/>
    </w:r>
    <w:r w:rsidR="00125F2E">
      <w:rPr>
        <w:noProof/>
      </w:rPr>
      <w:t>3</w:t>
    </w:r>
    <w:r>
      <w:rPr>
        <w:noProof/>
      </w:rPr>
      <w:fldChar w:fldCharType="end"/>
    </w:r>
  </w:p>
  <w:p w:rsidR="00B40349" w:rsidRDefault="00B4034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349" w:rsidRDefault="00B40349" w:rsidP="00B74D67">
    <w:pPr>
      <w:pStyle w:val="Zpat"/>
      <w:tabs>
        <w:tab w:val="clear" w:pos="4536"/>
        <w:tab w:val="clear" w:pos="9072"/>
        <w:tab w:val="left" w:pos="354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234864"/>
      <w:docPartObj>
        <w:docPartGallery w:val="Page Numbers (Bottom of Page)"/>
        <w:docPartUnique/>
      </w:docPartObj>
    </w:sdtPr>
    <w:sdtContent>
      <w:p w:rsidR="00B40349" w:rsidRDefault="00B40349">
        <w:pPr>
          <w:pStyle w:val="Zpat"/>
          <w:jc w:val="center"/>
        </w:pPr>
        <w:r>
          <w:fldChar w:fldCharType="begin"/>
        </w:r>
        <w:r>
          <w:instrText>PAGE   \* MERGEFORMAT</w:instrText>
        </w:r>
        <w:r>
          <w:fldChar w:fldCharType="separate"/>
        </w:r>
        <w:r w:rsidR="00125F2E">
          <w:rPr>
            <w:noProof/>
          </w:rPr>
          <w:t>183</w:t>
        </w:r>
        <w:r>
          <w:fldChar w:fldCharType="end"/>
        </w:r>
      </w:p>
    </w:sdtContent>
  </w:sdt>
  <w:p w:rsidR="00B40349" w:rsidRDefault="00B40349" w:rsidP="00B74D67">
    <w:pPr>
      <w:pStyle w:val="Zpat"/>
      <w:tabs>
        <w:tab w:val="clear" w:pos="4536"/>
        <w:tab w:val="clear" w:pos="9072"/>
        <w:tab w:val="left" w:pos="35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4A8" w:rsidRDefault="006D64A8" w:rsidP="0022190A">
      <w:pPr>
        <w:spacing w:after="0" w:line="240" w:lineRule="auto"/>
      </w:pPr>
      <w:r>
        <w:separator/>
      </w:r>
    </w:p>
  </w:footnote>
  <w:footnote w:type="continuationSeparator" w:id="0">
    <w:p w:rsidR="006D64A8" w:rsidRDefault="006D64A8" w:rsidP="0022190A">
      <w:pPr>
        <w:spacing w:after="0" w:line="240" w:lineRule="auto"/>
      </w:pPr>
      <w:r>
        <w:continuationSeparator/>
      </w:r>
    </w:p>
  </w:footnote>
  <w:footnote w:id="1">
    <w:p w:rsidR="00B40349" w:rsidRDefault="00B40349" w:rsidP="00064793">
      <w:pPr>
        <w:pStyle w:val="Textpoznpodarou"/>
        <w:jc w:val="both"/>
      </w:pPr>
      <w:r w:rsidRPr="00E77D54">
        <w:rPr>
          <w:rStyle w:val="Znakapoznpodarou"/>
          <w:sz w:val="22"/>
          <w:szCs w:val="22"/>
        </w:rPr>
        <w:footnoteRef/>
      </w:r>
      <w:r w:rsidRPr="00E77D54">
        <w:rPr>
          <w:sz w:val="22"/>
          <w:szCs w:val="22"/>
        </w:rPr>
        <w:t xml:space="preserve"> Kucharčíková (2011) rozlišuje rentu na ekonomickou a kapitalizovanou. Zatímco ekonomická renta je představována nájemným z využívání půdy, kapitalizovaná renta je cenou půdy při jejím prodeji (srovnej s výnosovým způsobem oceňování nemovitostí v části 1.6.1). </w:t>
      </w:r>
    </w:p>
  </w:footnote>
  <w:footnote w:id="2">
    <w:p w:rsidR="00B40349" w:rsidRDefault="00B40349" w:rsidP="00E77D54">
      <w:pPr>
        <w:pStyle w:val="Textpoznpodarou"/>
        <w:jc w:val="both"/>
      </w:pPr>
      <w:r w:rsidRPr="00E77D54">
        <w:rPr>
          <w:rStyle w:val="Znakapoznpodarou"/>
          <w:sz w:val="22"/>
          <w:szCs w:val="22"/>
        </w:rPr>
        <w:footnoteRef/>
      </w:r>
      <w:r w:rsidRPr="00E77D54">
        <w:rPr>
          <w:sz w:val="22"/>
          <w:szCs w:val="22"/>
        </w:rPr>
        <w:t xml:space="preserve"> Hamalová a kol. (1996) označuj</w:t>
      </w:r>
      <w:r>
        <w:rPr>
          <w:sz w:val="22"/>
          <w:szCs w:val="22"/>
        </w:rPr>
        <w:t>í</w:t>
      </w:r>
      <w:r w:rsidRPr="00E77D54">
        <w:rPr>
          <w:sz w:val="22"/>
          <w:szCs w:val="22"/>
        </w:rPr>
        <w:t xml:space="preserve"> neobydlenou oblast, která odd</w:t>
      </w:r>
      <w:r>
        <w:rPr>
          <w:sz w:val="22"/>
          <w:szCs w:val="22"/>
        </w:rPr>
        <w:t>ěluje izolované hospodářství od </w:t>
      </w:r>
      <w:r w:rsidRPr="00E77D54">
        <w:rPr>
          <w:sz w:val="22"/>
          <w:szCs w:val="22"/>
        </w:rPr>
        <w:t>jiných obdobných celků, s nimiž nemá žádné styky, jako pustinu.</w:t>
      </w:r>
    </w:p>
  </w:footnote>
  <w:footnote w:id="3">
    <w:p w:rsidR="00B40349" w:rsidRDefault="00B40349" w:rsidP="0022190A">
      <w:pPr>
        <w:pStyle w:val="Textpoznpodarou"/>
        <w:jc w:val="both"/>
      </w:pPr>
      <w:r w:rsidRPr="0022190A">
        <w:rPr>
          <w:rStyle w:val="Znakapoznpodarou"/>
          <w:sz w:val="22"/>
          <w:szCs w:val="22"/>
        </w:rPr>
        <w:footnoteRef/>
      </w:r>
      <w:r w:rsidRPr="0022190A">
        <w:rPr>
          <w:sz w:val="22"/>
          <w:szCs w:val="22"/>
        </w:rPr>
        <w:t xml:space="preserve"> </w:t>
      </w:r>
      <w:r>
        <w:rPr>
          <w:sz w:val="22"/>
          <w:szCs w:val="22"/>
        </w:rPr>
        <w:t xml:space="preserve">S tím koresponduje skutečnost, že v rámci globálně vytvářených produkčních řetězců </w:t>
      </w:r>
      <w:r w:rsidRPr="0022190A">
        <w:rPr>
          <w:sz w:val="22"/>
          <w:szCs w:val="22"/>
        </w:rPr>
        <w:t>vyžaduj</w:t>
      </w:r>
      <w:r>
        <w:rPr>
          <w:sz w:val="22"/>
          <w:szCs w:val="22"/>
        </w:rPr>
        <w:t>e p</w:t>
      </w:r>
      <w:r w:rsidRPr="0022190A">
        <w:rPr>
          <w:sz w:val="22"/>
          <w:szCs w:val="22"/>
        </w:rPr>
        <w:t>rostorovou blízkost především</w:t>
      </w:r>
      <w:r>
        <w:rPr>
          <w:sz w:val="22"/>
          <w:szCs w:val="22"/>
        </w:rPr>
        <w:t xml:space="preserve"> produkce </w:t>
      </w:r>
      <w:r w:rsidRPr="0022190A">
        <w:rPr>
          <w:sz w:val="22"/>
          <w:szCs w:val="22"/>
        </w:rPr>
        <w:t>nadstandardní</w:t>
      </w:r>
      <w:r>
        <w:rPr>
          <w:sz w:val="22"/>
          <w:szCs w:val="22"/>
        </w:rPr>
        <w:t>ch</w:t>
      </w:r>
      <w:r w:rsidRPr="0022190A">
        <w:rPr>
          <w:sz w:val="22"/>
          <w:szCs w:val="22"/>
        </w:rPr>
        <w:t xml:space="preserve"> </w:t>
      </w:r>
      <w:r>
        <w:rPr>
          <w:sz w:val="22"/>
          <w:szCs w:val="22"/>
        </w:rPr>
        <w:t xml:space="preserve">výrobků a progresivních služeb </w:t>
      </w:r>
      <w:r w:rsidRPr="0022190A">
        <w:rPr>
          <w:sz w:val="22"/>
          <w:szCs w:val="22"/>
        </w:rPr>
        <w:t>s vyšší přidanou hodnotou</w:t>
      </w:r>
      <w:r>
        <w:rPr>
          <w:sz w:val="22"/>
          <w:szCs w:val="22"/>
        </w:rPr>
        <w:t>, která generuje vysokou poptávku po informacích nedostupných ve venkovských oblastech.</w:t>
      </w:r>
      <w:r w:rsidRPr="0022190A">
        <w:rPr>
          <w:sz w:val="22"/>
          <w:szCs w:val="22"/>
        </w:rPr>
        <w:t xml:space="preserve"> </w:t>
      </w:r>
    </w:p>
  </w:footnote>
  <w:footnote w:id="4">
    <w:p w:rsidR="00B40349" w:rsidRDefault="00B40349" w:rsidP="00425020">
      <w:pPr>
        <w:pStyle w:val="Normlnweb"/>
        <w:spacing w:before="0" w:beforeAutospacing="0" w:after="0" w:afterAutospacing="0"/>
        <w:jc w:val="both"/>
      </w:pPr>
      <w:r w:rsidRPr="00FC382E">
        <w:rPr>
          <w:rStyle w:val="Znakapoznpodarou"/>
          <w:sz w:val="22"/>
          <w:szCs w:val="22"/>
        </w:rPr>
        <w:footnoteRef/>
      </w:r>
      <w:r w:rsidRPr="00FC382E">
        <w:rPr>
          <w:sz w:val="22"/>
          <w:szCs w:val="22"/>
        </w:rPr>
        <w:t xml:space="preserve"> </w:t>
      </w:r>
      <w:r>
        <w:rPr>
          <w:sz w:val="22"/>
          <w:szCs w:val="22"/>
        </w:rPr>
        <w:t>V</w:t>
      </w:r>
      <w:r w:rsidRPr="00FC382E">
        <w:rPr>
          <w:sz w:val="22"/>
          <w:szCs w:val="22"/>
        </w:rPr>
        <w:t>ypovídací schopnost</w:t>
      </w:r>
      <w:r>
        <w:rPr>
          <w:sz w:val="22"/>
          <w:szCs w:val="22"/>
        </w:rPr>
        <w:t xml:space="preserve"> a celkový odborný věhlas </w:t>
      </w:r>
      <w:r w:rsidRPr="00FC382E">
        <w:rPr>
          <w:sz w:val="22"/>
          <w:szCs w:val="22"/>
        </w:rPr>
        <w:t>obou skupin teorií dokládá i skutečnost, že jejich základy byly položeny již v letech 1890 (</w:t>
      </w:r>
      <w:r>
        <w:rPr>
          <w:sz w:val="22"/>
          <w:szCs w:val="22"/>
        </w:rPr>
        <w:t xml:space="preserve">The </w:t>
      </w:r>
      <w:hyperlink r:id="rId1" w:tooltip="Principles of Economics (Marshall)" w:history="1">
        <w:r w:rsidRPr="00FC382E">
          <w:rPr>
            <w:rStyle w:val="Hypertextovodkaz"/>
            <w:iCs/>
            <w:color w:val="auto"/>
            <w:sz w:val="22"/>
            <w:szCs w:val="22"/>
            <w:u w:val="none"/>
          </w:rPr>
          <w:t>Principles of Economics</w:t>
        </w:r>
      </w:hyperlink>
      <w:r w:rsidRPr="00FC382E">
        <w:rPr>
          <w:sz w:val="22"/>
          <w:szCs w:val="22"/>
        </w:rPr>
        <w:t xml:space="preserve"> od A. Marshalla)</w:t>
      </w:r>
      <w:r>
        <w:rPr>
          <w:sz w:val="22"/>
          <w:szCs w:val="22"/>
        </w:rPr>
        <w:t>,</w:t>
      </w:r>
      <w:r w:rsidRPr="00FC382E">
        <w:rPr>
          <w:sz w:val="22"/>
          <w:szCs w:val="22"/>
        </w:rPr>
        <w:t xml:space="preserve"> resp. v roce 1933 (</w:t>
      </w:r>
      <w:hyperlink r:id="rId2" w:tooltip="System der zentralen Orte" w:history="1">
        <w:r w:rsidRPr="00FC382E">
          <w:rPr>
            <w:rStyle w:val="Hypertextovodkaz"/>
            <w:color w:val="auto"/>
            <w:sz w:val="22"/>
            <w:szCs w:val="22"/>
            <w:u w:val="none"/>
          </w:rPr>
          <w:t>Theorie der zentralen Orte</w:t>
        </w:r>
      </w:hyperlink>
      <w:r w:rsidRPr="00FC382E">
        <w:rPr>
          <w:sz w:val="22"/>
          <w:szCs w:val="22"/>
        </w:rPr>
        <w:t xml:space="preserve"> od W. Christallera).</w:t>
      </w:r>
    </w:p>
  </w:footnote>
  <w:footnote w:id="5">
    <w:p w:rsidR="00B40349" w:rsidRDefault="00B40349" w:rsidP="00592801">
      <w:pPr>
        <w:pStyle w:val="Textpoznpodarou"/>
        <w:jc w:val="both"/>
      </w:pPr>
      <w:r w:rsidRPr="00592801">
        <w:rPr>
          <w:rStyle w:val="Znakapoznpodarou"/>
          <w:sz w:val="22"/>
          <w:szCs w:val="22"/>
        </w:rPr>
        <w:footnoteRef/>
      </w:r>
      <w:r w:rsidRPr="00592801">
        <w:rPr>
          <w:sz w:val="22"/>
          <w:szCs w:val="22"/>
        </w:rPr>
        <w:t xml:space="preserve"> </w:t>
      </w:r>
      <w:r>
        <w:rPr>
          <w:sz w:val="22"/>
          <w:szCs w:val="22"/>
        </w:rPr>
        <w:t>K tomu je třeba poznamenat, že l</w:t>
      </w:r>
      <w:r w:rsidRPr="00592801">
        <w:rPr>
          <w:sz w:val="22"/>
          <w:szCs w:val="22"/>
        </w:rPr>
        <w:t>okalizační úspory</w:t>
      </w:r>
      <w:r>
        <w:rPr>
          <w:sz w:val="22"/>
          <w:szCs w:val="22"/>
        </w:rPr>
        <w:t xml:space="preserve"> </w:t>
      </w:r>
      <w:r w:rsidRPr="00592801">
        <w:rPr>
          <w:sz w:val="22"/>
          <w:szCs w:val="22"/>
        </w:rPr>
        <w:t>využív</w:t>
      </w:r>
      <w:r>
        <w:rPr>
          <w:sz w:val="22"/>
          <w:szCs w:val="22"/>
        </w:rPr>
        <w:t xml:space="preserve">ají i obchodní, servisní a další </w:t>
      </w:r>
      <w:r w:rsidRPr="00592801">
        <w:rPr>
          <w:sz w:val="22"/>
          <w:szCs w:val="22"/>
        </w:rPr>
        <w:t>firm</w:t>
      </w:r>
      <w:r>
        <w:rPr>
          <w:sz w:val="22"/>
          <w:szCs w:val="22"/>
        </w:rPr>
        <w:t>y z různých terciárních odvětví, které se za tímto účelem přemisťují do velkých</w:t>
      </w:r>
      <w:r w:rsidRPr="00592801">
        <w:rPr>
          <w:sz w:val="22"/>
          <w:szCs w:val="22"/>
        </w:rPr>
        <w:t xml:space="preserve"> nákupních parků.</w:t>
      </w:r>
    </w:p>
  </w:footnote>
  <w:footnote w:id="6">
    <w:p w:rsidR="00B40349" w:rsidRPr="00E4189F" w:rsidRDefault="00B40349" w:rsidP="00692171">
      <w:pPr>
        <w:pStyle w:val="Textpoznpodarou"/>
        <w:rPr>
          <w:sz w:val="22"/>
          <w:szCs w:val="22"/>
        </w:rPr>
      </w:pPr>
      <w:r w:rsidRPr="00E4189F">
        <w:rPr>
          <w:rStyle w:val="Znakapoznpodarou"/>
          <w:sz w:val="22"/>
          <w:szCs w:val="22"/>
        </w:rPr>
        <w:footnoteRef/>
      </w:r>
      <w:r w:rsidRPr="00E4189F">
        <w:rPr>
          <w:sz w:val="22"/>
          <w:szCs w:val="22"/>
        </w:rPr>
        <w:t xml:space="preserve"> Dle http://www.sreality.cz (cit. 13. 12. 2012).</w:t>
      </w:r>
    </w:p>
  </w:footnote>
  <w:footnote w:id="7">
    <w:p w:rsidR="00B40349" w:rsidRPr="00E4189F" w:rsidRDefault="00B40349" w:rsidP="00206AFE">
      <w:pPr>
        <w:pStyle w:val="Textpoznpodarou"/>
        <w:rPr>
          <w:sz w:val="22"/>
          <w:szCs w:val="22"/>
        </w:rPr>
      </w:pPr>
      <w:r w:rsidRPr="00E4189F">
        <w:rPr>
          <w:rStyle w:val="Znakapoznpodarou"/>
          <w:sz w:val="22"/>
          <w:szCs w:val="22"/>
        </w:rPr>
        <w:footnoteRef/>
      </w:r>
      <w:r w:rsidRPr="00E4189F">
        <w:rPr>
          <w:sz w:val="22"/>
          <w:szCs w:val="22"/>
        </w:rPr>
        <w:t xml:space="preserve">   Http://www.sfrb.cz/servis/mapa-najemneho.html (cit. 30. 12. 2012).</w:t>
      </w:r>
    </w:p>
  </w:footnote>
  <w:footnote w:id="8">
    <w:p w:rsidR="00B40349" w:rsidRPr="00E4189F" w:rsidRDefault="00B40349" w:rsidP="008336A1">
      <w:pPr>
        <w:pStyle w:val="Textpoznpodarou"/>
        <w:jc w:val="both"/>
        <w:rPr>
          <w:sz w:val="22"/>
          <w:szCs w:val="22"/>
        </w:rPr>
      </w:pPr>
      <w:r w:rsidRPr="00E4189F">
        <w:rPr>
          <w:rStyle w:val="Znakapoznpodarou"/>
          <w:sz w:val="22"/>
          <w:szCs w:val="22"/>
        </w:rPr>
        <w:footnoteRef/>
      </w:r>
      <w:r w:rsidRPr="00E4189F">
        <w:rPr>
          <w:sz w:val="22"/>
          <w:szCs w:val="22"/>
        </w:rPr>
        <w:t xml:space="preserve">   Cenová mapa obsahuje tedy ceny pozemků v Kč/m</w:t>
      </w:r>
      <w:r w:rsidRPr="00E4189F">
        <w:rPr>
          <w:sz w:val="22"/>
          <w:szCs w:val="22"/>
          <w:vertAlign w:val="superscript"/>
        </w:rPr>
        <w:t>2</w:t>
      </w:r>
      <w:r w:rsidRPr="00E4189F">
        <w:rPr>
          <w:sz w:val="22"/>
          <w:szCs w:val="22"/>
        </w:rPr>
        <w:t>, které jsou s ohledem na svůj tržní charakter úzce spojeny s funkčním využitím pozemku. Na základě rozdílů v cenách pozemků lze tedy odvodit ceny nájmů a dalších nemovitostí, tyto však nejsou v cenové mapě bezprostředně uvedeny.</w:t>
      </w:r>
    </w:p>
  </w:footnote>
  <w:footnote w:id="9">
    <w:p w:rsidR="00B40349" w:rsidRPr="002F71E1" w:rsidRDefault="00B40349" w:rsidP="00E55384">
      <w:pPr>
        <w:pStyle w:val="Textpoznpodarou"/>
        <w:jc w:val="both"/>
        <w:rPr>
          <w:sz w:val="22"/>
          <w:szCs w:val="22"/>
        </w:rPr>
      </w:pPr>
      <w:r w:rsidRPr="002F71E1">
        <w:rPr>
          <w:rStyle w:val="Znakapoznpodarou"/>
          <w:sz w:val="22"/>
          <w:szCs w:val="22"/>
        </w:rPr>
        <w:footnoteRef/>
      </w:r>
      <w:r w:rsidRPr="002F71E1">
        <w:rPr>
          <w:sz w:val="22"/>
          <w:szCs w:val="22"/>
        </w:rPr>
        <w:t xml:space="preserve"> Z podstaty věci musí vycházet z platného územního plánu dané obce.</w:t>
      </w:r>
    </w:p>
  </w:footnote>
  <w:footnote w:id="10">
    <w:p w:rsidR="00B40349" w:rsidRPr="002F71E1" w:rsidRDefault="00B40349" w:rsidP="00E55384">
      <w:pPr>
        <w:pStyle w:val="Textpoznpodarou"/>
        <w:jc w:val="both"/>
        <w:rPr>
          <w:sz w:val="22"/>
          <w:szCs w:val="22"/>
        </w:rPr>
      </w:pPr>
      <w:r w:rsidRPr="002F71E1">
        <w:rPr>
          <w:rStyle w:val="Znakapoznpodarou"/>
          <w:sz w:val="22"/>
          <w:szCs w:val="22"/>
        </w:rPr>
        <w:footnoteRef/>
      </w:r>
      <w:r w:rsidRPr="002F71E1">
        <w:rPr>
          <w:sz w:val="22"/>
          <w:szCs w:val="22"/>
        </w:rPr>
        <w:t xml:space="preserve"> Císař uvádí, že vypovídací schopnost klesá s velikostí území, to však platí pouze za předpokladu, že větší území znamená zmenšení podrobnosti. V české praxi jsou však cenové mapy pouze záležitostí obcí, takže tento aspekt nemá žádný vliv.</w:t>
      </w:r>
    </w:p>
  </w:footnote>
  <w:footnote w:id="11">
    <w:p w:rsidR="00B40349" w:rsidRDefault="00B40349" w:rsidP="00B24627">
      <w:pPr>
        <w:pStyle w:val="Textpoznpodarou"/>
        <w:jc w:val="both"/>
      </w:pPr>
      <w:r w:rsidRPr="00460838">
        <w:rPr>
          <w:rStyle w:val="Znakapoznpodarou"/>
          <w:sz w:val="22"/>
          <w:szCs w:val="22"/>
        </w:rPr>
        <w:footnoteRef/>
      </w:r>
      <w:r w:rsidRPr="00460838">
        <w:rPr>
          <w:sz w:val="22"/>
          <w:szCs w:val="22"/>
        </w:rPr>
        <w:t xml:space="preserve"> Regi</w:t>
      </w:r>
      <w:r>
        <w:rPr>
          <w:sz w:val="22"/>
          <w:szCs w:val="22"/>
        </w:rPr>
        <w:t>o</w:t>
      </w:r>
      <w:r w:rsidRPr="00460838">
        <w:rPr>
          <w:sz w:val="22"/>
          <w:szCs w:val="22"/>
        </w:rPr>
        <w:t>ny lze pochopitelně vymezovat nejen v rámci spol</w:t>
      </w:r>
      <w:r>
        <w:rPr>
          <w:sz w:val="22"/>
          <w:szCs w:val="22"/>
        </w:rPr>
        <w:t>e</w:t>
      </w:r>
      <w:r w:rsidRPr="00460838">
        <w:rPr>
          <w:sz w:val="22"/>
          <w:szCs w:val="22"/>
        </w:rPr>
        <w:t>če</w:t>
      </w:r>
      <w:r>
        <w:rPr>
          <w:sz w:val="22"/>
          <w:szCs w:val="22"/>
        </w:rPr>
        <w:t>n</w:t>
      </w:r>
      <w:r w:rsidRPr="00460838">
        <w:rPr>
          <w:sz w:val="22"/>
          <w:szCs w:val="22"/>
        </w:rPr>
        <w:t xml:space="preserve">ské, ale i přírodní sféry </w:t>
      </w:r>
      <w:r>
        <w:rPr>
          <w:sz w:val="22"/>
          <w:szCs w:val="22"/>
        </w:rPr>
        <w:t>naší planety (např. geomorfologické, klimatické či hydrologické regiony).</w:t>
      </w:r>
    </w:p>
  </w:footnote>
  <w:footnote w:id="12">
    <w:p w:rsidR="00B40349" w:rsidRDefault="00B40349" w:rsidP="00B24627">
      <w:pPr>
        <w:pStyle w:val="Textpoznpodarou"/>
        <w:jc w:val="both"/>
      </w:pPr>
      <w:r w:rsidRPr="00BC62CB">
        <w:rPr>
          <w:rStyle w:val="Znakapoznpodarou"/>
          <w:sz w:val="22"/>
          <w:szCs w:val="22"/>
        </w:rPr>
        <w:footnoteRef/>
      </w:r>
      <w:r w:rsidRPr="00BC62CB">
        <w:rPr>
          <w:sz w:val="22"/>
          <w:szCs w:val="22"/>
        </w:rPr>
        <w:t xml:space="preserve"> </w:t>
      </w:r>
      <w:r>
        <w:rPr>
          <w:sz w:val="22"/>
          <w:szCs w:val="22"/>
        </w:rPr>
        <w:t>Ostatní</w:t>
      </w:r>
      <w:r w:rsidRPr="00BC62CB">
        <w:rPr>
          <w:sz w:val="22"/>
          <w:szCs w:val="22"/>
        </w:rPr>
        <w:t xml:space="preserve"> odvětví zajišťují základní materiální podmínky fungování společnosti a jejich reprodukci (výroba a rozvod energií a vody, stavebnictví), distribuci a směnu výrobků a služeb (doprava, obchod) a veřejné služby (veřejná správa, školství, zdravotnictví atd.). Lokalizace zbývajících výrobních odvětví (těžba nerostných surovin, zemědělství a lesnictví) je pak determinována přírodními faktory.  </w:t>
      </w:r>
    </w:p>
  </w:footnote>
  <w:footnote w:id="13">
    <w:p w:rsidR="00B40349" w:rsidRPr="00423679" w:rsidRDefault="00B40349" w:rsidP="001D5CBA">
      <w:pPr>
        <w:keepNext/>
        <w:spacing w:after="0" w:line="240" w:lineRule="auto"/>
        <w:jc w:val="both"/>
      </w:pPr>
      <w:r w:rsidRPr="00423679">
        <w:rPr>
          <w:rStyle w:val="Znakapoznpodarou"/>
        </w:rPr>
        <w:footnoteRef/>
      </w:r>
      <w:r w:rsidRPr="00423679">
        <w:t xml:space="preserve"> Při stanovení vah B byly na základě zjištěných informací zvýrazněny preference ekonomických subjektů činných v odvětvích high-tech, při uvažovaném zastoupení obou typů vah</w:t>
      </w:r>
      <w:r>
        <w:t>,</w:t>
      </w:r>
      <w:r w:rsidRPr="00423679">
        <w:t xml:space="preserve"> </w:t>
      </w:r>
      <w:r>
        <w:t xml:space="preserve">tj. A a B, </w:t>
      </w:r>
      <w:r w:rsidRPr="00423679">
        <w:t xml:space="preserve">v poměru 1 : 1 odpovídajícímu současné situaci v Německu (tím indukované změny </w:t>
      </w:r>
      <w:r>
        <w:t xml:space="preserve">agregovaných </w:t>
      </w:r>
      <w:r w:rsidRPr="00423679">
        <w:t>krajských hodnot však nepřesáhly hranici 2</w:t>
      </w:r>
      <w:r>
        <w:t xml:space="preserve"> </w:t>
      </w:r>
      <w:r w:rsidRPr="00423679">
        <w:t xml:space="preserve">%, </w:t>
      </w:r>
      <w:r>
        <w:t>což lze přičíst</w:t>
      </w:r>
      <w:r w:rsidRPr="00423679">
        <w:t xml:space="preserve"> počáteční fázi rozvoje znalostní ekonomiky</w:t>
      </w:r>
      <w:r>
        <w:t xml:space="preserve"> </w:t>
      </w:r>
      <w:r w:rsidRPr="00423679">
        <w:t xml:space="preserve">v České republice). </w:t>
      </w:r>
    </w:p>
    <w:p w:rsidR="00B40349" w:rsidRDefault="00B40349" w:rsidP="001D5CBA">
      <w:pPr>
        <w:keepNext/>
        <w:spacing w:after="0" w:line="240" w:lineRule="auto"/>
        <w:jc w:val="both"/>
      </w:pPr>
    </w:p>
  </w:footnote>
  <w:footnote w:id="14">
    <w:p w:rsidR="00B40349" w:rsidRDefault="00B40349" w:rsidP="00AC5422">
      <w:pPr>
        <w:pStyle w:val="Textpoznpodarou"/>
        <w:jc w:val="both"/>
      </w:pPr>
      <w:r>
        <w:rPr>
          <w:rStyle w:val="Znakapoznpodarou"/>
        </w:rPr>
        <w:footnoteRef/>
      </w:r>
      <w:r>
        <w:t xml:space="preserve"> Tento závěr se v ekonomii označuje jako Sayův zákon trhů, který je však ve zřejmém rozporu se skutečným trhem práce. </w:t>
      </w:r>
    </w:p>
  </w:footnote>
  <w:footnote w:id="15">
    <w:p w:rsidR="00B40349" w:rsidRDefault="00B40349" w:rsidP="00A9221E">
      <w:pPr>
        <w:pStyle w:val="Textpoznpodarou"/>
        <w:jc w:val="both"/>
      </w:pPr>
      <w:r w:rsidRPr="00882C05">
        <w:rPr>
          <w:rStyle w:val="Znakapoznpodarou"/>
          <w:sz w:val="22"/>
          <w:szCs w:val="22"/>
        </w:rPr>
        <w:footnoteRef/>
      </w:r>
      <w:r w:rsidRPr="00882C05">
        <w:rPr>
          <w:sz w:val="22"/>
          <w:szCs w:val="22"/>
        </w:rPr>
        <w:t xml:space="preserve"> Z dalších významných nodálních procesů jde především o dojížďku do škol a</w:t>
      </w:r>
      <w:r>
        <w:rPr>
          <w:sz w:val="22"/>
          <w:szCs w:val="22"/>
        </w:rPr>
        <w:t xml:space="preserve"> </w:t>
      </w:r>
      <w:r w:rsidRPr="00882C05">
        <w:rPr>
          <w:sz w:val="22"/>
          <w:szCs w:val="22"/>
        </w:rPr>
        <w:t xml:space="preserve">dojížďku </w:t>
      </w:r>
      <w:r>
        <w:rPr>
          <w:sz w:val="22"/>
          <w:szCs w:val="22"/>
        </w:rPr>
        <w:t xml:space="preserve">za </w:t>
      </w:r>
      <w:r w:rsidRPr="00882C05">
        <w:rPr>
          <w:sz w:val="22"/>
          <w:szCs w:val="22"/>
        </w:rPr>
        <w:t>službami, jejichž prostorová dimenze se zv</w:t>
      </w:r>
      <w:r>
        <w:rPr>
          <w:sz w:val="22"/>
          <w:szCs w:val="22"/>
        </w:rPr>
        <w:t>ětšuje</w:t>
      </w:r>
      <w:r w:rsidRPr="00882C05">
        <w:rPr>
          <w:sz w:val="22"/>
          <w:szCs w:val="22"/>
        </w:rPr>
        <w:t xml:space="preserve"> </w:t>
      </w:r>
      <w:r>
        <w:rPr>
          <w:sz w:val="22"/>
          <w:szCs w:val="22"/>
        </w:rPr>
        <w:t xml:space="preserve">ve vazbě na jednotlivé </w:t>
      </w:r>
      <w:r w:rsidRPr="00882C05">
        <w:rPr>
          <w:sz w:val="22"/>
          <w:szCs w:val="22"/>
        </w:rPr>
        <w:t>stup</w:t>
      </w:r>
      <w:r>
        <w:rPr>
          <w:sz w:val="22"/>
          <w:szCs w:val="22"/>
        </w:rPr>
        <w:t>ně</w:t>
      </w:r>
      <w:r w:rsidRPr="00882C05">
        <w:rPr>
          <w:sz w:val="22"/>
          <w:szCs w:val="22"/>
        </w:rPr>
        <w:t xml:space="preserve"> vzdělávací soustavy</w:t>
      </w:r>
      <w:r>
        <w:rPr>
          <w:sz w:val="22"/>
          <w:szCs w:val="22"/>
        </w:rPr>
        <w:t>,</w:t>
      </w:r>
      <w:r w:rsidRPr="00882C05">
        <w:rPr>
          <w:sz w:val="22"/>
          <w:szCs w:val="22"/>
        </w:rPr>
        <w:t xml:space="preserve"> resp. úrov</w:t>
      </w:r>
      <w:r>
        <w:rPr>
          <w:sz w:val="22"/>
          <w:szCs w:val="22"/>
        </w:rPr>
        <w:t>eň</w:t>
      </w:r>
      <w:r w:rsidRPr="00882C05">
        <w:rPr>
          <w:sz w:val="22"/>
          <w:szCs w:val="22"/>
        </w:rPr>
        <w:t xml:space="preserve"> přidané hodnoty poptávaných služeb (</w:t>
      </w:r>
      <w:r>
        <w:rPr>
          <w:sz w:val="22"/>
          <w:szCs w:val="22"/>
        </w:rPr>
        <w:t>s</w:t>
      </w:r>
      <w:r w:rsidRPr="00882C05">
        <w:rPr>
          <w:sz w:val="22"/>
          <w:szCs w:val="22"/>
        </w:rPr>
        <w:t xml:space="preserve"> mikroregionální úrovní </w:t>
      </w:r>
      <w:r>
        <w:rPr>
          <w:sz w:val="22"/>
          <w:szCs w:val="22"/>
        </w:rPr>
        <w:t xml:space="preserve">územně </w:t>
      </w:r>
      <w:r w:rsidRPr="00882C05">
        <w:rPr>
          <w:sz w:val="22"/>
          <w:szCs w:val="22"/>
        </w:rPr>
        <w:t>nejvíce koresponduj</w:t>
      </w:r>
      <w:r>
        <w:rPr>
          <w:sz w:val="22"/>
          <w:szCs w:val="22"/>
        </w:rPr>
        <w:t>e</w:t>
      </w:r>
      <w:r w:rsidRPr="00882C05">
        <w:rPr>
          <w:sz w:val="22"/>
          <w:szCs w:val="22"/>
        </w:rPr>
        <w:t xml:space="preserve"> </w:t>
      </w:r>
      <w:r>
        <w:rPr>
          <w:sz w:val="22"/>
          <w:szCs w:val="22"/>
        </w:rPr>
        <w:t>dojížďka do středních škol a za</w:t>
      </w:r>
      <w:r w:rsidRPr="00882C05">
        <w:rPr>
          <w:sz w:val="22"/>
          <w:szCs w:val="22"/>
        </w:rPr>
        <w:t xml:space="preserve"> ambulantní</w:t>
      </w:r>
      <w:r>
        <w:rPr>
          <w:sz w:val="22"/>
          <w:szCs w:val="22"/>
        </w:rPr>
        <w:t>mi</w:t>
      </w:r>
      <w:r w:rsidRPr="00882C05">
        <w:rPr>
          <w:sz w:val="22"/>
          <w:szCs w:val="22"/>
        </w:rPr>
        <w:t xml:space="preserve"> zdravotnick</w:t>
      </w:r>
      <w:r>
        <w:rPr>
          <w:sz w:val="22"/>
          <w:szCs w:val="22"/>
        </w:rPr>
        <w:t>ými</w:t>
      </w:r>
      <w:r w:rsidRPr="00882C05">
        <w:rPr>
          <w:sz w:val="22"/>
          <w:szCs w:val="22"/>
        </w:rPr>
        <w:t xml:space="preserve"> služb</w:t>
      </w:r>
      <w:r>
        <w:rPr>
          <w:sz w:val="22"/>
          <w:szCs w:val="22"/>
        </w:rPr>
        <w:t>ami</w:t>
      </w:r>
      <w:r w:rsidRPr="00882C05">
        <w:rPr>
          <w:sz w:val="22"/>
          <w:szCs w:val="22"/>
        </w:rPr>
        <w:t xml:space="preserve"> </w:t>
      </w:r>
      <w:r>
        <w:rPr>
          <w:sz w:val="22"/>
          <w:szCs w:val="22"/>
        </w:rPr>
        <w:t>či za</w:t>
      </w:r>
      <w:r w:rsidRPr="00882C05">
        <w:rPr>
          <w:sz w:val="22"/>
          <w:szCs w:val="22"/>
        </w:rPr>
        <w:t xml:space="preserve"> </w:t>
      </w:r>
      <w:r>
        <w:rPr>
          <w:sz w:val="22"/>
          <w:szCs w:val="22"/>
        </w:rPr>
        <w:t xml:space="preserve">časově </w:t>
      </w:r>
      <w:r w:rsidRPr="00882C05">
        <w:rPr>
          <w:sz w:val="22"/>
          <w:szCs w:val="22"/>
        </w:rPr>
        <w:t>nej</w:t>
      </w:r>
      <w:r>
        <w:rPr>
          <w:sz w:val="22"/>
          <w:szCs w:val="22"/>
        </w:rPr>
        <w:t xml:space="preserve">více frekventovanými </w:t>
      </w:r>
      <w:r w:rsidRPr="00882C05">
        <w:rPr>
          <w:sz w:val="22"/>
          <w:szCs w:val="22"/>
        </w:rPr>
        <w:t>maloobchodní</w:t>
      </w:r>
      <w:r>
        <w:rPr>
          <w:sz w:val="22"/>
          <w:szCs w:val="22"/>
        </w:rPr>
        <w:t>mi</w:t>
      </w:r>
      <w:r w:rsidRPr="00882C05">
        <w:rPr>
          <w:sz w:val="22"/>
          <w:szCs w:val="22"/>
        </w:rPr>
        <w:t xml:space="preserve"> </w:t>
      </w:r>
      <w:r>
        <w:rPr>
          <w:sz w:val="22"/>
          <w:szCs w:val="22"/>
        </w:rPr>
        <w:t>a dalšími spotřebitelskými s</w:t>
      </w:r>
      <w:r w:rsidRPr="00882C05">
        <w:rPr>
          <w:sz w:val="22"/>
          <w:szCs w:val="22"/>
        </w:rPr>
        <w:t>lužb</w:t>
      </w:r>
      <w:r>
        <w:rPr>
          <w:sz w:val="22"/>
          <w:szCs w:val="22"/>
        </w:rPr>
        <w:t>ami</w:t>
      </w:r>
      <w:r w:rsidRPr="00882C05">
        <w:rPr>
          <w:sz w:val="22"/>
          <w:szCs w:val="22"/>
        </w:rPr>
        <w:t>).</w:t>
      </w:r>
    </w:p>
  </w:footnote>
  <w:footnote w:id="16">
    <w:p w:rsidR="00B40349" w:rsidRDefault="00B40349" w:rsidP="00F35AE3">
      <w:pPr>
        <w:pStyle w:val="Textpoznpodarou"/>
        <w:jc w:val="both"/>
      </w:pPr>
      <w:r w:rsidRPr="0010130B">
        <w:rPr>
          <w:rStyle w:val="Znakapoznpodarou"/>
          <w:sz w:val="22"/>
          <w:szCs w:val="22"/>
        </w:rPr>
        <w:footnoteRef/>
      </w:r>
      <w:r w:rsidRPr="0010130B">
        <w:rPr>
          <w:sz w:val="22"/>
          <w:szCs w:val="22"/>
        </w:rPr>
        <w:t xml:space="preserve"> </w:t>
      </w:r>
      <w:r>
        <w:rPr>
          <w:sz w:val="22"/>
          <w:szCs w:val="22"/>
        </w:rPr>
        <w:t>P</w:t>
      </w:r>
      <w:r w:rsidRPr="0010130B">
        <w:rPr>
          <w:sz w:val="22"/>
          <w:szCs w:val="22"/>
        </w:rPr>
        <w:t>řípadová studie využívá terénních šetření připravených za účelem implementa</w:t>
      </w:r>
      <w:r>
        <w:rPr>
          <w:sz w:val="22"/>
          <w:szCs w:val="22"/>
        </w:rPr>
        <w:t>ce ROP Jihovýchod v letech 2008–</w:t>
      </w:r>
      <w:r w:rsidRPr="0010130B">
        <w:rPr>
          <w:sz w:val="22"/>
          <w:szCs w:val="22"/>
        </w:rPr>
        <w:t>2010</w:t>
      </w:r>
      <w:r>
        <w:rPr>
          <w:sz w:val="22"/>
          <w:szCs w:val="22"/>
        </w:rPr>
        <w:t>.</w:t>
      </w:r>
      <w:r w:rsidRPr="0010130B">
        <w:rPr>
          <w:sz w:val="22"/>
          <w:szCs w:val="22"/>
        </w:rPr>
        <w:t xml:space="preserve"> </w:t>
      </w:r>
    </w:p>
  </w:footnote>
  <w:footnote w:id="17">
    <w:p w:rsidR="00B40349" w:rsidRDefault="00B40349" w:rsidP="00F35AE3">
      <w:pPr>
        <w:pStyle w:val="Textpoznpodarou"/>
        <w:jc w:val="both"/>
      </w:pPr>
      <w:r w:rsidRPr="0010130B">
        <w:rPr>
          <w:rStyle w:val="Znakapoznpodarou"/>
          <w:sz w:val="22"/>
          <w:szCs w:val="22"/>
        </w:rPr>
        <w:footnoteRef/>
      </w:r>
      <w:r w:rsidRPr="0010130B">
        <w:rPr>
          <w:sz w:val="22"/>
          <w:szCs w:val="22"/>
        </w:rPr>
        <w:t xml:space="preserve"> </w:t>
      </w:r>
      <w:r>
        <w:rPr>
          <w:sz w:val="22"/>
          <w:szCs w:val="22"/>
        </w:rPr>
        <w:t>S</w:t>
      </w:r>
      <w:r w:rsidRPr="0010130B">
        <w:rPr>
          <w:sz w:val="22"/>
          <w:szCs w:val="22"/>
        </w:rPr>
        <w:t>távající průjezd</w:t>
      </w:r>
      <w:r>
        <w:rPr>
          <w:sz w:val="22"/>
          <w:szCs w:val="22"/>
        </w:rPr>
        <w:t>y</w:t>
      </w:r>
      <w:r w:rsidRPr="0010130B">
        <w:rPr>
          <w:sz w:val="22"/>
          <w:szCs w:val="22"/>
        </w:rPr>
        <w:t xml:space="preserve"> 12</w:t>
      </w:r>
      <w:r>
        <w:rPr>
          <w:sz w:val="22"/>
          <w:szCs w:val="22"/>
        </w:rPr>
        <w:t xml:space="preserve"> tis. </w:t>
      </w:r>
      <w:r w:rsidRPr="0010130B">
        <w:rPr>
          <w:sz w:val="22"/>
          <w:szCs w:val="22"/>
        </w:rPr>
        <w:t>vozidel/den</w:t>
      </w:r>
      <w:r>
        <w:rPr>
          <w:sz w:val="22"/>
          <w:szCs w:val="22"/>
        </w:rPr>
        <w:t xml:space="preserve"> (</w:t>
      </w:r>
      <w:r w:rsidRPr="0010130B">
        <w:rPr>
          <w:sz w:val="22"/>
          <w:szCs w:val="22"/>
        </w:rPr>
        <w:t>kalkulováno navýšení o 270 vozidel</w:t>
      </w:r>
      <w:r>
        <w:rPr>
          <w:sz w:val="22"/>
          <w:szCs w:val="22"/>
        </w:rPr>
        <w:t xml:space="preserve">), resp. </w:t>
      </w:r>
      <w:r w:rsidRPr="0010130B">
        <w:rPr>
          <w:sz w:val="22"/>
          <w:szCs w:val="22"/>
        </w:rPr>
        <w:t>37</w:t>
      </w:r>
      <w:r>
        <w:rPr>
          <w:sz w:val="22"/>
          <w:szCs w:val="22"/>
        </w:rPr>
        <w:t xml:space="preserve"> tis. </w:t>
      </w:r>
      <w:r w:rsidRPr="0010130B">
        <w:rPr>
          <w:sz w:val="22"/>
          <w:szCs w:val="22"/>
        </w:rPr>
        <w:t>vozidel/den</w:t>
      </w:r>
      <w:r>
        <w:rPr>
          <w:sz w:val="22"/>
          <w:szCs w:val="22"/>
        </w:rPr>
        <w:t>.</w:t>
      </w:r>
      <w:r w:rsidRPr="0010130B">
        <w:rPr>
          <w:sz w:val="22"/>
          <w:szCs w:val="22"/>
        </w:rPr>
        <w:t xml:space="preserve"> </w:t>
      </w:r>
    </w:p>
  </w:footnote>
  <w:footnote w:id="18">
    <w:p w:rsidR="00B40349" w:rsidRPr="00C24344" w:rsidRDefault="00B40349" w:rsidP="006A2747">
      <w:pPr>
        <w:pStyle w:val="Textpoznpodarou"/>
        <w:jc w:val="both"/>
      </w:pPr>
      <w:r w:rsidRPr="002C6B38">
        <w:rPr>
          <w:rStyle w:val="Znakapoznpodarou"/>
          <w:sz w:val="22"/>
        </w:rPr>
        <w:footnoteRef/>
      </w:r>
      <w:r w:rsidRPr="002C6B38">
        <w:rPr>
          <w:sz w:val="22"/>
        </w:rPr>
        <w:t xml:space="preserve"> </w:t>
      </w:r>
      <w:r w:rsidRPr="002C6B38">
        <w:rPr>
          <w:sz w:val="22"/>
          <w:szCs w:val="24"/>
        </w:rPr>
        <w:t xml:space="preserve">Nadprůměrné hodnoty KPP vykazuje i osm dalších regionů ORP </w:t>
      </w:r>
      <w:r w:rsidRPr="00C24344">
        <w:rPr>
          <w:sz w:val="22"/>
          <w:szCs w:val="24"/>
        </w:rPr>
        <w:t>nedisponující</w:t>
      </w:r>
      <w:r>
        <w:rPr>
          <w:sz w:val="22"/>
          <w:szCs w:val="24"/>
        </w:rPr>
        <w:t>ch</w:t>
      </w:r>
      <w:r w:rsidRPr="00C24344">
        <w:rPr>
          <w:sz w:val="22"/>
          <w:szCs w:val="24"/>
        </w:rPr>
        <w:t xml:space="preserve"> vyššími správními funkcemi ani výjimečným ekonomickým postavením. </w:t>
      </w:r>
      <w:r>
        <w:rPr>
          <w:sz w:val="22"/>
          <w:szCs w:val="24"/>
        </w:rPr>
        <w:t>J</w:t>
      </w:r>
      <w:r w:rsidRPr="00C24344">
        <w:rPr>
          <w:sz w:val="22"/>
          <w:szCs w:val="24"/>
        </w:rPr>
        <w:t xml:space="preserve">ejich pozice je jednoznačně determinována blízkostí Prahy, se kterou </w:t>
      </w:r>
      <w:r>
        <w:rPr>
          <w:sz w:val="22"/>
          <w:szCs w:val="24"/>
        </w:rPr>
        <w:t xml:space="preserve">tvoří </w:t>
      </w:r>
      <w:r w:rsidRPr="00C24344">
        <w:rPr>
          <w:sz w:val="22"/>
          <w:szCs w:val="24"/>
        </w:rPr>
        <w:t xml:space="preserve">silně integrovaný metropolitní region evropského významu (proces „metropolizace“ lze pokládat za významný aktuální trend </w:t>
      </w:r>
      <w:r>
        <w:rPr>
          <w:sz w:val="22"/>
          <w:szCs w:val="24"/>
        </w:rPr>
        <w:t>nejen v evropských zemích</w:t>
      </w:r>
      <w:r w:rsidRPr="00C24344">
        <w:rPr>
          <w:sz w:val="22"/>
          <w:szCs w:val="24"/>
        </w:rPr>
        <w:t>).</w:t>
      </w:r>
    </w:p>
  </w:footnote>
  <w:footnote w:id="19">
    <w:p w:rsidR="00B40349" w:rsidRDefault="00B40349" w:rsidP="006A2747">
      <w:pPr>
        <w:pStyle w:val="Textpoznpodarou"/>
        <w:jc w:val="both"/>
      </w:pPr>
      <w:r w:rsidRPr="00347529">
        <w:rPr>
          <w:rStyle w:val="Znakapoznpodarou"/>
        </w:rPr>
        <w:footnoteRef/>
      </w:r>
      <w:r w:rsidRPr="00347529">
        <w:t xml:space="preserve"> </w:t>
      </w:r>
      <w:r w:rsidRPr="00347529">
        <w:rPr>
          <w:sz w:val="22"/>
          <w:szCs w:val="24"/>
        </w:rPr>
        <w:t xml:space="preserve">Nadprůměrné hodnoty KSP kromě pólu rozvoje M. Boleslavi vykazuje opět osm dalších regionů ORP, </w:t>
      </w:r>
      <w:r>
        <w:rPr>
          <w:sz w:val="22"/>
          <w:szCs w:val="24"/>
        </w:rPr>
        <w:t xml:space="preserve">které se </w:t>
      </w:r>
      <w:r w:rsidRPr="00347529">
        <w:rPr>
          <w:sz w:val="22"/>
          <w:szCs w:val="24"/>
        </w:rPr>
        <w:t>nacházející</w:t>
      </w:r>
      <w:r>
        <w:rPr>
          <w:sz w:val="22"/>
          <w:szCs w:val="24"/>
        </w:rPr>
        <w:t xml:space="preserve"> </w:t>
      </w:r>
      <w:r w:rsidRPr="00347529">
        <w:rPr>
          <w:sz w:val="22"/>
          <w:szCs w:val="24"/>
        </w:rPr>
        <w:t>především v krajích Středočeském, Pardubickém a Vysočina.</w:t>
      </w:r>
    </w:p>
  </w:footnote>
  <w:footnote w:id="20">
    <w:p w:rsidR="00B40349" w:rsidRPr="00975140" w:rsidRDefault="00B40349" w:rsidP="006A2747">
      <w:pPr>
        <w:pStyle w:val="Textpoznpodarou"/>
        <w:jc w:val="both"/>
        <w:rPr>
          <w:sz w:val="22"/>
          <w:szCs w:val="22"/>
        </w:rPr>
      </w:pPr>
      <w:r w:rsidRPr="00975140">
        <w:rPr>
          <w:rStyle w:val="Znakapoznpodarou"/>
          <w:sz w:val="22"/>
          <w:szCs w:val="22"/>
        </w:rPr>
        <w:footnoteRef/>
      </w:r>
      <w:r w:rsidRPr="00975140">
        <w:rPr>
          <w:sz w:val="22"/>
          <w:szCs w:val="22"/>
        </w:rPr>
        <w:t xml:space="preserve"> Ze širšího pohledu toto zjištění koresponduje s tzv. </w:t>
      </w:r>
      <w:r w:rsidRPr="00975140">
        <w:rPr>
          <w:bCs/>
          <w:sz w:val="22"/>
          <w:szCs w:val="22"/>
        </w:rPr>
        <w:t xml:space="preserve">Easterlinovým paradoxem, podle kterého </w:t>
      </w:r>
      <w:r>
        <w:rPr>
          <w:sz w:val="22"/>
          <w:szCs w:val="22"/>
        </w:rPr>
        <w:t>od </w:t>
      </w:r>
      <w:r w:rsidRPr="00975140">
        <w:rPr>
          <w:sz w:val="22"/>
          <w:szCs w:val="22"/>
        </w:rPr>
        <w:t>určité úrovně bohatství již materiální blahobyt nepřispívá k životní spokojenosti.</w:t>
      </w:r>
    </w:p>
  </w:footnote>
  <w:footnote w:id="21">
    <w:p w:rsidR="00B40349" w:rsidRPr="00A74E48" w:rsidRDefault="00B40349" w:rsidP="00B56724">
      <w:pPr>
        <w:keepNext/>
        <w:autoSpaceDE w:val="0"/>
        <w:autoSpaceDN w:val="0"/>
        <w:adjustRightInd w:val="0"/>
        <w:spacing w:after="0" w:line="240" w:lineRule="auto"/>
        <w:jc w:val="both"/>
        <w:rPr>
          <w:color w:val="0000FF"/>
          <w:sz w:val="24"/>
        </w:rPr>
      </w:pPr>
      <w:r w:rsidRPr="008C500E">
        <w:rPr>
          <w:rStyle w:val="Znakapoznpodarou"/>
        </w:rPr>
        <w:footnoteRef/>
      </w:r>
      <w:r w:rsidRPr="008C500E">
        <w:t xml:space="preserve"> </w:t>
      </w:r>
      <w:r w:rsidRPr="00A74E48">
        <w:t xml:space="preserve">V případě </w:t>
      </w:r>
      <w:r w:rsidRPr="00C24344">
        <w:t>nepříznivého vývoje může být soukromý kapitál z regionu velmi rychle stažen z užívání (jeho redukce je obecně podstatně rychlejší než expanze). Naproti tomu kapitál uložený v infrastruktuře a dále lidský kapitál, které jsou silně akcentované v rámci komponent KPP i KSP, jsou ze své podstaty málo mobilní a z pohledu udržitelného regionálního rozvoje tak nabývají zvláštního významu.</w:t>
      </w:r>
      <w:r w:rsidRPr="00C24344">
        <w:rPr>
          <w:sz w:val="24"/>
        </w:rPr>
        <w:t xml:space="preserve"> </w:t>
      </w:r>
    </w:p>
    <w:p w:rsidR="00B40349" w:rsidRDefault="00B40349" w:rsidP="006A2747">
      <w:pPr>
        <w:keepNext/>
        <w:autoSpaceDE w:val="0"/>
        <w:autoSpaceDN w:val="0"/>
        <w:adjustRightInd w:val="0"/>
        <w:spacing w:after="0"/>
        <w:jc w:val="both"/>
      </w:pPr>
    </w:p>
  </w:footnote>
  <w:footnote w:id="22">
    <w:p w:rsidR="00B40349" w:rsidRPr="00A2664A" w:rsidRDefault="00B40349" w:rsidP="00B56724">
      <w:pPr>
        <w:pStyle w:val="Textpoznpodarou"/>
        <w:spacing w:line="276" w:lineRule="auto"/>
        <w:jc w:val="both"/>
        <w:rPr>
          <w:sz w:val="22"/>
          <w:szCs w:val="22"/>
        </w:rPr>
      </w:pPr>
      <w:r w:rsidRPr="00A2664A">
        <w:rPr>
          <w:rStyle w:val="Znakapoznpodarou"/>
          <w:sz w:val="22"/>
          <w:szCs w:val="22"/>
        </w:rPr>
        <w:footnoteRef/>
      </w:r>
      <w:r w:rsidRPr="00A2664A">
        <w:rPr>
          <w:sz w:val="22"/>
          <w:szCs w:val="22"/>
        </w:rPr>
        <w:t xml:space="preserve"> Přelévání ekonomických efektů generovaných </w:t>
      </w:r>
      <w:r>
        <w:rPr>
          <w:sz w:val="22"/>
          <w:szCs w:val="22"/>
        </w:rPr>
        <w:t xml:space="preserve">tvorbou </w:t>
      </w:r>
      <w:r w:rsidRPr="00A2664A">
        <w:rPr>
          <w:sz w:val="22"/>
          <w:szCs w:val="22"/>
        </w:rPr>
        <w:t>inovac</w:t>
      </w:r>
      <w:r>
        <w:rPr>
          <w:sz w:val="22"/>
          <w:szCs w:val="22"/>
        </w:rPr>
        <w:t>í</w:t>
      </w:r>
      <w:r w:rsidRPr="00A2664A">
        <w:rPr>
          <w:sz w:val="22"/>
          <w:szCs w:val="22"/>
        </w:rPr>
        <w:t xml:space="preserve"> je ovšem </w:t>
      </w:r>
      <w:r>
        <w:rPr>
          <w:sz w:val="22"/>
          <w:szCs w:val="22"/>
        </w:rPr>
        <w:t>automaticky regulováno</w:t>
      </w:r>
      <w:r w:rsidRPr="00A2664A">
        <w:rPr>
          <w:sz w:val="22"/>
          <w:szCs w:val="22"/>
        </w:rPr>
        <w:t xml:space="preserve"> potřebou návratnosti vloženého kapitálu a snahou firem </w:t>
      </w:r>
      <w:r>
        <w:rPr>
          <w:sz w:val="22"/>
          <w:szCs w:val="22"/>
        </w:rPr>
        <w:t>o</w:t>
      </w:r>
      <w:r w:rsidRPr="00A2664A">
        <w:rPr>
          <w:sz w:val="22"/>
          <w:szCs w:val="22"/>
        </w:rPr>
        <w:t xml:space="preserve"> dosažení </w:t>
      </w:r>
      <w:r>
        <w:rPr>
          <w:sz w:val="22"/>
          <w:szCs w:val="22"/>
        </w:rPr>
        <w:t xml:space="preserve">dočasného </w:t>
      </w:r>
      <w:r w:rsidRPr="00A2664A">
        <w:rPr>
          <w:sz w:val="22"/>
          <w:szCs w:val="22"/>
        </w:rPr>
        <w:t>monopolního postavení na trhu přís</w:t>
      </w:r>
      <w:r>
        <w:rPr>
          <w:sz w:val="22"/>
          <w:szCs w:val="22"/>
        </w:rPr>
        <w:t>l</w:t>
      </w:r>
      <w:r w:rsidRPr="00A2664A">
        <w:rPr>
          <w:sz w:val="22"/>
          <w:szCs w:val="22"/>
        </w:rPr>
        <w:t xml:space="preserve">ušných výrobků a služeb.  </w:t>
      </w:r>
    </w:p>
  </w:footnote>
  <w:footnote w:id="23">
    <w:p w:rsidR="00B40349" w:rsidRDefault="00B40349" w:rsidP="00207EC0">
      <w:pPr>
        <w:pStyle w:val="Textpoznpodarou"/>
        <w:jc w:val="both"/>
      </w:pPr>
      <w:r w:rsidRPr="00A75D4A">
        <w:rPr>
          <w:rStyle w:val="Znakapoznpodarou"/>
          <w:sz w:val="22"/>
          <w:szCs w:val="22"/>
        </w:rPr>
        <w:footnoteRef/>
      </w:r>
      <w:r w:rsidRPr="00A75D4A">
        <w:rPr>
          <w:sz w:val="22"/>
          <w:szCs w:val="22"/>
        </w:rPr>
        <w:t xml:space="preserve"> </w:t>
      </w:r>
      <w:r w:rsidRPr="00207EC0">
        <w:rPr>
          <w:sz w:val="22"/>
          <w:szCs w:val="22"/>
        </w:rPr>
        <w:t>Na druhé straně je potřebné upozornit i na problém desintegrace resp. negativní integrace indukované hospodářským úpadkem strukturálně postižených pólu rozvoje, ze kterých jsou následně šířeny nepříznivé impulsy do jejich okolí.</w:t>
      </w:r>
    </w:p>
  </w:footnote>
  <w:footnote w:id="24">
    <w:p w:rsidR="00B40349" w:rsidRPr="00FD22C8" w:rsidRDefault="00B40349" w:rsidP="00207EC0">
      <w:pPr>
        <w:pStyle w:val="Textpoznpodarou"/>
        <w:jc w:val="both"/>
        <w:rPr>
          <w:color w:val="FF0000"/>
          <w:sz w:val="22"/>
          <w:szCs w:val="22"/>
        </w:rPr>
      </w:pPr>
      <w:r w:rsidRPr="00E141BF">
        <w:rPr>
          <w:rStyle w:val="Znakapoznpodarou"/>
          <w:sz w:val="22"/>
          <w:szCs w:val="22"/>
        </w:rPr>
        <w:footnoteRef/>
      </w:r>
      <w:r w:rsidRPr="00E141BF">
        <w:rPr>
          <w:sz w:val="22"/>
          <w:szCs w:val="22"/>
        </w:rPr>
        <w:t xml:space="preserve"> Integrace environmentálních faktorů v rámci </w:t>
      </w:r>
      <w:r>
        <w:rPr>
          <w:sz w:val="22"/>
          <w:szCs w:val="22"/>
        </w:rPr>
        <w:t>obou</w:t>
      </w:r>
      <w:r w:rsidRPr="00E141BF">
        <w:rPr>
          <w:sz w:val="22"/>
          <w:szCs w:val="22"/>
        </w:rPr>
        <w:t xml:space="preserve"> komponent respektuje skutečnost, že člověk již dávno nežije v divoké přírodě a v souladu s tím je </w:t>
      </w:r>
      <w:r>
        <w:rPr>
          <w:sz w:val="22"/>
          <w:szCs w:val="22"/>
        </w:rPr>
        <w:t xml:space="preserve">jeho </w:t>
      </w:r>
      <w:r w:rsidRPr="00E141BF">
        <w:rPr>
          <w:sz w:val="22"/>
          <w:szCs w:val="22"/>
        </w:rPr>
        <w:t>vztah k přírodě budován na antropogenních základech</w:t>
      </w:r>
      <w:r>
        <w:rPr>
          <w:sz w:val="22"/>
          <w:szCs w:val="22"/>
        </w:rPr>
        <w:t xml:space="preserve"> (implicitně předpokládajících nadřazenost člověka nad přírodou)</w:t>
      </w:r>
      <w:r w:rsidRPr="00E141BF">
        <w:rPr>
          <w:sz w:val="22"/>
          <w:szCs w:val="22"/>
        </w:rPr>
        <w:t>.</w:t>
      </w:r>
    </w:p>
  </w:footnote>
  <w:footnote w:id="25">
    <w:p w:rsidR="00B40349" w:rsidRDefault="00B40349" w:rsidP="006A2747">
      <w:pPr>
        <w:pStyle w:val="Textpoznpodarou"/>
        <w:jc w:val="both"/>
      </w:pPr>
      <w:r w:rsidRPr="00BF3A46">
        <w:rPr>
          <w:rStyle w:val="Znakapoznpodarou"/>
          <w:sz w:val="22"/>
          <w:szCs w:val="22"/>
        </w:rPr>
        <w:footnoteRef/>
      </w:r>
      <w:r w:rsidRPr="00BF3A46">
        <w:rPr>
          <w:sz w:val="22"/>
          <w:szCs w:val="22"/>
        </w:rPr>
        <w:t xml:space="preserve"> </w:t>
      </w:r>
      <w:r>
        <w:rPr>
          <w:sz w:val="22"/>
          <w:szCs w:val="22"/>
        </w:rPr>
        <w:t xml:space="preserve">V této souvislosti </w:t>
      </w:r>
      <w:r w:rsidRPr="00BF3A46">
        <w:rPr>
          <w:rFonts w:cs="TimesNewRomanPS-BoldMT"/>
          <w:bCs/>
          <w:sz w:val="22"/>
          <w:szCs w:val="22"/>
        </w:rPr>
        <w:t>je potřebné poznamenat, že konkrétní r</w:t>
      </w:r>
      <w:r w:rsidRPr="00BF3A46">
        <w:rPr>
          <w:sz w:val="22"/>
          <w:szCs w:val="22"/>
        </w:rPr>
        <w:t>ozvojové tendence jednotlivých regionů</w:t>
      </w:r>
      <w:r>
        <w:rPr>
          <w:sz w:val="22"/>
          <w:szCs w:val="22"/>
        </w:rPr>
        <w:t>,</w:t>
      </w:r>
      <w:r w:rsidRPr="00BF3A46">
        <w:rPr>
          <w:sz w:val="22"/>
          <w:szCs w:val="22"/>
        </w:rPr>
        <w:t xml:space="preserve"> </w:t>
      </w:r>
      <w:r>
        <w:rPr>
          <w:sz w:val="22"/>
          <w:szCs w:val="22"/>
        </w:rPr>
        <w:t xml:space="preserve">určující, </w:t>
      </w:r>
      <w:r w:rsidRPr="00BF3A46">
        <w:rPr>
          <w:sz w:val="22"/>
          <w:szCs w:val="22"/>
        </w:rPr>
        <w:t>zda daný region získává či naopak ztrácí konkurenční výhody vzhledem k ostatním regionům s  podobným hierarchickým postavením</w:t>
      </w:r>
      <w:r>
        <w:rPr>
          <w:sz w:val="22"/>
          <w:szCs w:val="22"/>
        </w:rPr>
        <w:t>, mohou být výrazně ovlivněny i nahodilými skutečnostmi.</w:t>
      </w:r>
      <w:r w:rsidRPr="00BF3A46">
        <w:rPr>
          <w:sz w:val="22"/>
          <w:szCs w:val="22"/>
        </w:rPr>
        <w:t xml:space="preserve"> </w:t>
      </w:r>
    </w:p>
  </w:footnote>
  <w:footnote w:id="26">
    <w:p w:rsidR="00B40349" w:rsidRPr="00770A0C" w:rsidRDefault="00B40349" w:rsidP="006A2747">
      <w:pPr>
        <w:pStyle w:val="Textpoznpodarou"/>
        <w:jc w:val="both"/>
      </w:pPr>
      <w:r w:rsidRPr="00F350EF">
        <w:rPr>
          <w:rStyle w:val="Znakapoznpodarou"/>
          <w:sz w:val="22"/>
          <w:szCs w:val="22"/>
        </w:rPr>
        <w:footnoteRef/>
      </w:r>
      <w:r w:rsidRPr="00F350EF">
        <w:rPr>
          <w:sz w:val="22"/>
          <w:szCs w:val="22"/>
        </w:rPr>
        <w:t xml:space="preserve"> </w:t>
      </w:r>
      <w:r>
        <w:rPr>
          <w:sz w:val="22"/>
          <w:szCs w:val="22"/>
        </w:rPr>
        <w:t>Z praktického pohledu</w:t>
      </w:r>
      <w:r w:rsidRPr="00F350EF">
        <w:rPr>
          <w:sz w:val="22"/>
          <w:szCs w:val="22"/>
        </w:rPr>
        <w:t xml:space="preserve"> </w:t>
      </w:r>
      <w:r>
        <w:rPr>
          <w:sz w:val="22"/>
          <w:szCs w:val="22"/>
        </w:rPr>
        <w:t>se p</w:t>
      </w:r>
      <w:r w:rsidRPr="00F350EF">
        <w:rPr>
          <w:sz w:val="22"/>
          <w:szCs w:val="22"/>
        </w:rPr>
        <w:t>ro výpoč</w:t>
      </w:r>
      <w:r>
        <w:rPr>
          <w:sz w:val="22"/>
          <w:szCs w:val="22"/>
        </w:rPr>
        <w:t>e</w:t>
      </w:r>
      <w:r w:rsidRPr="00F350EF">
        <w:rPr>
          <w:sz w:val="22"/>
          <w:szCs w:val="22"/>
        </w:rPr>
        <w:t>t</w:t>
      </w:r>
      <w:r>
        <w:rPr>
          <w:sz w:val="22"/>
          <w:szCs w:val="22"/>
        </w:rPr>
        <w:t xml:space="preserve"> </w:t>
      </w:r>
      <w:proofErr w:type="gramStart"/>
      <w:r>
        <w:rPr>
          <w:sz w:val="22"/>
          <w:szCs w:val="22"/>
        </w:rPr>
        <w:t>proměnných</w:t>
      </w:r>
      <w:r w:rsidRPr="007C7A59">
        <w:rPr>
          <w:sz w:val="22"/>
          <w:szCs w:val="22"/>
        </w:rPr>
        <w:t xml:space="preserve"> </w:t>
      </w:r>
      <w:r w:rsidRPr="007C7A59">
        <w:rPr>
          <w:i/>
          <w:sz w:val="22"/>
          <w:szCs w:val="22"/>
        </w:rPr>
        <w:t>p</w:t>
      </w:r>
      <w:r w:rsidRPr="007C7A59">
        <w:rPr>
          <w:sz w:val="22"/>
          <w:szCs w:val="22"/>
        </w:rPr>
        <w:t xml:space="preserve"> a </w:t>
      </w:r>
      <w:r w:rsidRPr="007C7A59">
        <w:rPr>
          <w:i/>
          <w:sz w:val="22"/>
          <w:szCs w:val="22"/>
        </w:rPr>
        <w:t>s</w:t>
      </w:r>
      <w:r>
        <w:rPr>
          <w:i/>
          <w:sz w:val="22"/>
          <w:szCs w:val="22"/>
        </w:rPr>
        <w:t> </w:t>
      </w:r>
      <w:r w:rsidRPr="00146478">
        <w:rPr>
          <w:sz w:val="22"/>
          <w:szCs w:val="22"/>
        </w:rPr>
        <w:t>jeví</w:t>
      </w:r>
      <w:proofErr w:type="gramEnd"/>
      <w:r w:rsidRPr="00146478">
        <w:rPr>
          <w:sz w:val="22"/>
          <w:szCs w:val="22"/>
        </w:rPr>
        <w:t xml:space="preserve"> jako</w:t>
      </w:r>
      <w:r>
        <w:rPr>
          <w:sz w:val="22"/>
          <w:szCs w:val="22"/>
        </w:rPr>
        <w:t xml:space="preserve"> nejvhodnější postup založený na </w:t>
      </w:r>
      <w:r w:rsidRPr="00770A0C">
        <w:rPr>
          <w:sz w:val="22"/>
          <w:szCs w:val="22"/>
        </w:rPr>
        <w:t>inverzní</w:t>
      </w:r>
      <w:r>
        <w:rPr>
          <w:sz w:val="22"/>
          <w:szCs w:val="22"/>
        </w:rPr>
        <w:t>ch</w:t>
      </w:r>
      <w:r w:rsidRPr="00770A0C">
        <w:rPr>
          <w:sz w:val="22"/>
          <w:szCs w:val="22"/>
        </w:rPr>
        <w:t xml:space="preserve"> hodnot</w:t>
      </w:r>
      <w:r>
        <w:rPr>
          <w:sz w:val="22"/>
          <w:szCs w:val="22"/>
        </w:rPr>
        <w:t>ách</w:t>
      </w:r>
      <w:r w:rsidRPr="00770A0C">
        <w:rPr>
          <w:sz w:val="22"/>
          <w:szCs w:val="22"/>
        </w:rPr>
        <w:t xml:space="preserve"> KPP a KSP</w:t>
      </w:r>
      <w:r>
        <w:rPr>
          <w:sz w:val="22"/>
          <w:szCs w:val="22"/>
        </w:rPr>
        <w:t>.</w:t>
      </w:r>
    </w:p>
  </w:footnote>
  <w:footnote w:id="27">
    <w:p w:rsidR="00B40349" w:rsidRPr="002372A8" w:rsidRDefault="00B40349" w:rsidP="006A2747">
      <w:pPr>
        <w:pStyle w:val="Textpoznpodarou"/>
        <w:jc w:val="both"/>
        <w:rPr>
          <w:sz w:val="22"/>
          <w:szCs w:val="22"/>
        </w:rPr>
      </w:pPr>
      <w:r w:rsidRPr="002372A8">
        <w:rPr>
          <w:rStyle w:val="Znakapoznpodarou"/>
          <w:sz w:val="22"/>
          <w:szCs w:val="22"/>
        </w:rPr>
        <w:footnoteRef/>
      </w:r>
      <w:r w:rsidRPr="002372A8">
        <w:rPr>
          <w:sz w:val="22"/>
          <w:szCs w:val="22"/>
        </w:rPr>
        <w:t xml:space="preserve"> </w:t>
      </w:r>
      <w:r w:rsidRPr="002372A8">
        <w:rPr>
          <w:rFonts w:eastAsia="Calibri"/>
          <w:sz w:val="22"/>
          <w:szCs w:val="22"/>
          <w:lang w:eastAsia="en-US"/>
        </w:rPr>
        <w:t>V případě průmyslových odvětví lze jako zdroj dat pro výpočet l</w:t>
      </w:r>
      <w:r>
        <w:rPr>
          <w:rFonts w:eastAsia="Calibri"/>
          <w:sz w:val="22"/>
          <w:szCs w:val="22"/>
          <w:lang w:eastAsia="en-US"/>
        </w:rPr>
        <w:t xml:space="preserve">okalizačního kvocientu využít i </w:t>
      </w:r>
      <w:r w:rsidRPr="002372A8">
        <w:rPr>
          <w:rFonts w:eastAsia="Calibri"/>
          <w:sz w:val="22"/>
          <w:szCs w:val="22"/>
          <w:lang w:eastAsia="en-US"/>
        </w:rPr>
        <w:t xml:space="preserve">Panorama zpracovatelského průmyslu, každoročně publikované Ministerstvem průmyslu a obchodu. </w:t>
      </w:r>
    </w:p>
  </w:footnote>
  <w:footnote w:id="28">
    <w:p w:rsidR="00B40349" w:rsidRPr="002E205E" w:rsidRDefault="00B40349" w:rsidP="006A2747">
      <w:pPr>
        <w:pStyle w:val="Textpoznpodarou"/>
        <w:jc w:val="both"/>
        <w:rPr>
          <w:sz w:val="22"/>
          <w:szCs w:val="22"/>
        </w:rPr>
      </w:pPr>
      <w:r w:rsidRPr="002E205E">
        <w:rPr>
          <w:rStyle w:val="Znakapoznpodarou"/>
          <w:sz w:val="22"/>
          <w:szCs w:val="22"/>
        </w:rPr>
        <w:footnoteRef/>
      </w:r>
      <w:r w:rsidRPr="002E205E">
        <w:rPr>
          <w:sz w:val="22"/>
          <w:szCs w:val="22"/>
        </w:rPr>
        <w:t xml:space="preserve"> Položky financování (institucionál</w:t>
      </w:r>
      <w:r>
        <w:rPr>
          <w:sz w:val="22"/>
          <w:szCs w:val="22"/>
        </w:rPr>
        <w:t xml:space="preserve">ní zdroje, </w:t>
      </w:r>
      <w:r w:rsidRPr="002E205E">
        <w:rPr>
          <w:sz w:val="22"/>
          <w:szCs w:val="22"/>
        </w:rPr>
        <w:t>granty</w:t>
      </w:r>
      <w:r>
        <w:rPr>
          <w:sz w:val="22"/>
          <w:szCs w:val="22"/>
        </w:rPr>
        <w:t xml:space="preserve"> atd.</w:t>
      </w:r>
      <w:r w:rsidRPr="002E205E">
        <w:rPr>
          <w:sz w:val="22"/>
          <w:szCs w:val="22"/>
        </w:rPr>
        <w:t>) jsou považovány za položky financování, nikoli za běžné provozní příjmy</w:t>
      </w:r>
      <w:r>
        <w:rPr>
          <w:sz w:val="22"/>
          <w:szCs w:val="22"/>
        </w:rPr>
        <w:t xml:space="preserve"> a </w:t>
      </w:r>
      <w:r w:rsidRPr="002E205E">
        <w:rPr>
          <w:sz w:val="22"/>
          <w:szCs w:val="22"/>
        </w:rPr>
        <w:t xml:space="preserve">nevstupují </w:t>
      </w:r>
      <w:r>
        <w:rPr>
          <w:sz w:val="22"/>
          <w:szCs w:val="22"/>
        </w:rPr>
        <w:t xml:space="preserve">tak </w:t>
      </w:r>
      <w:r w:rsidRPr="002E205E">
        <w:rPr>
          <w:sz w:val="22"/>
          <w:szCs w:val="22"/>
        </w:rPr>
        <w:t>do výpočtu finanční návratnosti projektu</w:t>
      </w:r>
      <w:r>
        <w:rPr>
          <w:sz w:val="22"/>
          <w:szCs w:val="22"/>
        </w:rPr>
        <w:t>.</w:t>
      </w:r>
      <w:r w:rsidRPr="002E205E">
        <w:rPr>
          <w:sz w:val="22"/>
          <w:szCs w:val="22"/>
        </w:rPr>
        <w:t xml:space="preserve"> </w:t>
      </w:r>
    </w:p>
  </w:footnote>
  <w:footnote w:id="29">
    <w:p w:rsidR="00B40349" w:rsidRPr="000246C9" w:rsidRDefault="00B40349" w:rsidP="003B4FCD">
      <w:pPr>
        <w:autoSpaceDE w:val="0"/>
        <w:autoSpaceDN w:val="0"/>
        <w:adjustRightInd w:val="0"/>
        <w:spacing w:after="0" w:line="240" w:lineRule="auto"/>
        <w:jc w:val="both"/>
      </w:pPr>
      <w:r w:rsidRPr="000246C9">
        <w:rPr>
          <w:rStyle w:val="Znakapoznpodarou"/>
        </w:rPr>
        <w:footnoteRef/>
      </w:r>
      <w:r w:rsidRPr="000246C9">
        <w:t xml:space="preserve"> </w:t>
      </w:r>
      <w:r w:rsidRPr="00E13DBE">
        <w:t>Deregulac</w:t>
      </w:r>
      <w:r>
        <w:t xml:space="preserve">e je všeobecně chápána jako </w:t>
      </w:r>
      <w:r w:rsidRPr="00E13DBE">
        <w:t xml:space="preserve">uvolňování právní regulace </w:t>
      </w:r>
      <w:r>
        <w:t xml:space="preserve">státu </w:t>
      </w:r>
      <w:r w:rsidRPr="00E13DBE">
        <w:t>(zákony, nařízení, vyhlášky</w:t>
      </w:r>
      <w:r>
        <w:t xml:space="preserve"> atd.) a d</w:t>
      </w:r>
      <w:r w:rsidRPr="00E13DBE">
        <w:t xml:space="preserve">ecentralizace </w:t>
      </w:r>
      <w:r>
        <w:t xml:space="preserve">jako </w:t>
      </w:r>
      <w:hyperlink r:id="rId3" w:tooltip="Delegace" w:history="1">
        <w:r w:rsidRPr="00E13DBE">
          <w:t>delegován</w:t>
        </w:r>
      </w:hyperlink>
      <w:r>
        <w:t>í</w:t>
      </w:r>
      <w:r w:rsidRPr="00E13DBE">
        <w:t xml:space="preserve"> </w:t>
      </w:r>
      <w:r>
        <w:t xml:space="preserve">většího množství </w:t>
      </w:r>
      <w:hyperlink r:id="rId4" w:tooltip="Pravomoc" w:history="1">
        <w:r w:rsidRPr="00E13DBE">
          <w:t>pravomocí</w:t>
        </w:r>
      </w:hyperlink>
      <w:r w:rsidRPr="00E13DBE">
        <w:t xml:space="preserve"> z vyšších složek systému na </w:t>
      </w:r>
      <w:r>
        <w:t xml:space="preserve">jeho </w:t>
      </w:r>
      <w:r w:rsidRPr="00E13DBE">
        <w:t xml:space="preserve">nižší složky </w:t>
      </w:r>
      <w:r>
        <w:t>(v</w:t>
      </w:r>
      <w:r w:rsidRPr="00E13DBE">
        <w:rPr>
          <w:rFonts w:eastAsiaTheme="minorEastAsia"/>
          <w:kern w:val="24"/>
        </w:rPr>
        <w:t xml:space="preserve"> decentralizovaném</w:t>
      </w:r>
      <w:r>
        <w:rPr>
          <w:rFonts w:eastAsiaTheme="minorEastAsia"/>
          <w:kern w:val="24"/>
        </w:rPr>
        <w:t xml:space="preserve"> a deregulovaném </w:t>
      </w:r>
      <w:r w:rsidRPr="00E13DBE">
        <w:rPr>
          <w:rFonts w:eastAsiaTheme="minorEastAsia"/>
          <w:kern w:val="24"/>
        </w:rPr>
        <w:t>systému nemohou státní orgány zasahovat do samostatné působnosti jiných nositelů veřejné správy</w:t>
      </w:r>
      <w:r>
        <w:rPr>
          <w:rFonts w:eastAsiaTheme="minorEastAsia"/>
          <w:kern w:val="24"/>
        </w:rPr>
        <w:t>, s</w:t>
      </w:r>
      <w:r w:rsidRPr="00E13DBE">
        <w:rPr>
          <w:rFonts w:eastAsiaTheme="minorEastAsia"/>
          <w:kern w:val="24"/>
        </w:rPr>
        <w:t>tát si</w:t>
      </w:r>
      <w:r>
        <w:rPr>
          <w:rFonts w:eastAsiaTheme="minorEastAsia"/>
          <w:kern w:val="24"/>
        </w:rPr>
        <w:t xml:space="preserve"> však </w:t>
      </w:r>
      <w:r w:rsidRPr="00E13DBE">
        <w:rPr>
          <w:rFonts w:eastAsiaTheme="minorEastAsia"/>
          <w:kern w:val="24"/>
        </w:rPr>
        <w:t>ponechává právo kontroly nad výkonem této působnosti</w:t>
      </w:r>
      <w:r>
        <w:rPr>
          <w:rFonts w:eastAsiaTheme="minorEastAsia"/>
          <w:kern w:val="24"/>
        </w:rPr>
        <w:t xml:space="preserve">, </w:t>
      </w:r>
      <w:r w:rsidRPr="00E13DBE">
        <w:rPr>
          <w:rFonts w:eastAsiaTheme="minorEastAsia"/>
          <w:kern w:val="24"/>
        </w:rPr>
        <w:t xml:space="preserve">zejména </w:t>
      </w:r>
      <w:r>
        <w:rPr>
          <w:rFonts w:eastAsiaTheme="minorEastAsia"/>
          <w:kern w:val="24"/>
        </w:rPr>
        <w:t xml:space="preserve">ve věcech </w:t>
      </w:r>
      <w:r w:rsidRPr="00E13DBE">
        <w:rPr>
          <w:rFonts w:eastAsiaTheme="minorEastAsia"/>
          <w:kern w:val="24"/>
        </w:rPr>
        <w:t>dodržování právního řádu a hospodaření</w:t>
      </w:r>
      <w:r>
        <w:rPr>
          <w:rFonts w:eastAsiaTheme="minorEastAsia"/>
          <w:kern w:val="24"/>
        </w:rPr>
        <w:t>)</w:t>
      </w:r>
      <w:r w:rsidRPr="00E13DBE">
        <w:rPr>
          <w:rFonts w:eastAsiaTheme="minorEastAsia"/>
          <w:kern w:val="24"/>
        </w:rPr>
        <w:t>.</w:t>
      </w:r>
    </w:p>
    <w:p w:rsidR="00B40349" w:rsidRDefault="00B40349" w:rsidP="003E0D09">
      <w:pPr>
        <w:pStyle w:val="Textpoznpodarou"/>
      </w:pPr>
    </w:p>
  </w:footnote>
  <w:footnote w:id="30">
    <w:p w:rsidR="00B40349" w:rsidRPr="00755327" w:rsidRDefault="00B40349" w:rsidP="003E0D09">
      <w:pPr>
        <w:pStyle w:val="Textpoznpodarou"/>
        <w:jc w:val="both"/>
        <w:rPr>
          <w:sz w:val="22"/>
          <w:szCs w:val="22"/>
        </w:rPr>
      </w:pPr>
      <w:r w:rsidRPr="00755327">
        <w:rPr>
          <w:rStyle w:val="Znakapoznpodarou"/>
          <w:sz w:val="22"/>
          <w:szCs w:val="22"/>
        </w:rPr>
        <w:footnoteRef/>
      </w:r>
      <w:r w:rsidRPr="00755327">
        <w:rPr>
          <w:sz w:val="22"/>
          <w:szCs w:val="22"/>
        </w:rPr>
        <w:t xml:space="preserve"> Z dalších </w:t>
      </w:r>
      <w:r>
        <w:rPr>
          <w:sz w:val="22"/>
          <w:szCs w:val="22"/>
        </w:rPr>
        <w:t xml:space="preserve">významnějších správních </w:t>
      </w:r>
      <w:r w:rsidRPr="00755327">
        <w:rPr>
          <w:sz w:val="22"/>
          <w:szCs w:val="22"/>
        </w:rPr>
        <w:t xml:space="preserve">center lze </w:t>
      </w:r>
      <w:r>
        <w:rPr>
          <w:sz w:val="22"/>
          <w:szCs w:val="22"/>
        </w:rPr>
        <w:t>poukázat např. na</w:t>
      </w:r>
      <w:r w:rsidRPr="00755327">
        <w:rPr>
          <w:sz w:val="22"/>
          <w:szCs w:val="22"/>
        </w:rPr>
        <w:t xml:space="preserve"> Olomouc</w:t>
      </w:r>
      <w:r>
        <w:rPr>
          <w:sz w:val="22"/>
          <w:szCs w:val="22"/>
        </w:rPr>
        <w:t xml:space="preserve">, která je sídlem vrchního soudu). </w:t>
      </w:r>
    </w:p>
  </w:footnote>
  <w:footnote w:id="31">
    <w:p w:rsidR="00B40349" w:rsidRPr="000D4425" w:rsidRDefault="00B40349" w:rsidP="003E0D09">
      <w:pPr>
        <w:pStyle w:val="Textpoznpodarou"/>
        <w:jc w:val="both"/>
        <w:rPr>
          <w:sz w:val="22"/>
          <w:szCs w:val="22"/>
        </w:rPr>
      </w:pPr>
      <w:r w:rsidRPr="000D4425">
        <w:rPr>
          <w:rStyle w:val="Znakapoznpodarou"/>
          <w:sz w:val="22"/>
          <w:szCs w:val="22"/>
        </w:rPr>
        <w:footnoteRef/>
      </w:r>
      <w:r>
        <w:rPr>
          <w:sz w:val="22"/>
          <w:szCs w:val="22"/>
        </w:rPr>
        <w:t xml:space="preserve"> V re</w:t>
      </w:r>
      <w:r w:rsidRPr="000D4425">
        <w:rPr>
          <w:sz w:val="22"/>
          <w:szCs w:val="22"/>
        </w:rPr>
        <w:t>gion</w:t>
      </w:r>
      <w:r>
        <w:rPr>
          <w:sz w:val="22"/>
          <w:szCs w:val="22"/>
        </w:rPr>
        <w:t>ech</w:t>
      </w:r>
      <w:r w:rsidRPr="000D4425">
        <w:rPr>
          <w:sz w:val="22"/>
          <w:szCs w:val="22"/>
        </w:rPr>
        <w:t xml:space="preserve"> tzv. třetí Itálie (Tos</w:t>
      </w:r>
      <w:r>
        <w:rPr>
          <w:sz w:val="22"/>
          <w:szCs w:val="22"/>
        </w:rPr>
        <w:t>cana</w:t>
      </w:r>
      <w:r w:rsidRPr="000D4425">
        <w:rPr>
          <w:sz w:val="22"/>
          <w:szCs w:val="22"/>
        </w:rPr>
        <w:t>, Emilia-Romagna a Veneto), které nepatř</w:t>
      </w:r>
      <w:r>
        <w:rPr>
          <w:sz w:val="22"/>
          <w:szCs w:val="22"/>
        </w:rPr>
        <w:t>ily</w:t>
      </w:r>
      <w:r w:rsidRPr="000D4425">
        <w:rPr>
          <w:sz w:val="22"/>
          <w:szCs w:val="22"/>
        </w:rPr>
        <w:t xml:space="preserve"> mezi tradiční průmyslové regiony, došlo po druhé světové válce k rychlému hospodářskému rozvoji. Tento rozvoj je přičítán </w:t>
      </w:r>
      <w:r>
        <w:rPr>
          <w:sz w:val="22"/>
          <w:szCs w:val="22"/>
        </w:rPr>
        <w:t xml:space="preserve">zejména </w:t>
      </w:r>
      <w:r w:rsidRPr="000D4425">
        <w:rPr>
          <w:sz w:val="22"/>
          <w:szCs w:val="22"/>
        </w:rPr>
        <w:t>spolupráci místních malých a středních firem, pospolitosti místních komunit, neformálním vztahům, vzájemné důvěře</w:t>
      </w:r>
      <w:r>
        <w:rPr>
          <w:sz w:val="22"/>
          <w:szCs w:val="22"/>
        </w:rPr>
        <w:t xml:space="preserve"> a</w:t>
      </w:r>
      <w:r w:rsidRPr="000D4425">
        <w:rPr>
          <w:sz w:val="22"/>
          <w:szCs w:val="22"/>
        </w:rPr>
        <w:t xml:space="preserve"> kolektivnímu učení.</w:t>
      </w:r>
    </w:p>
  </w:footnote>
  <w:footnote w:id="32">
    <w:p w:rsidR="00B40349" w:rsidRPr="000D4425" w:rsidRDefault="00B40349" w:rsidP="003B4FCD">
      <w:pPr>
        <w:pStyle w:val="Textpoznpodarou"/>
        <w:jc w:val="both"/>
        <w:rPr>
          <w:sz w:val="22"/>
          <w:szCs w:val="22"/>
        </w:rPr>
      </w:pPr>
      <w:r w:rsidRPr="000D4425">
        <w:rPr>
          <w:rStyle w:val="Znakapoznpodarou"/>
          <w:sz w:val="22"/>
          <w:szCs w:val="22"/>
        </w:rPr>
        <w:footnoteRef/>
      </w:r>
      <w:r w:rsidRPr="000D4425">
        <w:rPr>
          <w:sz w:val="22"/>
          <w:szCs w:val="22"/>
        </w:rPr>
        <w:t xml:space="preserve"> Lock-in znamená uzamčení regionu v určité fázi rozvoje</w:t>
      </w:r>
      <w:r>
        <w:rPr>
          <w:sz w:val="22"/>
          <w:szCs w:val="22"/>
        </w:rPr>
        <w:t xml:space="preserve"> spojené se </w:t>
      </w:r>
      <w:r w:rsidRPr="000D4425">
        <w:rPr>
          <w:sz w:val="22"/>
          <w:szCs w:val="22"/>
        </w:rPr>
        <w:t>snížení</w:t>
      </w:r>
      <w:r>
        <w:rPr>
          <w:sz w:val="22"/>
          <w:szCs w:val="22"/>
        </w:rPr>
        <w:t>m</w:t>
      </w:r>
      <w:r w:rsidRPr="000D4425">
        <w:rPr>
          <w:sz w:val="22"/>
          <w:szCs w:val="22"/>
        </w:rPr>
        <w:t xml:space="preserve"> konkurenceschopnosti </w:t>
      </w:r>
      <w:r>
        <w:rPr>
          <w:sz w:val="22"/>
          <w:szCs w:val="22"/>
        </w:rPr>
        <w:t>(firmy</w:t>
      </w:r>
      <w:r w:rsidRPr="000D4425">
        <w:rPr>
          <w:sz w:val="22"/>
          <w:szCs w:val="22"/>
        </w:rPr>
        <w:t xml:space="preserve"> nezaregistrovaly důležitou inovaci a nejsou schopny se adaptovat na proběhlé změny</w:t>
      </w:r>
      <w:r>
        <w:rPr>
          <w:sz w:val="22"/>
          <w:szCs w:val="22"/>
        </w:rPr>
        <w:t>)</w:t>
      </w:r>
      <w:r w:rsidRPr="000D4425">
        <w:rPr>
          <w:sz w:val="22"/>
          <w:szCs w:val="22"/>
        </w:rPr>
        <w:t>.</w:t>
      </w:r>
    </w:p>
  </w:footnote>
  <w:footnote w:id="33">
    <w:p w:rsidR="00B40349" w:rsidRPr="000D4425" w:rsidRDefault="00B40349" w:rsidP="003B4FCD">
      <w:pPr>
        <w:spacing w:after="0" w:line="240" w:lineRule="auto"/>
        <w:jc w:val="both"/>
      </w:pPr>
      <w:r w:rsidRPr="000D4425">
        <w:rPr>
          <w:rStyle w:val="Znakapoznpodarou"/>
        </w:rPr>
        <w:footnoteRef/>
      </w:r>
      <w:r w:rsidRPr="000D4425">
        <w:t xml:space="preserve">  Model STI (Science, Technology and Innovation, též lineární model inovačního procesu) je takový způsob vzniku inovace, kdy jednotlivé fáze na sebe navazují v chronologickém sledu. Naproti tomu model DUI (Doing, Using and Interacting, též nelineární či interaktivní model inovačního procesu) předpokládá, že inovace jsou výsledkem interaktivního procesu m</w:t>
      </w:r>
      <w:r>
        <w:t>ezi aktéry inovačního systému a </w:t>
      </w:r>
      <w:r w:rsidRPr="000D4425">
        <w:t>jednotlivé fáze inovačního procesu nemusí probíhat v</w:t>
      </w:r>
      <w:r>
        <w:t xml:space="preserve">e výše </w:t>
      </w:r>
      <w:r w:rsidRPr="000D4425">
        <w:t xml:space="preserve">uvedeném pořadí (Jensen a kol., 2007). </w:t>
      </w:r>
    </w:p>
  </w:footnote>
  <w:footnote w:id="34">
    <w:p w:rsidR="00B40349" w:rsidRDefault="00B40349" w:rsidP="003B4FCD">
      <w:pPr>
        <w:pStyle w:val="Textpoznpodarou"/>
        <w:jc w:val="both"/>
      </w:pPr>
      <w:r w:rsidRPr="000D4425">
        <w:rPr>
          <w:rStyle w:val="Znakapoznpodarou"/>
          <w:sz w:val="22"/>
          <w:szCs w:val="22"/>
        </w:rPr>
        <w:footnoteRef/>
      </w:r>
      <w:r w:rsidRPr="000D4425">
        <w:rPr>
          <w:sz w:val="22"/>
          <w:szCs w:val="22"/>
        </w:rPr>
        <w:t xml:space="preserve"> Kodifikované (vyslovitelné) znalosti </w:t>
      </w:r>
      <w:r>
        <w:rPr>
          <w:sz w:val="22"/>
          <w:szCs w:val="22"/>
        </w:rPr>
        <w:t>lze</w:t>
      </w:r>
      <w:r w:rsidRPr="000D4425">
        <w:rPr>
          <w:sz w:val="22"/>
          <w:szCs w:val="22"/>
        </w:rPr>
        <w:t xml:space="preserve"> standardizovat a naučit se pomocí </w:t>
      </w:r>
      <w:r>
        <w:rPr>
          <w:sz w:val="22"/>
          <w:szCs w:val="22"/>
        </w:rPr>
        <w:t>nástroje</w:t>
      </w:r>
      <w:r w:rsidRPr="000D4425">
        <w:rPr>
          <w:sz w:val="22"/>
          <w:szCs w:val="22"/>
        </w:rPr>
        <w:t xml:space="preserve"> (učebnice, manuál apod.). Nekodifikované (tacitní) znalosti jsou nepřenosné</w:t>
      </w:r>
      <w:r>
        <w:rPr>
          <w:sz w:val="22"/>
          <w:szCs w:val="22"/>
        </w:rPr>
        <w:t xml:space="preserve"> a</w:t>
      </w:r>
      <w:r w:rsidRPr="000D4425">
        <w:rPr>
          <w:sz w:val="22"/>
          <w:szCs w:val="22"/>
        </w:rPr>
        <w:t xml:space="preserve"> je </w:t>
      </w:r>
      <w:r>
        <w:rPr>
          <w:sz w:val="22"/>
          <w:szCs w:val="22"/>
        </w:rPr>
        <w:t xml:space="preserve">možné je </w:t>
      </w:r>
      <w:r w:rsidRPr="000D4425">
        <w:rPr>
          <w:sz w:val="22"/>
          <w:szCs w:val="22"/>
        </w:rPr>
        <w:t xml:space="preserve">získat pouze vlastní zkušeností </w:t>
      </w:r>
      <w:r>
        <w:rPr>
          <w:sz w:val="22"/>
          <w:szCs w:val="22"/>
        </w:rPr>
        <w:t xml:space="preserve">– </w:t>
      </w:r>
      <w:r w:rsidRPr="000D4425">
        <w:rPr>
          <w:sz w:val="22"/>
          <w:szCs w:val="22"/>
        </w:rPr>
        <w:t>jsou považovány za zdroj konkurenční výhody, neboť jsou specifické pro dané území.</w:t>
      </w:r>
    </w:p>
  </w:footnote>
  <w:footnote w:id="35">
    <w:p w:rsidR="00B40349" w:rsidRPr="00EC790C" w:rsidRDefault="00B40349" w:rsidP="002C38F8">
      <w:pPr>
        <w:pStyle w:val="Textpoznpodarou"/>
        <w:rPr>
          <w:sz w:val="22"/>
          <w:szCs w:val="22"/>
        </w:rPr>
      </w:pPr>
      <w:r w:rsidRPr="00EC790C">
        <w:rPr>
          <w:rStyle w:val="Znakapoznpodarou"/>
          <w:sz w:val="22"/>
          <w:szCs w:val="22"/>
        </w:rPr>
        <w:footnoteRef/>
      </w:r>
      <w:r w:rsidRPr="00EC790C">
        <w:rPr>
          <w:sz w:val="22"/>
          <w:szCs w:val="22"/>
        </w:rPr>
        <w:t xml:space="preserve"> Z důvodu nedostupnosti dat nejsou hodnoceny lokality v Severním Irsku.</w:t>
      </w:r>
    </w:p>
  </w:footnote>
  <w:footnote w:id="36">
    <w:p w:rsidR="00B40349" w:rsidRPr="00EC790C" w:rsidRDefault="00B40349" w:rsidP="002C38F8">
      <w:pPr>
        <w:pStyle w:val="Textpoznpodarou"/>
        <w:rPr>
          <w:rFonts w:ascii="Calibri" w:hAnsi="Calibri"/>
          <w:sz w:val="22"/>
          <w:szCs w:val="22"/>
        </w:rPr>
      </w:pPr>
      <w:r w:rsidRPr="00EC790C">
        <w:rPr>
          <w:rStyle w:val="Znakapoznpodarou"/>
          <w:sz w:val="22"/>
          <w:szCs w:val="22"/>
        </w:rPr>
        <w:footnoteRef/>
      </w:r>
      <w:r w:rsidRPr="00EC790C">
        <w:rPr>
          <w:sz w:val="22"/>
          <w:szCs w:val="22"/>
        </w:rPr>
        <w:t xml:space="preserve"> Nebyl zahrnut Londýn, </w:t>
      </w:r>
      <w:r>
        <w:rPr>
          <w:sz w:val="22"/>
          <w:szCs w:val="22"/>
        </w:rPr>
        <w:t xml:space="preserve">který </w:t>
      </w:r>
      <w:r w:rsidRPr="00EC790C">
        <w:rPr>
          <w:sz w:val="22"/>
          <w:szCs w:val="22"/>
        </w:rPr>
        <w:t>je hodnocen za své samosprávné městské obvody.</w:t>
      </w:r>
    </w:p>
  </w:footnote>
  <w:footnote w:id="37">
    <w:p w:rsidR="00B40349" w:rsidRPr="007E4D79" w:rsidRDefault="00B40349" w:rsidP="003B4FCD">
      <w:pPr>
        <w:keepNext/>
        <w:widowControl w:val="0"/>
        <w:spacing w:after="0" w:line="240" w:lineRule="auto"/>
        <w:jc w:val="both"/>
      </w:pPr>
      <w:r w:rsidRPr="007E4D79">
        <w:rPr>
          <w:rStyle w:val="Znakapoznpodarou"/>
        </w:rPr>
        <w:footnoteRef/>
      </w:r>
      <w:r w:rsidRPr="007E4D79">
        <w:t xml:space="preserve"> </w:t>
      </w:r>
      <w:r>
        <w:t>Případné h</w:t>
      </w:r>
      <w:r w:rsidRPr="007E4D79">
        <w:t xml:space="preserve">odnocení </w:t>
      </w:r>
      <w:r>
        <w:t xml:space="preserve">technického </w:t>
      </w:r>
      <w:r w:rsidRPr="007E4D79">
        <w:t>stavu vozovek</w:t>
      </w:r>
      <w:r>
        <w:t xml:space="preserve"> vychází z </w:t>
      </w:r>
      <w:r w:rsidRPr="007E4D79">
        <w:t>metodi</w:t>
      </w:r>
      <w:r>
        <w:t>ky</w:t>
      </w:r>
      <w:r w:rsidRPr="007E4D79">
        <w:t xml:space="preserve"> Ministerstva dopravy s kategoriemi </w:t>
      </w:r>
      <w:r>
        <w:t xml:space="preserve">1 – </w:t>
      </w:r>
      <w:r w:rsidRPr="007E4D79">
        <w:t xml:space="preserve">výborný, </w:t>
      </w:r>
      <w:r>
        <w:t xml:space="preserve">2 – </w:t>
      </w:r>
      <w:r w:rsidRPr="007E4D79">
        <w:t xml:space="preserve">dobrý, </w:t>
      </w:r>
      <w:r>
        <w:t xml:space="preserve">3 – </w:t>
      </w:r>
      <w:r w:rsidRPr="007E4D79">
        <w:t xml:space="preserve">vyhovující, </w:t>
      </w:r>
      <w:r>
        <w:t xml:space="preserve">4 – </w:t>
      </w:r>
      <w:r w:rsidRPr="007E4D79">
        <w:t xml:space="preserve">nevyhovující a </w:t>
      </w:r>
      <w:r>
        <w:t xml:space="preserve">5 – </w:t>
      </w:r>
      <w:r w:rsidRPr="007E4D79">
        <w:t xml:space="preserve">havarijní stav. Vztah mezi </w:t>
      </w:r>
      <w:r w:rsidRPr="00F47854">
        <w:t>rychlostí (zpomalením) D</w:t>
      </w:r>
      <w:r w:rsidRPr="00F47854">
        <w:rPr>
          <w:vertAlign w:val="subscript"/>
        </w:rPr>
        <w:t>t</w:t>
      </w:r>
      <w:r w:rsidRPr="00F47854">
        <w:t xml:space="preserve"> a stavem vozovek Q</w:t>
      </w:r>
      <w:r w:rsidRPr="00F47854">
        <w:rPr>
          <w:vertAlign w:val="subscript"/>
        </w:rPr>
        <w:t>s</w:t>
      </w:r>
      <w:r w:rsidRPr="00F47854">
        <w:t xml:space="preserve"> má pak podle našich analýz exponenciální charakter:</w:t>
      </w:r>
      <m:oMath>
        <m:sSub>
          <m:sSubPr>
            <m:ctrlPr>
              <w:rPr>
                <w:rFonts w:ascii="Cambria Math" w:hAnsi="Cambria Math"/>
                <w:vertAlign w:val="subscript"/>
              </w:rPr>
            </m:ctrlPr>
          </m:sSubPr>
          <m:e>
            <m:r>
              <m:rPr>
                <m:sty m:val="p"/>
              </m:rPr>
              <w:rPr>
                <w:rFonts w:ascii="Cambria Math" w:hAnsi="Cambria Math"/>
                <w:vertAlign w:val="subscript"/>
              </w:rPr>
              <m:t xml:space="preserve"> D</m:t>
            </m:r>
          </m:e>
          <m:sub>
            <m:r>
              <m:rPr>
                <m:sty m:val="p"/>
              </m:rPr>
              <w:rPr>
                <w:rFonts w:ascii="Cambria Math" w:hAnsi="Cambria Math"/>
                <w:vertAlign w:val="subscript"/>
              </w:rPr>
              <m:t>t</m:t>
            </m:r>
          </m:sub>
        </m:sSub>
        <m:r>
          <m:rPr>
            <m:sty m:val="p"/>
          </m:rPr>
          <w:rPr>
            <w:rFonts w:ascii="Cambria Math" w:eastAsia="Cambria Math" w:hAnsi="Cambria Math"/>
            <w:vertAlign w:val="subscript"/>
          </w:rPr>
          <m:t>=f(</m:t>
        </m:r>
        <m:sSub>
          <m:sSubPr>
            <m:ctrlPr>
              <w:rPr>
                <w:rFonts w:ascii="Cambria Math" w:eastAsia="Cambria Math" w:hAnsi="Cambria Math"/>
                <w:vertAlign w:val="subscript"/>
              </w:rPr>
            </m:ctrlPr>
          </m:sSubPr>
          <m:e>
            <m:r>
              <m:rPr>
                <m:sty m:val="p"/>
              </m:rPr>
              <w:rPr>
                <w:rFonts w:ascii="Cambria Math" w:eastAsia="Cambria Math" w:hAnsi="Cambria Math"/>
                <w:vertAlign w:val="subscript"/>
              </w:rPr>
              <m:t>Q</m:t>
            </m:r>
          </m:e>
          <m:sub>
            <m:r>
              <m:rPr>
                <m:sty m:val="p"/>
              </m:rPr>
              <w:rPr>
                <w:rFonts w:ascii="Cambria Math" w:eastAsia="Cambria Math" w:hAnsi="Cambria Math"/>
                <w:vertAlign w:val="subscript"/>
              </w:rPr>
              <m:t>s)</m:t>
            </m:r>
          </m:sub>
        </m:sSub>
        <m:r>
          <m:rPr>
            <m:sty m:val="p"/>
          </m:rPr>
          <w:rPr>
            <w:rFonts w:ascii="Cambria Math" w:eastAsia="Cambria Math" w:hAnsi="Cambria Math"/>
            <w:vertAlign w:val="subscript"/>
          </w:rPr>
          <m:t>=1-1/100 (</m:t>
        </m:r>
        <m:sSup>
          <m:sSupPr>
            <m:ctrlPr>
              <w:rPr>
                <w:rFonts w:ascii="Cambria Math" w:eastAsia="Cambria Math" w:hAnsi="Cambria Math"/>
                <w:vertAlign w:val="subscript"/>
              </w:rPr>
            </m:ctrlPr>
          </m:sSupPr>
          <m:e>
            <m:r>
              <m:rPr>
                <m:sty m:val="p"/>
              </m:rPr>
              <w:rPr>
                <w:rFonts w:ascii="Cambria Math" w:eastAsia="Cambria Math" w:hAnsi="Cambria Math"/>
                <w:vertAlign w:val="subscript"/>
              </w:rPr>
              <m:t xml:space="preserve"> 2,66</m:t>
            </m:r>
          </m:e>
          <m:sup>
            <m:sSub>
              <m:sSubPr>
                <m:ctrlPr>
                  <w:rPr>
                    <w:rFonts w:ascii="Cambria Math" w:eastAsia="Cambria Math" w:hAnsi="Cambria Math"/>
                    <w:vertAlign w:val="subscript"/>
                  </w:rPr>
                </m:ctrlPr>
              </m:sSubPr>
              <m:e>
                <m:r>
                  <m:rPr>
                    <m:sty m:val="p"/>
                  </m:rPr>
                  <w:rPr>
                    <w:rFonts w:ascii="Cambria Math" w:eastAsia="Cambria Math" w:hAnsi="Cambria Math"/>
                    <w:vertAlign w:val="subscript"/>
                  </w:rPr>
                  <m:t>Q</m:t>
                </m:r>
              </m:e>
              <m:sub>
                <m:r>
                  <m:rPr>
                    <m:sty m:val="p"/>
                  </m:rPr>
                  <w:rPr>
                    <w:rFonts w:ascii="Cambria Math" w:eastAsia="Cambria Math" w:hAnsi="Cambria Math"/>
                    <w:vertAlign w:val="subscript"/>
                  </w:rPr>
                  <m:t>s</m:t>
                </m:r>
              </m:sub>
            </m:sSub>
            <m:r>
              <m:rPr>
                <m:sty m:val="p"/>
              </m:rPr>
              <w:rPr>
                <w:rFonts w:ascii="Cambria Math" w:eastAsia="Cambria Math" w:hAnsi="Cambria Math"/>
                <w:vertAlign w:val="subscript"/>
              </w:rPr>
              <m:t>-1</m:t>
            </m:r>
          </m:sup>
        </m:sSup>
        <m:r>
          <m:rPr>
            <m:sty m:val="p"/>
          </m:rPr>
          <w:rPr>
            <w:rFonts w:ascii="Cambria Math" w:eastAsia="Cambria Math" w:hAnsi="Cambria Math"/>
            <w:vertAlign w:val="subscript"/>
          </w:rPr>
          <m:t>)</m:t>
        </m:r>
      </m:oMath>
      <w:r w:rsidRPr="00F47854">
        <w:rPr>
          <w:vertAlign w:val="subscript"/>
        </w:rPr>
        <w:t>,</w:t>
      </w:r>
      <w:r w:rsidRPr="007E4D79">
        <w:rPr>
          <w:i/>
          <w:vertAlign w:val="subscript"/>
        </w:rPr>
        <w:t xml:space="preserve"> </w:t>
      </w:r>
    </w:p>
  </w:footnote>
  <w:footnote w:id="38">
    <w:p w:rsidR="00B40349" w:rsidRDefault="00B40349" w:rsidP="008C58B3">
      <w:pPr>
        <w:pStyle w:val="Textpoznpodarou"/>
      </w:pPr>
      <w:r>
        <w:rPr>
          <w:rStyle w:val="Znakapoznpodarou"/>
        </w:rPr>
        <w:footnoteRef/>
      </w:r>
      <w:r>
        <w:t xml:space="preserve"> Coudenhove-Kalergi, </w:t>
      </w:r>
      <w:proofErr w:type="gramStart"/>
      <w:r>
        <w:t>R.N.</w:t>
      </w:r>
      <w:proofErr w:type="gramEnd"/>
      <w:r>
        <w:t xml:space="preserve">: Pan-Evropa. Panevropa Praha, Praha, 1993. (s. 16). </w:t>
      </w:r>
    </w:p>
  </w:footnote>
  <w:footnote w:id="39">
    <w:p w:rsidR="00B40349" w:rsidRPr="0019144B" w:rsidRDefault="00B40349" w:rsidP="008146BD">
      <w:pPr>
        <w:pStyle w:val="Textpoznpodarou"/>
        <w:jc w:val="both"/>
        <w:rPr>
          <w:sz w:val="22"/>
          <w:szCs w:val="22"/>
        </w:rPr>
      </w:pPr>
      <w:r w:rsidRPr="0019144B">
        <w:rPr>
          <w:rStyle w:val="Znakapoznpodarou"/>
          <w:sz w:val="22"/>
          <w:szCs w:val="22"/>
        </w:rPr>
        <w:footnoteRef/>
      </w:r>
      <w:r w:rsidRPr="0019144B">
        <w:rPr>
          <w:sz w:val="22"/>
          <w:szCs w:val="22"/>
        </w:rPr>
        <w:t xml:space="preserve"> K tomu je účelné poznamenat, že ukončení demografické revoluce pochopitelně není ukončením demografické historie populací (Pavlík a kol., 1999).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240F626"/>
    <w:lvl w:ilvl="0">
      <w:start w:val="1"/>
      <w:numFmt w:val="bullet"/>
      <w:pStyle w:val="Seznamsodrkami2"/>
      <w:lvlText w:val=""/>
      <w:lvlJc w:val="left"/>
      <w:pPr>
        <w:tabs>
          <w:tab w:val="num" w:pos="643"/>
        </w:tabs>
        <w:ind w:left="643" w:hanging="360"/>
      </w:pPr>
      <w:rPr>
        <w:rFonts w:ascii="Symbol" w:hAnsi="Symbol" w:hint="default"/>
      </w:rPr>
    </w:lvl>
  </w:abstractNum>
  <w:abstractNum w:abstractNumId="1">
    <w:nsid w:val="01D60B96"/>
    <w:multiLevelType w:val="hybridMultilevel"/>
    <w:tmpl w:val="4538F802"/>
    <w:lvl w:ilvl="0" w:tplc="04050017">
      <w:start w:val="1"/>
      <w:numFmt w:val="lowerLetter"/>
      <w:lvlText w:val="%1)"/>
      <w:lvlJc w:val="left"/>
      <w:pPr>
        <w:ind w:left="720" w:hanging="360"/>
      </w:pPr>
      <w:rPr>
        <w:rFonts w:cs="Times New Roman"/>
      </w:rPr>
    </w:lvl>
    <w:lvl w:ilvl="1" w:tplc="47FA8F06">
      <w:numFmt w:val="bullet"/>
      <w:lvlText w:val="-"/>
      <w:lvlJc w:val="left"/>
      <w:pPr>
        <w:ind w:left="1440" w:hanging="360"/>
      </w:pPr>
      <w:rPr>
        <w:rFonts w:ascii="Calibri" w:eastAsia="Times New Roman" w:hAnsi="Calibri" w:hint="default"/>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
    <w:nsid w:val="03F44F83"/>
    <w:multiLevelType w:val="hybridMultilevel"/>
    <w:tmpl w:val="FF9E1E62"/>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nsid w:val="09A416FD"/>
    <w:multiLevelType w:val="hybridMultilevel"/>
    <w:tmpl w:val="88EEAFB6"/>
    <w:lvl w:ilvl="0" w:tplc="BA9206E0">
      <w:start w:val="2"/>
      <w:numFmt w:val="bullet"/>
      <w:lvlText w:val="-"/>
      <w:lvlJc w:val="left"/>
      <w:pPr>
        <w:ind w:left="720" w:hanging="360"/>
      </w:pPr>
      <w:rPr>
        <w:rFonts w:ascii="Times New Roman" w:eastAsia="Calibri" w:hAnsi="Times New Roman" w:cs="Times New Roman" w:hint="default"/>
        <w:b w:val="0"/>
        <w:i w:val="0"/>
        <w:color w:val="auto"/>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253B64"/>
    <w:multiLevelType w:val="hybridMultilevel"/>
    <w:tmpl w:val="C62AF6A2"/>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254501D"/>
    <w:multiLevelType w:val="hybridMultilevel"/>
    <w:tmpl w:val="65865276"/>
    <w:lvl w:ilvl="0" w:tplc="E2E63B5A">
      <w:start w:val="1"/>
      <w:numFmt w:val="decimal"/>
      <w:lvlText w:val="[%1] "/>
      <w:lvlJc w:val="left"/>
      <w:pPr>
        <w:ind w:left="720" w:hanging="360"/>
      </w:pPr>
      <w:rPr>
        <w:rFonts w:cs="Times New Roman"/>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nsid w:val="14884EB0"/>
    <w:multiLevelType w:val="hybridMultilevel"/>
    <w:tmpl w:val="D8F4ADFC"/>
    <w:lvl w:ilvl="0" w:tplc="B82AD850">
      <w:start w:val="1"/>
      <w:numFmt w:val="bullet"/>
      <w:lvlText w:val="-"/>
      <w:lvlJc w:val="left"/>
      <w:pPr>
        <w:ind w:left="360" w:hanging="360"/>
      </w:pPr>
      <w:rPr>
        <w:rFonts w:ascii="Tahoma" w:hAnsi="Tahoma"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nsid w:val="181E779B"/>
    <w:multiLevelType w:val="hybridMultilevel"/>
    <w:tmpl w:val="85E8B43A"/>
    <w:lvl w:ilvl="0" w:tplc="C178D130">
      <w:numFmt w:val="bullet"/>
      <w:lvlText w:val="-"/>
      <w:lvlJc w:val="left"/>
      <w:pPr>
        <w:ind w:left="720" w:hanging="360"/>
      </w:pPr>
      <w:rPr>
        <w:rFonts w:ascii="Times New Roman" w:eastAsia="SimSu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nsid w:val="18EE1212"/>
    <w:multiLevelType w:val="hybridMultilevel"/>
    <w:tmpl w:val="16C4DD7C"/>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nsid w:val="1A5B56A9"/>
    <w:multiLevelType w:val="hybridMultilevel"/>
    <w:tmpl w:val="8E5A7D88"/>
    <w:lvl w:ilvl="0" w:tplc="05B65FA2">
      <w:start w:val="1"/>
      <w:numFmt w:val="decimal"/>
      <w:pStyle w:val="000Sbornk2013-odrky"/>
      <w:lvlText w:val="[%1]"/>
      <w:lvlJc w:val="left"/>
      <w:pPr>
        <w:ind w:left="928" w:hanging="360"/>
      </w:pPr>
      <w:rPr>
        <w:rFonts w:cs="Times New Roman"/>
        <w:b w:val="0"/>
        <w:bCs w:val="0"/>
        <w:i w:val="0"/>
        <w:iCs w:val="0"/>
        <w:caps w:val="0"/>
        <w:smallCaps w:val="0"/>
        <w:strike w:val="0"/>
        <w:dstrike w:val="0"/>
        <w:vanish w:val="0"/>
        <w:webHidden w:val="0"/>
        <w:spacing w:val="0"/>
        <w:kern w:val="0"/>
        <w:position w:val="0"/>
        <w:u w:val="none"/>
        <w:effect w:val="none"/>
        <w:vertAlign w:val="baseline"/>
        <w:specVanish w:val="0"/>
      </w:rPr>
    </w:lvl>
    <w:lvl w:ilvl="1" w:tplc="04684FFE">
      <w:start w:val="1"/>
      <w:numFmt w:val="lowerLetter"/>
      <w:lvlText w:val="%2."/>
      <w:lvlJc w:val="left"/>
      <w:pPr>
        <w:ind w:left="1648" w:hanging="360"/>
      </w:pPr>
      <w:rPr>
        <w:rFonts w:cs="Times New Roman"/>
      </w:rPr>
    </w:lvl>
    <w:lvl w:ilvl="2" w:tplc="2A4C1602">
      <w:start w:val="1"/>
      <w:numFmt w:val="lowerRoman"/>
      <w:lvlText w:val="%3."/>
      <w:lvlJc w:val="right"/>
      <w:pPr>
        <w:ind w:left="2368" w:hanging="180"/>
      </w:pPr>
      <w:rPr>
        <w:rFonts w:cs="Times New Roman"/>
      </w:rPr>
    </w:lvl>
    <w:lvl w:ilvl="3" w:tplc="D3F4B9C0">
      <w:start w:val="1"/>
      <w:numFmt w:val="decimal"/>
      <w:lvlText w:val="%4."/>
      <w:lvlJc w:val="left"/>
      <w:pPr>
        <w:ind w:left="3088" w:hanging="360"/>
      </w:pPr>
      <w:rPr>
        <w:rFonts w:cs="Times New Roman"/>
      </w:rPr>
    </w:lvl>
    <w:lvl w:ilvl="4" w:tplc="82626838">
      <w:start w:val="1"/>
      <w:numFmt w:val="lowerLetter"/>
      <w:lvlText w:val="%5."/>
      <w:lvlJc w:val="left"/>
      <w:pPr>
        <w:ind w:left="3808" w:hanging="360"/>
      </w:pPr>
      <w:rPr>
        <w:rFonts w:cs="Times New Roman"/>
      </w:rPr>
    </w:lvl>
    <w:lvl w:ilvl="5" w:tplc="AEBAB1F4">
      <w:start w:val="1"/>
      <w:numFmt w:val="lowerRoman"/>
      <w:lvlText w:val="%6."/>
      <w:lvlJc w:val="right"/>
      <w:pPr>
        <w:ind w:left="4528" w:hanging="180"/>
      </w:pPr>
      <w:rPr>
        <w:rFonts w:cs="Times New Roman"/>
      </w:rPr>
    </w:lvl>
    <w:lvl w:ilvl="6" w:tplc="5C22110A">
      <w:start w:val="1"/>
      <w:numFmt w:val="decimal"/>
      <w:lvlText w:val="%7."/>
      <w:lvlJc w:val="left"/>
      <w:pPr>
        <w:ind w:left="5248" w:hanging="360"/>
      </w:pPr>
      <w:rPr>
        <w:rFonts w:cs="Times New Roman"/>
      </w:rPr>
    </w:lvl>
    <w:lvl w:ilvl="7" w:tplc="102E3840">
      <w:start w:val="1"/>
      <w:numFmt w:val="lowerLetter"/>
      <w:lvlText w:val="%8."/>
      <w:lvlJc w:val="left"/>
      <w:pPr>
        <w:ind w:left="5968" w:hanging="360"/>
      </w:pPr>
      <w:rPr>
        <w:rFonts w:cs="Times New Roman"/>
      </w:rPr>
    </w:lvl>
    <w:lvl w:ilvl="8" w:tplc="4C2CBA8E">
      <w:start w:val="1"/>
      <w:numFmt w:val="lowerRoman"/>
      <w:lvlText w:val="%9."/>
      <w:lvlJc w:val="right"/>
      <w:pPr>
        <w:ind w:left="6688" w:hanging="180"/>
      </w:pPr>
      <w:rPr>
        <w:rFonts w:cs="Times New Roman"/>
      </w:rPr>
    </w:lvl>
  </w:abstractNum>
  <w:abstractNum w:abstractNumId="10">
    <w:nsid w:val="1C9956FD"/>
    <w:multiLevelType w:val="hybridMultilevel"/>
    <w:tmpl w:val="08F29544"/>
    <w:lvl w:ilvl="0" w:tplc="BA9206E0">
      <w:start w:val="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210F753F"/>
    <w:multiLevelType w:val="hybridMultilevel"/>
    <w:tmpl w:val="66228476"/>
    <w:lvl w:ilvl="0" w:tplc="318AEE7A">
      <w:numFmt w:val="bullet"/>
      <w:pStyle w:val="06-vet-bez-sel"/>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47266CE"/>
    <w:multiLevelType w:val="hybridMultilevel"/>
    <w:tmpl w:val="78C0E384"/>
    <w:lvl w:ilvl="0" w:tplc="8E5A9AC8">
      <w:start w:val="3"/>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nsid w:val="25B96543"/>
    <w:multiLevelType w:val="hybridMultilevel"/>
    <w:tmpl w:val="1CA41A64"/>
    <w:lvl w:ilvl="0" w:tplc="C32E7530">
      <w:start w:val="3"/>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nsid w:val="29CA69BE"/>
    <w:multiLevelType w:val="hybridMultilevel"/>
    <w:tmpl w:val="FCB0AE62"/>
    <w:lvl w:ilvl="0" w:tplc="9ADC5FC8">
      <w:start w:val="4"/>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nsid w:val="2A083B84"/>
    <w:multiLevelType w:val="hybridMultilevel"/>
    <w:tmpl w:val="7E24CE2A"/>
    <w:lvl w:ilvl="0" w:tplc="DEB8B688">
      <w:start w:val="1"/>
      <w:numFmt w:val="decimal"/>
      <w:pStyle w:val="05-vet-s-slovnm"/>
      <w:lvlText w:val="%1)"/>
      <w:lvlJc w:val="left"/>
      <w:pPr>
        <w:ind w:left="1288" w:hanging="360"/>
      </w:pPr>
      <w:rPr>
        <w:rFonts w:ascii="Times New Roman" w:eastAsia="Times New Roman" w:hAnsi="Times New Roman" w:cs="Times New Roman"/>
      </w:rPr>
    </w:lvl>
    <w:lvl w:ilvl="1" w:tplc="04050019">
      <w:start w:val="1"/>
      <w:numFmt w:val="lowerLetter"/>
      <w:lvlText w:val="%2."/>
      <w:lvlJc w:val="left"/>
      <w:pPr>
        <w:ind w:left="2008" w:hanging="360"/>
      </w:pPr>
      <w:rPr>
        <w:rFonts w:cs="Times New Roman"/>
      </w:rPr>
    </w:lvl>
    <w:lvl w:ilvl="2" w:tplc="0405001B">
      <w:start w:val="1"/>
      <w:numFmt w:val="lowerRoman"/>
      <w:lvlText w:val="%3."/>
      <w:lvlJc w:val="right"/>
      <w:pPr>
        <w:ind w:left="2728" w:hanging="180"/>
      </w:pPr>
      <w:rPr>
        <w:rFonts w:cs="Times New Roman"/>
      </w:rPr>
    </w:lvl>
    <w:lvl w:ilvl="3" w:tplc="0405000F">
      <w:start w:val="1"/>
      <w:numFmt w:val="decimal"/>
      <w:lvlText w:val="%4."/>
      <w:lvlJc w:val="left"/>
      <w:pPr>
        <w:ind w:left="3448" w:hanging="360"/>
      </w:pPr>
      <w:rPr>
        <w:rFonts w:cs="Times New Roman"/>
      </w:rPr>
    </w:lvl>
    <w:lvl w:ilvl="4" w:tplc="04050019">
      <w:start w:val="1"/>
      <w:numFmt w:val="lowerLetter"/>
      <w:lvlText w:val="%5."/>
      <w:lvlJc w:val="left"/>
      <w:pPr>
        <w:ind w:left="4168" w:hanging="360"/>
      </w:pPr>
      <w:rPr>
        <w:rFonts w:cs="Times New Roman"/>
      </w:rPr>
    </w:lvl>
    <w:lvl w:ilvl="5" w:tplc="0405001B">
      <w:start w:val="1"/>
      <w:numFmt w:val="lowerRoman"/>
      <w:lvlText w:val="%6."/>
      <w:lvlJc w:val="right"/>
      <w:pPr>
        <w:ind w:left="4888" w:hanging="180"/>
      </w:pPr>
      <w:rPr>
        <w:rFonts w:cs="Times New Roman"/>
      </w:rPr>
    </w:lvl>
    <w:lvl w:ilvl="6" w:tplc="0405000F">
      <w:start w:val="1"/>
      <w:numFmt w:val="decimal"/>
      <w:lvlText w:val="%7."/>
      <w:lvlJc w:val="left"/>
      <w:pPr>
        <w:ind w:left="5608" w:hanging="360"/>
      </w:pPr>
      <w:rPr>
        <w:rFonts w:cs="Times New Roman"/>
      </w:rPr>
    </w:lvl>
    <w:lvl w:ilvl="7" w:tplc="04050019">
      <w:start w:val="1"/>
      <w:numFmt w:val="lowerLetter"/>
      <w:lvlText w:val="%8."/>
      <w:lvlJc w:val="left"/>
      <w:pPr>
        <w:ind w:left="6328" w:hanging="360"/>
      </w:pPr>
      <w:rPr>
        <w:rFonts w:cs="Times New Roman"/>
      </w:rPr>
    </w:lvl>
    <w:lvl w:ilvl="8" w:tplc="0405001B">
      <w:start w:val="1"/>
      <w:numFmt w:val="lowerRoman"/>
      <w:lvlText w:val="%9."/>
      <w:lvlJc w:val="right"/>
      <w:pPr>
        <w:ind w:left="7048" w:hanging="180"/>
      </w:pPr>
      <w:rPr>
        <w:rFonts w:cs="Times New Roman"/>
      </w:rPr>
    </w:lvl>
  </w:abstractNum>
  <w:abstractNum w:abstractNumId="16">
    <w:nsid w:val="2D525582"/>
    <w:multiLevelType w:val="hybridMultilevel"/>
    <w:tmpl w:val="C7861484"/>
    <w:lvl w:ilvl="0" w:tplc="8B525202">
      <w:start w:val="1"/>
      <w:numFmt w:val="decimal"/>
      <w:lvlText w:val="%1)"/>
      <w:lvlJc w:val="left"/>
      <w:pPr>
        <w:ind w:left="720" w:hanging="360"/>
      </w:pPr>
      <w:rPr>
        <w:rFonts w:ascii="Times New Roman" w:eastAsia="Times New Roman" w:hAnsi="Times New Roman"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7">
    <w:nsid w:val="2EDA2F90"/>
    <w:multiLevelType w:val="hybridMultilevel"/>
    <w:tmpl w:val="AE768640"/>
    <w:lvl w:ilvl="0" w:tplc="04050017">
      <w:start w:val="1"/>
      <w:numFmt w:val="lowerLetter"/>
      <w:lvlText w:val="%1)"/>
      <w:lvlJc w:val="left"/>
      <w:pPr>
        <w:ind w:left="720" w:hanging="360"/>
      </w:pPr>
      <w:rPr>
        <w:rFonts w:cs="Times New Roman"/>
      </w:rPr>
    </w:lvl>
    <w:lvl w:ilvl="1" w:tplc="47FA8F06">
      <w:numFmt w:val="bullet"/>
      <w:lvlText w:val="-"/>
      <w:lvlJc w:val="left"/>
      <w:pPr>
        <w:ind w:left="1440" w:hanging="360"/>
      </w:pPr>
      <w:rPr>
        <w:rFonts w:ascii="Calibri" w:eastAsia="Times New Roman" w:hAnsi="Calibri" w:hint="default"/>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8">
    <w:nsid w:val="2FAE569F"/>
    <w:multiLevelType w:val="hybridMultilevel"/>
    <w:tmpl w:val="9F8667C4"/>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31B11200"/>
    <w:multiLevelType w:val="hybridMultilevel"/>
    <w:tmpl w:val="37AA01B6"/>
    <w:lvl w:ilvl="0" w:tplc="BA9206E0">
      <w:start w:val="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3C427763"/>
    <w:multiLevelType w:val="hybridMultilevel"/>
    <w:tmpl w:val="395AC07A"/>
    <w:lvl w:ilvl="0" w:tplc="BA9206E0">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E9B74B2"/>
    <w:multiLevelType w:val="hybridMultilevel"/>
    <w:tmpl w:val="695EACA4"/>
    <w:lvl w:ilvl="0" w:tplc="9D320FF4">
      <w:numFmt w:val="bullet"/>
      <w:lvlText w:val="-"/>
      <w:lvlJc w:val="left"/>
      <w:pPr>
        <w:ind w:left="720" w:hanging="360"/>
      </w:pPr>
      <w:rPr>
        <w:rFonts w:ascii="Times New Roman" w:hAnsi="Times New Roman" w:cs="Times New Roman" w:hint="default"/>
        <w:sz w:val="24"/>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nsid w:val="4011086B"/>
    <w:multiLevelType w:val="hybridMultilevel"/>
    <w:tmpl w:val="DEC02492"/>
    <w:lvl w:ilvl="0" w:tplc="C178D130">
      <w:numFmt w:val="bullet"/>
      <w:lvlText w:val="-"/>
      <w:lvlJc w:val="left"/>
      <w:pPr>
        <w:ind w:left="720" w:hanging="360"/>
      </w:pPr>
      <w:rPr>
        <w:rFonts w:ascii="Times New Roman" w:eastAsia="SimSu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nsid w:val="419539C4"/>
    <w:multiLevelType w:val="hybridMultilevel"/>
    <w:tmpl w:val="3C84F468"/>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4">
    <w:nsid w:val="423C40C9"/>
    <w:multiLevelType w:val="hybridMultilevel"/>
    <w:tmpl w:val="EF30A23E"/>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7C76490"/>
    <w:multiLevelType w:val="hybridMultilevel"/>
    <w:tmpl w:val="F3189838"/>
    <w:lvl w:ilvl="0" w:tplc="BA9206E0">
      <w:start w:val="2"/>
      <w:numFmt w:val="bullet"/>
      <w:lvlText w:val="-"/>
      <w:lvlJc w:val="left"/>
      <w:pPr>
        <w:ind w:left="1440" w:hanging="360"/>
      </w:pPr>
      <w:rPr>
        <w:rFonts w:ascii="Times New Roman" w:eastAsia="Calibr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4A4B5F55"/>
    <w:multiLevelType w:val="hybridMultilevel"/>
    <w:tmpl w:val="686A279C"/>
    <w:lvl w:ilvl="0" w:tplc="9ADC5FC8">
      <w:start w:val="4"/>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nsid w:val="52925F2B"/>
    <w:multiLevelType w:val="hybridMultilevel"/>
    <w:tmpl w:val="8A0443E4"/>
    <w:lvl w:ilvl="0" w:tplc="9ADC5FC8">
      <w:start w:val="4"/>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nsid w:val="54EE7AE7"/>
    <w:multiLevelType w:val="hybridMultilevel"/>
    <w:tmpl w:val="1D0E24C0"/>
    <w:lvl w:ilvl="0" w:tplc="BA9206E0">
      <w:start w:val="2"/>
      <w:numFmt w:val="bullet"/>
      <w:lvlText w:val="-"/>
      <w:lvlJc w:val="left"/>
      <w:pPr>
        <w:tabs>
          <w:tab w:val="num" w:pos="0"/>
        </w:tabs>
      </w:pPr>
      <w:rPr>
        <w:rFonts w:ascii="Times New Roman" w:eastAsia="Calibri" w:hAnsi="Times New Roman" w:cs="Times New Roman" w:hint="default"/>
        <w:b w:val="0"/>
        <w:i w:val="0"/>
        <w:color w:val="auto"/>
        <w:sz w:val="22"/>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5608446A"/>
    <w:multiLevelType w:val="hybridMultilevel"/>
    <w:tmpl w:val="8814FFE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878434B"/>
    <w:multiLevelType w:val="hybridMultilevel"/>
    <w:tmpl w:val="F7E6D162"/>
    <w:lvl w:ilvl="0" w:tplc="BA9206E0">
      <w:start w:val="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nsid w:val="5B0101D6"/>
    <w:multiLevelType w:val="hybridMultilevel"/>
    <w:tmpl w:val="2D241094"/>
    <w:lvl w:ilvl="0" w:tplc="2B76A432">
      <w:start w:val="1"/>
      <w:numFmt w:val="bullet"/>
      <w:lvlText w:val=""/>
      <w:lvlJc w:val="left"/>
      <w:pPr>
        <w:tabs>
          <w:tab w:val="num" w:pos="284"/>
        </w:tabs>
        <w:ind w:left="284"/>
      </w:pPr>
      <w:rPr>
        <w:rFonts w:ascii="Symbol" w:hAnsi="Symbol" w:hint="default"/>
        <w:b w:val="0"/>
        <w:i w:val="0"/>
        <w:color w:val="auto"/>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5D3B7C1C"/>
    <w:multiLevelType w:val="hybridMultilevel"/>
    <w:tmpl w:val="11BCD948"/>
    <w:lvl w:ilvl="0" w:tplc="ECCE30F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nsid w:val="624B1D39"/>
    <w:multiLevelType w:val="multilevel"/>
    <w:tmpl w:val="5A5E5774"/>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3A0565"/>
    <w:multiLevelType w:val="hybridMultilevel"/>
    <w:tmpl w:val="33CC6D42"/>
    <w:lvl w:ilvl="0" w:tplc="A9AE243A">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nsid w:val="68A543F0"/>
    <w:multiLevelType w:val="hybridMultilevel"/>
    <w:tmpl w:val="4324379C"/>
    <w:lvl w:ilvl="0" w:tplc="9ADC5FC8">
      <w:start w:val="4"/>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6">
    <w:nsid w:val="6C1824AE"/>
    <w:multiLevelType w:val="hybridMultilevel"/>
    <w:tmpl w:val="DF926784"/>
    <w:lvl w:ilvl="0" w:tplc="47FA8F06">
      <w:numFmt w:val="bullet"/>
      <w:lvlText w:val="-"/>
      <w:lvlJc w:val="left"/>
      <w:pPr>
        <w:tabs>
          <w:tab w:val="num" w:pos="0"/>
        </w:tabs>
      </w:pPr>
      <w:rPr>
        <w:rFonts w:ascii="Calibri" w:eastAsia="Times New Roman" w:hAnsi="Calibri" w:hint="default"/>
        <w:b w:val="0"/>
        <w:i w:val="0"/>
        <w:caps w:val="0"/>
        <w:strike w:val="0"/>
        <w:dstrike w:val="0"/>
        <w:vanish w:val="0"/>
        <w:color w:val="auto"/>
        <w:sz w:val="22"/>
        <w:vertAlign w:val="base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6D4A0792"/>
    <w:multiLevelType w:val="multilevel"/>
    <w:tmpl w:val="08BA3AF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EBD2A0E"/>
    <w:multiLevelType w:val="hybridMultilevel"/>
    <w:tmpl w:val="A2C6F4FE"/>
    <w:lvl w:ilvl="0" w:tplc="451C9CEE">
      <w:start w:val="1"/>
      <w:numFmt w:val="decimal"/>
      <w:lvlText w:val="%1)"/>
      <w:lvlJc w:val="left"/>
      <w:pPr>
        <w:ind w:left="720" w:hanging="360"/>
      </w:pPr>
      <w:rPr>
        <w:rFonts w:ascii="Times New Roman" w:eastAsia="Times New Roman" w:hAnsi="Times New Roman"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9">
    <w:nsid w:val="730564DE"/>
    <w:multiLevelType w:val="multilevel"/>
    <w:tmpl w:val="8E3AEFA6"/>
    <w:lvl w:ilvl="0">
      <w:start w:val="1"/>
      <w:numFmt w:val="decimal"/>
      <w:pStyle w:val="Seznamsodrkami"/>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nsid w:val="74936A67"/>
    <w:multiLevelType w:val="hybridMultilevel"/>
    <w:tmpl w:val="24CC0B54"/>
    <w:lvl w:ilvl="0" w:tplc="BA9206E0">
      <w:start w:val="2"/>
      <w:numFmt w:val="bullet"/>
      <w:lvlText w:val="-"/>
      <w:lvlJc w:val="left"/>
      <w:pPr>
        <w:ind w:left="720" w:hanging="360"/>
      </w:pPr>
      <w:rPr>
        <w:rFonts w:ascii="Times New Roman" w:eastAsia="Calibri" w:hAnsi="Times New Roman" w:cs="Times New Roman" w:hint="default"/>
        <w:sz w:val="24"/>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nsid w:val="751F77B3"/>
    <w:multiLevelType w:val="hybridMultilevel"/>
    <w:tmpl w:val="769248D4"/>
    <w:lvl w:ilvl="0" w:tplc="F69C5CE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2">
    <w:nsid w:val="7D1D0E70"/>
    <w:multiLevelType w:val="hybridMultilevel"/>
    <w:tmpl w:val="22C42A84"/>
    <w:lvl w:ilvl="0" w:tplc="9ADC5FC8">
      <w:start w:val="4"/>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39"/>
  </w:num>
  <w:num w:numId="2">
    <w:abstractNumId w:val="31"/>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7"/>
  </w:num>
  <w:num w:numId="12">
    <w:abstractNumId w:val="1"/>
  </w:num>
  <w:num w:numId="13">
    <w:abstractNumId w:val="11"/>
  </w:num>
  <w:num w:numId="14">
    <w:abstractNumId w:val="8"/>
  </w:num>
  <w:num w:numId="15">
    <w:abstractNumId w:val="2"/>
  </w:num>
  <w:num w:numId="16">
    <w:abstractNumId w:val="19"/>
  </w:num>
  <w:num w:numId="17">
    <w:abstractNumId w:val="3"/>
  </w:num>
  <w:num w:numId="18">
    <w:abstractNumId w:val="33"/>
  </w:num>
  <w:num w:numId="19">
    <w:abstractNumId w:val="12"/>
  </w:num>
  <w:num w:numId="20">
    <w:abstractNumId w:val="13"/>
  </w:num>
  <w:num w:numId="21">
    <w:abstractNumId w:val="30"/>
  </w:num>
  <w:num w:numId="22">
    <w:abstractNumId w:val="0"/>
  </w:num>
  <w:num w:numId="23">
    <w:abstractNumId w:val="28"/>
  </w:num>
  <w:num w:numId="24">
    <w:abstractNumId w:val="14"/>
  </w:num>
  <w:num w:numId="25">
    <w:abstractNumId w:val="26"/>
  </w:num>
  <w:num w:numId="26">
    <w:abstractNumId w:val="27"/>
  </w:num>
  <w:num w:numId="27">
    <w:abstractNumId w:val="42"/>
  </w:num>
  <w:num w:numId="28">
    <w:abstractNumId w:val="35"/>
  </w:num>
  <w:num w:numId="29">
    <w:abstractNumId w:val="18"/>
    <w:lvlOverride w:ilvl="0">
      <w:startOverride w:val="1"/>
    </w:lvlOverride>
    <w:lvlOverride w:ilvl="1"/>
    <w:lvlOverride w:ilvl="2"/>
    <w:lvlOverride w:ilvl="3"/>
    <w:lvlOverride w:ilvl="4"/>
    <w:lvlOverride w:ilvl="5"/>
    <w:lvlOverride w:ilvl="6"/>
    <w:lvlOverride w:ilvl="7"/>
    <w:lvlOverride w:ilvl="8"/>
  </w:num>
  <w:num w:numId="30">
    <w:abstractNumId w:val="10"/>
  </w:num>
  <w:num w:numId="31">
    <w:abstractNumId w:val="20"/>
  </w:num>
  <w:num w:numId="32">
    <w:abstractNumId w:val="25"/>
  </w:num>
  <w:num w:numId="33">
    <w:abstractNumId w:val="32"/>
  </w:num>
  <w:num w:numId="34">
    <w:abstractNumId w:val="21"/>
  </w:num>
  <w:num w:numId="35">
    <w:abstractNumId w:val="40"/>
  </w:num>
  <w:num w:numId="36">
    <w:abstractNumId w:val="41"/>
  </w:num>
  <w:num w:numId="37">
    <w:abstractNumId w:val="22"/>
  </w:num>
  <w:num w:numId="38">
    <w:abstractNumId w:val="7"/>
  </w:num>
  <w:num w:numId="39">
    <w:abstractNumId w:val="9"/>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37"/>
  </w:num>
  <w:num w:numId="45">
    <w:abstractNumId w:val="29"/>
  </w:num>
  <w:num w:numId="46">
    <w:abstractNumId w:val="4"/>
  </w:num>
  <w:num w:numId="47">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A1B28"/>
    <w:rsid w:val="0000176F"/>
    <w:rsid w:val="000022D1"/>
    <w:rsid w:val="000024F1"/>
    <w:rsid w:val="00002978"/>
    <w:rsid w:val="00002ACE"/>
    <w:rsid w:val="00002B63"/>
    <w:rsid w:val="00004EBF"/>
    <w:rsid w:val="00005E9F"/>
    <w:rsid w:val="00006748"/>
    <w:rsid w:val="00007323"/>
    <w:rsid w:val="0000797D"/>
    <w:rsid w:val="000112D6"/>
    <w:rsid w:val="00011346"/>
    <w:rsid w:val="0001170C"/>
    <w:rsid w:val="00011E42"/>
    <w:rsid w:val="0001217D"/>
    <w:rsid w:val="000129F3"/>
    <w:rsid w:val="000130FB"/>
    <w:rsid w:val="00013775"/>
    <w:rsid w:val="00013A3C"/>
    <w:rsid w:val="00015283"/>
    <w:rsid w:val="00015B25"/>
    <w:rsid w:val="00015F67"/>
    <w:rsid w:val="000162DE"/>
    <w:rsid w:val="00017608"/>
    <w:rsid w:val="00017E51"/>
    <w:rsid w:val="00020432"/>
    <w:rsid w:val="00020926"/>
    <w:rsid w:val="00024068"/>
    <w:rsid w:val="000244F6"/>
    <w:rsid w:val="00024FB9"/>
    <w:rsid w:val="0002576A"/>
    <w:rsid w:val="00026234"/>
    <w:rsid w:val="0002662F"/>
    <w:rsid w:val="00026927"/>
    <w:rsid w:val="00027224"/>
    <w:rsid w:val="00027AD4"/>
    <w:rsid w:val="0003094F"/>
    <w:rsid w:val="00032341"/>
    <w:rsid w:val="00032AF2"/>
    <w:rsid w:val="00032DF1"/>
    <w:rsid w:val="00033A05"/>
    <w:rsid w:val="00033BDF"/>
    <w:rsid w:val="00034C7D"/>
    <w:rsid w:val="00034F60"/>
    <w:rsid w:val="00036975"/>
    <w:rsid w:val="00036F9D"/>
    <w:rsid w:val="0003728C"/>
    <w:rsid w:val="0003796F"/>
    <w:rsid w:val="00041EB5"/>
    <w:rsid w:val="000421F9"/>
    <w:rsid w:val="00042E55"/>
    <w:rsid w:val="00043B5F"/>
    <w:rsid w:val="00044C40"/>
    <w:rsid w:val="000470ED"/>
    <w:rsid w:val="000474BB"/>
    <w:rsid w:val="000504BC"/>
    <w:rsid w:val="00053ED2"/>
    <w:rsid w:val="00054214"/>
    <w:rsid w:val="00054903"/>
    <w:rsid w:val="00054A16"/>
    <w:rsid w:val="00054B07"/>
    <w:rsid w:val="00055451"/>
    <w:rsid w:val="00055C9A"/>
    <w:rsid w:val="0005614F"/>
    <w:rsid w:val="000564E6"/>
    <w:rsid w:val="00056C78"/>
    <w:rsid w:val="00056F5D"/>
    <w:rsid w:val="000601C8"/>
    <w:rsid w:val="00060793"/>
    <w:rsid w:val="00060873"/>
    <w:rsid w:val="00060E27"/>
    <w:rsid w:val="000612ED"/>
    <w:rsid w:val="00062FE7"/>
    <w:rsid w:val="00063D28"/>
    <w:rsid w:val="00064793"/>
    <w:rsid w:val="00064AEF"/>
    <w:rsid w:val="00064E4B"/>
    <w:rsid w:val="00066E9C"/>
    <w:rsid w:val="00067024"/>
    <w:rsid w:val="0006760D"/>
    <w:rsid w:val="000708C6"/>
    <w:rsid w:val="00070EDB"/>
    <w:rsid w:val="00070F1D"/>
    <w:rsid w:val="000724A0"/>
    <w:rsid w:val="000724BE"/>
    <w:rsid w:val="000731C9"/>
    <w:rsid w:val="00073CFD"/>
    <w:rsid w:val="00074307"/>
    <w:rsid w:val="00074A03"/>
    <w:rsid w:val="00075DEC"/>
    <w:rsid w:val="00076AF6"/>
    <w:rsid w:val="00077597"/>
    <w:rsid w:val="00077BFD"/>
    <w:rsid w:val="00077E14"/>
    <w:rsid w:val="0008043C"/>
    <w:rsid w:val="00081448"/>
    <w:rsid w:val="0008156D"/>
    <w:rsid w:val="00081936"/>
    <w:rsid w:val="00082C13"/>
    <w:rsid w:val="000832FF"/>
    <w:rsid w:val="0008398F"/>
    <w:rsid w:val="00083A92"/>
    <w:rsid w:val="00083BBD"/>
    <w:rsid w:val="00084E14"/>
    <w:rsid w:val="000850A3"/>
    <w:rsid w:val="000856B7"/>
    <w:rsid w:val="000869DE"/>
    <w:rsid w:val="00087E00"/>
    <w:rsid w:val="00087E62"/>
    <w:rsid w:val="000900F6"/>
    <w:rsid w:val="0009031B"/>
    <w:rsid w:val="00090A15"/>
    <w:rsid w:val="00090DB7"/>
    <w:rsid w:val="0009228D"/>
    <w:rsid w:val="00092B2F"/>
    <w:rsid w:val="00092E72"/>
    <w:rsid w:val="000933FE"/>
    <w:rsid w:val="00093E8A"/>
    <w:rsid w:val="00094A11"/>
    <w:rsid w:val="0009511A"/>
    <w:rsid w:val="0009543B"/>
    <w:rsid w:val="000958E2"/>
    <w:rsid w:val="00097CD5"/>
    <w:rsid w:val="000A045F"/>
    <w:rsid w:val="000A0E05"/>
    <w:rsid w:val="000A1EB2"/>
    <w:rsid w:val="000A3A75"/>
    <w:rsid w:val="000A412A"/>
    <w:rsid w:val="000A45EA"/>
    <w:rsid w:val="000A51A2"/>
    <w:rsid w:val="000A55E7"/>
    <w:rsid w:val="000A5697"/>
    <w:rsid w:val="000A56F4"/>
    <w:rsid w:val="000A6E67"/>
    <w:rsid w:val="000A7186"/>
    <w:rsid w:val="000B04CC"/>
    <w:rsid w:val="000B0D61"/>
    <w:rsid w:val="000B0E75"/>
    <w:rsid w:val="000B17D5"/>
    <w:rsid w:val="000B1949"/>
    <w:rsid w:val="000B1C4E"/>
    <w:rsid w:val="000B1FB0"/>
    <w:rsid w:val="000B228F"/>
    <w:rsid w:val="000B398F"/>
    <w:rsid w:val="000B3B79"/>
    <w:rsid w:val="000B3C0F"/>
    <w:rsid w:val="000B42D2"/>
    <w:rsid w:val="000B4C84"/>
    <w:rsid w:val="000B5BDE"/>
    <w:rsid w:val="000B735B"/>
    <w:rsid w:val="000B73E7"/>
    <w:rsid w:val="000B7B6B"/>
    <w:rsid w:val="000C0D0A"/>
    <w:rsid w:val="000C0DB5"/>
    <w:rsid w:val="000C1CFB"/>
    <w:rsid w:val="000C22A0"/>
    <w:rsid w:val="000C5212"/>
    <w:rsid w:val="000C5381"/>
    <w:rsid w:val="000C56E3"/>
    <w:rsid w:val="000C750B"/>
    <w:rsid w:val="000C764D"/>
    <w:rsid w:val="000D19F1"/>
    <w:rsid w:val="000D1BF2"/>
    <w:rsid w:val="000D2E76"/>
    <w:rsid w:val="000D2F39"/>
    <w:rsid w:val="000D4425"/>
    <w:rsid w:val="000D4A08"/>
    <w:rsid w:val="000D53F4"/>
    <w:rsid w:val="000D5625"/>
    <w:rsid w:val="000D5C24"/>
    <w:rsid w:val="000D5C9A"/>
    <w:rsid w:val="000D63F3"/>
    <w:rsid w:val="000D78B5"/>
    <w:rsid w:val="000D7CDC"/>
    <w:rsid w:val="000E0085"/>
    <w:rsid w:val="000E043E"/>
    <w:rsid w:val="000E1656"/>
    <w:rsid w:val="000E3860"/>
    <w:rsid w:val="000E4322"/>
    <w:rsid w:val="000E4C07"/>
    <w:rsid w:val="000E54D6"/>
    <w:rsid w:val="000E5530"/>
    <w:rsid w:val="000E5679"/>
    <w:rsid w:val="000E6280"/>
    <w:rsid w:val="000E65DE"/>
    <w:rsid w:val="000E6FBC"/>
    <w:rsid w:val="000E7A43"/>
    <w:rsid w:val="000F0D2E"/>
    <w:rsid w:val="000F313F"/>
    <w:rsid w:val="000F4BCB"/>
    <w:rsid w:val="000F4CCF"/>
    <w:rsid w:val="000F4F8A"/>
    <w:rsid w:val="000F50DA"/>
    <w:rsid w:val="000F5272"/>
    <w:rsid w:val="000F64E9"/>
    <w:rsid w:val="000F6F38"/>
    <w:rsid w:val="000F7203"/>
    <w:rsid w:val="000F7318"/>
    <w:rsid w:val="000F74D1"/>
    <w:rsid w:val="0010130B"/>
    <w:rsid w:val="0010193D"/>
    <w:rsid w:val="00101FB6"/>
    <w:rsid w:val="001022EC"/>
    <w:rsid w:val="00102B76"/>
    <w:rsid w:val="00103149"/>
    <w:rsid w:val="00103A9E"/>
    <w:rsid w:val="00103F8F"/>
    <w:rsid w:val="0010406F"/>
    <w:rsid w:val="001050E9"/>
    <w:rsid w:val="00105BD6"/>
    <w:rsid w:val="00107344"/>
    <w:rsid w:val="001117DC"/>
    <w:rsid w:val="00111D5F"/>
    <w:rsid w:val="00112C14"/>
    <w:rsid w:val="00113857"/>
    <w:rsid w:val="00114112"/>
    <w:rsid w:val="001142F1"/>
    <w:rsid w:val="00114400"/>
    <w:rsid w:val="0011513F"/>
    <w:rsid w:val="0011599F"/>
    <w:rsid w:val="00115CED"/>
    <w:rsid w:val="00115ED3"/>
    <w:rsid w:val="001160CC"/>
    <w:rsid w:val="001163B1"/>
    <w:rsid w:val="001169EB"/>
    <w:rsid w:val="00116D47"/>
    <w:rsid w:val="001214C6"/>
    <w:rsid w:val="00122005"/>
    <w:rsid w:val="00122A54"/>
    <w:rsid w:val="00123FA3"/>
    <w:rsid w:val="00123FC7"/>
    <w:rsid w:val="001241E7"/>
    <w:rsid w:val="001253DB"/>
    <w:rsid w:val="00125F2E"/>
    <w:rsid w:val="001267BD"/>
    <w:rsid w:val="00126EE3"/>
    <w:rsid w:val="00127449"/>
    <w:rsid w:val="00130428"/>
    <w:rsid w:val="00131BD5"/>
    <w:rsid w:val="00131E4B"/>
    <w:rsid w:val="001321DA"/>
    <w:rsid w:val="00134CBE"/>
    <w:rsid w:val="00135206"/>
    <w:rsid w:val="00135DBF"/>
    <w:rsid w:val="0013641A"/>
    <w:rsid w:val="001368A1"/>
    <w:rsid w:val="00137A14"/>
    <w:rsid w:val="00137BE2"/>
    <w:rsid w:val="001406BB"/>
    <w:rsid w:val="00140D3C"/>
    <w:rsid w:val="001417C4"/>
    <w:rsid w:val="00141AB8"/>
    <w:rsid w:val="00141DEF"/>
    <w:rsid w:val="0014203E"/>
    <w:rsid w:val="001432F3"/>
    <w:rsid w:val="001439F4"/>
    <w:rsid w:val="001447E5"/>
    <w:rsid w:val="00144E4A"/>
    <w:rsid w:val="00144E53"/>
    <w:rsid w:val="00145003"/>
    <w:rsid w:val="00145E42"/>
    <w:rsid w:val="00146F9D"/>
    <w:rsid w:val="0014701E"/>
    <w:rsid w:val="00151036"/>
    <w:rsid w:val="001513D2"/>
    <w:rsid w:val="0015160D"/>
    <w:rsid w:val="00151AA8"/>
    <w:rsid w:val="00151B64"/>
    <w:rsid w:val="001520B3"/>
    <w:rsid w:val="001530EB"/>
    <w:rsid w:val="00155263"/>
    <w:rsid w:val="001555C2"/>
    <w:rsid w:val="00155A4A"/>
    <w:rsid w:val="0015628B"/>
    <w:rsid w:val="00156582"/>
    <w:rsid w:val="001602C6"/>
    <w:rsid w:val="0016259B"/>
    <w:rsid w:val="00162867"/>
    <w:rsid w:val="00163532"/>
    <w:rsid w:val="001636DA"/>
    <w:rsid w:val="00163FBA"/>
    <w:rsid w:val="00164858"/>
    <w:rsid w:val="00165A9D"/>
    <w:rsid w:val="001669A8"/>
    <w:rsid w:val="0017088F"/>
    <w:rsid w:val="001713E7"/>
    <w:rsid w:val="001715A7"/>
    <w:rsid w:val="00174212"/>
    <w:rsid w:val="001748B8"/>
    <w:rsid w:val="0017500E"/>
    <w:rsid w:val="001751F9"/>
    <w:rsid w:val="0017534F"/>
    <w:rsid w:val="00175FDF"/>
    <w:rsid w:val="00176139"/>
    <w:rsid w:val="00181587"/>
    <w:rsid w:val="00183577"/>
    <w:rsid w:val="001842CF"/>
    <w:rsid w:val="00184567"/>
    <w:rsid w:val="00184D9F"/>
    <w:rsid w:val="00186046"/>
    <w:rsid w:val="00186C1E"/>
    <w:rsid w:val="00187070"/>
    <w:rsid w:val="001900CD"/>
    <w:rsid w:val="00190139"/>
    <w:rsid w:val="00190725"/>
    <w:rsid w:val="00190A54"/>
    <w:rsid w:val="00190D36"/>
    <w:rsid w:val="001925BC"/>
    <w:rsid w:val="00192972"/>
    <w:rsid w:val="0019330C"/>
    <w:rsid w:val="001938F6"/>
    <w:rsid w:val="00193DED"/>
    <w:rsid w:val="00195AB1"/>
    <w:rsid w:val="001961DE"/>
    <w:rsid w:val="001967FB"/>
    <w:rsid w:val="001976D3"/>
    <w:rsid w:val="001A0157"/>
    <w:rsid w:val="001A10F8"/>
    <w:rsid w:val="001A1590"/>
    <w:rsid w:val="001A22CC"/>
    <w:rsid w:val="001A23B1"/>
    <w:rsid w:val="001A25BD"/>
    <w:rsid w:val="001A263B"/>
    <w:rsid w:val="001A284E"/>
    <w:rsid w:val="001A2DE0"/>
    <w:rsid w:val="001A2FA6"/>
    <w:rsid w:val="001A316F"/>
    <w:rsid w:val="001A42B6"/>
    <w:rsid w:val="001A4ECB"/>
    <w:rsid w:val="001A5444"/>
    <w:rsid w:val="001A5510"/>
    <w:rsid w:val="001A5ECC"/>
    <w:rsid w:val="001A618E"/>
    <w:rsid w:val="001A63EB"/>
    <w:rsid w:val="001A6641"/>
    <w:rsid w:val="001A6765"/>
    <w:rsid w:val="001A7279"/>
    <w:rsid w:val="001A729D"/>
    <w:rsid w:val="001B0288"/>
    <w:rsid w:val="001B15AB"/>
    <w:rsid w:val="001B26D2"/>
    <w:rsid w:val="001B354B"/>
    <w:rsid w:val="001B37D4"/>
    <w:rsid w:val="001B3A31"/>
    <w:rsid w:val="001B3E0A"/>
    <w:rsid w:val="001B491D"/>
    <w:rsid w:val="001B5688"/>
    <w:rsid w:val="001B78A6"/>
    <w:rsid w:val="001C059C"/>
    <w:rsid w:val="001C06EC"/>
    <w:rsid w:val="001C0C76"/>
    <w:rsid w:val="001C0CA7"/>
    <w:rsid w:val="001C1300"/>
    <w:rsid w:val="001C16F9"/>
    <w:rsid w:val="001C1C3D"/>
    <w:rsid w:val="001C1FD6"/>
    <w:rsid w:val="001C2175"/>
    <w:rsid w:val="001C218A"/>
    <w:rsid w:val="001C3514"/>
    <w:rsid w:val="001C3C88"/>
    <w:rsid w:val="001C48D6"/>
    <w:rsid w:val="001C4AA2"/>
    <w:rsid w:val="001C53AB"/>
    <w:rsid w:val="001D0526"/>
    <w:rsid w:val="001D1DDE"/>
    <w:rsid w:val="001D1F58"/>
    <w:rsid w:val="001D257A"/>
    <w:rsid w:val="001D26CB"/>
    <w:rsid w:val="001D287B"/>
    <w:rsid w:val="001D4D7C"/>
    <w:rsid w:val="001D4F66"/>
    <w:rsid w:val="001D59EA"/>
    <w:rsid w:val="001D5CBA"/>
    <w:rsid w:val="001D5D6A"/>
    <w:rsid w:val="001E00F3"/>
    <w:rsid w:val="001E01B3"/>
    <w:rsid w:val="001E0733"/>
    <w:rsid w:val="001E0A68"/>
    <w:rsid w:val="001E156B"/>
    <w:rsid w:val="001E3148"/>
    <w:rsid w:val="001E3562"/>
    <w:rsid w:val="001E47CE"/>
    <w:rsid w:val="001E4A63"/>
    <w:rsid w:val="001E4BC0"/>
    <w:rsid w:val="001E4E07"/>
    <w:rsid w:val="001E5A3A"/>
    <w:rsid w:val="001E5C90"/>
    <w:rsid w:val="001E6563"/>
    <w:rsid w:val="001E746C"/>
    <w:rsid w:val="001E75E8"/>
    <w:rsid w:val="001E7AEF"/>
    <w:rsid w:val="001E7D5C"/>
    <w:rsid w:val="001F1186"/>
    <w:rsid w:val="001F19DB"/>
    <w:rsid w:val="001F31E7"/>
    <w:rsid w:val="001F3670"/>
    <w:rsid w:val="001F3C26"/>
    <w:rsid w:val="001F42D8"/>
    <w:rsid w:val="001F42E9"/>
    <w:rsid w:val="001F50AE"/>
    <w:rsid w:val="001F52DD"/>
    <w:rsid w:val="001F7307"/>
    <w:rsid w:val="00200073"/>
    <w:rsid w:val="00200810"/>
    <w:rsid w:val="00200DDB"/>
    <w:rsid w:val="00201E04"/>
    <w:rsid w:val="00202BC8"/>
    <w:rsid w:val="00202BDD"/>
    <w:rsid w:val="00202C78"/>
    <w:rsid w:val="0020538F"/>
    <w:rsid w:val="0020586D"/>
    <w:rsid w:val="002061A1"/>
    <w:rsid w:val="00206AFE"/>
    <w:rsid w:val="00207382"/>
    <w:rsid w:val="002078FC"/>
    <w:rsid w:val="00207A89"/>
    <w:rsid w:val="00207EC0"/>
    <w:rsid w:val="00210FBA"/>
    <w:rsid w:val="002114DF"/>
    <w:rsid w:val="00211AA9"/>
    <w:rsid w:val="00211B04"/>
    <w:rsid w:val="00211C81"/>
    <w:rsid w:val="002122FF"/>
    <w:rsid w:val="00212599"/>
    <w:rsid w:val="00212995"/>
    <w:rsid w:val="00213185"/>
    <w:rsid w:val="00213331"/>
    <w:rsid w:val="002138AC"/>
    <w:rsid w:val="00213D1E"/>
    <w:rsid w:val="002140E8"/>
    <w:rsid w:val="002142B9"/>
    <w:rsid w:val="0021573D"/>
    <w:rsid w:val="00216730"/>
    <w:rsid w:val="0022077E"/>
    <w:rsid w:val="0022190A"/>
    <w:rsid w:val="00221C5F"/>
    <w:rsid w:val="00222DF2"/>
    <w:rsid w:val="00223411"/>
    <w:rsid w:val="002247EF"/>
    <w:rsid w:val="002255DA"/>
    <w:rsid w:val="00225B07"/>
    <w:rsid w:val="00226EB6"/>
    <w:rsid w:val="002278CF"/>
    <w:rsid w:val="002305BD"/>
    <w:rsid w:val="00231D3A"/>
    <w:rsid w:val="00232ED0"/>
    <w:rsid w:val="002342D1"/>
    <w:rsid w:val="00234D8B"/>
    <w:rsid w:val="00235617"/>
    <w:rsid w:val="00235C12"/>
    <w:rsid w:val="00235D72"/>
    <w:rsid w:val="00236001"/>
    <w:rsid w:val="0023637F"/>
    <w:rsid w:val="00236660"/>
    <w:rsid w:val="002379AA"/>
    <w:rsid w:val="00240E72"/>
    <w:rsid w:val="00241E7E"/>
    <w:rsid w:val="00243C2D"/>
    <w:rsid w:val="00243FAE"/>
    <w:rsid w:val="0024475A"/>
    <w:rsid w:val="00244C66"/>
    <w:rsid w:val="0024672A"/>
    <w:rsid w:val="00246774"/>
    <w:rsid w:val="00246B22"/>
    <w:rsid w:val="00246EF4"/>
    <w:rsid w:val="00250111"/>
    <w:rsid w:val="002504C7"/>
    <w:rsid w:val="00250AF1"/>
    <w:rsid w:val="00251737"/>
    <w:rsid w:val="00251787"/>
    <w:rsid w:val="0025185D"/>
    <w:rsid w:val="00251980"/>
    <w:rsid w:val="002536D3"/>
    <w:rsid w:val="00254CE5"/>
    <w:rsid w:val="00254E86"/>
    <w:rsid w:val="00255570"/>
    <w:rsid w:val="002564C0"/>
    <w:rsid w:val="002571FE"/>
    <w:rsid w:val="002575C7"/>
    <w:rsid w:val="002576C2"/>
    <w:rsid w:val="00257BBA"/>
    <w:rsid w:val="002602BE"/>
    <w:rsid w:val="00260C22"/>
    <w:rsid w:val="00260DB3"/>
    <w:rsid w:val="00261143"/>
    <w:rsid w:val="002614B8"/>
    <w:rsid w:val="00261611"/>
    <w:rsid w:val="00261CBB"/>
    <w:rsid w:val="00261E50"/>
    <w:rsid w:val="00262CE4"/>
    <w:rsid w:val="0026379A"/>
    <w:rsid w:val="00264152"/>
    <w:rsid w:val="002648C6"/>
    <w:rsid w:val="00264BA4"/>
    <w:rsid w:val="00264C48"/>
    <w:rsid w:val="00264ECA"/>
    <w:rsid w:val="00265719"/>
    <w:rsid w:val="00265B6B"/>
    <w:rsid w:val="002668D3"/>
    <w:rsid w:val="00267A98"/>
    <w:rsid w:val="00270FDE"/>
    <w:rsid w:val="00271077"/>
    <w:rsid w:val="00271648"/>
    <w:rsid w:val="00272C84"/>
    <w:rsid w:val="00272F57"/>
    <w:rsid w:val="00273540"/>
    <w:rsid w:val="00273928"/>
    <w:rsid w:val="00273992"/>
    <w:rsid w:val="00274F12"/>
    <w:rsid w:val="0027598E"/>
    <w:rsid w:val="00275DD2"/>
    <w:rsid w:val="00280783"/>
    <w:rsid w:val="002807FC"/>
    <w:rsid w:val="00283268"/>
    <w:rsid w:val="002839DE"/>
    <w:rsid w:val="00286357"/>
    <w:rsid w:val="00286712"/>
    <w:rsid w:val="00286F2F"/>
    <w:rsid w:val="002901C1"/>
    <w:rsid w:val="00290A44"/>
    <w:rsid w:val="00290E56"/>
    <w:rsid w:val="002922E9"/>
    <w:rsid w:val="00292BA8"/>
    <w:rsid w:val="002945F4"/>
    <w:rsid w:val="0029461E"/>
    <w:rsid w:val="00294925"/>
    <w:rsid w:val="00294F61"/>
    <w:rsid w:val="00295A06"/>
    <w:rsid w:val="0029644E"/>
    <w:rsid w:val="002A173A"/>
    <w:rsid w:val="002A1E35"/>
    <w:rsid w:val="002A2ADE"/>
    <w:rsid w:val="002A3AE4"/>
    <w:rsid w:val="002A41FE"/>
    <w:rsid w:val="002A42E1"/>
    <w:rsid w:val="002A4C48"/>
    <w:rsid w:val="002A4F19"/>
    <w:rsid w:val="002A736A"/>
    <w:rsid w:val="002A742B"/>
    <w:rsid w:val="002A7639"/>
    <w:rsid w:val="002A76F7"/>
    <w:rsid w:val="002B03D5"/>
    <w:rsid w:val="002B2EE1"/>
    <w:rsid w:val="002B3CAB"/>
    <w:rsid w:val="002B4EE2"/>
    <w:rsid w:val="002B56D2"/>
    <w:rsid w:val="002B581A"/>
    <w:rsid w:val="002B654C"/>
    <w:rsid w:val="002B7194"/>
    <w:rsid w:val="002B74AB"/>
    <w:rsid w:val="002C03C5"/>
    <w:rsid w:val="002C060E"/>
    <w:rsid w:val="002C0A30"/>
    <w:rsid w:val="002C1A69"/>
    <w:rsid w:val="002C21FB"/>
    <w:rsid w:val="002C2B95"/>
    <w:rsid w:val="002C2C70"/>
    <w:rsid w:val="002C2E1F"/>
    <w:rsid w:val="002C2ED2"/>
    <w:rsid w:val="002C385B"/>
    <w:rsid w:val="002C38F8"/>
    <w:rsid w:val="002C3A32"/>
    <w:rsid w:val="002C3C00"/>
    <w:rsid w:val="002C3EB2"/>
    <w:rsid w:val="002C4680"/>
    <w:rsid w:val="002C50CD"/>
    <w:rsid w:val="002C52F6"/>
    <w:rsid w:val="002C5D89"/>
    <w:rsid w:val="002C65E2"/>
    <w:rsid w:val="002C71B8"/>
    <w:rsid w:val="002C74F8"/>
    <w:rsid w:val="002C7E53"/>
    <w:rsid w:val="002D38A1"/>
    <w:rsid w:val="002D3B54"/>
    <w:rsid w:val="002D45CC"/>
    <w:rsid w:val="002D499A"/>
    <w:rsid w:val="002D58C6"/>
    <w:rsid w:val="002D6F29"/>
    <w:rsid w:val="002D752F"/>
    <w:rsid w:val="002E2A1C"/>
    <w:rsid w:val="002E2B94"/>
    <w:rsid w:val="002E4457"/>
    <w:rsid w:val="002E4D5D"/>
    <w:rsid w:val="002E5570"/>
    <w:rsid w:val="002E5653"/>
    <w:rsid w:val="002E567E"/>
    <w:rsid w:val="002E5B54"/>
    <w:rsid w:val="002E64FE"/>
    <w:rsid w:val="002E68A2"/>
    <w:rsid w:val="002E6CB9"/>
    <w:rsid w:val="002E7720"/>
    <w:rsid w:val="002E7DAA"/>
    <w:rsid w:val="002E7E51"/>
    <w:rsid w:val="002F0AF3"/>
    <w:rsid w:val="002F1FFF"/>
    <w:rsid w:val="002F272B"/>
    <w:rsid w:val="002F3555"/>
    <w:rsid w:val="002F3617"/>
    <w:rsid w:val="002F377C"/>
    <w:rsid w:val="002F3F5E"/>
    <w:rsid w:val="002F52FE"/>
    <w:rsid w:val="002F6072"/>
    <w:rsid w:val="002F61DF"/>
    <w:rsid w:val="002F6BB7"/>
    <w:rsid w:val="002F71E1"/>
    <w:rsid w:val="002F7989"/>
    <w:rsid w:val="00301613"/>
    <w:rsid w:val="00301F58"/>
    <w:rsid w:val="00304056"/>
    <w:rsid w:val="003067BF"/>
    <w:rsid w:val="003105A8"/>
    <w:rsid w:val="003111A8"/>
    <w:rsid w:val="003114E8"/>
    <w:rsid w:val="00311B1F"/>
    <w:rsid w:val="00312A92"/>
    <w:rsid w:val="00312DD3"/>
    <w:rsid w:val="00313404"/>
    <w:rsid w:val="0031352D"/>
    <w:rsid w:val="00313A83"/>
    <w:rsid w:val="00313E0A"/>
    <w:rsid w:val="00314495"/>
    <w:rsid w:val="003144E8"/>
    <w:rsid w:val="003149AE"/>
    <w:rsid w:val="00314C14"/>
    <w:rsid w:val="00315242"/>
    <w:rsid w:val="00315423"/>
    <w:rsid w:val="00315B54"/>
    <w:rsid w:val="00316330"/>
    <w:rsid w:val="00321392"/>
    <w:rsid w:val="00321751"/>
    <w:rsid w:val="003234EE"/>
    <w:rsid w:val="00323CDD"/>
    <w:rsid w:val="003242E8"/>
    <w:rsid w:val="00324603"/>
    <w:rsid w:val="0032493F"/>
    <w:rsid w:val="00325A9B"/>
    <w:rsid w:val="00325B62"/>
    <w:rsid w:val="00325F04"/>
    <w:rsid w:val="0032689F"/>
    <w:rsid w:val="00326DE1"/>
    <w:rsid w:val="00326F51"/>
    <w:rsid w:val="00327683"/>
    <w:rsid w:val="00327D80"/>
    <w:rsid w:val="00330B20"/>
    <w:rsid w:val="00331673"/>
    <w:rsid w:val="00332967"/>
    <w:rsid w:val="00332AD2"/>
    <w:rsid w:val="00332D77"/>
    <w:rsid w:val="00333978"/>
    <w:rsid w:val="00333F6F"/>
    <w:rsid w:val="0033404F"/>
    <w:rsid w:val="00334051"/>
    <w:rsid w:val="0033436C"/>
    <w:rsid w:val="00335ADC"/>
    <w:rsid w:val="0033619C"/>
    <w:rsid w:val="00336962"/>
    <w:rsid w:val="00340119"/>
    <w:rsid w:val="003402C2"/>
    <w:rsid w:val="00340627"/>
    <w:rsid w:val="003407F6"/>
    <w:rsid w:val="003410CF"/>
    <w:rsid w:val="00341BFB"/>
    <w:rsid w:val="003430EE"/>
    <w:rsid w:val="0034592D"/>
    <w:rsid w:val="00346111"/>
    <w:rsid w:val="00346BAE"/>
    <w:rsid w:val="0034793E"/>
    <w:rsid w:val="00347C7B"/>
    <w:rsid w:val="0035066C"/>
    <w:rsid w:val="003509A5"/>
    <w:rsid w:val="003513BB"/>
    <w:rsid w:val="00352A18"/>
    <w:rsid w:val="00353F35"/>
    <w:rsid w:val="0035428A"/>
    <w:rsid w:val="0035474C"/>
    <w:rsid w:val="00354FFE"/>
    <w:rsid w:val="00356838"/>
    <w:rsid w:val="00356FE9"/>
    <w:rsid w:val="00357301"/>
    <w:rsid w:val="00357BFD"/>
    <w:rsid w:val="00361CD7"/>
    <w:rsid w:val="003621D8"/>
    <w:rsid w:val="0036333D"/>
    <w:rsid w:val="00364AB7"/>
    <w:rsid w:val="0036558D"/>
    <w:rsid w:val="00365B49"/>
    <w:rsid w:val="00365DA0"/>
    <w:rsid w:val="00366299"/>
    <w:rsid w:val="00370628"/>
    <w:rsid w:val="00371202"/>
    <w:rsid w:val="00371A38"/>
    <w:rsid w:val="00371ED1"/>
    <w:rsid w:val="00372654"/>
    <w:rsid w:val="003743FE"/>
    <w:rsid w:val="00374B05"/>
    <w:rsid w:val="00374F80"/>
    <w:rsid w:val="0037501D"/>
    <w:rsid w:val="003766B5"/>
    <w:rsid w:val="00377331"/>
    <w:rsid w:val="00377741"/>
    <w:rsid w:val="00377F94"/>
    <w:rsid w:val="003806C6"/>
    <w:rsid w:val="00380D23"/>
    <w:rsid w:val="00381944"/>
    <w:rsid w:val="00381F75"/>
    <w:rsid w:val="00383686"/>
    <w:rsid w:val="0038378B"/>
    <w:rsid w:val="00385A0B"/>
    <w:rsid w:val="00385CD4"/>
    <w:rsid w:val="00385DF2"/>
    <w:rsid w:val="003876A3"/>
    <w:rsid w:val="00387B41"/>
    <w:rsid w:val="00390A5F"/>
    <w:rsid w:val="00392B2F"/>
    <w:rsid w:val="00393763"/>
    <w:rsid w:val="00394625"/>
    <w:rsid w:val="00395A72"/>
    <w:rsid w:val="00395AE1"/>
    <w:rsid w:val="00395BBA"/>
    <w:rsid w:val="00395C22"/>
    <w:rsid w:val="003A0A08"/>
    <w:rsid w:val="003A1B50"/>
    <w:rsid w:val="003A3E29"/>
    <w:rsid w:val="003A42C0"/>
    <w:rsid w:val="003A53FB"/>
    <w:rsid w:val="003A567D"/>
    <w:rsid w:val="003B0A41"/>
    <w:rsid w:val="003B1BAF"/>
    <w:rsid w:val="003B2181"/>
    <w:rsid w:val="003B2A8C"/>
    <w:rsid w:val="003B3145"/>
    <w:rsid w:val="003B335D"/>
    <w:rsid w:val="003B3C75"/>
    <w:rsid w:val="003B3ED7"/>
    <w:rsid w:val="003B45E9"/>
    <w:rsid w:val="003B4685"/>
    <w:rsid w:val="003B4F73"/>
    <w:rsid w:val="003B4FCD"/>
    <w:rsid w:val="003B683A"/>
    <w:rsid w:val="003B685E"/>
    <w:rsid w:val="003B7DFC"/>
    <w:rsid w:val="003B7FD0"/>
    <w:rsid w:val="003C02CB"/>
    <w:rsid w:val="003C13EB"/>
    <w:rsid w:val="003C147E"/>
    <w:rsid w:val="003C299C"/>
    <w:rsid w:val="003C30CE"/>
    <w:rsid w:val="003C3190"/>
    <w:rsid w:val="003C3565"/>
    <w:rsid w:val="003C39FC"/>
    <w:rsid w:val="003C4B60"/>
    <w:rsid w:val="003C5686"/>
    <w:rsid w:val="003C57FB"/>
    <w:rsid w:val="003C62BF"/>
    <w:rsid w:val="003C633A"/>
    <w:rsid w:val="003D024F"/>
    <w:rsid w:val="003D05F7"/>
    <w:rsid w:val="003D0EE7"/>
    <w:rsid w:val="003D24E1"/>
    <w:rsid w:val="003D24EC"/>
    <w:rsid w:val="003D4395"/>
    <w:rsid w:val="003D447B"/>
    <w:rsid w:val="003D4491"/>
    <w:rsid w:val="003D4E46"/>
    <w:rsid w:val="003D66AC"/>
    <w:rsid w:val="003E017B"/>
    <w:rsid w:val="003E01C8"/>
    <w:rsid w:val="003E0D09"/>
    <w:rsid w:val="003E0FF4"/>
    <w:rsid w:val="003E1381"/>
    <w:rsid w:val="003E1695"/>
    <w:rsid w:val="003E2649"/>
    <w:rsid w:val="003E2935"/>
    <w:rsid w:val="003E30F7"/>
    <w:rsid w:val="003E3C19"/>
    <w:rsid w:val="003E3D66"/>
    <w:rsid w:val="003E4368"/>
    <w:rsid w:val="003E43A1"/>
    <w:rsid w:val="003E4499"/>
    <w:rsid w:val="003E5387"/>
    <w:rsid w:val="003E5627"/>
    <w:rsid w:val="003E571B"/>
    <w:rsid w:val="003E597F"/>
    <w:rsid w:val="003E675B"/>
    <w:rsid w:val="003E6C12"/>
    <w:rsid w:val="003E7C9F"/>
    <w:rsid w:val="003F2247"/>
    <w:rsid w:val="003F23D2"/>
    <w:rsid w:val="003F35F3"/>
    <w:rsid w:val="003F3B72"/>
    <w:rsid w:val="003F4384"/>
    <w:rsid w:val="003F4853"/>
    <w:rsid w:val="003F513E"/>
    <w:rsid w:val="003F5731"/>
    <w:rsid w:val="003F6316"/>
    <w:rsid w:val="003F65F1"/>
    <w:rsid w:val="003F67F0"/>
    <w:rsid w:val="003F6EBA"/>
    <w:rsid w:val="003F725A"/>
    <w:rsid w:val="003F73FA"/>
    <w:rsid w:val="003F78DC"/>
    <w:rsid w:val="00400A8D"/>
    <w:rsid w:val="00400BA7"/>
    <w:rsid w:val="00401B29"/>
    <w:rsid w:val="00401C45"/>
    <w:rsid w:val="004027C4"/>
    <w:rsid w:val="0040314E"/>
    <w:rsid w:val="004042FA"/>
    <w:rsid w:val="00405AD7"/>
    <w:rsid w:val="00405E7D"/>
    <w:rsid w:val="00406D8D"/>
    <w:rsid w:val="00407137"/>
    <w:rsid w:val="004129CC"/>
    <w:rsid w:val="004157E9"/>
    <w:rsid w:val="004158F5"/>
    <w:rsid w:val="00417520"/>
    <w:rsid w:val="004179AF"/>
    <w:rsid w:val="004204BF"/>
    <w:rsid w:val="004207B1"/>
    <w:rsid w:val="00421DBC"/>
    <w:rsid w:val="00422298"/>
    <w:rsid w:val="00422E8C"/>
    <w:rsid w:val="00422F02"/>
    <w:rsid w:val="00423120"/>
    <w:rsid w:val="004231EE"/>
    <w:rsid w:val="00423679"/>
    <w:rsid w:val="00423BD6"/>
    <w:rsid w:val="00423FC4"/>
    <w:rsid w:val="00424207"/>
    <w:rsid w:val="0042422B"/>
    <w:rsid w:val="004242AF"/>
    <w:rsid w:val="00424DC9"/>
    <w:rsid w:val="00425020"/>
    <w:rsid w:val="00425258"/>
    <w:rsid w:val="00425491"/>
    <w:rsid w:val="00426C00"/>
    <w:rsid w:val="004279CC"/>
    <w:rsid w:val="0043082B"/>
    <w:rsid w:val="00431D7D"/>
    <w:rsid w:val="00431DA0"/>
    <w:rsid w:val="004330D2"/>
    <w:rsid w:val="00433145"/>
    <w:rsid w:val="00433452"/>
    <w:rsid w:val="004337F8"/>
    <w:rsid w:val="00433D81"/>
    <w:rsid w:val="00434952"/>
    <w:rsid w:val="00434BAA"/>
    <w:rsid w:val="00434C35"/>
    <w:rsid w:val="0043571A"/>
    <w:rsid w:val="00437342"/>
    <w:rsid w:val="00437395"/>
    <w:rsid w:val="00437A6E"/>
    <w:rsid w:val="00437A72"/>
    <w:rsid w:val="00437CFD"/>
    <w:rsid w:val="00441709"/>
    <w:rsid w:val="00441B7D"/>
    <w:rsid w:val="00441D26"/>
    <w:rsid w:val="00443E01"/>
    <w:rsid w:val="004446AA"/>
    <w:rsid w:val="004447BB"/>
    <w:rsid w:val="00444BF7"/>
    <w:rsid w:val="00444C2C"/>
    <w:rsid w:val="00444E0F"/>
    <w:rsid w:val="00445DAA"/>
    <w:rsid w:val="00447234"/>
    <w:rsid w:val="00450BEC"/>
    <w:rsid w:val="00451F90"/>
    <w:rsid w:val="00452211"/>
    <w:rsid w:val="00452E38"/>
    <w:rsid w:val="00452FCE"/>
    <w:rsid w:val="0045306D"/>
    <w:rsid w:val="004539F2"/>
    <w:rsid w:val="00454C78"/>
    <w:rsid w:val="00455008"/>
    <w:rsid w:val="0046058A"/>
    <w:rsid w:val="00460838"/>
    <w:rsid w:val="0046263B"/>
    <w:rsid w:val="00462AE5"/>
    <w:rsid w:val="004639A3"/>
    <w:rsid w:val="00464331"/>
    <w:rsid w:val="00464531"/>
    <w:rsid w:val="00465472"/>
    <w:rsid w:val="00465718"/>
    <w:rsid w:val="00466054"/>
    <w:rsid w:val="00466E49"/>
    <w:rsid w:val="00467D61"/>
    <w:rsid w:val="00470004"/>
    <w:rsid w:val="004711B6"/>
    <w:rsid w:val="00471407"/>
    <w:rsid w:val="00472D23"/>
    <w:rsid w:val="004732B4"/>
    <w:rsid w:val="00473892"/>
    <w:rsid w:val="0047483D"/>
    <w:rsid w:val="004751A7"/>
    <w:rsid w:val="004773DA"/>
    <w:rsid w:val="004779DA"/>
    <w:rsid w:val="0048025D"/>
    <w:rsid w:val="00483081"/>
    <w:rsid w:val="00483A7E"/>
    <w:rsid w:val="00485D8A"/>
    <w:rsid w:val="00487671"/>
    <w:rsid w:val="00487F4C"/>
    <w:rsid w:val="00491A0C"/>
    <w:rsid w:val="004921D1"/>
    <w:rsid w:val="00492664"/>
    <w:rsid w:val="00492D6C"/>
    <w:rsid w:val="00493702"/>
    <w:rsid w:val="0049406C"/>
    <w:rsid w:val="0049411E"/>
    <w:rsid w:val="004941FF"/>
    <w:rsid w:val="00494267"/>
    <w:rsid w:val="00494F16"/>
    <w:rsid w:val="00495275"/>
    <w:rsid w:val="0049565E"/>
    <w:rsid w:val="00495913"/>
    <w:rsid w:val="00495EFA"/>
    <w:rsid w:val="0049701E"/>
    <w:rsid w:val="004974AF"/>
    <w:rsid w:val="004A0F6F"/>
    <w:rsid w:val="004A1535"/>
    <w:rsid w:val="004A23C1"/>
    <w:rsid w:val="004A28F6"/>
    <w:rsid w:val="004A2953"/>
    <w:rsid w:val="004A2A9C"/>
    <w:rsid w:val="004A2AB2"/>
    <w:rsid w:val="004A2C1E"/>
    <w:rsid w:val="004A32D0"/>
    <w:rsid w:val="004A34D6"/>
    <w:rsid w:val="004A365E"/>
    <w:rsid w:val="004A3A04"/>
    <w:rsid w:val="004A4782"/>
    <w:rsid w:val="004A4A72"/>
    <w:rsid w:val="004A64F0"/>
    <w:rsid w:val="004A7056"/>
    <w:rsid w:val="004A73A0"/>
    <w:rsid w:val="004A75E6"/>
    <w:rsid w:val="004A7D40"/>
    <w:rsid w:val="004B0855"/>
    <w:rsid w:val="004B0C28"/>
    <w:rsid w:val="004B10E2"/>
    <w:rsid w:val="004B232A"/>
    <w:rsid w:val="004B3B05"/>
    <w:rsid w:val="004B5A13"/>
    <w:rsid w:val="004B5D97"/>
    <w:rsid w:val="004B7F81"/>
    <w:rsid w:val="004C0308"/>
    <w:rsid w:val="004C2859"/>
    <w:rsid w:val="004C30BE"/>
    <w:rsid w:val="004C3143"/>
    <w:rsid w:val="004C345D"/>
    <w:rsid w:val="004C44A8"/>
    <w:rsid w:val="004C6012"/>
    <w:rsid w:val="004C61E1"/>
    <w:rsid w:val="004C6A62"/>
    <w:rsid w:val="004C6BF0"/>
    <w:rsid w:val="004C7E3E"/>
    <w:rsid w:val="004D013D"/>
    <w:rsid w:val="004D1974"/>
    <w:rsid w:val="004D26B6"/>
    <w:rsid w:val="004D327F"/>
    <w:rsid w:val="004D34D1"/>
    <w:rsid w:val="004D36C1"/>
    <w:rsid w:val="004D3ADF"/>
    <w:rsid w:val="004D51A1"/>
    <w:rsid w:val="004D62BB"/>
    <w:rsid w:val="004D6D12"/>
    <w:rsid w:val="004D7748"/>
    <w:rsid w:val="004D77D1"/>
    <w:rsid w:val="004E052B"/>
    <w:rsid w:val="004E1BFE"/>
    <w:rsid w:val="004E27D3"/>
    <w:rsid w:val="004E2F21"/>
    <w:rsid w:val="004E32AF"/>
    <w:rsid w:val="004E3D77"/>
    <w:rsid w:val="004E435A"/>
    <w:rsid w:val="004E56F1"/>
    <w:rsid w:val="004E6063"/>
    <w:rsid w:val="004E6253"/>
    <w:rsid w:val="004E6E64"/>
    <w:rsid w:val="004E7141"/>
    <w:rsid w:val="004F0E98"/>
    <w:rsid w:val="004F2007"/>
    <w:rsid w:val="004F230F"/>
    <w:rsid w:val="004F25F9"/>
    <w:rsid w:val="004F2C4B"/>
    <w:rsid w:val="004F2EF3"/>
    <w:rsid w:val="004F3B97"/>
    <w:rsid w:val="004F434B"/>
    <w:rsid w:val="004F709D"/>
    <w:rsid w:val="00501287"/>
    <w:rsid w:val="00501431"/>
    <w:rsid w:val="00502069"/>
    <w:rsid w:val="005026AA"/>
    <w:rsid w:val="00502E8A"/>
    <w:rsid w:val="00503966"/>
    <w:rsid w:val="005042DA"/>
    <w:rsid w:val="00504A10"/>
    <w:rsid w:val="00504C06"/>
    <w:rsid w:val="00504E6D"/>
    <w:rsid w:val="0050581A"/>
    <w:rsid w:val="00506606"/>
    <w:rsid w:val="0050721E"/>
    <w:rsid w:val="00507EDD"/>
    <w:rsid w:val="00507F4B"/>
    <w:rsid w:val="00510223"/>
    <w:rsid w:val="005124B0"/>
    <w:rsid w:val="00512512"/>
    <w:rsid w:val="00513429"/>
    <w:rsid w:val="00514BCA"/>
    <w:rsid w:val="00514BEE"/>
    <w:rsid w:val="0051678C"/>
    <w:rsid w:val="0051772D"/>
    <w:rsid w:val="00517D48"/>
    <w:rsid w:val="00522171"/>
    <w:rsid w:val="00523E3F"/>
    <w:rsid w:val="005248D0"/>
    <w:rsid w:val="00525199"/>
    <w:rsid w:val="00526821"/>
    <w:rsid w:val="005268A2"/>
    <w:rsid w:val="00526D11"/>
    <w:rsid w:val="00526EE2"/>
    <w:rsid w:val="00530257"/>
    <w:rsid w:val="00532377"/>
    <w:rsid w:val="005357B0"/>
    <w:rsid w:val="00537A42"/>
    <w:rsid w:val="00540587"/>
    <w:rsid w:val="00540FCC"/>
    <w:rsid w:val="00541D1E"/>
    <w:rsid w:val="005422CE"/>
    <w:rsid w:val="0054352D"/>
    <w:rsid w:val="0054376F"/>
    <w:rsid w:val="00543F1F"/>
    <w:rsid w:val="00544363"/>
    <w:rsid w:val="00545361"/>
    <w:rsid w:val="00545411"/>
    <w:rsid w:val="00545ADA"/>
    <w:rsid w:val="00545D63"/>
    <w:rsid w:val="005466B3"/>
    <w:rsid w:val="00546E89"/>
    <w:rsid w:val="00550AF8"/>
    <w:rsid w:val="005512ED"/>
    <w:rsid w:val="00551A21"/>
    <w:rsid w:val="00553796"/>
    <w:rsid w:val="00553B53"/>
    <w:rsid w:val="0055411F"/>
    <w:rsid w:val="00554247"/>
    <w:rsid w:val="0055564C"/>
    <w:rsid w:val="00556C7C"/>
    <w:rsid w:val="00556DF2"/>
    <w:rsid w:val="005579C4"/>
    <w:rsid w:val="00557E27"/>
    <w:rsid w:val="005602D7"/>
    <w:rsid w:val="00561B1D"/>
    <w:rsid w:val="00561B91"/>
    <w:rsid w:val="0056230E"/>
    <w:rsid w:val="005623DE"/>
    <w:rsid w:val="00562530"/>
    <w:rsid w:val="00564551"/>
    <w:rsid w:val="00564DDE"/>
    <w:rsid w:val="00565594"/>
    <w:rsid w:val="005657CC"/>
    <w:rsid w:val="00566A68"/>
    <w:rsid w:val="00566EFA"/>
    <w:rsid w:val="00567298"/>
    <w:rsid w:val="00567A9B"/>
    <w:rsid w:val="0057017C"/>
    <w:rsid w:val="0057093E"/>
    <w:rsid w:val="00570C45"/>
    <w:rsid w:val="00572AA1"/>
    <w:rsid w:val="00573269"/>
    <w:rsid w:val="005742A4"/>
    <w:rsid w:val="0057504A"/>
    <w:rsid w:val="00580190"/>
    <w:rsid w:val="005812D1"/>
    <w:rsid w:val="005815D8"/>
    <w:rsid w:val="00581A98"/>
    <w:rsid w:val="00581C13"/>
    <w:rsid w:val="00582411"/>
    <w:rsid w:val="00582B55"/>
    <w:rsid w:val="005832A6"/>
    <w:rsid w:val="00583A71"/>
    <w:rsid w:val="00584227"/>
    <w:rsid w:val="005862FC"/>
    <w:rsid w:val="00586911"/>
    <w:rsid w:val="00587418"/>
    <w:rsid w:val="00590596"/>
    <w:rsid w:val="00590D8E"/>
    <w:rsid w:val="005918D7"/>
    <w:rsid w:val="00591D46"/>
    <w:rsid w:val="00592801"/>
    <w:rsid w:val="005929BF"/>
    <w:rsid w:val="00592E96"/>
    <w:rsid w:val="00593E76"/>
    <w:rsid w:val="0059527D"/>
    <w:rsid w:val="00595567"/>
    <w:rsid w:val="00595BB7"/>
    <w:rsid w:val="00595D19"/>
    <w:rsid w:val="00595F3B"/>
    <w:rsid w:val="0059719A"/>
    <w:rsid w:val="005A07E0"/>
    <w:rsid w:val="005A0CCD"/>
    <w:rsid w:val="005A132C"/>
    <w:rsid w:val="005A1C0B"/>
    <w:rsid w:val="005A1D84"/>
    <w:rsid w:val="005A28EE"/>
    <w:rsid w:val="005A2A7E"/>
    <w:rsid w:val="005A2FCF"/>
    <w:rsid w:val="005A3A26"/>
    <w:rsid w:val="005A3F52"/>
    <w:rsid w:val="005A512E"/>
    <w:rsid w:val="005A5497"/>
    <w:rsid w:val="005A5B88"/>
    <w:rsid w:val="005A706E"/>
    <w:rsid w:val="005A75C0"/>
    <w:rsid w:val="005A7911"/>
    <w:rsid w:val="005B0909"/>
    <w:rsid w:val="005B2083"/>
    <w:rsid w:val="005B2C87"/>
    <w:rsid w:val="005B36A0"/>
    <w:rsid w:val="005B3FDE"/>
    <w:rsid w:val="005B40EE"/>
    <w:rsid w:val="005B6CD3"/>
    <w:rsid w:val="005B74F4"/>
    <w:rsid w:val="005B7E72"/>
    <w:rsid w:val="005C07B6"/>
    <w:rsid w:val="005C1772"/>
    <w:rsid w:val="005C222E"/>
    <w:rsid w:val="005C23E3"/>
    <w:rsid w:val="005C32BC"/>
    <w:rsid w:val="005C3F8A"/>
    <w:rsid w:val="005C58F0"/>
    <w:rsid w:val="005C6488"/>
    <w:rsid w:val="005C71B1"/>
    <w:rsid w:val="005C7C16"/>
    <w:rsid w:val="005C7E63"/>
    <w:rsid w:val="005D02FD"/>
    <w:rsid w:val="005D0D9F"/>
    <w:rsid w:val="005D230F"/>
    <w:rsid w:val="005D23B3"/>
    <w:rsid w:val="005D255E"/>
    <w:rsid w:val="005D2E27"/>
    <w:rsid w:val="005D3234"/>
    <w:rsid w:val="005D3C2C"/>
    <w:rsid w:val="005D4295"/>
    <w:rsid w:val="005D62B8"/>
    <w:rsid w:val="005D6542"/>
    <w:rsid w:val="005D6849"/>
    <w:rsid w:val="005D6B33"/>
    <w:rsid w:val="005D7683"/>
    <w:rsid w:val="005E02DD"/>
    <w:rsid w:val="005E0FBE"/>
    <w:rsid w:val="005E1FAA"/>
    <w:rsid w:val="005E215F"/>
    <w:rsid w:val="005E2ABE"/>
    <w:rsid w:val="005E436C"/>
    <w:rsid w:val="005E4AE8"/>
    <w:rsid w:val="005E5177"/>
    <w:rsid w:val="005E54EE"/>
    <w:rsid w:val="005E5FBA"/>
    <w:rsid w:val="005F1118"/>
    <w:rsid w:val="005F11A2"/>
    <w:rsid w:val="005F39B9"/>
    <w:rsid w:val="005F41F9"/>
    <w:rsid w:val="005F445B"/>
    <w:rsid w:val="005F59FB"/>
    <w:rsid w:val="005F5B1F"/>
    <w:rsid w:val="005F7AA2"/>
    <w:rsid w:val="006006A4"/>
    <w:rsid w:val="00600DB3"/>
    <w:rsid w:val="00600F38"/>
    <w:rsid w:val="00601154"/>
    <w:rsid w:val="00601BB8"/>
    <w:rsid w:val="006024C8"/>
    <w:rsid w:val="006037E8"/>
    <w:rsid w:val="006053FF"/>
    <w:rsid w:val="00606D1D"/>
    <w:rsid w:val="00607033"/>
    <w:rsid w:val="006106CF"/>
    <w:rsid w:val="00610A8C"/>
    <w:rsid w:val="00612316"/>
    <w:rsid w:val="006132C6"/>
    <w:rsid w:val="00613AB4"/>
    <w:rsid w:val="0061618B"/>
    <w:rsid w:val="00616D11"/>
    <w:rsid w:val="006204F4"/>
    <w:rsid w:val="00621E7E"/>
    <w:rsid w:val="006233BE"/>
    <w:rsid w:val="00623F29"/>
    <w:rsid w:val="00624196"/>
    <w:rsid w:val="00624231"/>
    <w:rsid w:val="0062437C"/>
    <w:rsid w:val="00624C17"/>
    <w:rsid w:val="00624D5C"/>
    <w:rsid w:val="006260A3"/>
    <w:rsid w:val="006262F2"/>
    <w:rsid w:val="00626680"/>
    <w:rsid w:val="006278E6"/>
    <w:rsid w:val="00627BB9"/>
    <w:rsid w:val="00630026"/>
    <w:rsid w:val="00631A90"/>
    <w:rsid w:val="00631E12"/>
    <w:rsid w:val="006327C9"/>
    <w:rsid w:val="00632F0C"/>
    <w:rsid w:val="006335F2"/>
    <w:rsid w:val="00635B84"/>
    <w:rsid w:val="00635CB0"/>
    <w:rsid w:val="006366E6"/>
    <w:rsid w:val="00637C64"/>
    <w:rsid w:val="00640633"/>
    <w:rsid w:val="00640952"/>
    <w:rsid w:val="0064127C"/>
    <w:rsid w:val="0064268A"/>
    <w:rsid w:val="00642918"/>
    <w:rsid w:val="0064322A"/>
    <w:rsid w:val="00644783"/>
    <w:rsid w:val="00645025"/>
    <w:rsid w:val="00645D34"/>
    <w:rsid w:val="006461D8"/>
    <w:rsid w:val="006464B5"/>
    <w:rsid w:val="00647042"/>
    <w:rsid w:val="00650548"/>
    <w:rsid w:val="006517C3"/>
    <w:rsid w:val="006521A6"/>
    <w:rsid w:val="00652AD8"/>
    <w:rsid w:val="00652E52"/>
    <w:rsid w:val="00653D26"/>
    <w:rsid w:val="00656A1B"/>
    <w:rsid w:val="006572BF"/>
    <w:rsid w:val="006572FA"/>
    <w:rsid w:val="0066053F"/>
    <w:rsid w:val="00660A05"/>
    <w:rsid w:val="00661703"/>
    <w:rsid w:val="00662AF1"/>
    <w:rsid w:val="0066538F"/>
    <w:rsid w:val="00665BB6"/>
    <w:rsid w:val="00665CB7"/>
    <w:rsid w:val="00666B25"/>
    <w:rsid w:val="00671EA4"/>
    <w:rsid w:val="00672DBA"/>
    <w:rsid w:val="00672E49"/>
    <w:rsid w:val="00673DAD"/>
    <w:rsid w:val="00674D04"/>
    <w:rsid w:val="00674D97"/>
    <w:rsid w:val="00675F0A"/>
    <w:rsid w:val="00676703"/>
    <w:rsid w:val="00676D93"/>
    <w:rsid w:val="006779EF"/>
    <w:rsid w:val="00680BC9"/>
    <w:rsid w:val="0068129E"/>
    <w:rsid w:val="00682777"/>
    <w:rsid w:val="00682D67"/>
    <w:rsid w:val="00683083"/>
    <w:rsid w:val="006833AE"/>
    <w:rsid w:val="0068393B"/>
    <w:rsid w:val="0068516D"/>
    <w:rsid w:val="0068673B"/>
    <w:rsid w:val="00687A17"/>
    <w:rsid w:val="00687F56"/>
    <w:rsid w:val="00692171"/>
    <w:rsid w:val="00693544"/>
    <w:rsid w:val="0069371C"/>
    <w:rsid w:val="006937F9"/>
    <w:rsid w:val="00694B8B"/>
    <w:rsid w:val="00695F68"/>
    <w:rsid w:val="00696561"/>
    <w:rsid w:val="006969C1"/>
    <w:rsid w:val="00696A9C"/>
    <w:rsid w:val="00697102"/>
    <w:rsid w:val="006972E0"/>
    <w:rsid w:val="006974A2"/>
    <w:rsid w:val="00697F21"/>
    <w:rsid w:val="006A05EA"/>
    <w:rsid w:val="006A10CA"/>
    <w:rsid w:val="006A186F"/>
    <w:rsid w:val="006A21F6"/>
    <w:rsid w:val="006A2747"/>
    <w:rsid w:val="006A477A"/>
    <w:rsid w:val="006A5DDC"/>
    <w:rsid w:val="006A6584"/>
    <w:rsid w:val="006A6DB6"/>
    <w:rsid w:val="006A6E05"/>
    <w:rsid w:val="006A7DDC"/>
    <w:rsid w:val="006B01B6"/>
    <w:rsid w:val="006B02CC"/>
    <w:rsid w:val="006B0861"/>
    <w:rsid w:val="006B0ADF"/>
    <w:rsid w:val="006B1AD2"/>
    <w:rsid w:val="006B1FEC"/>
    <w:rsid w:val="006B26F6"/>
    <w:rsid w:val="006B2ED9"/>
    <w:rsid w:val="006B43AB"/>
    <w:rsid w:val="006B46E1"/>
    <w:rsid w:val="006B4F8C"/>
    <w:rsid w:val="006B61FE"/>
    <w:rsid w:val="006B66B2"/>
    <w:rsid w:val="006B6D3A"/>
    <w:rsid w:val="006B7FBF"/>
    <w:rsid w:val="006C0B61"/>
    <w:rsid w:val="006C21FC"/>
    <w:rsid w:val="006C2794"/>
    <w:rsid w:val="006C35F5"/>
    <w:rsid w:val="006C3CB7"/>
    <w:rsid w:val="006C5435"/>
    <w:rsid w:val="006C559E"/>
    <w:rsid w:val="006C5C04"/>
    <w:rsid w:val="006C6510"/>
    <w:rsid w:val="006C6ABB"/>
    <w:rsid w:val="006C7064"/>
    <w:rsid w:val="006D060D"/>
    <w:rsid w:val="006D0839"/>
    <w:rsid w:val="006D0D06"/>
    <w:rsid w:val="006D154D"/>
    <w:rsid w:val="006D1873"/>
    <w:rsid w:val="006D1EF2"/>
    <w:rsid w:val="006D2B3B"/>
    <w:rsid w:val="006D44AF"/>
    <w:rsid w:val="006D4698"/>
    <w:rsid w:val="006D46B0"/>
    <w:rsid w:val="006D64A8"/>
    <w:rsid w:val="006D792D"/>
    <w:rsid w:val="006D79FE"/>
    <w:rsid w:val="006D7A71"/>
    <w:rsid w:val="006E26F2"/>
    <w:rsid w:val="006E3763"/>
    <w:rsid w:val="006E3A8B"/>
    <w:rsid w:val="006E421A"/>
    <w:rsid w:val="006E44D0"/>
    <w:rsid w:val="006E4BBA"/>
    <w:rsid w:val="006E651C"/>
    <w:rsid w:val="006E6A63"/>
    <w:rsid w:val="006F0010"/>
    <w:rsid w:val="006F03D4"/>
    <w:rsid w:val="006F066A"/>
    <w:rsid w:val="006F1173"/>
    <w:rsid w:val="006F15E4"/>
    <w:rsid w:val="006F2163"/>
    <w:rsid w:val="006F226B"/>
    <w:rsid w:val="006F2CDA"/>
    <w:rsid w:val="006F309B"/>
    <w:rsid w:val="006F3826"/>
    <w:rsid w:val="006F472B"/>
    <w:rsid w:val="006F5156"/>
    <w:rsid w:val="006F59A1"/>
    <w:rsid w:val="006F6772"/>
    <w:rsid w:val="00700021"/>
    <w:rsid w:val="00700420"/>
    <w:rsid w:val="0070078C"/>
    <w:rsid w:val="00701902"/>
    <w:rsid w:val="007019D6"/>
    <w:rsid w:val="00701DD2"/>
    <w:rsid w:val="00702941"/>
    <w:rsid w:val="00703595"/>
    <w:rsid w:val="00703DBA"/>
    <w:rsid w:val="007049A4"/>
    <w:rsid w:val="00705C69"/>
    <w:rsid w:val="00707F5B"/>
    <w:rsid w:val="00710F6F"/>
    <w:rsid w:val="00711B3C"/>
    <w:rsid w:val="00711E5F"/>
    <w:rsid w:val="00712676"/>
    <w:rsid w:val="007127B4"/>
    <w:rsid w:val="007134B7"/>
    <w:rsid w:val="00713904"/>
    <w:rsid w:val="00713C54"/>
    <w:rsid w:val="00714321"/>
    <w:rsid w:val="00714784"/>
    <w:rsid w:val="00714DCF"/>
    <w:rsid w:val="00715243"/>
    <w:rsid w:val="00715337"/>
    <w:rsid w:val="00715572"/>
    <w:rsid w:val="0071558F"/>
    <w:rsid w:val="007157C8"/>
    <w:rsid w:val="00715FC0"/>
    <w:rsid w:val="00716286"/>
    <w:rsid w:val="0071643A"/>
    <w:rsid w:val="0071724A"/>
    <w:rsid w:val="00717261"/>
    <w:rsid w:val="00717F3D"/>
    <w:rsid w:val="007201CC"/>
    <w:rsid w:val="00720465"/>
    <w:rsid w:val="00720B2C"/>
    <w:rsid w:val="00721218"/>
    <w:rsid w:val="00721427"/>
    <w:rsid w:val="007219EC"/>
    <w:rsid w:val="00721DDE"/>
    <w:rsid w:val="00722159"/>
    <w:rsid w:val="0072260E"/>
    <w:rsid w:val="00724181"/>
    <w:rsid w:val="007256FD"/>
    <w:rsid w:val="00726890"/>
    <w:rsid w:val="00726F68"/>
    <w:rsid w:val="007270C4"/>
    <w:rsid w:val="00727291"/>
    <w:rsid w:val="00730844"/>
    <w:rsid w:val="00731847"/>
    <w:rsid w:val="00732940"/>
    <w:rsid w:val="007332A4"/>
    <w:rsid w:val="007339FF"/>
    <w:rsid w:val="00733E9F"/>
    <w:rsid w:val="0073431C"/>
    <w:rsid w:val="007352D7"/>
    <w:rsid w:val="00735689"/>
    <w:rsid w:val="007356A2"/>
    <w:rsid w:val="00735CE3"/>
    <w:rsid w:val="0073667F"/>
    <w:rsid w:val="00736D19"/>
    <w:rsid w:val="007401A7"/>
    <w:rsid w:val="00741941"/>
    <w:rsid w:val="00741C78"/>
    <w:rsid w:val="00742442"/>
    <w:rsid w:val="00742AC3"/>
    <w:rsid w:val="00743C28"/>
    <w:rsid w:val="00744A45"/>
    <w:rsid w:val="007456AE"/>
    <w:rsid w:val="00745953"/>
    <w:rsid w:val="007463DB"/>
    <w:rsid w:val="007469A6"/>
    <w:rsid w:val="00747BC3"/>
    <w:rsid w:val="0075030C"/>
    <w:rsid w:val="00750C2C"/>
    <w:rsid w:val="00751340"/>
    <w:rsid w:val="0075150A"/>
    <w:rsid w:val="0075150C"/>
    <w:rsid w:val="00751B79"/>
    <w:rsid w:val="00752AD0"/>
    <w:rsid w:val="007540D0"/>
    <w:rsid w:val="00754E12"/>
    <w:rsid w:val="00754FEA"/>
    <w:rsid w:val="007551A6"/>
    <w:rsid w:val="00755323"/>
    <w:rsid w:val="007558B4"/>
    <w:rsid w:val="00756BBD"/>
    <w:rsid w:val="0075772A"/>
    <w:rsid w:val="00760C73"/>
    <w:rsid w:val="0076195A"/>
    <w:rsid w:val="00761A5D"/>
    <w:rsid w:val="00762514"/>
    <w:rsid w:val="00762F94"/>
    <w:rsid w:val="00763C7D"/>
    <w:rsid w:val="00765220"/>
    <w:rsid w:val="00765DA9"/>
    <w:rsid w:val="00765F86"/>
    <w:rsid w:val="00766D41"/>
    <w:rsid w:val="00767AB4"/>
    <w:rsid w:val="007708F2"/>
    <w:rsid w:val="00770E6B"/>
    <w:rsid w:val="007721CC"/>
    <w:rsid w:val="007732E9"/>
    <w:rsid w:val="00773B37"/>
    <w:rsid w:val="00773B40"/>
    <w:rsid w:val="00774617"/>
    <w:rsid w:val="007756FD"/>
    <w:rsid w:val="00775AD9"/>
    <w:rsid w:val="00775EFE"/>
    <w:rsid w:val="00776475"/>
    <w:rsid w:val="0077684B"/>
    <w:rsid w:val="007804AD"/>
    <w:rsid w:val="007809AF"/>
    <w:rsid w:val="00780CEB"/>
    <w:rsid w:val="00781C9D"/>
    <w:rsid w:val="00783F0F"/>
    <w:rsid w:val="00784E0A"/>
    <w:rsid w:val="0078504A"/>
    <w:rsid w:val="00785425"/>
    <w:rsid w:val="00790744"/>
    <w:rsid w:val="0079090F"/>
    <w:rsid w:val="00791522"/>
    <w:rsid w:val="0079199E"/>
    <w:rsid w:val="00791AD0"/>
    <w:rsid w:val="007926A3"/>
    <w:rsid w:val="00793021"/>
    <w:rsid w:val="0079538B"/>
    <w:rsid w:val="00795BD4"/>
    <w:rsid w:val="00795C70"/>
    <w:rsid w:val="00796198"/>
    <w:rsid w:val="00797E38"/>
    <w:rsid w:val="007A086F"/>
    <w:rsid w:val="007A16AF"/>
    <w:rsid w:val="007A1FDF"/>
    <w:rsid w:val="007A2697"/>
    <w:rsid w:val="007A30D8"/>
    <w:rsid w:val="007A37EC"/>
    <w:rsid w:val="007A3E1B"/>
    <w:rsid w:val="007A42FC"/>
    <w:rsid w:val="007A65E8"/>
    <w:rsid w:val="007A6B64"/>
    <w:rsid w:val="007A76FF"/>
    <w:rsid w:val="007A7D80"/>
    <w:rsid w:val="007B0D41"/>
    <w:rsid w:val="007B1066"/>
    <w:rsid w:val="007B1227"/>
    <w:rsid w:val="007B2647"/>
    <w:rsid w:val="007B2A50"/>
    <w:rsid w:val="007B3467"/>
    <w:rsid w:val="007B3ADC"/>
    <w:rsid w:val="007B3B7B"/>
    <w:rsid w:val="007B56BA"/>
    <w:rsid w:val="007B5C63"/>
    <w:rsid w:val="007B762B"/>
    <w:rsid w:val="007B78A9"/>
    <w:rsid w:val="007C06FF"/>
    <w:rsid w:val="007C086F"/>
    <w:rsid w:val="007C15B0"/>
    <w:rsid w:val="007C3118"/>
    <w:rsid w:val="007C36EB"/>
    <w:rsid w:val="007C40D4"/>
    <w:rsid w:val="007C420F"/>
    <w:rsid w:val="007C528A"/>
    <w:rsid w:val="007C5C20"/>
    <w:rsid w:val="007C66A4"/>
    <w:rsid w:val="007C69EB"/>
    <w:rsid w:val="007C762F"/>
    <w:rsid w:val="007D0744"/>
    <w:rsid w:val="007D0910"/>
    <w:rsid w:val="007D16DE"/>
    <w:rsid w:val="007D1C90"/>
    <w:rsid w:val="007D2963"/>
    <w:rsid w:val="007D2DA1"/>
    <w:rsid w:val="007D39E7"/>
    <w:rsid w:val="007D3CE7"/>
    <w:rsid w:val="007D4A98"/>
    <w:rsid w:val="007D5605"/>
    <w:rsid w:val="007D5D9F"/>
    <w:rsid w:val="007D692E"/>
    <w:rsid w:val="007E0548"/>
    <w:rsid w:val="007E0B85"/>
    <w:rsid w:val="007E2A38"/>
    <w:rsid w:val="007E2AA5"/>
    <w:rsid w:val="007E2E90"/>
    <w:rsid w:val="007E3232"/>
    <w:rsid w:val="007E36E3"/>
    <w:rsid w:val="007E4B93"/>
    <w:rsid w:val="007E6060"/>
    <w:rsid w:val="007F0BE7"/>
    <w:rsid w:val="007F0FF6"/>
    <w:rsid w:val="007F1B6C"/>
    <w:rsid w:val="007F320D"/>
    <w:rsid w:val="007F334F"/>
    <w:rsid w:val="007F46A5"/>
    <w:rsid w:val="007F48D7"/>
    <w:rsid w:val="007F5D34"/>
    <w:rsid w:val="007F5F20"/>
    <w:rsid w:val="007F62BA"/>
    <w:rsid w:val="007F67F2"/>
    <w:rsid w:val="007F6C19"/>
    <w:rsid w:val="007F6D0C"/>
    <w:rsid w:val="007F6E09"/>
    <w:rsid w:val="007F6EC6"/>
    <w:rsid w:val="007F79BC"/>
    <w:rsid w:val="008006D0"/>
    <w:rsid w:val="00801104"/>
    <w:rsid w:val="008024C1"/>
    <w:rsid w:val="00802E7A"/>
    <w:rsid w:val="00802F71"/>
    <w:rsid w:val="00804D83"/>
    <w:rsid w:val="00804E83"/>
    <w:rsid w:val="00805D1E"/>
    <w:rsid w:val="00806F12"/>
    <w:rsid w:val="00807295"/>
    <w:rsid w:val="00807921"/>
    <w:rsid w:val="0081241F"/>
    <w:rsid w:val="00812593"/>
    <w:rsid w:val="008128A9"/>
    <w:rsid w:val="008129E2"/>
    <w:rsid w:val="00813457"/>
    <w:rsid w:val="008143E1"/>
    <w:rsid w:val="008146BD"/>
    <w:rsid w:val="00814970"/>
    <w:rsid w:val="00814BF0"/>
    <w:rsid w:val="00815F00"/>
    <w:rsid w:val="00816552"/>
    <w:rsid w:val="00816B04"/>
    <w:rsid w:val="00817E94"/>
    <w:rsid w:val="008203F5"/>
    <w:rsid w:val="00820868"/>
    <w:rsid w:val="00821703"/>
    <w:rsid w:val="00821DB5"/>
    <w:rsid w:val="00821F4C"/>
    <w:rsid w:val="008223FB"/>
    <w:rsid w:val="00823131"/>
    <w:rsid w:val="00823268"/>
    <w:rsid w:val="008238DD"/>
    <w:rsid w:val="00824544"/>
    <w:rsid w:val="00824A69"/>
    <w:rsid w:val="00824ED3"/>
    <w:rsid w:val="00825692"/>
    <w:rsid w:val="0082570D"/>
    <w:rsid w:val="00825B85"/>
    <w:rsid w:val="00826543"/>
    <w:rsid w:val="00827559"/>
    <w:rsid w:val="00827B68"/>
    <w:rsid w:val="008306DC"/>
    <w:rsid w:val="00831B75"/>
    <w:rsid w:val="00832112"/>
    <w:rsid w:val="0083216F"/>
    <w:rsid w:val="00832255"/>
    <w:rsid w:val="0083237A"/>
    <w:rsid w:val="0083308A"/>
    <w:rsid w:val="008336A1"/>
    <w:rsid w:val="008347DB"/>
    <w:rsid w:val="00834D10"/>
    <w:rsid w:val="00835B4A"/>
    <w:rsid w:val="00836334"/>
    <w:rsid w:val="0083732A"/>
    <w:rsid w:val="00837963"/>
    <w:rsid w:val="0084132A"/>
    <w:rsid w:val="00841E49"/>
    <w:rsid w:val="00842451"/>
    <w:rsid w:val="00842565"/>
    <w:rsid w:val="00842AD5"/>
    <w:rsid w:val="008435C0"/>
    <w:rsid w:val="00843C40"/>
    <w:rsid w:val="00843DE2"/>
    <w:rsid w:val="00844562"/>
    <w:rsid w:val="00845608"/>
    <w:rsid w:val="00845740"/>
    <w:rsid w:val="00845C33"/>
    <w:rsid w:val="008462B9"/>
    <w:rsid w:val="00850FA4"/>
    <w:rsid w:val="00852CF3"/>
    <w:rsid w:val="00853583"/>
    <w:rsid w:val="00853826"/>
    <w:rsid w:val="00854F2C"/>
    <w:rsid w:val="00855E00"/>
    <w:rsid w:val="00856444"/>
    <w:rsid w:val="00856BB0"/>
    <w:rsid w:val="00856C26"/>
    <w:rsid w:val="00857453"/>
    <w:rsid w:val="00857AB5"/>
    <w:rsid w:val="0086102C"/>
    <w:rsid w:val="00861C54"/>
    <w:rsid w:val="00862AB2"/>
    <w:rsid w:val="00862EC1"/>
    <w:rsid w:val="008636FC"/>
    <w:rsid w:val="00863B0E"/>
    <w:rsid w:val="0086425B"/>
    <w:rsid w:val="00864733"/>
    <w:rsid w:val="00864C3F"/>
    <w:rsid w:val="0086595A"/>
    <w:rsid w:val="00865B4E"/>
    <w:rsid w:val="00866BE0"/>
    <w:rsid w:val="00867B36"/>
    <w:rsid w:val="0087000D"/>
    <w:rsid w:val="0087036F"/>
    <w:rsid w:val="00870AB7"/>
    <w:rsid w:val="0087161B"/>
    <w:rsid w:val="00871E25"/>
    <w:rsid w:val="00872148"/>
    <w:rsid w:val="008725D4"/>
    <w:rsid w:val="00872BCC"/>
    <w:rsid w:val="00872BF1"/>
    <w:rsid w:val="008739EF"/>
    <w:rsid w:val="00873DAE"/>
    <w:rsid w:val="008740C1"/>
    <w:rsid w:val="008755DB"/>
    <w:rsid w:val="00875BAB"/>
    <w:rsid w:val="00877182"/>
    <w:rsid w:val="00877CE6"/>
    <w:rsid w:val="00877E2D"/>
    <w:rsid w:val="008800B9"/>
    <w:rsid w:val="00880455"/>
    <w:rsid w:val="00880668"/>
    <w:rsid w:val="00881359"/>
    <w:rsid w:val="00881523"/>
    <w:rsid w:val="008823C6"/>
    <w:rsid w:val="00882A21"/>
    <w:rsid w:val="00882C05"/>
    <w:rsid w:val="00883351"/>
    <w:rsid w:val="0088406F"/>
    <w:rsid w:val="008854EB"/>
    <w:rsid w:val="00886B49"/>
    <w:rsid w:val="00887ECD"/>
    <w:rsid w:val="00890421"/>
    <w:rsid w:val="0089046D"/>
    <w:rsid w:val="0089203A"/>
    <w:rsid w:val="00892270"/>
    <w:rsid w:val="008940F4"/>
    <w:rsid w:val="00894E07"/>
    <w:rsid w:val="00894E19"/>
    <w:rsid w:val="0089547D"/>
    <w:rsid w:val="0089553B"/>
    <w:rsid w:val="008962DF"/>
    <w:rsid w:val="0089642A"/>
    <w:rsid w:val="00897BAA"/>
    <w:rsid w:val="008A0B86"/>
    <w:rsid w:val="008A1076"/>
    <w:rsid w:val="008A2BC5"/>
    <w:rsid w:val="008A412A"/>
    <w:rsid w:val="008A596E"/>
    <w:rsid w:val="008A6BBD"/>
    <w:rsid w:val="008A7F0F"/>
    <w:rsid w:val="008A7FC1"/>
    <w:rsid w:val="008B0823"/>
    <w:rsid w:val="008B0FDB"/>
    <w:rsid w:val="008B13B6"/>
    <w:rsid w:val="008B1DAD"/>
    <w:rsid w:val="008B2650"/>
    <w:rsid w:val="008B2B4D"/>
    <w:rsid w:val="008B3418"/>
    <w:rsid w:val="008B3681"/>
    <w:rsid w:val="008B3D47"/>
    <w:rsid w:val="008B4175"/>
    <w:rsid w:val="008B455F"/>
    <w:rsid w:val="008B4D69"/>
    <w:rsid w:val="008B56BF"/>
    <w:rsid w:val="008B6574"/>
    <w:rsid w:val="008B6B4D"/>
    <w:rsid w:val="008B702B"/>
    <w:rsid w:val="008B7AC9"/>
    <w:rsid w:val="008C164B"/>
    <w:rsid w:val="008C1B20"/>
    <w:rsid w:val="008C218E"/>
    <w:rsid w:val="008C21EA"/>
    <w:rsid w:val="008C2829"/>
    <w:rsid w:val="008C3027"/>
    <w:rsid w:val="008C3089"/>
    <w:rsid w:val="008C3AA1"/>
    <w:rsid w:val="008C4C4F"/>
    <w:rsid w:val="008C58B3"/>
    <w:rsid w:val="008C6A61"/>
    <w:rsid w:val="008C6D7E"/>
    <w:rsid w:val="008C7B80"/>
    <w:rsid w:val="008C7D62"/>
    <w:rsid w:val="008D0A00"/>
    <w:rsid w:val="008D297F"/>
    <w:rsid w:val="008D2FAC"/>
    <w:rsid w:val="008D362A"/>
    <w:rsid w:val="008D3AE1"/>
    <w:rsid w:val="008D4031"/>
    <w:rsid w:val="008D452A"/>
    <w:rsid w:val="008D4734"/>
    <w:rsid w:val="008D5AFA"/>
    <w:rsid w:val="008D5CFA"/>
    <w:rsid w:val="008D5DC2"/>
    <w:rsid w:val="008D7939"/>
    <w:rsid w:val="008D7B65"/>
    <w:rsid w:val="008E0A42"/>
    <w:rsid w:val="008E3222"/>
    <w:rsid w:val="008E3725"/>
    <w:rsid w:val="008E400C"/>
    <w:rsid w:val="008E483D"/>
    <w:rsid w:val="008E608B"/>
    <w:rsid w:val="008E638C"/>
    <w:rsid w:val="008E63A6"/>
    <w:rsid w:val="008E79ED"/>
    <w:rsid w:val="008F0411"/>
    <w:rsid w:val="008F1022"/>
    <w:rsid w:val="008F1C11"/>
    <w:rsid w:val="008F312A"/>
    <w:rsid w:val="008F4963"/>
    <w:rsid w:val="008F4A91"/>
    <w:rsid w:val="008F5494"/>
    <w:rsid w:val="008F5910"/>
    <w:rsid w:val="008F5B15"/>
    <w:rsid w:val="008F67F9"/>
    <w:rsid w:val="008F7032"/>
    <w:rsid w:val="008F713F"/>
    <w:rsid w:val="008F73E1"/>
    <w:rsid w:val="008F753A"/>
    <w:rsid w:val="00900C56"/>
    <w:rsid w:val="00901617"/>
    <w:rsid w:val="00902F37"/>
    <w:rsid w:val="00903B62"/>
    <w:rsid w:val="00903ED2"/>
    <w:rsid w:val="0090440C"/>
    <w:rsid w:val="0090454A"/>
    <w:rsid w:val="009048E4"/>
    <w:rsid w:val="0090522E"/>
    <w:rsid w:val="00905325"/>
    <w:rsid w:val="00905889"/>
    <w:rsid w:val="00905AA8"/>
    <w:rsid w:val="009069BE"/>
    <w:rsid w:val="00906B0E"/>
    <w:rsid w:val="009078D0"/>
    <w:rsid w:val="00907AF2"/>
    <w:rsid w:val="00910E16"/>
    <w:rsid w:val="00912392"/>
    <w:rsid w:val="00913330"/>
    <w:rsid w:val="009136A1"/>
    <w:rsid w:val="009138D4"/>
    <w:rsid w:val="00914053"/>
    <w:rsid w:val="0091416B"/>
    <w:rsid w:val="00914293"/>
    <w:rsid w:val="00915105"/>
    <w:rsid w:val="0091603B"/>
    <w:rsid w:val="00916F3B"/>
    <w:rsid w:val="009209C5"/>
    <w:rsid w:val="009214E5"/>
    <w:rsid w:val="00921BAD"/>
    <w:rsid w:val="00923F83"/>
    <w:rsid w:val="00924454"/>
    <w:rsid w:val="00924B2F"/>
    <w:rsid w:val="00924DF1"/>
    <w:rsid w:val="00925627"/>
    <w:rsid w:val="00925D19"/>
    <w:rsid w:val="00926289"/>
    <w:rsid w:val="0092642F"/>
    <w:rsid w:val="0092691C"/>
    <w:rsid w:val="00926BEB"/>
    <w:rsid w:val="00927D11"/>
    <w:rsid w:val="00930AB9"/>
    <w:rsid w:val="00930D64"/>
    <w:rsid w:val="0093105B"/>
    <w:rsid w:val="00931418"/>
    <w:rsid w:val="00931654"/>
    <w:rsid w:val="00932693"/>
    <w:rsid w:val="009330DC"/>
    <w:rsid w:val="009341BA"/>
    <w:rsid w:val="00934C18"/>
    <w:rsid w:val="00934D1C"/>
    <w:rsid w:val="00935413"/>
    <w:rsid w:val="00935C24"/>
    <w:rsid w:val="00936579"/>
    <w:rsid w:val="00937123"/>
    <w:rsid w:val="0093757E"/>
    <w:rsid w:val="00937CBB"/>
    <w:rsid w:val="009406E6"/>
    <w:rsid w:val="00940F88"/>
    <w:rsid w:val="00941571"/>
    <w:rsid w:val="00941990"/>
    <w:rsid w:val="00942004"/>
    <w:rsid w:val="0094234B"/>
    <w:rsid w:val="00942FDD"/>
    <w:rsid w:val="00943746"/>
    <w:rsid w:val="0094401F"/>
    <w:rsid w:val="00944B8F"/>
    <w:rsid w:val="00945002"/>
    <w:rsid w:val="009451CE"/>
    <w:rsid w:val="009456C7"/>
    <w:rsid w:val="0094672F"/>
    <w:rsid w:val="009467DC"/>
    <w:rsid w:val="009470EE"/>
    <w:rsid w:val="00950CD7"/>
    <w:rsid w:val="00950FAA"/>
    <w:rsid w:val="00951BB2"/>
    <w:rsid w:val="009520ED"/>
    <w:rsid w:val="009521EB"/>
    <w:rsid w:val="00952F0F"/>
    <w:rsid w:val="009539B2"/>
    <w:rsid w:val="00953D76"/>
    <w:rsid w:val="00955A75"/>
    <w:rsid w:val="00955E9F"/>
    <w:rsid w:val="00956216"/>
    <w:rsid w:val="0095658F"/>
    <w:rsid w:val="00956E86"/>
    <w:rsid w:val="00957E80"/>
    <w:rsid w:val="0096013E"/>
    <w:rsid w:val="00960DB1"/>
    <w:rsid w:val="00962D01"/>
    <w:rsid w:val="00963090"/>
    <w:rsid w:val="00963BA1"/>
    <w:rsid w:val="00964525"/>
    <w:rsid w:val="00964A62"/>
    <w:rsid w:val="0096564F"/>
    <w:rsid w:val="009665F6"/>
    <w:rsid w:val="00970E6F"/>
    <w:rsid w:val="00971C50"/>
    <w:rsid w:val="009720E8"/>
    <w:rsid w:val="00972B7D"/>
    <w:rsid w:val="009737AA"/>
    <w:rsid w:val="00973FE4"/>
    <w:rsid w:val="00974113"/>
    <w:rsid w:val="00974363"/>
    <w:rsid w:val="00975106"/>
    <w:rsid w:val="009757AD"/>
    <w:rsid w:val="009760C9"/>
    <w:rsid w:val="00977B5B"/>
    <w:rsid w:val="00977B69"/>
    <w:rsid w:val="00980514"/>
    <w:rsid w:val="00980945"/>
    <w:rsid w:val="00981291"/>
    <w:rsid w:val="009820F6"/>
    <w:rsid w:val="00982A29"/>
    <w:rsid w:val="00982D32"/>
    <w:rsid w:val="009830D3"/>
    <w:rsid w:val="00983371"/>
    <w:rsid w:val="00985786"/>
    <w:rsid w:val="00985FA5"/>
    <w:rsid w:val="00986413"/>
    <w:rsid w:val="009865A8"/>
    <w:rsid w:val="0098666D"/>
    <w:rsid w:val="00986FAD"/>
    <w:rsid w:val="00987119"/>
    <w:rsid w:val="009873B3"/>
    <w:rsid w:val="00990721"/>
    <w:rsid w:val="00990B88"/>
    <w:rsid w:val="00992175"/>
    <w:rsid w:val="0099307B"/>
    <w:rsid w:val="0099313C"/>
    <w:rsid w:val="009939FA"/>
    <w:rsid w:val="00995D0D"/>
    <w:rsid w:val="00995D3C"/>
    <w:rsid w:val="00996215"/>
    <w:rsid w:val="00996CE0"/>
    <w:rsid w:val="009A0CA6"/>
    <w:rsid w:val="009A1326"/>
    <w:rsid w:val="009A1658"/>
    <w:rsid w:val="009A17BB"/>
    <w:rsid w:val="009A1DD7"/>
    <w:rsid w:val="009A3414"/>
    <w:rsid w:val="009A4AE0"/>
    <w:rsid w:val="009A5015"/>
    <w:rsid w:val="009A5771"/>
    <w:rsid w:val="009A5A3C"/>
    <w:rsid w:val="009A6A27"/>
    <w:rsid w:val="009A6A73"/>
    <w:rsid w:val="009A6B1C"/>
    <w:rsid w:val="009A6D88"/>
    <w:rsid w:val="009A7749"/>
    <w:rsid w:val="009B0883"/>
    <w:rsid w:val="009B11EB"/>
    <w:rsid w:val="009B27DC"/>
    <w:rsid w:val="009B3F62"/>
    <w:rsid w:val="009B5104"/>
    <w:rsid w:val="009B5A2D"/>
    <w:rsid w:val="009B5ED4"/>
    <w:rsid w:val="009B6034"/>
    <w:rsid w:val="009B693F"/>
    <w:rsid w:val="009B6949"/>
    <w:rsid w:val="009B7AE7"/>
    <w:rsid w:val="009C04B2"/>
    <w:rsid w:val="009C0664"/>
    <w:rsid w:val="009C0A25"/>
    <w:rsid w:val="009C211D"/>
    <w:rsid w:val="009C2C38"/>
    <w:rsid w:val="009C41D2"/>
    <w:rsid w:val="009C4EC2"/>
    <w:rsid w:val="009C5425"/>
    <w:rsid w:val="009C7624"/>
    <w:rsid w:val="009C79BA"/>
    <w:rsid w:val="009C7B0A"/>
    <w:rsid w:val="009D0AA9"/>
    <w:rsid w:val="009D0CA7"/>
    <w:rsid w:val="009D21BC"/>
    <w:rsid w:val="009D2790"/>
    <w:rsid w:val="009D2A97"/>
    <w:rsid w:val="009D2B97"/>
    <w:rsid w:val="009D30D7"/>
    <w:rsid w:val="009D3246"/>
    <w:rsid w:val="009D3539"/>
    <w:rsid w:val="009D3750"/>
    <w:rsid w:val="009D3AD0"/>
    <w:rsid w:val="009D3FBA"/>
    <w:rsid w:val="009D5422"/>
    <w:rsid w:val="009D5588"/>
    <w:rsid w:val="009D5EB7"/>
    <w:rsid w:val="009D68F5"/>
    <w:rsid w:val="009D6FB2"/>
    <w:rsid w:val="009D72A4"/>
    <w:rsid w:val="009D7769"/>
    <w:rsid w:val="009D77D4"/>
    <w:rsid w:val="009D7BEF"/>
    <w:rsid w:val="009D7FA2"/>
    <w:rsid w:val="009E0842"/>
    <w:rsid w:val="009E0FC2"/>
    <w:rsid w:val="009E1189"/>
    <w:rsid w:val="009E2B9D"/>
    <w:rsid w:val="009E2F97"/>
    <w:rsid w:val="009E3BF7"/>
    <w:rsid w:val="009E3F65"/>
    <w:rsid w:val="009E421D"/>
    <w:rsid w:val="009E47EC"/>
    <w:rsid w:val="009E48BE"/>
    <w:rsid w:val="009E48C8"/>
    <w:rsid w:val="009E4DE8"/>
    <w:rsid w:val="009E63B0"/>
    <w:rsid w:val="009E6480"/>
    <w:rsid w:val="009E6B4B"/>
    <w:rsid w:val="009E7B62"/>
    <w:rsid w:val="009F0147"/>
    <w:rsid w:val="009F21DB"/>
    <w:rsid w:val="009F2216"/>
    <w:rsid w:val="009F2B95"/>
    <w:rsid w:val="009F3DDB"/>
    <w:rsid w:val="009F67E7"/>
    <w:rsid w:val="009F7C4C"/>
    <w:rsid w:val="00A0016A"/>
    <w:rsid w:val="00A00DD5"/>
    <w:rsid w:val="00A0108F"/>
    <w:rsid w:val="00A02B1A"/>
    <w:rsid w:val="00A03EEA"/>
    <w:rsid w:val="00A03F45"/>
    <w:rsid w:val="00A044FA"/>
    <w:rsid w:val="00A04DF6"/>
    <w:rsid w:val="00A04FFA"/>
    <w:rsid w:val="00A0705F"/>
    <w:rsid w:val="00A070B6"/>
    <w:rsid w:val="00A079E5"/>
    <w:rsid w:val="00A07B5B"/>
    <w:rsid w:val="00A07CE8"/>
    <w:rsid w:val="00A07E4E"/>
    <w:rsid w:val="00A07FE5"/>
    <w:rsid w:val="00A10125"/>
    <w:rsid w:val="00A10A0D"/>
    <w:rsid w:val="00A1170A"/>
    <w:rsid w:val="00A11DD1"/>
    <w:rsid w:val="00A121B2"/>
    <w:rsid w:val="00A139AD"/>
    <w:rsid w:val="00A14334"/>
    <w:rsid w:val="00A14E38"/>
    <w:rsid w:val="00A157AC"/>
    <w:rsid w:val="00A15F65"/>
    <w:rsid w:val="00A16AC3"/>
    <w:rsid w:val="00A206B1"/>
    <w:rsid w:val="00A20968"/>
    <w:rsid w:val="00A20DFF"/>
    <w:rsid w:val="00A21A71"/>
    <w:rsid w:val="00A2201F"/>
    <w:rsid w:val="00A2240A"/>
    <w:rsid w:val="00A236B1"/>
    <w:rsid w:val="00A23927"/>
    <w:rsid w:val="00A23AB8"/>
    <w:rsid w:val="00A24870"/>
    <w:rsid w:val="00A251D8"/>
    <w:rsid w:val="00A25675"/>
    <w:rsid w:val="00A25937"/>
    <w:rsid w:val="00A25A59"/>
    <w:rsid w:val="00A25DBF"/>
    <w:rsid w:val="00A26E67"/>
    <w:rsid w:val="00A27018"/>
    <w:rsid w:val="00A316C1"/>
    <w:rsid w:val="00A3187A"/>
    <w:rsid w:val="00A319B0"/>
    <w:rsid w:val="00A32882"/>
    <w:rsid w:val="00A33687"/>
    <w:rsid w:val="00A3408B"/>
    <w:rsid w:val="00A354CD"/>
    <w:rsid w:val="00A35A6F"/>
    <w:rsid w:val="00A36269"/>
    <w:rsid w:val="00A36DD8"/>
    <w:rsid w:val="00A370E4"/>
    <w:rsid w:val="00A37670"/>
    <w:rsid w:val="00A40197"/>
    <w:rsid w:val="00A40424"/>
    <w:rsid w:val="00A40AF8"/>
    <w:rsid w:val="00A40B42"/>
    <w:rsid w:val="00A40E47"/>
    <w:rsid w:val="00A412F0"/>
    <w:rsid w:val="00A44382"/>
    <w:rsid w:val="00A45799"/>
    <w:rsid w:val="00A466A6"/>
    <w:rsid w:val="00A46CFB"/>
    <w:rsid w:val="00A479F5"/>
    <w:rsid w:val="00A50925"/>
    <w:rsid w:val="00A51571"/>
    <w:rsid w:val="00A519BC"/>
    <w:rsid w:val="00A524B0"/>
    <w:rsid w:val="00A52D13"/>
    <w:rsid w:val="00A52DE3"/>
    <w:rsid w:val="00A52EB4"/>
    <w:rsid w:val="00A5311A"/>
    <w:rsid w:val="00A536B1"/>
    <w:rsid w:val="00A5429F"/>
    <w:rsid w:val="00A542DD"/>
    <w:rsid w:val="00A54449"/>
    <w:rsid w:val="00A55D6E"/>
    <w:rsid w:val="00A5614E"/>
    <w:rsid w:val="00A569FC"/>
    <w:rsid w:val="00A56D69"/>
    <w:rsid w:val="00A571D4"/>
    <w:rsid w:val="00A574E0"/>
    <w:rsid w:val="00A60086"/>
    <w:rsid w:val="00A60A41"/>
    <w:rsid w:val="00A60F06"/>
    <w:rsid w:val="00A610FF"/>
    <w:rsid w:val="00A6135D"/>
    <w:rsid w:val="00A61D6B"/>
    <w:rsid w:val="00A62C23"/>
    <w:rsid w:val="00A62F38"/>
    <w:rsid w:val="00A63D89"/>
    <w:rsid w:val="00A65315"/>
    <w:rsid w:val="00A656D3"/>
    <w:rsid w:val="00A660E8"/>
    <w:rsid w:val="00A66D5F"/>
    <w:rsid w:val="00A66FC8"/>
    <w:rsid w:val="00A67692"/>
    <w:rsid w:val="00A6773B"/>
    <w:rsid w:val="00A67FC5"/>
    <w:rsid w:val="00A705D3"/>
    <w:rsid w:val="00A7067D"/>
    <w:rsid w:val="00A70B0A"/>
    <w:rsid w:val="00A71697"/>
    <w:rsid w:val="00A71C42"/>
    <w:rsid w:val="00A71CFD"/>
    <w:rsid w:val="00A7364A"/>
    <w:rsid w:val="00A73A8D"/>
    <w:rsid w:val="00A73B09"/>
    <w:rsid w:val="00A7490E"/>
    <w:rsid w:val="00A75E48"/>
    <w:rsid w:val="00A7614F"/>
    <w:rsid w:val="00A775FD"/>
    <w:rsid w:val="00A77CAC"/>
    <w:rsid w:val="00A77DAE"/>
    <w:rsid w:val="00A8071D"/>
    <w:rsid w:val="00A80932"/>
    <w:rsid w:val="00A818F0"/>
    <w:rsid w:val="00A8252A"/>
    <w:rsid w:val="00A83046"/>
    <w:rsid w:val="00A8306F"/>
    <w:rsid w:val="00A83490"/>
    <w:rsid w:val="00A83F3E"/>
    <w:rsid w:val="00A8418B"/>
    <w:rsid w:val="00A846A6"/>
    <w:rsid w:val="00A85CC6"/>
    <w:rsid w:val="00A85F94"/>
    <w:rsid w:val="00A863D9"/>
    <w:rsid w:val="00A86582"/>
    <w:rsid w:val="00A90299"/>
    <w:rsid w:val="00A91347"/>
    <w:rsid w:val="00A9186D"/>
    <w:rsid w:val="00A9221E"/>
    <w:rsid w:val="00A9356F"/>
    <w:rsid w:val="00A942DE"/>
    <w:rsid w:val="00A94819"/>
    <w:rsid w:val="00A96F51"/>
    <w:rsid w:val="00A96F53"/>
    <w:rsid w:val="00AA0E1E"/>
    <w:rsid w:val="00AA10C6"/>
    <w:rsid w:val="00AA1349"/>
    <w:rsid w:val="00AA2125"/>
    <w:rsid w:val="00AA22B6"/>
    <w:rsid w:val="00AA2A1F"/>
    <w:rsid w:val="00AA2F74"/>
    <w:rsid w:val="00AA3559"/>
    <w:rsid w:val="00AA5091"/>
    <w:rsid w:val="00AA5DD2"/>
    <w:rsid w:val="00AA64CF"/>
    <w:rsid w:val="00AB00E2"/>
    <w:rsid w:val="00AB0EAB"/>
    <w:rsid w:val="00AB148E"/>
    <w:rsid w:val="00AB1B5B"/>
    <w:rsid w:val="00AB21AE"/>
    <w:rsid w:val="00AB25C6"/>
    <w:rsid w:val="00AB3FBE"/>
    <w:rsid w:val="00AB54E1"/>
    <w:rsid w:val="00AB5AED"/>
    <w:rsid w:val="00AB5B62"/>
    <w:rsid w:val="00AB6820"/>
    <w:rsid w:val="00AB787C"/>
    <w:rsid w:val="00AB7ABD"/>
    <w:rsid w:val="00AC0AD8"/>
    <w:rsid w:val="00AC1A1F"/>
    <w:rsid w:val="00AC20FC"/>
    <w:rsid w:val="00AC265F"/>
    <w:rsid w:val="00AC2DEE"/>
    <w:rsid w:val="00AC2DF5"/>
    <w:rsid w:val="00AC3082"/>
    <w:rsid w:val="00AC34B1"/>
    <w:rsid w:val="00AC4C95"/>
    <w:rsid w:val="00AC4E64"/>
    <w:rsid w:val="00AC5077"/>
    <w:rsid w:val="00AC5422"/>
    <w:rsid w:val="00AC5653"/>
    <w:rsid w:val="00AC5D51"/>
    <w:rsid w:val="00AC6D62"/>
    <w:rsid w:val="00AC7EC0"/>
    <w:rsid w:val="00AD0355"/>
    <w:rsid w:val="00AD0413"/>
    <w:rsid w:val="00AD0B3E"/>
    <w:rsid w:val="00AD144B"/>
    <w:rsid w:val="00AD1A95"/>
    <w:rsid w:val="00AD1FDD"/>
    <w:rsid w:val="00AD1FF3"/>
    <w:rsid w:val="00AD2036"/>
    <w:rsid w:val="00AD2342"/>
    <w:rsid w:val="00AD2BDA"/>
    <w:rsid w:val="00AD2E70"/>
    <w:rsid w:val="00AD4308"/>
    <w:rsid w:val="00AD4BC6"/>
    <w:rsid w:val="00AD5A22"/>
    <w:rsid w:val="00AE4EA4"/>
    <w:rsid w:val="00AE580D"/>
    <w:rsid w:val="00AE5AE5"/>
    <w:rsid w:val="00AE5C2B"/>
    <w:rsid w:val="00AE621B"/>
    <w:rsid w:val="00AE6697"/>
    <w:rsid w:val="00AE709E"/>
    <w:rsid w:val="00AE7611"/>
    <w:rsid w:val="00AE7EC3"/>
    <w:rsid w:val="00AF049B"/>
    <w:rsid w:val="00AF07B3"/>
    <w:rsid w:val="00AF13DD"/>
    <w:rsid w:val="00AF1543"/>
    <w:rsid w:val="00AF3E7B"/>
    <w:rsid w:val="00AF43C0"/>
    <w:rsid w:val="00AF6450"/>
    <w:rsid w:val="00AF6584"/>
    <w:rsid w:val="00AF7648"/>
    <w:rsid w:val="00AF7BA9"/>
    <w:rsid w:val="00B0169B"/>
    <w:rsid w:val="00B01C00"/>
    <w:rsid w:val="00B02087"/>
    <w:rsid w:val="00B043E6"/>
    <w:rsid w:val="00B04FBA"/>
    <w:rsid w:val="00B05437"/>
    <w:rsid w:val="00B05A0B"/>
    <w:rsid w:val="00B066C5"/>
    <w:rsid w:val="00B06773"/>
    <w:rsid w:val="00B06A07"/>
    <w:rsid w:val="00B06E48"/>
    <w:rsid w:val="00B070C8"/>
    <w:rsid w:val="00B07C0D"/>
    <w:rsid w:val="00B1126C"/>
    <w:rsid w:val="00B11736"/>
    <w:rsid w:val="00B11AE0"/>
    <w:rsid w:val="00B12680"/>
    <w:rsid w:val="00B12C18"/>
    <w:rsid w:val="00B16BB3"/>
    <w:rsid w:val="00B16BCA"/>
    <w:rsid w:val="00B16C87"/>
    <w:rsid w:val="00B20CE8"/>
    <w:rsid w:val="00B21F32"/>
    <w:rsid w:val="00B2209E"/>
    <w:rsid w:val="00B227A0"/>
    <w:rsid w:val="00B237A2"/>
    <w:rsid w:val="00B23F4D"/>
    <w:rsid w:val="00B241DA"/>
    <w:rsid w:val="00B244E6"/>
    <w:rsid w:val="00B24607"/>
    <w:rsid w:val="00B24627"/>
    <w:rsid w:val="00B2470D"/>
    <w:rsid w:val="00B24B73"/>
    <w:rsid w:val="00B24F8A"/>
    <w:rsid w:val="00B25C44"/>
    <w:rsid w:val="00B25C52"/>
    <w:rsid w:val="00B2604A"/>
    <w:rsid w:val="00B26FE1"/>
    <w:rsid w:val="00B27BAC"/>
    <w:rsid w:val="00B27D31"/>
    <w:rsid w:val="00B30D38"/>
    <w:rsid w:val="00B30EAF"/>
    <w:rsid w:val="00B317D5"/>
    <w:rsid w:val="00B31D8C"/>
    <w:rsid w:val="00B323C4"/>
    <w:rsid w:val="00B3310E"/>
    <w:rsid w:val="00B35541"/>
    <w:rsid w:val="00B36847"/>
    <w:rsid w:val="00B36B50"/>
    <w:rsid w:val="00B37105"/>
    <w:rsid w:val="00B37985"/>
    <w:rsid w:val="00B40349"/>
    <w:rsid w:val="00B40894"/>
    <w:rsid w:val="00B408D2"/>
    <w:rsid w:val="00B41334"/>
    <w:rsid w:val="00B4143E"/>
    <w:rsid w:val="00B41A4E"/>
    <w:rsid w:val="00B423BC"/>
    <w:rsid w:val="00B42533"/>
    <w:rsid w:val="00B431E7"/>
    <w:rsid w:val="00B44375"/>
    <w:rsid w:val="00B44694"/>
    <w:rsid w:val="00B464F0"/>
    <w:rsid w:val="00B514ED"/>
    <w:rsid w:val="00B51E95"/>
    <w:rsid w:val="00B51EB5"/>
    <w:rsid w:val="00B529C4"/>
    <w:rsid w:val="00B52EB2"/>
    <w:rsid w:val="00B53326"/>
    <w:rsid w:val="00B5355A"/>
    <w:rsid w:val="00B53981"/>
    <w:rsid w:val="00B54169"/>
    <w:rsid w:val="00B5427C"/>
    <w:rsid w:val="00B5453B"/>
    <w:rsid w:val="00B5476D"/>
    <w:rsid w:val="00B54DAC"/>
    <w:rsid w:val="00B54E33"/>
    <w:rsid w:val="00B550EC"/>
    <w:rsid w:val="00B55B9F"/>
    <w:rsid w:val="00B56126"/>
    <w:rsid w:val="00B56724"/>
    <w:rsid w:val="00B56E6E"/>
    <w:rsid w:val="00B57263"/>
    <w:rsid w:val="00B619BB"/>
    <w:rsid w:val="00B62275"/>
    <w:rsid w:val="00B62F6D"/>
    <w:rsid w:val="00B635A3"/>
    <w:rsid w:val="00B643AE"/>
    <w:rsid w:val="00B65131"/>
    <w:rsid w:val="00B655D9"/>
    <w:rsid w:val="00B65C6C"/>
    <w:rsid w:val="00B65DB9"/>
    <w:rsid w:val="00B665A0"/>
    <w:rsid w:val="00B66EE4"/>
    <w:rsid w:val="00B679F3"/>
    <w:rsid w:val="00B70A29"/>
    <w:rsid w:val="00B70A36"/>
    <w:rsid w:val="00B71201"/>
    <w:rsid w:val="00B72764"/>
    <w:rsid w:val="00B72B73"/>
    <w:rsid w:val="00B7304B"/>
    <w:rsid w:val="00B73649"/>
    <w:rsid w:val="00B74D67"/>
    <w:rsid w:val="00B75825"/>
    <w:rsid w:val="00B76514"/>
    <w:rsid w:val="00B77FF2"/>
    <w:rsid w:val="00B800B1"/>
    <w:rsid w:val="00B82BB9"/>
    <w:rsid w:val="00B82DFF"/>
    <w:rsid w:val="00B82F0B"/>
    <w:rsid w:val="00B82F36"/>
    <w:rsid w:val="00B8338C"/>
    <w:rsid w:val="00B840F0"/>
    <w:rsid w:val="00B84817"/>
    <w:rsid w:val="00B8489F"/>
    <w:rsid w:val="00B85487"/>
    <w:rsid w:val="00B85951"/>
    <w:rsid w:val="00B86D1E"/>
    <w:rsid w:val="00B875AB"/>
    <w:rsid w:val="00B907A0"/>
    <w:rsid w:val="00B921C0"/>
    <w:rsid w:val="00B92B7A"/>
    <w:rsid w:val="00B92D26"/>
    <w:rsid w:val="00B92E11"/>
    <w:rsid w:val="00B9327B"/>
    <w:rsid w:val="00B933CD"/>
    <w:rsid w:val="00B93D68"/>
    <w:rsid w:val="00B9420E"/>
    <w:rsid w:val="00B94599"/>
    <w:rsid w:val="00B94665"/>
    <w:rsid w:val="00B9719C"/>
    <w:rsid w:val="00B97247"/>
    <w:rsid w:val="00B97FB3"/>
    <w:rsid w:val="00BA08EF"/>
    <w:rsid w:val="00BA16D4"/>
    <w:rsid w:val="00BA1B28"/>
    <w:rsid w:val="00BA2308"/>
    <w:rsid w:val="00BA27E8"/>
    <w:rsid w:val="00BA47A8"/>
    <w:rsid w:val="00BA5F39"/>
    <w:rsid w:val="00BA6222"/>
    <w:rsid w:val="00BA6264"/>
    <w:rsid w:val="00BA6C48"/>
    <w:rsid w:val="00BA6C59"/>
    <w:rsid w:val="00BA6F21"/>
    <w:rsid w:val="00BA7705"/>
    <w:rsid w:val="00BA7CBA"/>
    <w:rsid w:val="00BB11A2"/>
    <w:rsid w:val="00BB13BC"/>
    <w:rsid w:val="00BB18D9"/>
    <w:rsid w:val="00BB3291"/>
    <w:rsid w:val="00BB4509"/>
    <w:rsid w:val="00BB6139"/>
    <w:rsid w:val="00BB64EE"/>
    <w:rsid w:val="00BB6E1B"/>
    <w:rsid w:val="00BB7E70"/>
    <w:rsid w:val="00BC05C9"/>
    <w:rsid w:val="00BC11B4"/>
    <w:rsid w:val="00BC1678"/>
    <w:rsid w:val="00BC228A"/>
    <w:rsid w:val="00BC62CB"/>
    <w:rsid w:val="00BC7180"/>
    <w:rsid w:val="00BC72C3"/>
    <w:rsid w:val="00BC78A4"/>
    <w:rsid w:val="00BD1013"/>
    <w:rsid w:val="00BD1049"/>
    <w:rsid w:val="00BD1D5F"/>
    <w:rsid w:val="00BD2068"/>
    <w:rsid w:val="00BD2568"/>
    <w:rsid w:val="00BD25F8"/>
    <w:rsid w:val="00BD2D49"/>
    <w:rsid w:val="00BD5341"/>
    <w:rsid w:val="00BD610F"/>
    <w:rsid w:val="00BD61BD"/>
    <w:rsid w:val="00BD68C6"/>
    <w:rsid w:val="00BD7070"/>
    <w:rsid w:val="00BD7AE5"/>
    <w:rsid w:val="00BD7C78"/>
    <w:rsid w:val="00BE0555"/>
    <w:rsid w:val="00BE09A9"/>
    <w:rsid w:val="00BE09E0"/>
    <w:rsid w:val="00BE4D90"/>
    <w:rsid w:val="00BE5233"/>
    <w:rsid w:val="00BE525B"/>
    <w:rsid w:val="00BE52C6"/>
    <w:rsid w:val="00BE7408"/>
    <w:rsid w:val="00BE7723"/>
    <w:rsid w:val="00BF0156"/>
    <w:rsid w:val="00BF0E30"/>
    <w:rsid w:val="00BF124F"/>
    <w:rsid w:val="00BF165E"/>
    <w:rsid w:val="00BF1976"/>
    <w:rsid w:val="00BF38AB"/>
    <w:rsid w:val="00BF3C27"/>
    <w:rsid w:val="00BF44B7"/>
    <w:rsid w:val="00BF6CA3"/>
    <w:rsid w:val="00C007EA"/>
    <w:rsid w:val="00C01D5F"/>
    <w:rsid w:val="00C020C1"/>
    <w:rsid w:val="00C025B6"/>
    <w:rsid w:val="00C02798"/>
    <w:rsid w:val="00C03179"/>
    <w:rsid w:val="00C052A0"/>
    <w:rsid w:val="00C0598A"/>
    <w:rsid w:val="00C06411"/>
    <w:rsid w:val="00C06AA5"/>
    <w:rsid w:val="00C06AEF"/>
    <w:rsid w:val="00C06B7C"/>
    <w:rsid w:val="00C071D3"/>
    <w:rsid w:val="00C07941"/>
    <w:rsid w:val="00C079BA"/>
    <w:rsid w:val="00C1037B"/>
    <w:rsid w:val="00C1097D"/>
    <w:rsid w:val="00C11487"/>
    <w:rsid w:val="00C11708"/>
    <w:rsid w:val="00C13773"/>
    <w:rsid w:val="00C15953"/>
    <w:rsid w:val="00C15E85"/>
    <w:rsid w:val="00C16301"/>
    <w:rsid w:val="00C16C6F"/>
    <w:rsid w:val="00C1758C"/>
    <w:rsid w:val="00C17616"/>
    <w:rsid w:val="00C17AC1"/>
    <w:rsid w:val="00C17B3C"/>
    <w:rsid w:val="00C20733"/>
    <w:rsid w:val="00C20C25"/>
    <w:rsid w:val="00C223A9"/>
    <w:rsid w:val="00C22C1E"/>
    <w:rsid w:val="00C2329A"/>
    <w:rsid w:val="00C23604"/>
    <w:rsid w:val="00C23BD3"/>
    <w:rsid w:val="00C24344"/>
    <w:rsid w:val="00C2458E"/>
    <w:rsid w:val="00C2477B"/>
    <w:rsid w:val="00C25848"/>
    <w:rsid w:val="00C3033B"/>
    <w:rsid w:val="00C310FA"/>
    <w:rsid w:val="00C32CBC"/>
    <w:rsid w:val="00C333B5"/>
    <w:rsid w:val="00C35D61"/>
    <w:rsid w:val="00C35E3D"/>
    <w:rsid w:val="00C36177"/>
    <w:rsid w:val="00C36A2E"/>
    <w:rsid w:val="00C37718"/>
    <w:rsid w:val="00C4033C"/>
    <w:rsid w:val="00C40709"/>
    <w:rsid w:val="00C4073F"/>
    <w:rsid w:val="00C40F2C"/>
    <w:rsid w:val="00C415BD"/>
    <w:rsid w:val="00C4188F"/>
    <w:rsid w:val="00C4240E"/>
    <w:rsid w:val="00C43C82"/>
    <w:rsid w:val="00C44921"/>
    <w:rsid w:val="00C44DEB"/>
    <w:rsid w:val="00C44FC7"/>
    <w:rsid w:val="00C472F7"/>
    <w:rsid w:val="00C47543"/>
    <w:rsid w:val="00C4761D"/>
    <w:rsid w:val="00C4789B"/>
    <w:rsid w:val="00C5024B"/>
    <w:rsid w:val="00C50835"/>
    <w:rsid w:val="00C51011"/>
    <w:rsid w:val="00C51C64"/>
    <w:rsid w:val="00C52A11"/>
    <w:rsid w:val="00C52C27"/>
    <w:rsid w:val="00C52E1F"/>
    <w:rsid w:val="00C53425"/>
    <w:rsid w:val="00C5359A"/>
    <w:rsid w:val="00C53A92"/>
    <w:rsid w:val="00C54284"/>
    <w:rsid w:val="00C549BB"/>
    <w:rsid w:val="00C550CE"/>
    <w:rsid w:val="00C55517"/>
    <w:rsid w:val="00C558D5"/>
    <w:rsid w:val="00C55AFB"/>
    <w:rsid w:val="00C55BE4"/>
    <w:rsid w:val="00C55D6D"/>
    <w:rsid w:val="00C56CE7"/>
    <w:rsid w:val="00C60695"/>
    <w:rsid w:val="00C60DEB"/>
    <w:rsid w:val="00C638AF"/>
    <w:rsid w:val="00C640C7"/>
    <w:rsid w:val="00C64C04"/>
    <w:rsid w:val="00C66B15"/>
    <w:rsid w:val="00C67A83"/>
    <w:rsid w:val="00C67FE4"/>
    <w:rsid w:val="00C70116"/>
    <w:rsid w:val="00C702E8"/>
    <w:rsid w:val="00C70581"/>
    <w:rsid w:val="00C71248"/>
    <w:rsid w:val="00C71BC6"/>
    <w:rsid w:val="00C71ED5"/>
    <w:rsid w:val="00C72373"/>
    <w:rsid w:val="00C73143"/>
    <w:rsid w:val="00C73712"/>
    <w:rsid w:val="00C73DF1"/>
    <w:rsid w:val="00C74BDD"/>
    <w:rsid w:val="00C74C02"/>
    <w:rsid w:val="00C751A5"/>
    <w:rsid w:val="00C7574F"/>
    <w:rsid w:val="00C765AE"/>
    <w:rsid w:val="00C765BE"/>
    <w:rsid w:val="00C770ED"/>
    <w:rsid w:val="00C77297"/>
    <w:rsid w:val="00C77EDB"/>
    <w:rsid w:val="00C8167F"/>
    <w:rsid w:val="00C82061"/>
    <w:rsid w:val="00C82AC4"/>
    <w:rsid w:val="00C83203"/>
    <w:rsid w:val="00C85623"/>
    <w:rsid w:val="00C85767"/>
    <w:rsid w:val="00C867F6"/>
    <w:rsid w:val="00C875F8"/>
    <w:rsid w:val="00C90049"/>
    <w:rsid w:val="00C90DCC"/>
    <w:rsid w:val="00C950B3"/>
    <w:rsid w:val="00C9557B"/>
    <w:rsid w:val="00C9581D"/>
    <w:rsid w:val="00C96BCC"/>
    <w:rsid w:val="00C96FFF"/>
    <w:rsid w:val="00C976D1"/>
    <w:rsid w:val="00C97B6F"/>
    <w:rsid w:val="00C97F6C"/>
    <w:rsid w:val="00CA0466"/>
    <w:rsid w:val="00CA07A9"/>
    <w:rsid w:val="00CA09E9"/>
    <w:rsid w:val="00CA3E45"/>
    <w:rsid w:val="00CA4356"/>
    <w:rsid w:val="00CA486D"/>
    <w:rsid w:val="00CA5086"/>
    <w:rsid w:val="00CA5A5C"/>
    <w:rsid w:val="00CA5C46"/>
    <w:rsid w:val="00CA7A7B"/>
    <w:rsid w:val="00CA7FCC"/>
    <w:rsid w:val="00CB0734"/>
    <w:rsid w:val="00CB3E1C"/>
    <w:rsid w:val="00CB40A0"/>
    <w:rsid w:val="00CB455D"/>
    <w:rsid w:val="00CB4DA3"/>
    <w:rsid w:val="00CB4F24"/>
    <w:rsid w:val="00CB50D3"/>
    <w:rsid w:val="00CB5287"/>
    <w:rsid w:val="00CB6108"/>
    <w:rsid w:val="00CB757D"/>
    <w:rsid w:val="00CB77BA"/>
    <w:rsid w:val="00CC03F3"/>
    <w:rsid w:val="00CC05CC"/>
    <w:rsid w:val="00CC1527"/>
    <w:rsid w:val="00CC1EFE"/>
    <w:rsid w:val="00CC38B2"/>
    <w:rsid w:val="00CC3CD8"/>
    <w:rsid w:val="00CC4DC1"/>
    <w:rsid w:val="00CC5231"/>
    <w:rsid w:val="00CC5398"/>
    <w:rsid w:val="00CC5728"/>
    <w:rsid w:val="00CC5F1C"/>
    <w:rsid w:val="00CC5F85"/>
    <w:rsid w:val="00CC693B"/>
    <w:rsid w:val="00CC6DBD"/>
    <w:rsid w:val="00CC7FAA"/>
    <w:rsid w:val="00CD0C13"/>
    <w:rsid w:val="00CD117B"/>
    <w:rsid w:val="00CD184C"/>
    <w:rsid w:val="00CD26BE"/>
    <w:rsid w:val="00CD3A84"/>
    <w:rsid w:val="00CD3BDA"/>
    <w:rsid w:val="00CD3D0C"/>
    <w:rsid w:val="00CD4A65"/>
    <w:rsid w:val="00CD5B94"/>
    <w:rsid w:val="00CD5C4A"/>
    <w:rsid w:val="00CD5C7D"/>
    <w:rsid w:val="00CD6A99"/>
    <w:rsid w:val="00CD72F3"/>
    <w:rsid w:val="00CE00D3"/>
    <w:rsid w:val="00CE0E6C"/>
    <w:rsid w:val="00CE14A0"/>
    <w:rsid w:val="00CE1A6D"/>
    <w:rsid w:val="00CE1FA4"/>
    <w:rsid w:val="00CE268F"/>
    <w:rsid w:val="00CE3226"/>
    <w:rsid w:val="00CE592F"/>
    <w:rsid w:val="00CE67C7"/>
    <w:rsid w:val="00CE71D4"/>
    <w:rsid w:val="00CF014C"/>
    <w:rsid w:val="00CF0B82"/>
    <w:rsid w:val="00CF0FCA"/>
    <w:rsid w:val="00CF127F"/>
    <w:rsid w:val="00CF28DC"/>
    <w:rsid w:val="00CF34E8"/>
    <w:rsid w:val="00CF4502"/>
    <w:rsid w:val="00CF550B"/>
    <w:rsid w:val="00CF5BFA"/>
    <w:rsid w:val="00CF6638"/>
    <w:rsid w:val="00CF7767"/>
    <w:rsid w:val="00CF79EA"/>
    <w:rsid w:val="00D000C6"/>
    <w:rsid w:val="00D001C0"/>
    <w:rsid w:val="00D00B92"/>
    <w:rsid w:val="00D00DCE"/>
    <w:rsid w:val="00D01738"/>
    <w:rsid w:val="00D01B7B"/>
    <w:rsid w:val="00D01E8D"/>
    <w:rsid w:val="00D02928"/>
    <w:rsid w:val="00D02C89"/>
    <w:rsid w:val="00D04560"/>
    <w:rsid w:val="00D04D70"/>
    <w:rsid w:val="00D06328"/>
    <w:rsid w:val="00D06629"/>
    <w:rsid w:val="00D1019A"/>
    <w:rsid w:val="00D101D2"/>
    <w:rsid w:val="00D10637"/>
    <w:rsid w:val="00D107C0"/>
    <w:rsid w:val="00D111F2"/>
    <w:rsid w:val="00D1138C"/>
    <w:rsid w:val="00D11ABA"/>
    <w:rsid w:val="00D1205A"/>
    <w:rsid w:val="00D1223D"/>
    <w:rsid w:val="00D12F68"/>
    <w:rsid w:val="00D130F9"/>
    <w:rsid w:val="00D13688"/>
    <w:rsid w:val="00D14CC2"/>
    <w:rsid w:val="00D15519"/>
    <w:rsid w:val="00D166E2"/>
    <w:rsid w:val="00D17E89"/>
    <w:rsid w:val="00D17EFB"/>
    <w:rsid w:val="00D17FCF"/>
    <w:rsid w:val="00D2095A"/>
    <w:rsid w:val="00D20AD3"/>
    <w:rsid w:val="00D20DF2"/>
    <w:rsid w:val="00D21448"/>
    <w:rsid w:val="00D21990"/>
    <w:rsid w:val="00D21B8B"/>
    <w:rsid w:val="00D2367B"/>
    <w:rsid w:val="00D247DC"/>
    <w:rsid w:val="00D24B1E"/>
    <w:rsid w:val="00D2501B"/>
    <w:rsid w:val="00D251DF"/>
    <w:rsid w:val="00D256B5"/>
    <w:rsid w:val="00D26844"/>
    <w:rsid w:val="00D2737C"/>
    <w:rsid w:val="00D3147C"/>
    <w:rsid w:val="00D32066"/>
    <w:rsid w:val="00D322B1"/>
    <w:rsid w:val="00D32AF7"/>
    <w:rsid w:val="00D348BC"/>
    <w:rsid w:val="00D3530D"/>
    <w:rsid w:val="00D356CC"/>
    <w:rsid w:val="00D35D20"/>
    <w:rsid w:val="00D35EB2"/>
    <w:rsid w:val="00D36185"/>
    <w:rsid w:val="00D36333"/>
    <w:rsid w:val="00D36AFD"/>
    <w:rsid w:val="00D40E65"/>
    <w:rsid w:val="00D4153C"/>
    <w:rsid w:val="00D4237B"/>
    <w:rsid w:val="00D42ADB"/>
    <w:rsid w:val="00D4347A"/>
    <w:rsid w:val="00D4421D"/>
    <w:rsid w:val="00D44284"/>
    <w:rsid w:val="00D449D4"/>
    <w:rsid w:val="00D449F3"/>
    <w:rsid w:val="00D44B44"/>
    <w:rsid w:val="00D44CFA"/>
    <w:rsid w:val="00D45F7C"/>
    <w:rsid w:val="00D468DB"/>
    <w:rsid w:val="00D46E43"/>
    <w:rsid w:val="00D50AFC"/>
    <w:rsid w:val="00D512DD"/>
    <w:rsid w:val="00D51D66"/>
    <w:rsid w:val="00D5264C"/>
    <w:rsid w:val="00D5266F"/>
    <w:rsid w:val="00D52CCF"/>
    <w:rsid w:val="00D5372B"/>
    <w:rsid w:val="00D53B52"/>
    <w:rsid w:val="00D54146"/>
    <w:rsid w:val="00D560B7"/>
    <w:rsid w:val="00D567B6"/>
    <w:rsid w:val="00D56A93"/>
    <w:rsid w:val="00D56B67"/>
    <w:rsid w:val="00D57033"/>
    <w:rsid w:val="00D57D7D"/>
    <w:rsid w:val="00D60430"/>
    <w:rsid w:val="00D60442"/>
    <w:rsid w:val="00D6055A"/>
    <w:rsid w:val="00D60967"/>
    <w:rsid w:val="00D610D8"/>
    <w:rsid w:val="00D6157C"/>
    <w:rsid w:val="00D61CED"/>
    <w:rsid w:val="00D61CFD"/>
    <w:rsid w:val="00D61FED"/>
    <w:rsid w:val="00D61FF6"/>
    <w:rsid w:val="00D62101"/>
    <w:rsid w:val="00D621AC"/>
    <w:rsid w:val="00D6221B"/>
    <w:rsid w:val="00D62CDC"/>
    <w:rsid w:val="00D62EB1"/>
    <w:rsid w:val="00D6313D"/>
    <w:rsid w:val="00D637C0"/>
    <w:rsid w:val="00D63944"/>
    <w:rsid w:val="00D646F8"/>
    <w:rsid w:val="00D6508C"/>
    <w:rsid w:val="00D65341"/>
    <w:rsid w:val="00D657AF"/>
    <w:rsid w:val="00D6744E"/>
    <w:rsid w:val="00D700F2"/>
    <w:rsid w:val="00D70371"/>
    <w:rsid w:val="00D717D5"/>
    <w:rsid w:val="00D71B4B"/>
    <w:rsid w:val="00D71FB1"/>
    <w:rsid w:val="00D7281C"/>
    <w:rsid w:val="00D72C59"/>
    <w:rsid w:val="00D74155"/>
    <w:rsid w:val="00D7465E"/>
    <w:rsid w:val="00D74FE7"/>
    <w:rsid w:val="00D753E3"/>
    <w:rsid w:val="00D7561E"/>
    <w:rsid w:val="00D7590D"/>
    <w:rsid w:val="00D76699"/>
    <w:rsid w:val="00D77605"/>
    <w:rsid w:val="00D7765E"/>
    <w:rsid w:val="00D80192"/>
    <w:rsid w:val="00D803DD"/>
    <w:rsid w:val="00D816A5"/>
    <w:rsid w:val="00D816DC"/>
    <w:rsid w:val="00D832F3"/>
    <w:rsid w:val="00D83763"/>
    <w:rsid w:val="00D83CF9"/>
    <w:rsid w:val="00D842FF"/>
    <w:rsid w:val="00D84BEB"/>
    <w:rsid w:val="00D84C2B"/>
    <w:rsid w:val="00D852D9"/>
    <w:rsid w:val="00D860F2"/>
    <w:rsid w:val="00D878F3"/>
    <w:rsid w:val="00D90911"/>
    <w:rsid w:val="00D917AE"/>
    <w:rsid w:val="00D91EA2"/>
    <w:rsid w:val="00D9364C"/>
    <w:rsid w:val="00D93E8D"/>
    <w:rsid w:val="00D9492A"/>
    <w:rsid w:val="00D94D12"/>
    <w:rsid w:val="00D96FB4"/>
    <w:rsid w:val="00DA03F6"/>
    <w:rsid w:val="00DA1612"/>
    <w:rsid w:val="00DA1FB7"/>
    <w:rsid w:val="00DA2FF8"/>
    <w:rsid w:val="00DA34BB"/>
    <w:rsid w:val="00DA39C5"/>
    <w:rsid w:val="00DA54D9"/>
    <w:rsid w:val="00DA5BD6"/>
    <w:rsid w:val="00DA616A"/>
    <w:rsid w:val="00DA75AC"/>
    <w:rsid w:val="00DA7B50"/>
    <w:rsid w:val="00DA7B85"/>
    <w:rsid w:val="00DB1314"/>
    <w:rsid w:val="00DB40F0"/>
    <w:rsid w:val="00DB4136"/>
    <w:rsid w:val="00DB42F6"/>
    <w:rsid w:val="00DB4B4E"/>
    <w:rsid w:val="00DB5897"/>
    <w:rsid w:val="00DB5A21"/>
    <w:rsid w:val="00DB5B82"/>
    <w:rsid w:val="00DB5EAD"/>
    <w:rsid w:val="00DB62C3"/>
    <w:rsid w:val="00DB6E18"/>
    <w:rsid w:val="00DB6FA9"/>
    <w:rsid w:val="00DB780B"/>
    <w:rsid w:val="00DC0359"/>
    <w:rsid w:val="00DC1909"/>
    <w:rsid w:val="00DC20D6"/>
    <w:rsid w:val="00DC49F7"/>
    <w:rsid w:val="00DC4C19"/>
    <w:rsid w:val="00DC6713"/>
    <w:rsid w:val="00DC6AF4"/>
    <w:rsid w:val="00DC6B7F"/>
    <w:rsid w:val="00DC70ED"/>
    <w:rsid w:val="00DC7747"/>
    <w:rsid w:val="00DC7FCE"/>
    <w:rsid w:val="00DD008E"/>
    <w:rsid w:val="00DD03DA"/>
    <w:rsid w:val="00DD0EBA"/>
    <w:rsid w:val="00DD0FD9"/>
    <w:rsid w:val="00DD1314"/>
    <w:rsid w:val="00DD17E2"/>
    <w:rsid w:val="00DD1C2D"/>
    <w:rsid w:val="00DD2371"/>
    <w:rsid w:val="00DD546C"/>
    <w:rsid w:val="00DD5D2B"/>
    <w:rsid w:val="00DD5D46"/>
    <w:rsid w:val="00DD61DC"/>
    <w:rsid w:val="00DD6ADD"/>
    <w:rsid w:val="00DD7BC4"/>
    <w:rsid w:val="00DD7F4A"/>
    <w:rsid w:val="00DE0A0A"/>
    <w:rsid w:val="00DE18F9"/>
    <w:rsid w:val="00DE24CB"/>
    <w:rsid w:val="00DE25AE"/>
    <w:rsid w:val="00DE2AF2"/>
    <w:rsid w:val="00DE2C7A"/>
    <w:rsid w:val="00DE2E6F"/>
    <w:rsid w:val="00DE2FE0"/>
    <w:rsid w:val="00DE3403"/>
    <w:rsid w:val="00DE36BF"/>
    <w:rsid w:val="00DE475B"/>
    <w:rsid w:val="00DE47D2"/>
    <w:rsid w:val="00DE4CEA"/>
    <w:rsid w:val="00DE62C0"/>
    <w:rsid w:val="00DE7359"/>
    <w:rsid w:val="00DF07A4"/>
    <w:rsid w:val="00DF0F37"/>
    <w:rsid w:val="00DF12F1"/>
    <w:rsid w:val="00DF199D"/>
    <w:rsid w:val="00DF25A6"/>
    <w:rsid w:val="00DF2D11"/>
    <w:rsid w:val="00DF3D7C"/>
    <w:rsid w:val="00DF43EE"/>
    <w:rsid w:val="00DF4B52"/>
    <w:rsid w:val="00DF52E3"/>
    <w:rsid w:val="00DF594F"/>
    <w:rsid w:val="00DF5E2A"/>
    <w:rsid w:val="00DF639F"/>
    <w:rsid w:val="00DF671F"/>
    <w:rsid w:val="00DF735D"/>
    <w:rsid w:val="00E00DC5"/>
    <w:rsid w:val="00E03306"/>
    <w:rsid w:val="00E048D8"/>
    <w:rsid w:val="00E07193"/>
    <w:rsid w:val="00E07227"/>
    <w:rsid w:val="00E075F5"/>
    <w:rsid w:val="00E10592"/>
    <w:rsid w:val="00E11405"/>
    <w:rsid w:val="00E12C8B"/>
    <w:rsid w:val="00E13961"/>
    <w:rsid w:val="00E14327"/>
    <w:rsid w:val="00E143FD"/>
    <w:rsid w:val="00E14C68"/>
    <w:rsid w:val="00E15128"/>
    <w:rsid w:val="00E1662F"/>
    <w:rsid w:val="00E1679F"/>
    <w:rsid w:val="00E17169"/>
    <w:rsid w:val="00E171AB"/>
    <w:rsid w:val="00E20776"/>
    <w:rsid w:val="00E20DFE"/>
    <w:rsid w:val="00E2166F"/>
    <w:rsid w:val="00E21B76"/>
    <w:rsid w:val="00E22A52"/>
    <w:rsid w:val="00E23CE8"/>
    <w:rsid w:val="00E23CFF"/>
    <w:rsid w:val="00E24B52"/>
    <w:rsid w:val="00E2599D"/>
    <w:rsid w:val="00E25CE5"/>
    <w:rsid w:val="00E271E2"/>
    <w:rsid w:val="00E272C0"/>
    <w:rsid w:val="00E274B7"/>
    <w:rsid w:val="00E27A91"/>
    <w:rsid w:val="00E30847"/>
    <w:rsid w:val="00E30B5F"/>
    <w:rsid w:val="00E31400"/>
    <w:rsid w:val="00E31D0A"/>
    <w:rsid w:val="00E32881"/>
    <w:rsid w:val="00E33A7A"/>
    <w:rsid w:val="00E33E02"/>
    <w:rsid w:val="00E34F55"/>
    <w:rsid w:val="00E36494"/>
    <w:rsid w:val="00E3796A"/>
    <w:rsid w:val="00E402B7"/>
    <w:rsid w:val="00E40407"/>
    <w:rsid w:val="00E4177D"/>
    <w:rsid w:val="00E4189F"/>
    <w:rsid w:val="00E430A6"/>
    <w:rsid w:val="00E43204"/>
    <w:rsid w:val="00E43330"/>
    <w:rsid w:val="00E43D28"/>
    <w:rsid w:val="00E44561"/>
    <w:rsid w:val="00E45A65"/>
    <w:rsid w:val="00E45B01"/>
    <w:rsid w:val="00E46FCD"/>
    <w:rsid w:val="00E477C4"/>
    <w:rsid w:val="00E504C2"/>
    <w:rsid w:val="00E50598"/>
    <w:rsid w:val="00E50925"/>
    <w:rsid w:val="00E50C0B"/>
    <w:rsid w:val="00E518E5"/>
    <w:rsid w:val="00E53286"/>
    <w:rsid w:val="00E53E18"/>
    <w:rsid w:val="00E54412"/>
    <w:rsid w:val="00E544FF"/>
    <w:rsid w:val="00E55384"/>
    <w:rsid w:val="00E554EE"/>
    <w:rsid w:val="00E55AD1"/>
    <w:rsid w:val="00E55DA2"/>
    <w:rsid w:val="00E57783"/>
    <w:rsid w:val="00E5791E"/>
    <w:rsid w:val="00E57E40"/>
    <w:rsid w:val="00E6092B"/>
    <w:rsid w:val="00E60FC0"/>
    <w:rsid w:val="00E62B9B"/>
    <w:rsid w:val="00E64D23"/>
    <w:rsid w:val="00E65071"/>
    <w:rsid w:val="00E66352"/>
    <w:rsid w:val="00E66C3E"/>
    <w:rsid w:val="00E6724F"/>
    <w:rsid w:val="00E7119D"/>
    <w:rsid w:val="00E72942"/>
    <w:rsid w:val="00E7383E"/>
    <w:rsid w:val="00E74130"/>
    <w:rsid w:val="00E7689C"/>
    <w:rsid w:val="00E77121"/>
    <w:rsid w:val="00E77579"/>
    <w:rsid w:val="00E77D54"/>
    <w:rsid w:val="00E80574"/>
    <w:rsid w:val="00E80862"/>
    <w:rsid w:val="00E808B4"/>
    <w:rsid w:val="00E8167D"/>
    <w:rsid w:val="00E8178B"/>
    <w:rsid w:val="00E8179C"/>
    <w:rsid w:val="00E828DB"/>
    <w:rsid w:val="00E84C54"/>
    <w:rsid w:val="00E86791"/>
    <w:rsid w:val="00E868A8"/>
    <w:rsid w:val="00E86965"/>
    <w:rsid w:val="00E869DF"/>
    <w:rsid w:val="00E875FA"/>
    <w:rsid w:val="00E87AE5"/>
    <w:rsid w:val="00E87FB9"/>
    <w:rsid w:val="00E9024A"/>
    <w:rsid w:val="00E92876"/>
    <w:rsid w:val="00E92BD1"/>
    <w:rsid w:val="00E934D9"/>
    <w:rsid w:val="00E964FC"/>
    <w:rsid w:val="00E96886"/>
    <w:rsid w:val="00EA04C7"/>
    <w:rsid w:val="00EA098D"/>
    <w:rsid w:val="00EA1E98"/>
    <w:rsid w:val="00EA42CC"/>
    <w:rsid w:val="00EA444D"/>
    <w:rsid w:val="00EA6111"/>
    <w:rsid w:val="00EA6A65"/>
    <w:rsid w:val="00EA7A80"/>
    <w:rsid w:val="00EB15FF"/>
    <w:rsid w:val="00EB19E2"/>
    <w:rsid w:val="00EB1B48"/>
    <w:rsid w:val="00EB2579"/>
    <w:rsid w:val="00EB3841"/>
    <w:rsid w:val="00EB392C"/>
    <w:rsid w:val="00EB3CC1"/>
    <w:rsid w:val="00EB3DE2"/>
    <w:rsid w:val="00EB3E65"/>
    <w:rsid w:val="00EB50CB"/>
    <w:rsid w:val="00EB556A"/>
    <w:rsid w:val="00EB5C6B"/>
    <w:rsid w:val="00EB63B2"/>
    <w:rsid w:val="00EB661E"/>
    <w:rsid w:val="00EB7A0D"/>
    <w:rsid w:val="00EB7AC8"/>
    <w:rsid w:val="00EC016B"/>
    <w:rsid w:val="00EC039E"/>
    <w:rsid w:val="00EC0B86"/>
    <w:rsid w:val="00EC18CE"/>
    <w:rsid w:val="00EC1F82"/>
    <w:rsid w:val="00EC206E"/>
    <w:rsid w:val="00EC291B"/>
    <w:rsid w:val="00EC2B70"/>
    <w:rsid w:val="00EC3640"/>
    <w:rsid w:val="00EC4ADF"/>
    <w:rsid w:val="00EC5340"/>
    <w:rsid w:val="00EC5DE1"/>
    <w:rsid w:val="00EC6436"/>
    <w:rsid w:val="00EC7C18"/>
    <w:rsid w:val="00ED006D"/>
    <w:rsid w:val="00ED0082"/>
    <w:rsid w:val="00ED09AF"/>
    <w:rsid w:val="00ED0F72"/>
    <w:rsid w:val="00ED22F0"/>
    <w:rsid w:val="00ED23F7"/>
    <w:rsid w:val="00ED2C3C"/>
    <w:rsid w:val="00ED3877"/>
    <w:rsid w:val="00ED3B73"/>
    <w:rsid w:val="00ED445B"/>
    <w:rsid w:val="00ED5286"/>
    <w:rsid w:val="00ED569F"/>
    <w:rsid w:val="00ED6438"/>
    <w:rsid w:val="00ED644B"/>
    <w:rsid w:val="00ED695C"/>
    <w:rsid w:val="00ED6E12"/>
    <w:rsid w:val="00ED768F"/>
    <w:rsid w:val="00EE0A15"/>
    <w:rsid w:val="00EE1DA2"/>
    <w:rsid w:val="00EE292A"/>
    <w:rsid w:val="00EE2B93"/>
    <w:rsid w:val="00EE3127"/>
    <w:rsid w:val="00EE3C3E"/>
    <w:rsid w:val="00EE3D8E"/>
    <w:rsid w:val="00EE501B"/>
    <w:rsid w:val="00EE669C"/>
    <w:rsid w:val="00EE6B88"/>
    <w:rsid w:val="00EE77A6"/>
    <w:rsid w:val="00EF0588"/>
    <w:rsid w:val="00EF093D"/>
    <w:rsid w:val="00EF0C74"/>
    <w:rsid w:val="00EF28C8"/>
    <w:rsid w:val="00EF2D25"/>
    <w:rsid w:val="00EF2DE2"/>
    <w:rsid w:val="00EF3A7B"/>
    <w:rsid w:val="00EF40F9"/>
    <w:rsid w:val="00EF4828"/>
    <w:rsid w:val="00EF4B36"/>
    <w:rsid w:val="00EF501C"/>
    <w:rsid w:val="00EF65E3"/>
    <w:rsid w:val="00F00122"/>
    <w:rsid w:val="00F006A1"/>
    <w:rsid w:val="00F00B92"/>
    <w:rsid w:val="00F01FA4"/>
    <w:rsid w:val="00F0224C"/>
    <w:rsid w:val="00F029D3"/>
    <w:rsid w:val="00F02D20"/>
    <w:rsid w:val="00F02F7A"/>
    <w:rsid w:val="00F03046"/>
    <w:rsid w:val="00F03100"/>
    <w:rsid w:val="00F03DA7"/>
    <w:rsid w:val="00F04191"/>
    <w:rsid w:val="00F051F3"/>
    <w:rsid w:val="00F0738B"/>
    <w:rsid w:val="00F075D1"/>
    <w:rsid w:val="00F079BC"/>
    <w:rsid w:val="00F07C12"/>
    <w:rsid w:val="00F10206"/>
    <w:rsid w:val="00F10AA3"/>
    <w:rsid w:val="00F11130"/>
    <w:rsid w:val="00F116DA"/>
    <w:rsid w:val="00F1178F"/>
    <w:rsid w:val="00F12106"/>
    <w:rsid w:val="00F1238D"/>
    <w:rsid w:val="00F12D9E"/>
    <w:rsid w:val="00F14F9B"/>
    <w:rsid w:val="00F15BF8"/>
    <w:rsid w:val="00F15E51"/>
    <w:rsid w:val="00F16213"/>
    <w:rsid w:val="00F1644F"/>
    <w:rsid w:val="00F16492"/>
    <w:rsid w:val="00F165DF"/>
    <w:rsid w:val="00F172A0"/>
    <w:rsid w:val="00F1759C"/>
    <w:rsid w:val="00F17BC6"/>
    <w:rsid w:val="00F24322"/>
    <w:rsid w:val="00F24D96"/>
    <w:rsid w:val="00F25B25"/>
    <w:rsid w:val="00F26114"/>
    <w:rsid w:val="00F27B5E"/>
    <w:rsid w:val="00F27D98"/>
    <w:rsid w:val="00F30087"/>
    <w:rsid w:val="00F300F7"/>
    <w:rsid w:val="00F30242"/>
    <w:rsid w:val="00F30476"/>
    <w:rsid w:val="00F311B5"/>
    <w:rsid w:val="00F31CB0"/>
    <w:rsid w:val="00F325EF"/>
    <w:rsid w:val="00F33042"/>
    <w:rsid w:val="00F35A17"/>
    <w:rsid w:val="00F35AE3"/>
    <w:rsid w:val="00F365A2"/>
    <w:rsid w:val="00F37779"/>
    <w:rsid w:val="00F378E0"/>
    <w:rsid w:val="00F40390"/>
    <w:rsid w:val="00F404D8"/>
    <w:rsid w:val="00F41CD2"/>
    <w:rsid w:val="00F4378C"/>
    <w:rsid w:val="00F43831"/>
    <w:rsid w:val="00F44BE8"/>
    <w:rsid w:val="00F45089"/>
    <w:rsid w:val="00F453DB"/>
    <w:rsid w:val="00F45B47"/>
    <w:rsid w:val="00F45FF9"/>
    <w:rsid w:val="00F46DBB"/>
    <w:rsid w:val="00F47854"/>
    <w:rsid w:val="00F47D44"/>
    <w:rsid w:val="00F5078A"/>
    <w:rsid w:val="00F50CA9"/>
    <w:rsid w:val="00F50E3A"/>
    <w:rsid w:val="00F51AAD"/>
    <w:rsid w:val="00F526DF"/>
    <w:rsid w:val="00F52938"/>
    <w:rsid w:val="00F52A3B"/>
    <w:rsid w:val="00F52EBA"/>
    <w:rsid w:val="00F52F67"/>
    <w:rsid w:val="00F5306D"/>
    <w:rsid w:val="00F53100"/>
    <w:rsid w:val="00F5375C"/>
    <w:rsid w:val="00F53890"/>
    <w:rsid w:val="00F5430A"/>
    <w:rsid w:val="00F54B00"/>
    <w:rsid w:val="00F54F00"/>
    <w:rsid w:val="00F551A3"/>
    <w:rsid w:val="00F55BAD"/>
    <w:rsid w:val="00F55F0A"/>
    <w:rsid w:val="00F56C47"/>
    <w:rsid w:val="00F57320"/>
    <w:rsid w:val="00F573F5"/>
    <w:rsid w:val="00F62E09"/>
    <w:rsid w:val="00F6306C"/>
    <w:rsid w:val="00F631F2"/>
    <w:rsid w:val="00F6429B"/>
    <w:rsid w:val="00F654F6"/>
    <w:rsid w:val="00F65E84"/>
    <w:rsid w:val="00F66473"/>
    <w:rsid w:val="00F66DD4"/>
    <w:rsid w:val="00F6750F"/>
    <w:rsid w:val="00F7092E"/>
    <w:rsid w:val="00F71339"/>
    <w:rsid w:val="00F72674"/>
    <w:rsid w:val="00F7272A"/>
    <w:rsid w:val="00F73637"/>
    <w:rsid w:val="00F747BE"/>
    <w:rsid w:val="00F74972"/>
    <w:rsid w:val="00F74D7C"/>
    <w:rsid w:val="00F757C2"/>
    <w:rsid w:val="00F76E6A"/>
    <w:rsid w:val="00F775A7"/>
    <w:rsid w:val="00F8015C"/>
    <w:rsid w:val="00F81248"/>
    <w:rsid w:val="00F817E3"/>
    <w:rsid w:val="00F84736"/>
    <w:rsid w:val="00F84C28"/>
    <w:rsid w:val="00F85CEF"/>
    <w:rsid w:val="00F85D26"/>
    <w:rsid w:val="00F86084"/>
    <w:rsid w:val="00F86CE3"/>
    <w:rsid w:val="00F874B6"/>
    <w:rsid w:val="00F87763"/>
    <w:rsid w:val="00F87879"/>
    <w:rsid w:val="00F87A4F"/>
    <w:rsid w:val="00F87E4E"/>
    <w:rsid w:val="00F87F87"/>
    <w:rsid w:val="00F90429"/>
    <w:rsid w:val="00F92567"/>
    <w:rsid w:val="00F92638"/>
    <w:rsid w:val="00F92763"/>
    <w:rsid w:val="00F9462C"/>
    <w:rsid w:val="00F95B5F"/>
    <w:rsid w:val="00F96660"/>
    <w:rsid w:val="00F96A52"/>
    <w:rsid w:val="00FA046A"/>
    <w:rsid w:val="00FA0A84"/>
    <w:rsid w:val="00FA14B3"/>
    <w:rsid w:val="00FA1505"/>
    <w:rsid w:val="00FA1635"/>
    <w:rsid w:val="00FA40D5"/>
    <w:rsid w:val="00FA4781"/>
    <w:rsid w:val="00FA6CAD"/>
    <w:rsid w:val="00FB08C4"/>
    <w:rsid w:val="00FB1317"/>
    <w:rsid w:val="00FB1A01"/>
    <w:rsid w:val="00FB255A"/>
    <w:rsid w:val="00FB2D36"/>
    <w:rsid w:val="00FB2F82"/>
    <w:rsid w:val="00FB4170"/>
    <w:rsid w:val="00FB546F"/>
    <w:rsid w:val="00FB5622"/>
    <w:rsid w:val="00FB5703"/>
    <w:rsid w:val="00FB5756"/>
    <w:rsid w:val="00FB5E63"/>
    <w:rsid w:val="00FB663F"/>
    <w:rsid w:val="00FC2742"/>
    <w:rsid w:val="00FC382E"/>
    <w:rsid w:val="00FC3FF4"/>
    <w:rsid w:val="00FC401B"/>
    <w:rsid w:val="00FC4270"/>
    <w:rsid w:val="00FC463D"/>
    <w:rsid w:val="00FC68D3"/>
    <w:rsid w:val="00FC77DB"/>
    <w:rsid w:val="00FD140B"/>
    <w:rsid w:val="00FD146D"/>
    <w:rsid w:val="00FD280E"/>
    <w:rsid w:val="00FD344D"/>
    <w:rsid w:val="00FD3DF8"/>
    <w:rsid w:val="00FD47F7"/>
    <w:rsid w:val="00FD4913"/>
    <w:rsid w:val="00FD5601"/>
    <w:rsid w:val="00FD64BC"/>
    <w:rsid w:val="00FD6B3F"/>
    <w:rsid w:val="00FD6B65"/>
    <w:rsid w:val="00FD7A09"/>
    <w:rsid w:val="00FD7DFA"/>
    <w:rsid w:val="00FE017A"/>
    <w:rsid w:val="00FE156C"/>
    <w:rsid w:val="00FE1E04"/>
    <w:rsid w:val="00FE25E6"/>
    <w:rsid w:val="00FE2870"/>
    <w:rsid w:val="00FE3180"/>
    <w:rsid w:val="00FE3365"/>
    <w:rsid w:val="00FE36B2"/>
    <w:rsid w:val="00FE4174"/>
    <w:rsid w:val="00FE4898"/>
    <w:rsid w:val="00FE4DEC"/>
    <w:rsid w:val="00FE4F0D"/>
    <w:rsid w:val="00FE52AF"/>
    <w:rsid w:val="00FE5C66"/>
    <w:rsid w:val="00FE5FF3"/>
    <w:rsid w:val="00FE61CD"/>
    <w:rsid w:val="00FE68A6"/>
    <w:rsid w:val="00FE6B7B"/>
    <w:rsid w:val="00FE6DF2"/>
    <w:rsid w:val="00FE716A"/>
    <w:rsid w:val="00FE7741"/>
    <w:rsid w:val="00FF03B0"/>
    <w:rsid w:val="00FF063F"/>
    <w:rsid w:val="00FF13BC"/>
    <w:rsid w:val="00FF1C15"/>
    <w:rsid w:val="00FF3998"/>
    <w:rsid w:val="00FF3A57"/>
    <w:rsid w:val="00FF3D8D"/>
    <w:rsid w:val="00FF3EBB"/>
    <w:rsid w:val="00FF427B"/>
    <w:rsid w:val="00FF4E47"/>
    <w:rsid w:val="00FF680C"/>
    <w:rsid w:val="00FF6DF5"/>
    <w:rsid w:val="00FF714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Přímá spojnice se šipkou 306"/>
        <o:r id="V:Rule2" type="connector" idref="#Přímá spojnice se šipkou 101"/>
        <o:r id="V:Rule3" type="connector" idref="#Přímá spojnice se šipkou 106"/>
        <o:r id="V:Rule4" type="connector" idref="#Přímá spojnice se šipkou 393"/>
        <o:r id="V:Rule5" type="connector" idref="#Přímá spojnice se šipkou 375"/>
        <o:r id="V:Rule6" type="connector" idref="#Přímá spojnice se šipkou 384"/>
        <o:r id="V:Rule7" type="connector" idref="#Přímá spojnice se šipkou 108"/>
        <o:r id="V:Rule8" type="connector" idref="#Přímá spojnice se šipkou 311"/>
        <o:r id="V:Rule9" type="connector" idref="#Přímá spojnice se šipkou 33"/>
        <o:r id="V:Rule10" type="connector" idref="#Přímá spojnice se šipkou 396"/>
        <o:r id="V:Rule11" type="connector" idref="#Přímá spojnice se šipkou 369"/>
        <o:r id="V:Rule12" type="connector" idref="#Přímá spojnice se šipkou 403"/>
        <o:r id="V:Rule13" type="connector" idref="#Přímá spojnice se šipkou 394"/>
        <o:r id="V:Rule14" type="connector" idref="#Přímá spojnice se šipkou 309"/>
        <o:r id="V:Rule15" type="connector" idref="#Přímá spojnice 96"/>
        <o:r id="V:Rule16" type="connector" idref="#Přímá spojnice se šipkou 406"/>
        <o:r id="V:Rule17" type="connector" idref="#Přímá spojnice se šipkou 373"/>
        <o:r id="V:Rule18" type="connector" idref="#Přímá spojnice se šipkou 307"/>
        <o:r id="V:Rule19" type="connector" idref="#Přímá spojnice se šipkou 379"/>
        <o:r id="V:Rule20" type="connector" idref="#Přímá spojnice se šipkou 36"/>
        <o:r id="V:Rule21" type="connector" idref="#Přímá spojnice se šipkou 119"/>
        <o:r id="V:Rule22" type="connector" idref="#Přímá spojnice se šipkou 391"/>
        <o:r id="V:Rule23" type="connector" idref="#Přímá spojnice se šipkou 37"/>
        <o:r id="V:Rule24" type="connector" idref="#Přímá spojnice se šipkou 387"/>
        <o:r id="V:Rule25" type="connector" idref="#Přímá spojnice se šipkou 383"/>
        <o:r id="V:Rule26" type="connector" idref="#Přímá spojnice se šipkou 380"/>
        <o:r id="V:Rule27" type="connector" idref="#Přímá spojnice 100"/>
        <o:r id="V:Rule28" type="connector" idref="#Přímá spojnice se šipkou 18"/>
        <o:r id="V:Rule29" type="connector" idref="#Přímá spojnice se šipkou 371"/>
        <o:r id="V:Rule30" type="connector" idref="#Přímá spojnice se šipkou 377"/>
        <o:r id="V:Rule31" type="connector" idref="#Přímá spojnice se šipkou 404"/>
        <o:r id="V:Rule32" type="connector" idref="#Přímá spojnice se šipkou 409"/>
        <o:r id="V:Rule33" type="connector" idref="#Přímá spojnice 103"/>
        <o:r id="V:Rule34" type="connector" idref="#Přímá spojnice se šipkou 29"/>
        <o:r id="V:Rule35" type="connector" idref="#Přímá spojnice se šipkou 35"/>
        <o:r id="V:Rule36" type="connector" idref="#Přímá spojnice se šipkou 115"/>
        <o:r id="V:Rule37" type="connector" idref="#Přímá spojnice se šipkou 388"/>
        <o:r id="V:Rule38" type="connector" idref="#Přímá spojnice se šipkou 107"/>
        <o:r id="V:Rule39" type="connector" idref="#Přímá spojnice se šipkou 408"/>
        <o:r id="V:Rule40" type="connector" idref="#Přímá spojnice se šipkou 398"/>
        <o:r id="V:Rule41" type="connector" idref="#Přímá spojnice 41"/>
        <o:r id="V:Rule42" type="connector" idref="#Přímá spojnice se šipkou 410"/>
        <o:r id="V:Rule43" type="connector" idref="#Přímá spojnice se šipkou 386"/>
        <o:r id="V:Rule44" type="connector" idref="#Přímá spojnice se šipkou 395"/>
        <o:r id="V:Rule45" type="connector" idref="#Přímá spojnice se šipkou 382"/>
        <o:r id="V:Rule46" type="connector" idref="#Přímá spojnice 98"/>
        <o:r id="V:Rule47" type="connector" idref="#Přímá spojnice se šipkou 405"/>
        <o:r id="V:Rule48" type="connector" idref="#Přímá spojnice 45"/>
        <o:r id="V:Rule49" type="connector" idref="#Přímá spojnice se šipkou 80"/>
        <o:r id="V:Rule50" type="connector" idref="#Přímá spojnice se šipkou 389"/>
        <o:r id="V:Rule51" type="connector" idref="#Přímá spojnice se šipkou 372"/>
        <o:r id="V:Rule52" type="connector" idref="#Přímá spojnice 48"/>
        <o:r id="V:Rule53" type="connector" idref="#Přímá spojnice se šipkou 52"/>
        <o:r id="V:Rule54" type="connector" idref="#Přímá spojnice se šipkou 118"/>
        <o:r id="V:Rule55" type="connector" idref="#Přímá spojnice se šipkou 310"/>
        <o:r id="V:Rule56" type="connector" idref="#Přímá spojnice se šipkou 407"/>
        <o:r id="V:Rule57" type="connector" idref="#Přímá spojnice se šipkou 378"/>
        <o:r id="V:Rule58" type="connector" idref="#Přímá spojnice 40"/>
        <o:r id="V:Rule59" type="connector" idref="#Přímá spojnice se šipkou 401"/>
        <o:r id="V:Rule60" type="connector" idref="#Přímá spojnice 102"/>
        <o:r id="V:Rule61" type="connector" idref="#Přímá spojnice se šipkou 370"/>
        <o:r id="V:Rule62" type="connector" idref="#Přímá spojnice se šipkou 304"/>
        <o:r id="V:Rule63" type="connector" idref="#Přímá spojnice 52"/>
        <o:r id="V:Rule64" type="connector" idref="#Přímá spojnice se šipkou 34"/>
        <o:r id="V:Rule65" type="connector" idref="#Přímá spojnice 104"/>
        <o:r id="V:Rule66" type="connector" idref="#Přímá spojnice se šipkou 308"/>
        <o:r id="V:Rule67" type="connector" idref="#Přímá spojnice se šipkou 390"/>
        <o:r id="V:Rule68" type="connector" idref="#Přímá spojnice se šipkou 374"/>
        <o:r id="V:Rule69" type="connector" idref="#Přímá spojnice se šipkou 114"/>
        <o:r id="V:Rule70" type="connector" idref="#Přímá spojnice se šipkou 116"/>
        <o:r id="V:Rule71" type="connector" idref="#Přímá spojnice se šipkou 305"/>
        <o:r id="V:Rule72" type="connector" idref="#Přímá spojnice se šipkou 399"/>
        <o:r id="V:Rule73" type="connector" idref="#Přímá spojnice se šipkou 72"/>
        <o:r id="V:Rule74" type="connector" idref="#Přímá spojnice se šipkou 400"/>
        <o:r id="V:Rule75" type="connector" idref="#Přímá spojnice 51"/>
        <o:r id="V:Rule76" type="connector" idref="#Přímá spojnice se šipkou 7"/>
        <o:r id="V:Rule77" type="connector" idref="#Přímá spojnice se šipkou 99"/>
        <o:r id="V:Rule78" type="connector" idref="#Přímá spojnice se šipkou 381"/>
        <o:r id="V:Rule79" type="connector" idref="#Přímá spojnice se šipkou 105"/>
        <o:r id="V:Rule80" type="connector" idref="#Přímá spojnice se šipkou 385"/>
        <o:r id="V:Rule81" type="connector" idref="#Přímá spojnice 43"/>
        <o:r id="V:Rule82" type="connector" idref="#Přímá spojnice se šipkou 97"/>
        <o:r id="V:Rule83" type="connector" idref="#Přímá spojnice se šipkou 397"/>
        <o:r id="V:Rule84" type="connector" idref="#Přímá spojnice 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ln">
    <w:name w:val="Normal"/>
    <w:qFormat/>
    <w:rsid w:val="00587418"/>
    <w:pPr>
      <w:spacing w:after="200" w:line="276" w:lineRule="auto"/>
    </w:pPr>
  </w:style>
  <w:style w:type="paragraph" w:styleId="Nadpis1">
    <w:name w:val="heading 1"/>
    <w:basedOn w:val="Normln"/>
    <w:link w:val="Nadpis1Char"/>
    <w:uiPriority w:val="99"/>
    <w:qFormat/>
    <w:locked/>
    <w:rsid w:val="008739EF"/>
    <w:pPr>
      <w:spacing w:before="100" w:beforeAutospacing="1" w:after="100" w:afterAutospacing="1" w:line="240" w:lineRule="auto"/>
      <w:outlineLvl w:val="0"/>
    </w:pPr>
    <w:rPr>
      <w:b/>
      <w:bCs/>
      <w:kern w:val="36"/>
      <w:sz w:val="48"/>
      <w:szCs w:val="48"/>
    </w:rPr>
  </w:style>
  <w:style w:type="paragraph" w:styleId="Nadpis2">
    <w:name w:val="heading 2"/>
    <w:basedOn w:val="Normln"/>
    <w:next w:val="Normln"/>
    <w:link w:val="Nadpis2Char"/>
    <w:uiPriority w:val="99"/>
    <w:qFormat/>
    <w:locked/>
    <w:rsid w:val="008739EF"/>
    <w:pPr>
      <w:keepNext/>
      <w:spacing w:before="240" w:after="60" w:line="240" w:lineRule="auto"/>
      <w:outlineLvl w:val="1"/>
    </w:pPr>
    <w:rPr>
      <w:rFonts w:ascii="Arial" w:hAnsi="Arial" w:cs="Arial"/>
      <w:b/>
      <w:bCs/>
      <w:i/>
      <w:iCs/>
      <w:sz w:val="28"/>
      <w:szCs w:val="28"/>
    </w:rPr>
  </w:style>
  <w:style w:type="paragraph" w:styleId="Nadpis3">
    <w:name w:val="heading 3"/>
    <w:basedOn w:val="Normln"/>
    <w:next w:val="Normln"/>
    <w:link w:val="Nadpis3Char"/>
    <w:uiPriority w:val="9"/>
    <w:qFormat/>
    <w:rsid w:val="00DD03DA"/>
    <w:pPr>
      <w:keepNext/>
      <w:keepLines/>
      <w:spacing w:before="200" w:after="0"/>
      <w:outlineLvl w:val="2"/>
    </w:pPr>
    <w:rPr>
      <w:rFonts w:ascii="Cambria" w:hAnsi="Cambria"/>
      <w:b/>
      <w:bCs/>
      <w:color w:val="4F81BD"/>
    </w:rPr>
  </w:style>
  <w:style w:type="paragraph" w:styleId="Nadpis4">
    <w:name w:val="heading 4"/>
    <w:basedOn w:val="Normln"/>
    <w:next w:val="Normln"/>
    <w:link w:val="Nadpis4Char"/>
    <w:uiPriority w:val="9"/>
    <w:qFormat/>
    <w:locked/>
    <w:rsid w:val="00C24344"/>
    <w:pPr>
      <w:keepNext/>
      <w:spacing w:before="240" w:after="60"/>
      <w:outlineLvl w:val="3"/>
    </w:pPr>
    <w:rPr>
      <w:rFonts w:ascii="Calibri" w:hAnsi="Calibri"/>
      <w:b/>
      <w:bCs/>
      <w:sz w:val="28"/>
      <w:szCs w:val="28"/>
      <w:lang w:eastAsia="en-US"/>
    </w:rPr>
  </w:style>
  <w:style w:type="paragraph" w:styleId="Nadpis5">
    <w:name w:val="heading 5"/>
    <w:basedOn w:val="Normln"/>
    <w:next w:val="Normln"/>
    <w:link w:val="Nadpis5Char"/>
    <w:uiPriority w:val="99"/>
    <w:qFormat/>
    <w:locked/>
    <w:rsid w:val="00C24344"/>
    <w:pPr>
      <w:spacing w:before="240" w:after="60"/>
      <w:outlineLvl w:val="4"/>
    </w:pPr>
    <w:rPr>
      <w:rFonts w:ascii="Calibri" w:hAnsi="Calibri"/>
      <w:b/>
      <w:bCs/>
      <w:i/>
      <w:iCs/>
      <w:sz w:val="26"/>
      <w:szCs w:val="26"/>
      <w:lang w:eastAsia="en-US"/>
    </w:rPr>
  </w:style>
  <w:style w:type="paragraph" w:styleId="Nadpis6">
    <w:name w:val="heading 6"/>
    <w:basedOn w:val="Normln"/>
    <w:next w:val="Normln"/>
    <w:link w:val="Nadpis6Char"/>
    <w:uiPriority w:val="99"/>
    <w:qFormat/>
    <w:locked/>
    <w:rsid w:val="00434952"/>
    <w:pPr>
      <w:keepNext/>
      <w:keepLines/>
      <w:spacing w:before="200" w:after="0" w:line="240" w:lineRule="auto"/>
      <w:outlineLvl w:val="5"/>
    </w:pPr>
    <w:rPr>
      <w:rFonts w:ascii="Cambria" w:hAnsi="Cambria"/>
      <w:i/>
      <w:iCs/>
      <w:color w:val="243F60"/>
    </w:rPr>
  </w:style>
  <w:style w:type="paragraph" w:styleId="Nadpis7">
    <w:name w:val="heading 7"/>
    <w:basedOn w:val="Normln"/>
    <w:next w:val="Normln"/>
    <w:link w:val="Nadpis7Char"/>
    <w:uiPriority w:val="99"/>
    <w:qFormat/>
    <w:locked/>
    <w:rsid w:val="00434952"/>
    <w:pPr>
      <w:keepNext/>
      <w:keepLines/>
      <w:spacing w:before="200" w:after="0" w:line="240" w:lineRule="auto"/>
      <w:outlineLvl w:val="6"/>
    </w:pPr>
    <w:rPr>
      <w:rFonts w:ascii="Cambria" w:hAnsi="Cambria"/>
      <w:i/>
      <w:iCs/>
      <w:color w:val="404040"/>
    </w:rPr>
  </w:style>
  <w:style w:type="paragraph" w:styleId="Nadpis8">
    <w:name w:val="heading 8"/>
    <w:basedOn w:val="Normln"/>
    <w:next w:val="Normln"/>
    <w:link w:val="Nadpis8Char"/>
    <w:uiPriority w:val="99"/>
    <w:qFormat/>
    <w:locked/>
    <w:rsid w:val="00434952"/>
    <w:pPr>
      <w:keepNext/>
      <w:keepLines/>
      <w:spacing w:before="200" w:after="0" w:line="240" w:lineRule="auto"/>
      <w:outlineLvl w:val="7"/>
    </w:pPr>
    <w:rPr>
      <w:rFonts w:ascii="Cambria" w:hAnsi="Cambria"/>
      <w:color w:val="4F81BD"/>
      <w:sz w:val="20"/>
      <w:szCs w:val="20"/>
    </w:rPr>
  </w:style>
  <w:style w:type="paragraph" w:styleId="Nadpis9">
    <w:name w:val="heading 9"/>
    <w:basedOn w:val="Normln"/>
    <w:next w:val="Normln"/>
    <w:link w:val="Nadpis9Char"/>
    <w:uiPriority w:val="99"/>
    <w:qFormat/>
    <w:locked/>
    <w:rsid w:val="00434952"/>
    <w:pPr>
      <w:keepNext/>
      <w:keepLines/>
      <w:spacing w:before="200" w:after="0" w:line="240" w:lineRule="auto"/>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8739EF"/>
    <w:rPr>
      <w:rFonts w:cs="Times New Roman"/>
      <w:b/>
      <w:bCs/>
      <w:kern w:val="36"/>
      <w:sz w:val="48"/>
      <w:szCs w:val="48"/>
    </w:rPr>
  </w:style>
  <w:style w:type="character" w:customStyle="1" w:styleId="Nadpis2Char">
    <w:name w:val="Nadpis 2 Char"/>
    <w:basedOn w:val="Standardnpsmoodstavce"/>
    <w:link w:val="Nadpis2"/>
    <w:uiPriority w:val="99"/>
    <w:locked/>
    <w:rsid w:val="008739EF"/>
    <w:rPr>
      <w:rFonts w:ascii="Arial" w:hAnsi="Arial" w:cs="Arial"/>
      <w:b/>
      <w:bCs/>
      <w:i/>
      <w:iCs/>
      <w:sz w:val="28"/>
      <w:szCs w:val="28"/>
    </w:rPr>
  </w:style>
  <w:style w:type="character" w:customStyle="1" w:styleId="Nadpis3Char">
    <w:name w:val="Nadpis 3 Char"/>
    <w:basedOn w:val="Standardnpsmoodstavce"/>
    <w:link w:val="Nadpis3"/>
    <w:uiPriority w:val="9"/>
    <w:locked/>
    <w:rsid w:val="00DD03DA"/>
    <w:rPr>
      <w:rFonts w:ascii="Cambria" w:hAnsi="Cambria" w:cs="Times New Roman"/>
      <w:b/>
      <w:bCs/>
      <w:color w:val="4F81BD"/>
    </w:rPr>
  </w:style>
  <w:style w:type="character" w:customStyle="1" w:styleId="Nadpis4Char">
    <w:name w:val="Nadpis 4 Char"/>
    <w:basedOn w:val="Standardnpsmoodstavce"/>
    <w:link w:val="Nadpis4"/>
    <w:uiPriority w:val="9"/>
    <w:rsid w:val="00C24344"/>
    <w:rPr>
      <w:rFonts w:ascii="Calibri" w:hAnsi="Calibri"/>
      <w:b/>
      <w:bCs/>
      <w:sz w:val="28"/>
      <w:szCs w:val="28"/>
      <w:lang w:eastAsia="en-US"/>
    </w:rPr>
  </w:style>
  <w:style w:type="character" w:customStyle="1" w:styleId="Nadpis5Char">
    <w:name w:val="Nadpis 5 Char"/>
    <w:basedOn w:val="Standardnpsmoodstavce"/>
    <w:link w:val="Nadpis5"/>
    <w:uiPriority w:val="99"/>
    <w:rsid w:val="00C24344"/>
    <w:rPr>
      <w:rFonts w:ascii="Calibri" w:hAnsi="Calibri"/>
      <w:b/>
      <w:bCs/>
      <w:i/>
      <w:iCs/>
      <w:sz w:val="26"/>
      <w:szCs w:val="26"/>
      <w:lang w:eastAsia="en-US"/>
    </w:rPr>
  </w:style>
  <w:style w:type="paragraph" w:styleId="Textbubliny">
    <w:name w:val="Balloon Text"/>
    <w:basedOn w:val="Normln"/>
    <w:link w:val="TextbublinyChar"/>
    <w:uiPriority w:val="99"/>
    <w:rsid w:val="002945F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locked/>
    <w:rsid w:val="002945F4"/>
    <w:rPr>
      <w:rFonts w:ascii="Tahoma" w:hAnsi="Tahoma" w:cs="Tahoma"/>
      <w:sz w:val="16"/>
      <w:szCs w:val="16"/>
      <w:lang w:val="cs-CZ" w:eastAsia="cs-CZ"/>
    </w:rPr>
  </w:style>
  <w:style w:type="paragraph" w:styleId="Textpoznpodarou">
    <w:name w:val="footnote text"/>
    <w:aliases w:val="Poznámka"/>
    <w:basedOn w:val="Normln"/>
    <w:link w:val="TextpoznpodarouChar"/>
    <w:uiPriority w:val="99"/>
    <w:semiHidden/>
    <w:rsid w:val="0022190A"/>
    <w:pPr>
      <w:spacing w:after="0" w:line="240" w:lineRule="auto"/>
    </w:pPr>
    <w:rPr>
      <w:sz w:val="20"/>
      <w:szCs w:val="20"/>
    </w:rPr>
  </w:style>
  <w:style w:type="character" w:customStyle="1" w:styleId="TextpoznpodarouChar">
    <w:name w:val="Text pozn. pod čarou Char"/>
    <w:aliases w:val="Poznámka Char"/>
    <w:basedOn w:val="Standardnpsmoodstavce"/>
    <w:link w:val="Textpoznpodarou"/>
    <w:uiPriority w:val="99"/>
    <w:semiHidden/>
    <w:locked/>
    <w:rsid w:val="0022190A"/>
    <w:rPr>
      <w:rFonts w:cs="Times New Roman"/>
      <w:sz w:val="20"/>
      <w:szCs w:val="20"/>
      <w:lang w:val="cs-CZ" w:eastAsia="cs-CZ"/>
    </w:rPr>
  </w:style>
  <w:style w:type="character" w:styleId="Znakapoznpodarou">
    <w:name w:val="footnote reference"/>
    <w:basedOn w:val="Standardnpsmoodstavce"/>
    <w:uiPriority w:val="99"/>
    <w:semiHidden/>
    <w:rsid w:val="0022190A"/>
    <w:rPr>
      <w:rFonts w:cs="Times New Roman"/>
      <w:vertAlign w:val="superscript"/>
    </w:rPr>
  </w:style>
  <w:style w:type="character" w:styleId="Hypertextovodkaz">
    <w:name w:val="Hyperlink"/>
    <w:basedOn w:val="Standardnpsmoodstavce"/>
    <w:uiPriority w:val="99"/>
    <w:rsid w:val="00ED6E12"/>
    <w:rPr>
      <w:rFonts w:cs="Times New Roman"/>
      <w:color w:val="0000FF"/>
      <w:u w:val="single"/>
    </w:rPr>
  </w:style>
  <w:style w:type="paragraph" w:styleId="Normlnweb">
    <w:name w:val="Normal (Web)"/>
    <w:basedOn w:val="Normln"/>
    <w:uiPriority w:val="99"/>
    <w:rsid w:val="00FC382E"/>
    <w:pPr>
      <w:spacing w:before="100" w:beforeAutospacing="1" w:after="100" w:afterAutospacing="1" w:line="240" w:lineRule="auto"/>
    </w:pPr>
    <w:rPr>
      <w:sz w:val="24"/>
      <w:szCs w:val="24"/>
    </w:rPr>
  </w:style>
  <w:style w:type="paragraph" w:styleId="Odstavecseseznamem">
    <w:name w:val="List Paragraph"/>
    <w:basedOn w:val="Normln"/>
    <w:uiPriority w:val="34"/>
    <w:qFormat/>
    <w:rsid w:val="00380D23"/>
    <w:pPr>
      <w:ind w:left="720"/>
      <w:contextualSpacing/>
    </w:pPr>
  </w:style>
  <w:style w:type="paragraph" w:styleId="Titulek">
    <w:name w:val="caption"/>
    <w:basedOn w:val="Normln"/>
    <w:next w:val="Normln"/>
    <w:uiPriority w:val="99"/>
    <w:qFormat/>
    <w:locked/>
    <w:rsid w:val="00B01C00"/>
    <w:pPr>
      <w:spacing w:line="240" w:lineRule="auto"/>
    </w:pPr>
    <w:rPr>
      <w:b/>
      <w:bCs/>
      <w:color w:val="4F81BD"/>
      <w:sz w:val="18"/>
      <w:szCs w:val="18"/>
    </w:rPr>
  </w:style>
  <w:style w:type="paragraph" w:styleId="Zpat">
    <w:name w:val="footer"/>
    <w:basedOn w:val="Normln"/>
    <w:link w:val="ZpatChar"/>
    <w:uiPriority w:val="99"/>
    <w:rsid w:val="008739EF"/>
    <w:pPr>
      <w:tabs>
        <w:tab w:val="center" w:pos="4536"/>
        <w:tab w:val="right" w:pos="9072"/>
      </w:tabs>
      <w:spacing w:after="0" w:line="240" w:lineRule="auto"/>
    </w:pPr>
    <w:rPr>
      <w:sz w:val="24"/>
      <w:szCs w:val="24"/>
    </w:rPr>
  </w:style>
  <w:style w:type="character" w:customStyle="1" w:styleId="ZpatChar">
    <w:name w:val="Zápatí Char"/>
    <w:basedOn w:val="Standardnpsmoodstavce"/>
    <w:link w:val="Zpat"/>
    <w:uiPriority w:val="99"/>
    <w:locked/>
    <w:rsid w:val="008739EF"/>
    <w:rPr>
      <w:rFonts w:cs="Times New Roman"/>
      <w:sz w:val="24"/>
      <w:szCs w:val="24"/>
    </w:rPr>
  </w:style>
  <w:style w:type="character" w:styleId="slostrnky">
    <w:name w:val="page number"/>
    <w:basedOn w:val="Standardnpsmoodstavce"/>
    <w:uiPriority w:val="99"/>
    <w:rsid w:val="008739EF"/>
    <w:rPr>
      <w:rFonts w:cs="Times New Roman"/>
    </w:rPr>
  </w:style>
  <w:style w:type="paragraph" w:customStyle="1" w:styleId="Styl4">
    <w:name w:val="Styl4"/>
    <w:basedOn w:val="Normln"/>
    <w:uiPriority w:val="99"/>
    <w:rsid w:val="008739EF"/>
    <w:pPr>
      <w:overflowPunct w:val="0"/>
      <w:autoSpaceDE w:val="0"/>
      <w:autoSpaceDN w:val="0"/>
      <w:adjustRightInd w:val="0"/>
      <w:spacing w:before="120" w:after="120" w:line="240" w:lineRule="auto"/>
      <w:jc w:val="both"/>
    </w:pPr>
    <w:rPr>
      <w:color w:val="000000"/>
      <w:sz w:val="24"/>
      <w:szCs w:val="24"/>
    </w:rPr>
  </w:style>
  <w:style w:type="character" w:customStyle="1" w:styleId="textProstyChar">
    <w:name w:val="textProsty Char"/>
    <w:basedOn w:val="Standardnpsmoodstavce"/>
    <w:link w:val="textProsty"/>
    <w:uiPriority w:val="99"/>
    <w:locked/>
    <w:rsid w:val="008739EF"/>
    <w:rPr>
      <w:rFonts w:ascii="Arial" w:hAnsi="Arial" w:cs="Arial"/>
      <w:color w:val="000000"/>
      <w:sz w:val="24"/>
      <w:szCs w:val="24"/>
      <w:lang w:val="en-GB"/>
    </w:rPr>
  </w:style>
  <w:style w:type="paragraph" w:customStyle="1" w:styleId="textProsty">
    <w:name w:val="textProsty"/>
    <w:basedOn w:val="Normln"/>
    <w:link w:val="textProstyChar"/>
    <w:uiPriority w:val="99"/>
    <w:rsid w:val="008739EF"/>
    <w:pPr>
      <w:spacing w:after="120" w:line="240" w:lineRule="auto"/>
      <w:jc w:val="both"/>
    </w:pPr>
    <w:rPr>
      <w:rFonts w:ascii="Arial" w:hAnsi="Arial" w:cs="Arial"/>
      <w:color w:val="000000"/>
      <w:szCs w:val="24"/>
      <w:lang w:val="en-GB"/>
    </w:rPr>
  </w:style>
  <w:style w:type="table" w:styleId="Mkatabulky">
    <w:name w:val="Table Grid"/>
    <w:basedOn w:val="Normlntabulka"/>
    <w:uiPriority w:val="59"/>
    <w:locked/>
    <w:rsid w:val="008739EF"/>
    <w:rPr>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uiPriority w:val="99"/>
    <w:locked/>
    <w:rsid w:val="008739EF"/>
    <w:rPr>
      <w:sz w:val="24"/>
    </w:rPr>
  </w:style>
  <w:style w:type="paragraph" w:styleId="Zkladntextodsazen">
    <w:name w:val="Body Text Indent"/>
    <w:basedOn w:val="Normln"/>
    <w:link w:val="ZkladntextodsazenChar"/>
    <w:uiPriority w:val="99"/>
    <w:rsid w:val="008739EF"/>
    <w:pPr>
      <w:spacing w:after="0" w:line="240" w:lineRule="auto"/>
      <w:ind w:firstLine="709"/>
      <w:jc w:val="both"/>
    </w:pPr>
    <w:rPr>
      <w:sz w:val="24"/>
      <w:szCs w:val="24"/>
    </w:rPr>
  </w:style>
  <w:style w:type="character" w:customStyle="1" w:styleId="ZkladntextodsazenChar">
    <w:name w:val="Základní text odsazený Char"/>
    <w:basedOn w:val="Standardnpsmoodstavce"/>
    <w:link w:val="Zkladntextodsazen"/>
    <w:uiPriority w:val="99"/>
    <w:locked/>
    <w:rsid w:val="00B92D26"/>
    <w:rPr>
      <w:rFonts w:cs="Times New Roman"/>
    </w:rPr>
  </w:style>
  <w:style w:type="character" w:customStyle="1" w:styleId="ZkladntextodsazenChar1">
    <w:name w:val="Základní text odsazený Char1"/>
    <w:basedOn w:val="Standardnpsmoodstavce"/>
    <w:uiPriority w:val="99"/>
    <w:semiHidden/>
    <w:rsid w:val="008739EF"/>
    <w:rPr>
      <w:rFonts w:cs="Times New Roman"/>
    </w:rPr>
  </w:style>
  <w:style w:type="paragraph" w:customStyle="1" w:styleId="description">
    <w:name w:val="description"/>
    <w:basedOn w:val="Normln"/>
    <w:uiPriority w:val="99"/>
    <w:rsid w:val="008739EF"/>
    <w:pPr>
      <w:spacing w:after="0" w:line="240" w:lineRule="auto"/>
    </w:pPr>
    <w:rPr>
      <w:sz w:val="24"/>
      <w:szCs w:val="24"/>
    </w:rPr>
  </w:style>
  <w:style w:type="paragraph" w:styleId="Seznamsodrkami4">
    <w:name w:val="List Bullet 4"/>
    <w:basedOn w:val="Normln"/>
    <w:autoRedefine/>
    <w:uiPriority w:val="99"/>
    <w:rsid w:val="008739EF"/>
    <w:pPr>
      <w:spacing w:after="0" w:line="240" w:lineRule="auto"/>
      <w:jc w:val="both"/>
    </w:pPr>
    <w:rPr>
      <w:szCs w:val="20"/>
    </w:rPr>
  </w:style>
  <w:style w:type="paragraph" w:styleId="Zhlav">
    <w:name w:val="header"/>
    <w:basedOn w:val="Normln"/>
    <w:link w:val="ZhlavChar"/>
    <w:uiPriority w:val="99"/>
    <w:rsid w:val="008739EF"/>
    <w:pPr>
      <w:tabs>
        <w:tab w:val="center" w:pos="4536"/>
        <w:tab w:val="right" w:pos="9072"/>
      </w:tabs>
      <w:spacing w:after="0" w:line="240" w:lineRule="auto"/>
    </w:pPr>
    <w:rPr>
      <w:sz w:val="24"/>
      <w:szCs w:val="24"/>
    </w:rPr>
  </w:style>
  <w:style w:type="character" w:customStyle="1" w:styleId="ZhlavChar">
    <w:name w:val="Záhlaví Char"/>
    <w:basedOn w:val="Standardnpsmoodstavce"/>
    <w:link w:val="Zhlav"/>
    <w:uiPriority w:val="99"/>
    <w:locked/>
    <w:rsid w:val="008739EF"/>
    <w:rPr>
      <w:rFonts w:cs="Times New Roman"/>
      <w:sz w:val="24"/>
      <w:szCs w:val="24"/>
    </w:rPr>
  </w:style>
  <w:style w:type="paragraph" w:customStyle="1" w:styleId="Styl1">
    <w:name w:val="Styl1"/>
    <w:basedOn w:val="Normln"/>
    <w:uiPriority w:val="99"/>
    <w:rsid w:val="008739EF"/>
    <w:pPr>
      <w:spacing w:after="0" w:line="240" w:lineRule="auto"/>
      <w:ind w:left="227" w:hanging="227"/>
      <w:jc w:val="both"/>
    </w:pPr>
    <w:rPr>
      <w:rFonts w:ascii="EhrhardtMT" w:hAnsi="EhrhardtMT" w:cs="EhrhardtMT"/>
      <w:sz w:val="19"/>
      <w:szCs w:val="19"/>
    </w:rPr>
  </w:style>
  <w:style w:type="character" w:styleId="Zvraznn">
    <w:name w:val="Emphasis"/>
    <w:basedOn w:val="Standardnpsmoodstavce"/>
    <w:uiPriority w:val="99"/>
    <w:qFormat/>
    <w:locked/>
    <w:rsid w:val="008739EF"/>
    <w:rPr>
      <w:rFonts w:cs="Times New Roman"/>
      <w:b/>
      <w:bCs/>
    </w:rPr>
  </w:style>
  <w:style w:type="character" w:customStyle="1" w:styleId="st1">
    <w:name w:val="st1"/>
    <w:basedOn w:val="Standardnpsmoodstavce"/>
    <w:uiPriority w:val="99"/>
    <w:rsid w:val="008739EF"/>
    <w:rPr>
      <w:rFonts w:cs="Times New Roman"/>
    </w:rPr>
  </w:style>
  <w:style w:type="character" w:customStyle="1" w:styleId="hps">
    <w:name w:val="hps"/>
    <w:basedOn w:val="Standardnpsmoodstavce"/>
    <w:uiPriority w:val="99"/>
    <w:rsid w:val="008739EF"/>
    <w:rPr>
      <w:rFonts w:cs="Times New Roman"/>
    </w:rPr>
  </w:style>
  <w:style w:type="character" w:customStyle="1" w:styleId="shorttext">
    <w:name w:val="short_text"/>
    <w:basedOn w:val="Standardnpsmoodstavce"/>
    <w:uiPriority w:val="99"/>
    <w:rsid w:val="008739EF"/>
    <w:rPr>
      <w:rFonts w:cs="Times New Roman"/>
    </w:rPr>
  </w:style>
  <w:style w:type="character" w:customStyle="1" w:styleId="hpsatn">
    <w:name w:val="hps atn"/>
    <w:basedOn w:val="Standardnpsmoodstavce"/>
    <w:uiPriority w:val="99"/>
    <w:rsid w:val="008739EF"/>
    <w:rPr>
      <w:rFonts w:cs="Times New Roman"/>
    </w:rPr>
  </w:style>
  <w:style w:type="paragraph" w:styleId="Seznamsodrkami">
    <w:name w:val="List Bullet"/>
    <w:basedOn w:val="Normln"/>
    <w:uiPriority w:val="99"/>
    <w:rsid w:val="000F4CCF"/>
    <w:pPr>
      <w:numPr>
        <w:numId w:val="1"/>
      </w:numPr>
      <w:tabs>
        <w:tab w:val="clear" w:pos="720"/>
        <w:tab w:val="num" w:pos="360"/>
      </w:tabs>
      <w:spacing w:after="0" w:line="240" w:lineRule="auto"/>
      <w:ind w:left="360"/>
    </w:pPr>
    <w:rPr>
      <w:sz w:val="24"/>
      <w:szCs w:val="24"/>
    </w:rPr>
  </w:style>
  <w:style w:type="character" w:customStyle="1" w:styleId="object">
    <w:name w:val="object"/>
    <w:basedOn w:val="Standardnpsmoodstavce"/>
    <w:uiPriority w:val="99"/>
    <w:rsid w:val="000F4CCF"/>
    <w:rPr>
      <w:rFonts w:ascii="Verdana" w:hAnsi="Verdana" w:cs="Times New Roman"/>
      <w:color w:val="333333"/>
      <w:sz w:val="18"/>
      <w:szCs w:val="18"/>
    </w:rPr>
  </w:style>
  <w:style w:type="character" w:customStyle="1" w:styleId="st">
    <w:name w:val="st"/>
    <w:basedOn w:val="Standardnpsmoodstavce"/>
    <w:rsid w:val="00A71697"/>
    <w:rPr>
      <w:rFonts w:cs="Times New Roman"/>
    </w:rPr>
  </w:style>
  <w:style w:type="table" w:customStyle="1" w:styleId="Mkatabulky1">
    <w:name w:val="Mřížka tabulky1"/>
    <w:uiPriority w:val="99"/>
    <w:rsid w:val="00365B49"/>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
    <w:name w:val="Mřížka tabulky2"/>
    <w:uiPriority w:val="99"/>
    <w:rsid w:val="00365B49"/>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3">
    <w:name w:val="Mřížka tabulky3"/>
    <w:uiPriority w:val="99"/>
    <w:rsid w:val="00791AD0"/>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4">
    <w:name w:val="Mřížka tabulky4"/>
    <w:uiPriority w:val="99"/>
    <w:rsid w:val="00D35EB2"/>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ulka-1">
    <w:name w:val="Tabulka - 1"/>
    <w:basedOn w:val="Normln"/>
    <w:link w:val="Tabulka-1Char"/>
    <w:uiPriority w:val="99"/>
    <w:rsid w:val="004B5A13"/>
    <w:pPr>
      <w:spacing w:before="200" w:after="100"/>
      <w:jc w:val="center"/>
    </w:pPr>
    <w:rPr>
      <w:rFonts w:ascii="Calibri" w:hAnsi="Calibri"/>
      <w:b/>
      <w:sz w:val="24"/>
      <w:szCs w:val="24"/>
    </w:rPr>
  </w:style>
  <w:style w:type="character" w:customStyle="1" w:styleId="Tabulka-1Char">
    <w:name w:val="Tabulka - 1 Char"/>
    <w:basedOn w:val="Standardnpsmoodstavce"/>
    <w:link w:val="Tabulka-1"/>
    <w:uiPriority w:val="99"/>
    <w:locked/>
    <w:rsid w:val="004B5A13"/>
    <w:rPr>
      <w:rFonts w:ascii="Calibri" w:hAnsi="Calibri" w:cs="Times New Roman"/>
      <w:b/>
      <w:sz w:val="24"/>
      <w:szCs w:val="24"/>
    </w:rPr>
  </w:style>
  <w:style w:type="paragraph" w:customStyle="1" w:styleId="Graf-1">
    <w:name w:val="Graf - 1"/>
    <w:basedOn w:val="Normln"/>
    <w:link w:val="Graf-1Char"/>
    <w:uiPriority w:val="99"/>
    <w:rsid w:val="004B5A13"/>
    <w:pPr>
      <w:spacing w:before="200" w:after="100"/>
      <w:jc w:val="center"/>
    </w:pPr>
    <w:rPr>
      <w:rFonts w:ascii="Calibri" w:hAnsi="Calibri"/>
      <w:b/>
      <w:sz w:val="24"/>
      <w:szCs w:val="24"/>
    </w:rPr>
  </w:style>
  <w:style w:type="character" w:customStyle="1" w:styleId="Graf-1Char">
    <w:name w:val="Graf - 1 Char"/>
    <w:basedOn w:val="Standardnpsmoodstavce"/>
    <w:link w:val="Graf-1"/>
    <w:uiPriority w:val="99"/>
    <w:locked/>
    <w:rsid w:val="004B5A13"/>
    <w:rPr>
      <w:rFonts w:ascii="Calibri" w:hAnsi="Calibri" w:cs="Times New Roman"/>
      <w:b/>
      <w:sz w:val="24"/>
      <w:szCs w:val="24"/>
    </w:rPr>
  </w:style>
  <w:style w:type="paragraph" w:styleId="Nadpisobsahu">
    <w:name w:val="TOC Heading"/>
    <w:basedOn w:val="Nadpis1"/>
    <w:next w:val="Normln"/>
    <w:uiPriority w:val="99"/>
    <w:qFormat/>
    <w:rsid w:val="008A412A"/>
    <w:pPr>
      <w:keepNext/>
      <w:keepLines/>
      <w:spacing w:before="480" w:beforeAutospacing="0" w:after="0" w:afterAutospacing="0" w:line="276" w:lineRule="auto"/>
      <w:outlineLvl w:val="9"/>
    </w:pPr>
    <w:rPr>
      <w:rFonts w:ascii="Cambria" w:hAnsi="Cambria"/>
      <w:color w:val="365F91"/>
      <w:kern w:val="0"/>
      <w:sz w:val="28"/>
      <w:szCs w:val="28"/>
    </w:rPr>
  </w:style>
  <w:style w:type="paragraph" w:styleId="Obsah1">
    <w:name w:val="toc 1"/>
    <w:basedOn w:val="Normln"/>
    <w:next w:val="Normln"/>
    <w:autoRedefine/>
    <w:uiPriority w:val="39"/>
    <w:qFormat/>
    <w:rsid w:val="00595BB7"/>
    <w:pPr>
      <w:tabs>
        <w:tab w:val="right" w:leader="dot" w:pos="9062"/>
      </w:tabs>
      <w:spacing w:before="100" w:after="100"/>
    </w:pPr>
    <w:rPr>
      <w:rFonts w:eastAsia="Calibri"/>
      <w:noProof/>
      <w:lang w:eastAsia="en-US"/>
    </w:rPr>
  </w:style>
  <w:style w:type="paragraph" w:styleId="Obsah2">
    <w:name w:val="toc 2"/>
    <w:basedOn w:val="Normln"/>
    <w:next w:val="Normln"/>
    <w:autoRedefine/>
    <w:uiPriority w:val="39"/>
    <w:qFormat/>
    <w:rsid w:val="001B3A31"/>
    <w:pPr>
      <w:tabs>
        <w:tab w:val="right" w:leader="dot" w:pos="9062"/>
      </w:tabs>
      <w:spacing w:before="100" w:after="100"/>
    </w:pPr>
    <w:rPr>
      <w:noProof/>
    </w:rPr>
  </w:style>
  <w:style w:type="paragraph" w:styleId="Obsah3">
    <w:name w:val="toc 3"/>
    <w:basedOn w:val="Normln"/>
    <w:next w:val="Normln"/>
    <w:autoRedefine/>
    <w:uiPriority w:val="39"/>
    <w:qFormat/>
    <w:rsid w:val="008A412A"/>
    <w:pPr>
      <w:spacing w:after="100"/>
      <w:ind w:left="440"/>
    </w:pPr>
  </w:style>
  <w:style w:type="paragraph" w:styleId="Bezmezer">
    <w:name w:val="No Spacing"/>
    <w:link w:val="BezmezerChar"/>
    <w:uiPriority w:val="99"/>
    <w:qFormat/>
    <w:rsid w:val="0089203A"/>
    <w:rPr>
      <w:rFonts w:ascii="Calibri" w:hAnsi="Calibri"/>
    </w:rPr>
  </w:style>
  <w:style w:type="character" w:customStyle="1" w:styleId="BezmezerChar">
    <w:name w:val="Bez mezer Char"/>
    <w:basedOn w:val="Standardnpsmoodstavce"/>
    <w:link w:val="Bezmezer"/>
    <w:uiPriority w:val="99"/>
    <w:locked/>
    <w:rsid w:val="0089203A"/>
    <w:rPr>
      <w:rFonts w:ascii="Calibri" w:hAnsi="Calibri" w:cs="Times New Roman"/>
      <w:sz w:val="22"/>
      <w:szCs w:val="22"/>
      <w:lang w:val="cs-CZ" w:eastAsia="cs-CZ" w:bidi="ar-SA"/>
    </w:rPr>
  </w:style>
  <w:style w:type="paragraph" w:customStyle="1" w:styleId="01-Nadpis1">
    <w:name w:val="01-Nadpis1"/>
    <w:basedOn w:val="Nadpis1"/>
    <w:link w:val="01-Nadpis1Char"/>
    <w:uiPriority w:val="99"/>
    <w:rsid w:val="00890421"/>
    <w:pPr>
      <w:keepNext/>
      <w:keepLines/>
      <w:spacing w:before="0" w:beforeAutospacing="0" w:after="200" w:afterAutospacing="0" w:line="276" w:lineRule="auto"/>
    </w:pPr>
    <w:rPr>
      <w:rFonts w:ascii="Cambria" w:hAnsi="Cambria"/>
      <w:color w:val="0070C0"/>
      <w:kern w:val="0"/>
      <w:sz w:val="32"/>
      <w:szCs w:val="32"/>
    </w:rPr>
  </w:style>
  <w:style w:type="character" w:customStyle="1" w:styleId="01-Nadpis1Char">
    <w:name w:val="01-Nadpis1 Char"/>
    <w:basedOn w:val="Nadpis1Char"/>
    <w:link w:val="01-Nadpis1"/>
    <w:uiPriority w:val="99"/>
    <w:locked/>
    <w:rsid w:val="00890421"/>
    <w:rPr>
      <w:rFonts w:ascii="Cambria" w:hAnsi="Cambria" w:cs="Times New Roman"/>
      <w:b/>
      <w:bCs/>
      <w:color w:val="0070C0"/>
      <w:kern w:val="36"/>
      <w:sz w:val="32"/>
      <w:szCs w:val="32"/>
    </w:rPr>
  </w:style>
  <w:style w:type="paragraph" w:customStyle="1" w:styleId="00-Nadpis">
    <w:name w:val="00-Nadpis"/>
    <w:basedOn w:val="Nadpis1"/>
    <w:link w:val="00-NadpisChar"/>
    <w:uiPriority w:val="99"/>
    <w:rsid w:val="00CF4502"/>
    <w:pPr>
      <w:keepNext/>
      <w:keepLines/>
      <w:spacing w:before="0" w:beforeAutospacing="0" w:after="0" w:afterAutospacing="0" w:line="276" w:lineRule="auto"/>
    </w:pPr>
    <w:rPr>
      <w:rFonts w:ascii="Cambria" w:hAnsi="Cambria"/>
      <w:color w:val="365F91"/>
      <w:kern w:val="0"/>
      <w:sz w:val="32"/>
      <w:szCs w:val="32"/>
    </w:rPr>
  </w:style>
  <w:style w:type="character" w:customStyle="1" w:styleId="00-NadpisChar">
    <w:name w:val="00-Nadpis Char"/>
    <w:basedOn w:val="Nadpis1Char"/>
    <w:link w:val="00-Nadpis"/>
    <w:uiPriority w:val="99"/>
    <w:locked/>
    <w:rsid w:val="00CF4502"/>
    <w:rPr>
      <w:rFonts w:ascii="Cambria" w:hAnsi="Cambria" w:cs="Times New Roman"/>
      <w:b/>
      <w:bCs/>
      <w:color w:val="365F91"/>
      <w:kern w:val="36"/>
      <w:sz w:val="32"/>
      <w:szCs w:val="32"/>
    </w:rPr>
  </w:style>
  <w:style w:type="paragraph" w:customStyle="1" w:styleId="02-Nadpis2">
    <w:name w:val="02-Nadpis2"/>
    <w:basedOn w:val="Nadpis2"/>
    <w:link w:val="02-Nadpis2Char"/>
    <w:uiPriority w:val="99"/>
    <w:rsid w:val="00890421"/>
    <w:pPr>
      <w:keepLines/>
      <w:spacing w:before="0" w:after="200" w:line="276" w:lineRule="auto"/>
    </w:pPr>
    <w:rPr>
      <w:rFonts w:ascii="Cambria" w:hAnsi="Cambria" w:cs="Times New Roman"/>
      <w:i w:val="0"/>
      <w:iCs w:val="0"/>
      <w:color w:val="0070C0"/>
    </w:rPr>
  </w:style>
  <w:style w:type="character" w:customStyle="1" w:styleId="02-Nadpis2Char">
    <w:name w:val="02-Nadpis2 Char"/>
    <w:basedOn w:val="Nadpis2Char"/>
    <w:link w:val="02-Nadpis2"/>
    <w:uiPriority w:val="99"/>
    <w:locked/>
    <w:rsid w:val="00890421"/>
    <w:rPr>
      <w:rFonts w:ascii="Cambria" w:hAnsi="Cambria" w:cs="Arial"/>
      <w:b/>
      <w:bCs/>
      <w:i w:val="0"/>
      <w:iCs w:val="0"/>
      <w:color w:val="0070C0"/>
      <w:sz w:val="28"/>
      <w:szCs w:val="28"/>
    </w:rPr>
  </w:style>
  <w:style w:type="paragraph" w:customStyle="1" w:styleId="03-Nadpis3">
    <w:name w:val="03-Nadpis3"/>
    <w:basedOn w:val="Nadpis3"/>
    <w:link w:val="03-Nadpis3Char"/>
    <w:uiPriority w:val="99"/>
    <w:rsid w:val="00890421"/>
    <w:pPr>
      <w:keepLines w:val="0"/>
      <w:widowControl w:val="0"/>
      <w:suppressLineNumbers/>
      <w:spacing w:before="0" w:after="200"/>
    </w:pPr>
    <w:rPr>
      <w:color w:val="0070C0"/>
      <w:sz w:val="26"/>
      <w:szCs w:val="26"/>
    </w:rPr>
  </w:style>
  <w:style w:type="character" w:customStyle="1" w:styleId="03-Nadpis3Char">
    <w:name w:val="03-Nadpis3 Char"/>
    <w:basedOn w:val="Nadpis3Char"/>
    <w:link w:val="03-Nadpis3"/>
    <w:uiPriority w:val="99"/>
    <w:locked/>
    <w:rsid w:val="00890421"/>
    <w:rPr>
      <w:rFonts w:ascii="Cambria" w:hAnsi="Cambria" w:cs="Times New Roman"/>
      <w:b/>
      <w:bCs/>
      <w:color w:val="0070C0"/>
      <w:sz w:val="26"/>
      <w:szCs w:val="26"/>
    </w:rPr>
  </w:style>
  <w:style w:type="paragraph" w:customStyle="1" w:styleId="0G-Titulek">
    <w:name w:val="0G-Titulek"/>
    <w:basedOn w:val="Normln"/>
    <w:link w:val="0G-TitulekChar"/>
    <w:uiPriority w:val="99"/>
    <w:rsid w:val="003806C6"/>
    <w:pPr>
      <w:keepNext/>
      <w:spacing w:after="0"/>
      <w:ind w:firstLine="720"/>
      <w:jc w:val="center"/>
    </w:pPr>
    <w:rPr>
      <w:rFonts w:ascii="Calibri" w:hAnsi="Calibri" w:cs="Calibri"/>
      <w:b/>
      <w:sz w:val="24"/>
      <w:szCs w:val="24"/>
      <w:lang w:eastAsia="en-US"/>
    </w:rPr>
  </w:style>
  <w:style w:type="character" w:customStyle="1" w:styleId="0G-TitulekChar">
    <w:name w:val="0G-Titulek Char"/>
    <w:basedOn w:val="Standardnpsmoodstavce"/>
    <w:link w:val="0G-Titulek"/>
    <w:uiPriority w:val="99"/>
    <w:locked/>
    <w:rsid w:val="003806C6"/>
    <w:rPr>
      <w:rFonts w:ascii="Calibri" w:eastAsia="Times New Roman" w:hAnsi="Calibri" w:cs="Calibri"/>
      <w:b/>
      <w:sz w:val="24"/>
      <w:szCs w:val="24"/>
      <w:lang w:eastAsia="en-US"/>
    </w:rPr>
  </w:style>
  <w:style w:type="paragraph" w:customStyle="1" w:styleId="0G-Pramen">
    <w:name w:val="0G-Pramen"/>
    <w:basedOn w:val="Normln"/>
    <w:link w:val="0G-PramenChar"/>
    <w:uiPriority w:val="99"/>
    <w:rsid w:val="003806C6"/>
    <w:pPr>
      <w:keepNext/>
      <w:spacing w:after="0"/>
      <w:ind w:firstLine="720"/>
      <w:jc w:val="center"/>
    </w:pPr>
    <w:rPr>
      <w:rFonts w:ascii="Calibri" w:hAnsi="Calibri" w:cs="Calibri"/>
      <w:i/>
      <w:lang w:eastAsia="en-US"/>
    </w:rPr>
  </w:style>
  <w:style w:type="character" w:customStyle="1" w:styleId="0G-PramenChar">
    <w:name w:val="0G-Pramen Char"/>
    <w:basedOn w:val="Standardnpsmoodstavce"/>
    <w:link w:val="0G-Pramen"/>
    <w:uiPriority w:val="99"/>
    <w:locked/>
    <w:rsid w:val="003806C6"/>
    <w:rPr>
      <w:rFonts w:ascii="Calibri" w:eastAsia="Times New Roman" w:hAnsi="Calibri" w:cs="Calibri"/>
      <w:i/>
      <w:lang w:eastAsia="en-US"/>
    </w:rPr>
  </w:style>
  <w:style w:type="paragraph" w:customStyle="1" w:styleId="0T-Titulek">
    <w:name w:val="0T-Titulek"/>
    <w:basedOn w:val="Normln"/>
    <w:link w:val="0T-TitulekChar"/>
    <w:uiPriority w:val="99"/>
    <w:rsid w:val="001B37D4"/>
    <w:pPr>
      <w:keepNext/>
      <w:widowControl w:val="0"/>
      <w:suppressLineNumbers/>
      <w:spacing w:after="0"/>
      <w:jc w:val="center"/>
    </w:pPr>
    <w:rPr>
      <w:rFonts w:ascii="Calibri" w:hAnsi="Calibri" w:cs="Calibri"/>
      <w:b/>
      <w:sz w:val="24"/>
      <w:szCs w:val="24"/>
      <w:lang w:eastAsia="en-US"/>
    </w:rPr>
  </w:style>
  <w:style w:type="character" w:customStyle="1" w:styleId="0T-TitulekChar">
    <w:name w:val="0T-Titulek Char"/>
    <w:basedOn w:val="Standardnpsmoodstavce"/>
    <w:link w:val="0T-Titulek"/>
    <w:uiPriority w:val="99"/>
    <w:locked/>
    <w:rsid w:val="001B37D4"/>
    <w:rPr>
      <w:rFonts w:ascii="Calibri" w:hAnsi="Calibri" w:cs="Calibri"/>
      <w:b/>
      <w:sz w:val="24"/>
      <w:szCs w:val="24"/>
      <w:lang w:eastAsia="en-US"/>
    </w:rPr>
  </w:style>
  <w:style w:type="paragraph" w:customStyle="1" w:styleId="0T-Pramen">
    <w:name w:val="0T-Pramen"/>
    <w:basedOn w:val="Normln"/>
    <w:link w:val="0T-PramenChar"/>
    <w:uiPriority w:val="99"/>
    <w:rsid w:val="001B37D4"/>
    <w:pPr>
      <w:keepNext/>
      <w:widowControl w:val="0"/>
      <w:suppressLineNumbers/>
      <w:spacing w:after="0"/>
      <w:jc w:val="center"/>
    </w:pPr>
    <w:rPr>
      <w:rFonts w:ascii="Calibri" w:hAnsi="Calibri" w:cs="Calibri"/>
      <w:i/>
      <w:lang w:eastAsia="en-US"/>
    </w:rPr>
  </w:style>
  <w:style w:type="character" w:customStyle="1" w:styleId="0T-PramenChar">
    <w:name w:val="0T-Pramen Char"/>
    <w:basedOn w:val="Standardnpsmoodstavce"/>
    <w:link w:val="0T-Pramen"/>
    <w:uiPriority w:val="99"/>
    <w:locked/>
    <w:rsid w:val="001B37D4"/>
    <w:rPr>
      <w:rFonts w:ascii="Calibri" w:hAnsi="Calibri" w:cs="Calibri"/>
      <w:i/>
      <w:lang w:eastAsia="en-US"/>
    </w:rPr>
  </w:style>
  <w:style w:type="paragraph" w:customStyle="1" w:styleId="05-Text">
    <w:name w:val="05-Text"/>
    <w:basedOn w:val="Normln"/>
    <w:link w:val="05-TextChar"/>
    <w:uiPriority w:val="99"/>
    <w:qFormat/>
    <w:rsid w:val="00E07193"/>
    <w:pPr>
      <w:keepNext/>
      <w:ind w:firstLine="720"/>
      <w:jc w:val="both"/>
    </w:pPr>
    <w:rPr>
      <w:sz w:val="24"/>
      <w:szCs w:val="24"/>
    </w:rPr>
  </w:style>
  <w:style w:type="character" w:customStyle="1" w:styleId="05-TextChar">
    <w:name w:val="05-Text Char"/>
    <w:basedOn w:val="Standardnpsmoodstavce"/>
    <w:link w:val="05-Text"/>
    <w:uiPriority w:val="99"/>
    <w:locked/>
    <w:rsid w:val="00E07193"/>
    <w:rPr>
      <w:rFonts w:cs="Times New Roman"/>
      <w:sz w:val="24"/>
      <w:szCs w:val="24"/>
    </w:rPr>
  </w:style>
  <w:style w:type="paragraph" w:customStyle="1" w:styleId="05-vet-s-sly">
    <w:name w:val="05-výčet-s-čísly"/>
    <w:basedOn w:val="Normln"/>
    <w:link w:val="05-vet-s-slyChar"/>
    <w:uiPriority w:val="99"/>
    <w:rsid w:val="00996215"/>
    <w:pPr>
      <w:keepNext/>
      <w:spacing w:after="0"/>
      <w:ind w:left="284" w:hanging="284"/>
      <w:jc w:val="both"/>
    </w:pPr>
    <w:rPr>
      <w:sz w:val="24"/>
      <w:szCs w:val="24"/>
      <w:lang w:eastAsia="en-US"/>
    </w:rPr>
  </w:style>
  <w:style w:type="character" w:customStyle="1" w:styleId="05-vet-s-slyChar">
    <w:name w:val="05-výčet-s-čísly Char"/>
    <w:basedOn w:val="Standardnpsmoodstavce"/>
    <w:link w:val="05-vet-s-sly"/>
    <w:uiPriority w:val="99"/>
    <w:locked/>
    <w:rsid w:val="00996215"/>
    <w:rPr>
      <w:rFonts w:eastAsia="Times New Roman" w:cs="Times New Roman"/>
      <w:sz w:val="24"/>
      <w:szCs w:val="24"/>
      <w:lang w:eastAsia="en-US"/>
    </w:rPr>
  </w:style>
  <w:style w:type="paragraph" w:customStyle="1" w:styleId="06-vet-bez-sel">
    <w:name w:val="06-výčet-bez-čísel"/>
    <w:basedOn w:val="Normln"/>
    <w:link w:val="06-vet-bez-selChar"/>
    <w:uiPriority w:val="99"/>
    <w:rsid w:val="003149AE"/>
    <w:pPr>
      <w:keepNext/>
      <w:numPr>
        <w:numId w:val="13"/>
      </w:numPr>
      <w:spacing w:after="0"/>
      <w:ind w:left="284" w:hanging="284"/>
      <w:contextualSpacing/>
      <w:jc w:val="both"/>
    </w:pPr>
    <w:rPr>
      <w:sz w:val="24"/>
      <w:szCs w:val="24"/>
      <w:lang w:eastAsia="en-US"/>
    </w:rPr>
  </w:style>
  <w:style w:type="character" w:customStyle="1" w:styleId="06-vet-bez-selChar">
    <w:name w:val="06-výčet-bez-čísel Char"/>
    <w:basedOn w:val="Standardnpsmoodstavce"/>
    <w:link w:val="06-vet-bez-sel"/>
    <w:uiPriority w:val="99"/>
    <w:locked/>
    <w:rsid w:val="003149AE"/>
    <w:rPr>
      <w:sz w:val="24"/>
      <w:szCs w:val="24"/>
      <w:lang w:eastAsia="en-US"/>
    </w:rPr>
  </w:style>
  <w:style w:type="paragraph" w:customStyle="1" w:styleId="05-vet-s-slovnm">
    <w:name w:val="05-výčet-s-číslováním"/>
    <w:basedOn w:val="Normln"/>
    <w:link w:val="05-vet-s-slovnmChar"/>
    <w:uiPriority w:val="99"/>
    <w:rsid w:val="003149AE"/>
    <w:pPr>
      <w:keepNext/>
      <w:numPr>
        <w:numId w:val="7"/>
      </w:numPr>
      <w:spacing w:after="0"/>
      <w:contextualSpacing/>
      <w:jc w:val="both"/>
    </w:pPr>
    <w:rPr>
      <w:sz w:val="24"/>
      <w:szCs w:val="24"/>
    </w:rPr>
  </w:style>
  <w:style w:type="character" w:customStyle="1" w:styleId="05-vet-s-slovnmChar">
    <w:name w:val="05-výčet-s-číslováním Char"/>
    <w:basedOn w:val="Standardnpsmoodstavce"/>
    <w:link w:val="05-vet-s-slovnm"/>
    <w:uiPriority w:val="99"/>
    <w:locked/>
    <w:rsid w:val="003149AE"/>
    <w:rPr>
      <w:sz w:val="24"/>
      <w:szCs w:val="24"/>
    </w:rPr>
  </w:style>
  <w:style w:type="paragraph" w:customStyle="1" w:styleId="04-Podnadipsek">
    <w:name w:val="04-Podnadipsek"/>
    <w:basedOn w:val="Normln"/>
    <w:link w:val="04-PodnadipsekChar"/>
    <w:uiPriority w:val="99"/>
    <w:rsid w:val="002C3EB2"/>
    <w:pPr>
      <w:keepNext/>
      <w:spacing w:after="0"/>
      <w:jc w:val="both"/>
    </w:pPr>
    <w:rPr>
      <w:b/>
      <w:sz w:val="24"/>
      <w:szCs w:val="24"/>
    </w:rPr>
  </w:style>
  <w:style w:type="character" w:customStyle="1" w:styleId="04-PodnadipsekChar">
    <w:name w:val="04-Podnadipsek Char"/>
    <w:basedOn w:val="Standardnpsmoodstavce"/>
    <w:link w:val="04-Podnadipsek"/>
    <w:uiPriority w:val="99"/>
    <w:locked/>
    <w:rsid w:val="002C3EB2"/>
    <w:rPr>
      <w:rFonts w:cs="Times New Roman"/>
      <w:b/>
      <w:sz w:val="24"/>
      <w:szCs w:val="24"/>
    </w:rPr>
  </w:style>
  <w:style w:type="character" w:styleId="Sledovanodkaz">
    <w:name w:val="FollowedHyperlink"/>
    <w:basedOn w:val="Standardnpsmoodstavce"/>
    <w:uiPriority w:val="99"/>
    <w:semiHidden/>
    <w:unhideWhenUsed/>
    <w:locked/>
    <w:rsid w:val="00C82061"/>
    <w:rPr>
      <w:color w:val="800080" w:themeColor="followedHyperlink"/>
      <w:u w:val="single"/>
    </w:rPr>
  </w:style>
  <w:style w:type="paragraph" w:styleId="Nzev">
    <w:name w:val="Title"/>
    <w:basedOn w:val="Normln"/>
    <w:link w:val="NzevChar"/>
    <w:uiPriority w:val="99"/>
    <w:qFormat/>
    <w:locked/>
    <w:rsid w:val="00C24344"/>
    <w:pPr>
      <w:spacing w:before="240" w:after="60"/>
      <w:jc w:val="center"/>
      <w:outlineLvl w:val="0"/>
    </w:pPr>
    <w:rPr>
      <w:rFonts w:ascii="Cambria" w:hAnsi="Cambria"/>
      <w:b/>
      <w:bCs/>
      <w:kern w:val="28"/>
      <w:sz w:val="32"/>
      <w:szCs w:val="32"/>
      <w:lang w:eastAsia="en-US"/>
    </w:rPr>
  </w:style>
  <w:style w:type="character" w:customStyle="1" w:styleId="NzevChar">
    <w:name w:val="Název Char"/>
    <w:basedOn w:val="Standardnpsmoodstavce"/>
    <w:link w:val="Nzev"/>
    <w:uiPriority w:val="99"/>
    <w:rsid w:val="00C24344"/>
    <w:rPr>
      <w:rFonts w:ascii="Cambria" w:hAnsi="Cambria"/>
      <w:b/>
      <w:bCs/>
      <w:kern w:val="28"/>
      <w:sz w:val="32"/>
      <w:szCs w:val="32"/>
      <w:lang w:eastAsia="en-US"/>
    </w:rPr>
  </w:style>
  <w:style w:type="paragraph" w:styleId="Vrazncitt">
    <w:name w:val="Intense Quote"/>
    <w:basedOn w:val="Normln"/>
    <w:next w:val="Normln"/>
    <w:link w:val="VrazncittChar"/>
    <w:uiPriority w:val="99"/>
    <w:qFormat/>
    <w:rsid w:val="00C24344"/>
    <w:pPr>
      <w:pBdr>
        <w:bottom w:val="single" w:sz="4" w:space="4" w:color="4F81BD"/>
      </w:pBdr>
      <w:spacing w:before="200" w:after="280"/>
      <w:ind w:left="936" w:right="936"/>
    </w:pPr>
    <w:rPr>
      <w:b/>
      <w:bCs/>
      <w:i/>
      <w:iCs/>
      <w:color w:val="4F81BD"/>
      <w:lang w:eastAsia="en-US"/>
    </w:rPr>
  </w:style>
  <w:style w:type="character" w:customStyle="1" w:styleId="VrazncittChar">
    <w:name w:val="Výrazný citát Char"/>
    <w:basedOn w:val="Standardnpsmoodstavce"/>
    <w:link w:val="Vrazncitt"/>
    <w:uiPriority w:val="99"/>
    <w:rsid w:val="00C24344"/>
    <w:rPr>
      <w:b/>
      <w:bCs/>
      <w:i/>
      <w:iCs/>
      <w:color w:val="4F81BD"/>
      <w:lang w:eastAsia="en-US"/>
    </w:rPr>
  </w:style>
  <w:style w:type="paragraph" w:customStyle="1" w:styleId="Skripta-Nadpis11">
    <w:name w:val="Skripta - Nadpis 1.1"/>
    <w:basedOn w:val="Normln"/>
    <w:next w:val="Skritpa-Text"/>
    <w:uiPriority w:val="99"/>
    <w:rsid w:val="004E6063"/>
    <w:pPr>
      <w:ind w:left="714" w:hanging="357"/>
    </w:pPr>
    <w:rPr>
      <w:rFonts w:ascii="Arial" w:eastAsia="Calibri" w:hAnsi="Arial"/>
      <w:sz w:val="26"/>
      <w:u w:val="single"/>
      <w:lang w:eastAsia="en-US"/>
    </w:rPr>
  </w:style>
  <w:style w:type="paragraph" w:customStyle="1" w:styleId="Skritpa-Text">
    <w:name w:val="Skritpa - Text"/>
    <w:basedOn w:val="Normln"/>
    <w:uiPriority w:val="99"/>
    <w:rsid w:val="004E6063"/>
    <w:pPr>
      <w:spacing w:line="360" w:lineRule="auto"/>
      <w:ind w:firstLine="709"/>
      <w:contextualSpacing/>
      <w:jc w:val="both"/>
    </w:pPr>
    <w:rPr>
      <w:rFonts w:ascii="Arial" w:eastAsia="Calibri" w:hAnsi="Arial"/>
      <w:sz w:val="24"/>
      <w:lang w:eastAsia="en-US"/>
    </w:rPr>
  </w:style>
  <w:style w:type="table" w:customStyle="1" w:styleId="Mkatabulky5">
    <w:name w:val="Mřížka tabulky5"/>
    <w:basedOn w:val="Normlntabulka"/>
    <w:next w:val="Mkatabulky"/>
    <w:uiPriority w:val="59"/>
    <w:rsid w:val="003C633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6">
    <w:name w:val="Mřížka tabulky6"/>
    <w:basedOn w:val="Normlntabulka"/>
    <w:next w:val="Mkatabulky"/>
    <w:uiPriority w:val="59"/>
    <w:rsid w:val="006A2747"/>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7">
    <w:name w:val="Mřížka tabulky7"/>
    <w:basedOn w:val="Normlntabulka"/>
    <w:next w:val="Mkatabulky"/>
    <w:uiPriority w:val="59"/>
    <w:rsid w:val="006A2747"/>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8">
    <w:name w:val="Mřížka tabulky8"/>
    <w:basedOn w:val="Normlntabulka"/>
    <w:next w:val="Mkatabulky"/>
    <w:uiPriority w:val="59"/>
    <w:rsid w:val="006A2747"/>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stupntext">
    <w:name w:val="Placeholder Text"/>
    <w:basedOn w:val="Standardnpsmoodstavce"/>
    <w:uiPriority w:val="99"/>
    <w:semiHidden/>
    <w:rsid w:val="006A2747"/>
    <w:rPr>
      <w:color w:val="808080"/>
    </w:rPr>
  </w:style>
  <w:style w:type="character" w:customStyle="1" w:styleId="Nadpis6Char">
    <w:name w:val="Nadpis 6 Char"/>
    <w:basedOn w:val="Standardnpsmoodstavce"/>
    <w:link w:val="Nadpis6"/>
    <w:uiPriority w:val="99"/>
    <w:rsid w:val="00434952"/>
    <w:rPr>
      <w:rFonts w:ascii="Cambria" w:hAnsi="Cambria"/>
      <w:i/>
      <w:iCs/>
      <w:color w:val="243F60"/>
    </w:rPr>
  </w:style>
  <w:style w:type="character" w:customStyle="1" w:styleId="Nadpis7Char">
    <w:name w:val="Nadpis 7 Char"/>
    <w:basedOn w:val="Standardnpsmoodstavce"/>
    <w:link w:val="Nadpis7"/>
    <w:uiPriority w:val="99"/>
    <w:rsid w:val="00434952"/>
    <w:rPr>
      <w:rFonts w:ascii="Cambria" w:hAnsi="Cambria"/>
      <w:i/>
      <w:iCs/>
      <w:color w:val="404040"/>
    </w:rPr>
  </w:style>
  <w:style w:type="character" w:customStyle="1" w:styleId="Nadpis8Char">
    <w:name w:val="Nadpis 8 Char"/>
    <w:basedOn w:val="Standardnpsmoodstavce"/>
    <w:link w:val="Nadpis8"/>
    <w:uiPriority w:val="99"/>
    <w:rsid w:val="00434952"/>
    <w:rPr>
      <w:rFonts w:ascii="Cambria" w:hAnsi="Cambria"/>
      <w:color w:val="4F81BD"/>
      <w:sz w:val="20"/>
      <w:szCs w:val="20"/>
    </w:rPr>
  </w:style>
  <w:style w:type="character" w:customStyle="1" w:styleId="Nadpis9Char">
    <w:name w:val="Nadpis 9 Char"/>
    <w:basedOn w:val="Standardnpsmoodstavce"/>
    <w:link w:val="Nadpis9"/>
    <w:uiPriority w:val="99"/>
    <w:rsid w:val="00434952"/>
    <w:rPr>
      <w:rFonts w:ascii="Cambria" w:hAnsi="Cambria"/>
      <w:i/>
      <w:iCs/>
      <w:color w:val="404040"/>
      <w:sz w:val="20"/>
      <w:szCs w:val="20"/>
    </w:rPr>
  </w:style>
  <w:style w:type="paragraph" w:customStyle="1" w:styleId="Skripta-Nadpis111">
    <w:name w:val="Skripta - Nadpis 1.1.1"/>
    <w:basedOn w:val="Normln"/>
    <w:next w:val="Skritpa-Text"/>
    <w:uiPriority w:val="99"/>
    <w:rsid w:val="00434952"/>
    <w:pPr>
      <w:spacing w:line="360" w:lineRule="auto"/>
      <w:ind w:left="1071" w:hanging="357"/>
    </w:pPr>
    <w:rPr>
      <w:rFonts w:ascii="Arial" w:eastAsia="Calibri" w:hAnsi="Arial" w:cs="Arial"/>
      <w:b/>
      <w:sz w:val="24"/>
      <w:lang w:eastAsia="en-US"/>
    </w:rPr>
  </w:style>
  <w:style w:type="numbering" w:customStyle="1" w:styleId="Bezseznamu1">
    <w:name w:val="Bez seznamu1"/>
    <w:next w:val="Bezseznamu"/>
    <w:uiPriority w:val="99"/>
    <w:semiHidden/>
    <w:unhideWhenUsed/>
    <w:rsid w:val="00434952"/>
  </w:style>
  <w:style w:type="paragraph" w:customStyle="1" w:styleId="spriteclose">
    <w:name w:val="sprite_close"/>
    <w:basedOn w:val="Normln"/>
    <w:rsid w:val="00434952"/>
    <w:pPr>
      <w:spacing w:before="100" w:beforeAutospacing="1" w:after="100" w:afterAutospacing="1" w:line="240" w:lineRule="auto"/>
    </w:pPr>
    <w:rPr>
      <w:sz w:val="24"/>
      <w:szCs w:val="24"/>
      <w:lang w:val="en-GB" w:eastAsia="en-GB"/>
    </w:rPr>
  </w:style>
  <w:style w:type="paragraph" w:customStyle="1" w:styleId="spritemaximize">
    <w:name w:val="sprite_maximize"/>
    <w:basedOn w:val="Normln"/>
    <w:rsid w:val="00434952"/>
    <w:pPr>
      <w:spacing w:before="100" w:beforeAutospacing="1" w:after="100" w:afterAutospacing="1" w:line="240" w:lineRule="auto"/>
    </w:pPr>
    <w:rPr>
      <w:sz w:val="24"/>
      <w:szCs w:val="24"/>
      <w:lang w:val="en-GB" w:eastAsia="en-GB"/>
    </w:rPr>
  </w:style>
  <w:style w:type="paragraph" w:customStyle="1" w:styleId="spriterestore">
    <w:name w:val="sprite_restore"/>
    <w:basedOn w:val="Normln"/>
    <w:rsid w:val="00434952"/>
    <w:pPr>
      <w:spacing w:before="100" w:beforeAutospacing="1" w:after="100" w:afterAutospacing="1" w:line="240" w:lineRule="auto"/>
    </w:pPr>
    <w:rPr>
      <w:sz w:val="24"/>
      <w:szCs w:val="24"/>
      <w:lang w:val="en-GB" w:eastAsia="en-GB"/>
    </w:rPr>
  </w:style>
  <w:style w:type="paragraph" w:customStyle="1" w:styleId="spriteiwne">
    <w:name w:val="sprite_iw_ne"/>
    <w:basedOn w:val="Normln"/>
    <w:rsid w:val="00434952"/>
    <w:pPr>
      <w:spacing w:before="100" w:beforeAutospacing="1" w:after="100" w:afterAutospacing="1" w:line="240" w:lineRule="auto"/>
    </w:pPr>
    <w:rPr>
      <w:sz w:val="24"/>
      <w:szCs w:val="24"/>
      <w:lang w:val="en-GB" w:eastAsia="en-GB"/>
    </w:rPr>
  </w:style>
  <w:style w:type="paragraph" w:customStyle="1" w:styleId="spriteiwnw">
    <w:name w:val="sprite_iw_nw"/>
    <w:basedOn w:val="Normln"/>
    <w:rsid w:val="00434952"/>
    <w:pPr>
      <w:spacing w:before="100" w:beforeAutospacing="1" w:after="100" w:afterAutospacing="1" w:line="240" w:lineRule="auto"/>
    </w:pPr>
    <w:rPr>
      <w:sz w:val="24"/>
      <w:szCs w:val="24"/>
      <w:lang w:val="en-GB" w:eastAsia="en-GB"/>
    </w:rPr>
  </w:style>
  <w:style w:type="paragraph" w:customStyle="1" w:styleId="spriteiwse0">
    <w:name w:val="sprite_iw_se0"/>
    <w:basedOn w:val="Normln"/>
    <w:rsid w:val="00434952"/>
    <w:pPr>
      <w:spacing w:before="100" w:beforeAutospacing="1" w:after="100" w:afterAutospacing="1" w:line="240" w:lineRule="auto"/>
    </w:pPr>
    <w:rPr>
      <w:sz w:val="24"/>
      <w:szCs w:val="24"/>
      <w:lang w:val="en-GB" w:eastAsia="en-GB"/>
    </w:rPr>
  </w:style>
  <w:style w:type="paragraph" w:customStyle="1" w:styleId="spriteiwsw0">
    <w:name w:val="sprite_iw_sw0"/>
    <w:basedOn w:val="Normln"/>
    <w:rsid w:val="00434952"/>
    <w:pPr>
      <w:spacing w:before="100" w:beforeAutospacing="1" w:after="100" w:afterAutospacing="1" w:line="240" w:lineRule="auto"/>
    </w:pPr>
    <w:rPr>
      <w:sz w:val="24"/>
      <w:szCs w:val="24"/>
      <w:lang w:val="en-GB" w:eastAsia="en-GB"/>
    </w:rPr>
  </w:style>
  <w:style w:type="paragraph" w:customStyle="1" w:styleId="spriteiwtab1dl">
    <w:name w:val="sprite_iw_tab_1dl"/>
    <w:basedOn w:val="Normln"/>
    <w:rsid w:val="00434952"/>
    <w:pPr>
      <w:spacing w:before="100" w:beforeAutospacing="1" w:after="100" w:afterAutospacing="1" w:line="240" w:lineRule="auto"/>
    </w:pPr>
    <w:rPr>
      <w:sz w:val="24"/>
      <w:szCs w:val="24"/>
      <w:lang w:val="en-GB" w:eastAsia="en-GB"/>
    </w:rPr>
  </w:style>
  <w:style w:type="paragraph" w:customStyle="1" w:styleId="spriteiwtab1l">
    <w:name w:val="sprite_iw_tab_1l"/>
    <w:basedOn w:val="Normln"/>
    <w:rsid w:val="00434952"/>
    <w:pPr>
      <w:spacing w:before="100" w:beforeAutospacing="1" w:after="100" w:afterAutospacing="1" w:line="240" w:lineRule="auto"/>
    </w:pPr>
    <w:rPr>
      <w:sz w:val="24"/>
      <w:szCs w:val="24"/>
      <w:lang w:val="en-GB" w:eastAsia="en-GB"/>
    </w:rPr>
  </w:style>
  <w:style w:type="paragraph" w:customStyle="1" w:styleId="spriteiwtabdl">
    <w:name w:val="sprite_iw_tab_dl"/>
    <w:basedOn w:val="Normln"/>
    <w:rsid w:val="00434952"/>
    <w:pPr>
      <w:spacing w:before="100" w:beforeAutospacing="1" w:after="100" w:afterAutospacing="1" w:line="240" w:lineRule="auto"/>
    </w:pPr>
    <w:rPr>
      <w:sz w:val="24"/>
      <w:szCs w:val="24"/>
      <w:lang w:val="en-GB" w:eastAsia="en-GB"/>
    </w:rPr>
  </w:style>
  <w:style w:type="paragraph" w:customStyle="1" w:styleId="spriteiwtabdr">
    <w:name w:val="sprite_iw_tab_dr"/>
    <w:basedOn w:val="Normln"/>
    <w:rsid w:val="00434952"/>
    <w:pPr>
      <w:spacing w:before="100" w:beforeAutospacing="1" w:after="100" w:afterAutospacing="1" w:line="240" w:lineRule="auto"/>
    </w:pPr>
    <w:rPr>
      <w:sz w:val="24"/>
      <w:szCs w:val="24"/>
      <w:lang w:val="en-GB" w:eastAsia="en-GB"/>
    </w:rPr>
  </w:style>
  <w:style w:type="paragraph" w:customStyle="1" w:styleId="spriteiwtabl">
    <w:name w:val="sprite_iw_tab_l"/>
    <w:basedOn w:val="Normln"/>
    <w:rsid w:val="00434952"/>
    <w:pPr>
      <w:spacing w:before="100" w:beforeAutospacing="1" w:after="100" w:afterAutospacing="1" w:line="240" w:lineRule="auto"/>
    </w:pPr>
    <w:rPr>
      <w:sz w:val="24"/>
      <w:szCs w:val="24"/>
      <w:lang w:val="en-GB" w:eastAsia="en-GB"/>
    </w:rPr>
  </w:style>
  <w:style w:type="paragraph" w:customStyle="1" w:styleId="spriteiwtabr">
    <w:name w:val="sprite_iw_tab_r"/>
    <w:basedOn w:val="Normln"/>
    <w:rsid w:val="00434952"/>
    <w:pPr>
      <w:spacing w:before="100" w:beforeAutospacing="1" w:after="100" w:afterAutospacing="1" w:line="240" w:lineRule="auto"/>
    </w:pPr>
    <w:rPr>
      <w:sz w:val="24"/>
      <w:szCs w:val="24"/>
      <w:lang w:val="en-GB" w:eastAsia="en-GB"/>
    </w:rPr>
  </w:style>
  <w:style w:type="paragraph" w:customStyle="1" w:styleId="spriteiwtabback1dl">
    <w:name w:val="sprite_iw_tabback_1dl"/>
    <w:basedOn w:val="Normln"/>
    <w:rsid w:val="00434952"/>
    <w:pPr>
      <w:spacing w:before="100" w:beforeAutospacing="1" w:after="100" w:afterAutospacing="1" w:line="240" w:lineRule="auto"/>
    </w:pPr>
    <w:rPr>
      <w:sz w:val="24"/>
      <w:szCs w:val="24"/>
      <w:lang w:val="en-GB" w:eastAsia="en-GB"/>
    </w:rPr>
  </w:style>
  <w:style w:type="paragraph" w:customStyle="1" w:styleId="spriteiwtabback1l">
    <w:name w:val="sprite_iw_tabback_1l"/>
    <w:basedOn w:val="Normln"/>
    <w:rsid w:val="00434952"/>
    <w:pPr>
      <w:spacing w:before="100" w:beforeAutospacing="1" w:after="100" w:afterAutospacing="1" w:line="240" w:lineRule="auto"/>
    </w:pPr>
    <w:rPr>
      <w:sz w:val="24"/>
      <w:szCs w:val="24"/>
      <w:lang w:val="en-GB" w:eastAsia="en-GB"/>
    </w:rPr>
  </w:style>
  <w:style w:type="paragraph" w:customStyle="1" w:styleId="spriteiwtabbackdl">
    <w:name w:val="sprite_iw_tabback_dl"/>
    <w:basedOn w:val="Normln"/>
    <w:rsid w:val="00434952"/>
    <w:pPr>
      <w:spacing w:before="100" w:beforeAutospacing="1" w:after="100" w:afterAutospacing="1" w:line="240" w:lineRule="auto"/>
    </w:pPr>
    <w:rPr>
      <w:sz w:val="24"/>
      <w:szCs w:val="24"/>
      <w:lang w:val="en-GB" w:eastAsia="en-GB"/>
    </w:rPr>
  </w:style>
  <w:style w:type="paragraph" w:customStyle="1" w:styleId="spriteiwtabbackdr">
    <w:name w:val="sprite_iw_tabback_dr"/>
    <w:basedOn w:val="Normln"/>
    <w:rsid w:val="00434952"/>
    <w:pPr>
      <w:spacing w:before="100" w:beforeAutospacing="1" w:after="100" w:afterAutospacing="1" w:line="240" w:lineRule="auto"/>
    </w:pPr>
    <w:rPr>
      <w:sz w:val="24"/>
      <w:szCs w:val="24"/>
      <w:lang w:val="en-GB" w:eastAsia="en-GB"/>
    </w:rPr>
  </w:style>
  <w:style w:type="paragraph" w:customStyle="1" w:styleId="spriteiwtabbackl">
    <w:name w:val="sprite_iw_tabback_l"/>
    <w:basedOn w:val="Normln"/>
    <w:rsid w:val="00434952"/>
    <w:pPr>
      <w:spacing w:before="100" w:beforeAutospacing="1" w:after="100" w:afterAutospacing="1" w:line="240" w:lineRule="auto"/>
    </w:pPr>
    <w:rPr>
      <w:sz w:val="24"/>
      <w:szCs w:val="24"/>
      <w:lang w:val="en-GB" w:eastAsia="en-GB"/>
    </w:rPr>
  </w:style>
  <w:style w:type="paragraph" w:customStyle="1" w:styleId="spriteiwtabbackr">
    <w:name w:val="sprite_iw_tabback_r"/>
    <w:basedOn w:val="Normln"/>
    <w:rsid w:val="00434952"/>
    <w:pPr>
      <w:spacing w:before="100" w:beforeAutospacing="1" w:after="100" w:afterAutospacing="1" w:line="240" w:lineRule="auto"/>
    </w:pPr>
    <w:rPr>
      <w:sz w:val="24"/>
      <w:szCs w:val="24"/>
      <w:lang w:val="en-GB" w:eastAsia="en-GB"/>
    </w:rPr>
  </w:style>
  <w:style w:type="paragraph" w:customStyle="1" w:styleId="spriteiwxtap">
    <w:name w:val="sprite_iw_xtap"/>
    <w:basedOn w:val="Normln"/>
    <w:rsid w:val="00434952"/>
    <w:pPr>
      <w:spacing w:before="100" w:beforeAutospacing="1" w:after="100" w:afterAutospacing="1" w:line="240" w:lineRule="auto"/>
    </w:pPr>
    <w:rPr>
      <w:sz w:val="24"/>
      <w:szCs w:val="24"/>
      <w:lang w:val="en-GB" w:eastAsia="en-GB"/>
    </w:rPr>
  </w:style>
  <w:style w:type="paragraph" w:customStyle="1" w:styleId="spriteiwxtapl">
    <w:name w:val="sprite_iw_xtap_l"/>
    <w:basedOn w:val="Normln"/>
    <w:rsid w:val="00434952"/>
    <w:pPr>
      <w:spacing w:before="100" w:beforeAutospacing="1" w:after="100" w:afterAutospacing="1" w:line="240" w:lineRule="auto"/>
    </w:pPr>
    <w:rPr>
      <w:sz w:val="24"/>
      <w:szCs w:val="24"/>
      <w:lang w:val="en-GB" w:eastAsia="en-GB"/>
    </w:rPr>
  </w:style>
  <w:style w:type="paragraph" w:customStyle="1" w:styleId="spriteiwxtapld">
    <w:name w:val="sprite_iw_xtap_ld"/>
    <w:basedOn w:val="Normln"/>
    <w:rsid w:val="00434952"/>
    <w:pPr>
      <w:spacing w:before="100" w:beforeAutospacing="1" w:after="100" w:afterAutospacing="1" w:line="240" w:lineRule="auto"/>
    </w:pPr>
    <w:rPr>
      <w:sz w:val="24"/>
      <w:szCs w:val="24"/>
      <w:lang w:val="en-GB" w:eastAsia="en-GB"/>
    </w:rPr>
  </w:style>
  <w:style w:type="paragraph" w:customStyle="1" w:styleId="spriteiwxtaprd">
    <w:name w:val="sprite_iw_xtap_rd"/>
    <w:basedOn w:val="Normln"/>
    <w:rsid w:val="00434952"/>
    <w:pPr>
      <w:spacing w:before="100" w:beforeAutospacing="1" w:after="100" w:afterAutospacing="1" w:line="240" w:lineRule="auto"/>
    </w:pPr>
    <w:rPr>
      <w:sz w:val="24"/>
      <w:szCs w:val="24"/>
      <w:lang w:val="en-GB" w:eastAsia="en-GB"/>
    </w:rPr>
  </w:style>
  <w:style w:type="paragraph" w:customStyle="1" w:styleId="spriteiwxtapu">
    <w:name w:val="sprite_iw_xtap_u"/>
    <w:basedOn w:val="Normln"/>
    <w:rsid w:val="00434952"/>
    <w:pPr>
      <w:spacing w:before="100" w:beforeAutospacing="1" w:after="100" w:afterAutospacing="1" w:line="240" w:lineRule="auto"/>
    </w:pPr>
    <w:rPr>
      <w:sz w:val="24"/>
      <w:szCs w:val="24"/>
      <w:lang w:val="en-GB" w:eastAsia="en-GB"/>
    </w:rPr>
  </w:style>
  <w:style w:type="paragraph" w:customStyle="1" w:styleId="spriteiwxtapul">
    <w:name w:val="sprite_iw_xtap_ul"/>
    <w:basedOn w:val="Normln"/>
    <w:rsid w:val="00434952"/>
    <w:pPr>
      <w:spacing w:before="100" w:beforeAutospacing="1" w:after="100" w:afterAutospacing="1" w:line="240" w:lineRule="auto"/>
    </w:pPr>
    <w:rPr>
      <w:sz w:val="24"/>
      <w:szCs w:val="24"/>
      <w:lang w:val="en-GB" w:eastAsia="en-GB"/>
    </w:rPr>
  </w:style>
  <w:style w:type="paragraph" w:customStyle="1" w:styleId="spriteiwsne">
    <w:name w:val="sprite_iws_ne"/>
    <w:basedOn w:val="Normln"/>
    <w:rsid w:val="00434952"/>
    <w:pPr>
      <w:spacing w:before="100" w:beforeAutospacing="1" w:after="100" w:afterAutospacing="1" w:line="240" w:lineRule="auto"/>
    </w:pPr>
    <w:rPr>
      <w:sz w:val="24"/>
      <w:szCs w:val="24"/>
      <w:lang w:val="en-GB" w:eastAsia="en-GB"/>
    </w:rPr>
  </w:style>
  <w:style w:type="paragraph" w:customStyle="1" w:styleId="spriteiwsnw">
    <w:name w:val="sprite_iws_nw"/>
    <w:basedOn w:val="Normln"/>
    <w:rsid w:val="00434952"/>
    <w:pPr>
      <w:spacing w:before="100" w:beforeAutospacing="1" w:after="100" w:afterAutospacing="1" w:line="240" w:lineRule="auto"/>
    </w:pPr>
    <w:rPr>
      <w:sz w:val="24"/>
      <w:szCs w:val="24"/>
      <w:lang w:val="en-GB" w:eastAsia="en-GB"/>
    </w:rPr>
  </w:style>
  <w:style w:type="paragraph" w:customStyle="1" w:styleId="spriteiwsse">
    <w:name w:val="sprite_iws_se"/>
    <w:basedOn w:val="Normln"/>
    <w:rsid w:val="00434952"/>
    <w:pPr>
      <w:spacing w:before="100" w:beforeAutospacing="1" w:after="100" w:afterAutospacing="1" w:line="240" w:lineRule="auto"/>
    </w:pPr>
    <w:rPr>
      <w:sz w:val="24"/>
      <w:szCs w:val="24"/>
      <w:lang w:val="en-GB" w:eastAsia="en-GB"/>
    </w:rPr>
  </w:style>
  <w:style w:type="paragraph" w:customStyle="1" w:styleId="spriteiwssw">
    <w:name w:val="sprite_iws_sw"/>
    <w:basedOn w:val="Normln"/>
    <w:rsid w:val="00434952"/>
    <w:pPr>
      <w:spacing w:before="100" w:beforeAutospacing="1" w:after="100" w:afterAutospacing="1" w:line="240" w:lineRule="auto"/>
    </w:pPr>
    <w:rPr>
      <w:sz w:val="24"/>
      <w:szCs w:val="24"/>
      <w:lang w:val="en-GB" w:eastAsia="en-GB"/>
    </w:rPr>
  </w:style>
  <w:style w:type="paragraph" w:customStyle="1" w:styleId="spriteiwstab1dl">
    <w:name w:val="sprite_iws_tab_1dl"/>
    <w:basedOn w:val="Normln"/>
    <w:rsid w:val="00434952"/>
    <w:pPr>
      <w:spacing w:before="100" w:beforeAutospacing="1" w:after="100" w:afterAutospacing="1" w:line="240" w:lineRule="auto"/>
    </w:pPr>
    <w:rPr>
      <w:sz w:val="24"/>
      <w:szCs w:val="24"/>
      <w:lang w:val="en-GB" w:eastAsia="en-GB"/>
    </w:rPr>
  </w:style>
  <w:style w:type="paragraph" w:customStyle="1" w:styleId="spriteiwstab1l">
    <w:name w:val="sprite_iws_tab_1l"/>
    <w:basedOn w:val="Normln"/>
    <w:rsid w:val="00434952"/>
    <w:pPr>
      <w:spacing w:before="100" w:beforeAutospacing="1" w:after="100" w:afterAutospacing="1" w:line="240" w:lineRule="auto"/>
    </w:pPr>
    <w:rPr>
      <w:sz w:val="24"/>
      <w:szCs w:val="24"/>
      <w:lang w:val="en-GB" w:eastAsia="en-GB"/>
    </w:rPr>
  </w:style>
  <w:style w:type="paragraph" w:customStyle="1" w:styleId="spriteiwstabdl">
    <w:name w:val="sprite_iws_tab_dl"/>
    <w:basedOn w:val="Normln"/>
    <w:rsid w:val="00434952"/>
    <w:pPr>
      <w:spacing w:before="100" w:beforeAutospacing="1" w:after="100" w:afterAutospacing="1" w:line="240" w:lineRule="auto"/>
    </w:pPr>
    <w:rPr>
      <w:sz w:val="24"/>
      <w:szCs w:val="24"/>
      <w:lang w:val="en-GB" w:eastAsia="en-GB"/>
    </w:rPr>
  </w:style>
  <w:style w:type="paragraph" w:customStyle="1" w:styleId="spriteiwstabdo">
    <w:name w:val="sprite_iws_tab_do"/>
    <w:basedOn w:val="Normln"/>
    <w:rsid w:val="00434952"/>
    <w:pPr>
      <w:spacing w:before="100" w:beforeAutospacing="1" w:after="100" w:afterAutospacing="1" w:line="240" w:lineRule="auto"/>
    </w:pPr>
    <w:rPr>
      <w:sz w:val="24"/>
      <w:szCs w:val="24"/>
      <w:lang w:val="en-GB" w:eastAsia="en-GB"/>
    </w:rPr>
  </w:style>
  <w:style w:type="paragraph" w:customStyle="1" w:styleId="spriteiwstabdr">
    <w:name w:val="sprite_iws_tab_dr"/>
    <w:basedOn w:val="Normln"/>
    <w:rsid w:val="00434952"/>
    <w:pPr>
      <w:spacing w:before="100" w:beforeAutospacing="1" w:after="100" w:afterAutospacing="1" w:line="240" w:lineRule="auto"/>
    </w:pPr>
    <w:rPr>
      <w:sz w:val="24"/>
      <w:szCs w:val="24"/>
      <w:lang w:val="en-GB" w:eastAsia="en-GB"/>
    </w:rPr>
  </w:style>
  <w:style w:type="paragraph" w:customStyle="1" w:styleId="spriteiwstabl">
    <w:name w:val="sprite_iws_tab_l"/>
    <w:basedOn w:val="Normln"/>
    <w:rsid w:val="00434952"/>
    <w:pPr>
      <w:spacing w:before="100" w:beforeAutospacing="1" w:after="100" w:afterAutospacing="1" w:line="240" w:lineRule="auto"/>
    </w:pPr>
    <w:rPr>
      <w:sz w:val="24"/>
      <w:szCs w:val="24"/>
      <w:lang w:val="en-GB" w:eastAsia="en-GB"/>
    </w:rPr>
  </w:style>
  <w:style w:type="paragraph" w:customStyle="1" w:styleId="spriteiwstabo">
    <w:name w:val="sprite_iws_tab_o"/>
    <w:basedOn w:val="Normln"/>
    <w:rsid w:val="00434952"/>
    <w:pPr>
      <w:spacing w:before="100" w:beforeAutospacing="1" w:after="100" w:afterAutospacing="1" w:line="240" w:lineRule="auto"/>
    </w:pPr>
    <w:rPr>
      <w:sz w:val="24"/>
      <w:szCs w:val="24"/>
      <w:lang w:val="en-GB" w:eastAsia="en-GB"/>
    </w:rPr>
  </w:style>
  <w:style w:type="paragraph" w:customStyle="1" w:styleId="spriteiwstabr">
    <w:name w:val="sprite_iws_tab_r"/>
    <w:basedOn w:val="Normln"/>
    <w:rsid w:val="00434952"/>
    <w:pPr>
      <w:spacing w:before="100" w:beforeAutospacing="1" w:after="100" w:afterAutospacing="1" w:line="240" w:lineRule="auto"/>
    </w:pPr>
    <w:rPr>
      <w:sz w:val="24"/>
      <w:szCs w:val="24"/>
      <w:lang w:val="en-GB" w:eastAsia="en-GB"/>
    </w:rPr>
  </w:style>
  <w:style w:type="paragraph" w:customStyle="1" w:styleId="spriteiwstap">
    <w:name w:val="sprite_iws_tap"/>
    <w:basedOn w:val="Normln"/>
    <w:rsid w:val="00434952"/>
    <w:pPr>
      <w:spacing w:before="100" w:beforeAutospacing="1" w:after="100" w:afterAutospacing="1" w:line="240" w:lineRule="auto"/>
    </w:pPr>
    <w:rPr>
      <w:sz w:val="24"/>
      <w:szCs w:val="24"/>
      <w:lang w:val="en-GB" w:eastAsia="en-GB"/>
    </w:rPr>
  </w:style>
  <w:style w:type="paragraph" w:customStyle="1" w:styleId="spriteiwstapl">
    <w:name w:val="sprite_iws_tap_l"/>
    <w:basedOn w:val="Normln"/>
    <w:rsid w:val="00434952"/>
    <w:pPr>
      <w:spacing w:before="100" w:beforeAutospacing="1" w:after="100" w:afterAutospacing="1" w:line="240" w:lineRule="auto"/>
    </w:pPr>
    <w:rPr>
      <w:sz w:val="24"/>
      <w:szCs w:val="24"/>
      <w:lang w:val="en-GB" w:eastAsia="en-GB"/>
    </w:rPr>
  </w:style>
  <w:style w:type="paragraph" w:customStyle="1" w:styleId="spriteiwstapld">
    <w:name w:val="sprite_iws_tap_ld"/>
    <w:basedOn w:val="Normln"/>
    <w:rsid w:val="00434952"/>
    <w:pPr>
      <w:spacing w:before="100" w:beforeAutospacing="1" w:after="100" w:afterAutospacing="1" w:line="240" w:lineRule="auto"/>
    </w:pPr>
    <w:rPr>
      <w:sz w:val="24"/>
      <w:szCs w:val="24"/>
      <w:lang w:val="en-GB" w:eastAsia="en-GB"/>
    </w:rPr>
  </w:style>
  <w:style w:type="paragraph" w:customStyle="1" w:styleId="spriteiwstaprd">
    <w:name w:val="sprite_iws_tap_rd"/>
    <w:basedOn w:val="Normln"/>
    <w:rsid w:val="00434952"/>
    <w:pPr>
      <w:spacing w:before="100" w:beforeAutospacing="1" w:after="100" w:afterAutospacing="1" w:line="240" w:lineRule="auto"/>
    </w:pPr>
    <w:rPr>
      <w:sz w:val="24"/>
      <w:szCs w:val="24"/>
      <w:lang w:val="en-GB" w:eastAsia="en-GB"/>
    </w:rPr>
  </w:style>
  <w:style w:type="paragraph" w:customStyle="1" w:styleId="spriteiwstapu">
    <w:name w:val="sprite_iws_tap_u"/>
    <w:basedOn w:val="Normln"/>
    <w:rsid w:val="00434952"/>
    <w:pPr>
      <w:spacing w:before="100" w:beforeAutospacing="1" w:after="100" w:afterAutospacing="1" w:line="240" w:lineRule="auto"/>
    </w:pPr>
    <w:rPr>
      <w:sz w:val="24"/>
      <w:szCs w:val="24"/>
      <w:lang w:val="en-GB" w:eastAsia="en-GB"/>
    </w:rPr>
  </w:style>
  <w:style w:type="paragraph" w:customStyle="1" w:styleId="spriteiwstapul">
    <w:name w:val="sprite_iws_tap_ul"/>
    <w:basedOn w:val="Normln"/>
    <w:rsid w:val="00434952"/>
    <w:pPr>
      <w:spacing w:before="100" w:beforeAutospacing="1" w:after="100" w:afterAutospacing="1" w:line="240" w:lineRule="auto"/>
    </w:pPr>
    <w:rPr>
      <w:sz w:val="24"/>
      <w:szCs w:val="24"/>
      <w:lang w:val="en-GB" w:eastAsia="en-GB"/>
    </w:rPr>
  </w:style>
  <w:style w:type="paragraph" w:customStyle="1" w:styleId="google-src-text">
    <w:name w:val="google-src-text"/>
    <w:basedOn w:val="Normln"/>
    <w:rsid w:val="00434952"/>
    <w:pPr>
      <w:spacing w:before="100" w:beforeAutospacing="1" w:after="100" w:afterAutospacing="1" w:line="240" w:lineRule="auto"/>
    </w:pPr>
    <w:rPr>
      <w:vanish/>
      <w:sz w:val="24"/>
      <w:szCs w:val="24"/>
      <w:lang w:val="en-GB" w:eastAsia="en-GB"/>
    </w:rPr>
  </w:style>
  <w:style w:type="paragraph" w:customStyle="1" w:styleId="google-src-active-text">
    <w:name w:val="google-src-active-text"/>
    <w:basedOn w:val="Normln"/>
    <w:rsid w:val="00434952"/>
    <w:pPr>
      <w:spacing w:before="100" w:beforeAutospacing="1" w:after="100" w:afterAutospacing="1" w:line="240" w:lineRule="auto"/>
    </w:pPr>
    <w:rPr>
      <w:rFonts w:ascii="Arial" w:hAnsi="Arial" w:cs="Arial"/>
      <w:color w:val="000000"/>
      <w:sz w:val="18"/>
      <w:szCs w:val="18"/>
      <w:lang w:val="en-GB" w:eastAsia="en-GB"/>
    </w:rPr>
  </w:style>
  <w:style w:type="character" w:customStyle="1" w:styleId="notranslate">
    <w:name w:val="notranslate"/>
    <w:basedOn w:val="Standardnpsmoodstavce"/>
    <w:rsid w:val="00434952"/>
  </w:style>
  <w:style w:type="character" w:customStyle="1" w:styleId="google-src-text1">
    <w:name w:val="google-src-text1"/>
    <w:basedOn w:val="Standardnpsmoodstavce"/>
    <w:rsid w:val="00434952"/>
    <w:rPr>
      <w:vanish/>
      <w:webHidden w:val="0"/>
      <w:specVanish w:val="0"/>
    </w:rPr>
  </w:style>
  <w:style w:type="table" w:customStyle="1" w:styleId="Mkatabulky9">
    <w:name w:val="Mřížka tabulky9"/>
    <w:basedOn w:val="Normlntabulka"/>
    <w:next w:val="Mkatabulky"/>
    <w:uiPriority w:val="59"/>
    <w:rsid w:val="00434952"/>
    <w:rPr>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seznamu2">
    <w:name w:val="Bez seznamu2"/>
    <w:next w:val="Bezseznamu"/>
    <w:uiPriority w:val="99"/>
    <w:semiHidden/>
    <w:unhideWhenUsed/>
    <w:rsid w:val="00434952"/>
  </w:style>
  <w:style w:type="table" w:customStyle="1" w:styleId="Mkatabulky11">
    <w:name w:val="Mřížka tabulky11"/>
    <w:basedOn w:val="Normlntabulka"/>
    <w:next w:val="Mkatabulky"/>
    <w:uiPriority w:val="99"/>
    <w:rsid w:val="00434952"/>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Standardnpsmoodstavce"/>
    <w:uiPriority w:val="99"/>
    <w:semiHidden/>
    <w:locked/>
    <w:rsid w:val="00434952"/>
    <w:rPr>
      <w:rFonts w:cs="Times New Roman"/>
      <w:sz w:val="20"/>
      <w:szCs w:val="20"/>
    </w:rPr>
  </w:style>
  <w:style w:type="paragraph" w:styleId="Seznam">
    <w:name w:val="List"/>
    <w:basedOn w:val="Normln"/>
    <w:uiPriority w:val="99"/>
    <w:locked/>
    <w:rsid w:val="00434952"/>
    <w:pPr>
      <w:spacing w:after="120" w:line="240" w:lineRule="auto"/>
      <w:ind w:left="283" w:hanging="283"/>
    </w:pPr>
    <w:rPr>
      <w:rFonts w:ascii="Calibri" w:hAnsi="Calibri"/>
    </w:rPr>
  </w:style>
  <w:style w:type="paragraph" w:styleId="Seznam2">
    <w:name w:val="List 2"/>
    <w:basedOn w:val="Normln"/>
    <w:uiPriority w:val="99"/>
    <w:locked/>
    <w:rsid w:val="00434952"/>
    <w:pPr>
      <w:spacing w:after="120" w:line="240" w:lineRule="auto"/>
      <w:ind w:left="566" w:hanging="283"/>
    </w:pPr>
    <w:rPr>
      <w:rFonts w:ascii="Calibri" w:hAnsi="Calibri"/>
    </w:rPr>
  </w:style>
  <w:style w:type="paragraph" w:styleId="Seznamsodrkami2">
    <w:name w:val="List Bullet 2"/>
    <w:basedOn w:val="Normln"/>
    <w:uiPriority w:val="99"/>
    <w:locked/>
    <w:rsid w:val="00434952"/>
    <w:pPr>
      <w:numPr>
        <w:numId w:val="22"/>
      </w:numPr>
      <w:spacing w:after="120" w:line="240" w:lineRule="auto"/>
    </w:pPr>
    <w:rPr>
      <w:rFonts w:ascii="Calibri" w:hAnsi="Calibri"/>
    </w:rPr>
  </w:style>
  <w:style w:type="paragraph" w:styleId="Zkladntext">
    <w:name w:val="Body Text"/>
    <w:basedOn w:val="Normln"/>
    <w:link w:val="ZkladntextChar"/>
    <w:uiPriority w:val="99"/>
    <w:locked/>
    <w:rsid w:val="00434952"/>
    <w:pPr>
      <w:spacing w:after="120" w:line="240" w:lineRule="auto"/>
    </w:pPr>
    <w:rPr>
      <w:rFonts w:ascii="Calibri" w:hAnsi="Calibri"/>
    </w:rPr>
  </w:style>
  <w:style w:type="character" w:customStyle="1" w:styleId="ZkladntextChar">
    <w:name w:val="Základní text Char"/>
    <w:basedOn w:val="Standardnpsmoodstavce"/>
    <w:link w:val="Zkladntext"/>
    <w:uiPriority w:val="99"/>
    <w:rsid w:val="00434952"/>
    <w:rPr>
      <w:rFonts w:ascii="Calibri" w:hAnsi="Calibri"/>
    </w:rPr>
  </w:style>
  <w:style w:type="paragraph" w:styleId="Zkladntext-prvnodsazen">
    <w:name w:val="Body Text First Indent"/>
    <w:basedOn w:val="Zkladntext"/>
    <w:link w:val="Zkladntext-prvnodsazenChar"/>
    <w:uiPriority w:val="99"/>
    <w:locked/>
    <w:rsid w:val="00434952"/>
    <w:pPr>
      <w:ind w:firstLine="210"/>
    </w:pPr>
  </w:style>
  <w:style w:type="character" w:customStyle="1" w:styleId="Zkladntext-prvnodsazenChar">
    <w:name w:val="Základní text - první odsazený Char"/>
    <w:basedOn w:val="ZkladntextChar"/>
    <w:link w:val="Zkladntext-prvnodsazen"/>
    <w:uiPriority w:val="99"/>
    <w:rsid w:val="00434952"/>
    <w:rPr>
      <w:rFonts w:ascii="Calibri" w:hAnsi="Calibri"/>
    </w:rPr>
  </w:style>
  <w:style w:type="paragraph" w:styleId="Zkladntext-prvnodsazen2">
    <w:name w:val="Body Text First Indent 2"/>
    <w:basedOn w:val="Zkladntextodsazen"/>
    <w:link w:val="Zkladntext-prvnodsazen2Char"/>
    <w:uiPriority w:val="99"/>
    <w:locked/>
    <w:rsid w:val="00434952"/>
    <w:pPr>
      <w:spacing w:after="120"/>
      <w:ind w:left="283" w:firstLine="210"/>
      <w:jc w:val="left"/>
    </w:pPr>
    <w:rPr>
      <w:rFonts w:ascii="Calibri" w:hAnsi="Calibri"/>
      <w:sz w:val="22"/>
      <w:szCs w:val="22"/>
    </w:rPr>
  </w:style>
  <w:style w:type="character" w:customStyle="1" w:styleId="Zkladntext-prvnodsazen2Char">
    <w:name w:val="Základní text - první odsazený 2 Char"/>
    <w:basedOn w:val="ZkladntextodsazenChar"/>
    <w:link w:val="Zkladntext-prvnodsazen2"/>
    <w:uiPriority w:val="99"/>
    <w:rsid w:val="00434952"/>
    <w:rPr>
      <w:rFonts w:ascii="Calibri" w:hAnsi="Calibri" w:cs="Times New Roman"/>
    </w:rPr>
  </w:style>
  <w:style w:type="paragraph" w:customStyle="1" w:styleId="Styl2">
    <w:name w:val="Styl2"/>
    <w:uiPriority w:val="99"/>
    <w:rsid w:val="00434952"/>
    <w:pPr>
      <w:spacing w:after="200" w:line="276" w:lineRule="auto"/>
    </w:pPr>
    <w:rPr>
      <w:rFonts w:ascii="Calibri" w:hAnsi="Calibri"/>
      <w:lang w:val="en-GB" w:eastAsia="en-US"/>
    </w:rPr>
  </w:style>
  <w:style w:type="paragraph" w:styleId="Podtitul">
    <w:name w:val="Subtitle"/>
    <w:basedOn w:val="Normln"/>
    <w:next w:val="Normln"/>
    <w:link w:val="PodtitulChar"/>
    <w:uiPriority w:val="99"/>
    <w:qFormat/>
    <w:locked/>
    <w:rsid w:val="00434952"/>
    <w:pPr>
      <w:numPr>
        <w:ilvl w:val="1"/>
      </w:numPr>
      <w:spacing w:after="120" w:line="240" w:lineRule="auto"/>
    </w:pPr>
    <w:rPr>
      <w:rFonts w:ascii="Cambria" w:hAnsi="Cambria"/>
      <w:i/>
      <w:iCs/>
      <w:color w:val="4F81BD"/>
      <w:spacing w:val="15"/>
      <w:sz w:val="24"/>
      <w:szCs w:val="24"/>
    </w:rPr>
  </w:style>
  <w:style w:type="character" w:customStyle="1" w:styleId="PodtitulChar">
    <w:name w:val="Podtitul Char"/>
    <w:basedOn w:val="Standardnpsmoodstavce"/>
    <w:link w:val="Podtitul"/>
    <w:uiPriority w:val="99"/>
    <w:rsid w:val="00434952"/>
    <w:rPr>
      <w:rFonts w:ascii="Cambria" w:hAnsi="Cambria"/>
      <w:i/>
      <w:iCs/>
      <w:color w:val="4F81BD"/>
      <w:spacing w:val="15"/>
      <w:sz w:val="24"/>
      <w:szCs w:val="24"/>
    </w:rPr>
  </w:style>
  <w:style w:type="character" w:styleId="Siln">
    <w:name w:val="Strong"/>
    <w:basedOn w:val="Standardnpsmoodstavce"/>
    <w:uiPriority w:val="99"/>
    <w:qFormat/>
    <w:locked/>
    <w:rsid w:val="00434952"/>
    <w:rPr>
      <w:rFonts w:cs="Times New Roman"/>
      <w:b/>
      <w:bCs/>
    </w:rPr>
  </w:style>
  <w:style w:type="paragraph" w:styleId="Citt">
    <w:name w:val="Quote"/>
    <w:basedOn w:val="Normln"/>
    <w:next w:val="Normln"/>
    <w:link w:val="CittChar"/>
    <w:uiPriority w:val="99"/>
    <w:qFormat/>
    <w:rsid w:val="00434952"/>
    <w:pPr>
      <w:spacing w:after="120" w:line="240" w:lineRule="auto"/>
    </w:pPr>
    <w:rPr>
      <w:rFonts w:ascii="Calibri" w:hAnsi="Calibri"/>
      <w:i/>
      <w:iCs/>
      <w:color w:val="000000"/>
    </w:rPr>
  </w:style>
  <w:style w:type="character" w:customStyle="1" w:styleId="CittChar">
    <w:name w:val="Citát Char"/>
    <w:basedOn w:val="Standardnpsmoodstavce"/>
    <w:link w:val="Citt"/>
    <w:uiPriority w:val="99"/>
    <w:rsid w:val="00434952"/>
    <w:rPr>
      <w:rFonts w:ascii="Calibri" w:hAnsi="Calibri"/>
      <w:i/>
      <w:iCs/>
      <w:color w:val="000000"/>
    </w:rPr>
  </w:style>
  <w:style w:type="character" w:styleId="Zdraznnjemn">
    <w:name w:val="Subtle Emphasis"/>
    <w:basedOn w:val="Standardnpsmoodstavce"/>
    <w:uiPriority w:val="99"/>
    <w:qFormat/>
    <w:rsid w:val="00434952"/>
    <w:rPr>
      <w:rFonts w:cs="Times New Roman"/>
      <w:i/>
      <w:iCs/>
      <w:color w:val="808080"/>
    </w:rPr>
  </w:style>
  <w:style w:type="character" w:styleId="Zdraznnintenzivn">
    <w:name w:val="Intense Emphasis"/>
    <w:basedOn w:val="Standardnpsmoodstavce"/>
    <w:uiPriority w:val="99"/>
    <w:qFormat/>
    <w:rsid w:val="00434952"/>
    <w:rPr>
      <w:rFonts w:cs="Times New Roman"/>
      <w:b/>
      <w:bCs/>
      <w:i/>
      <w:iCs/>
      <w:color w:val="4F81BD"/>
    </w:rPr>
  </w:style>
  <w:style w:type="character" w:styleId="Odkazjemn">
    <w:name w:val="Subtle Reference"/>
    <w:basedOn w:val="Standardnpsmoodstavce"/>
    <w:uiPriority w:val="99"/>
    <w:qFormat/>
    <w:rsid w:val="00434952"/>
    <w:rPr>
      <w:rFonts w:cs="Times New Roman"/>
      <w:smallCaps/>
      <w:color w:val="C0504D"/>
      <w:u w:val="single"/>
    </w:rPr>
  </w:style>
  <w:style w:type="character" w:styleId="Odkazintenzivn">
    <w:name w:val="Intense Reference"/>
    <w:basedOn w:val="Standardnpsmoodstavce"/>
    <w:uiPriority w:val="99"/>
    <w:qFormat/>
    <w:rsid w:val="00434952"/>
    <w:rPr>
      <w:rFonts w:cs="Times New Roman"/>
      <w:b/>
      <w:bCs/>
      <w:smallCaps/>
      <w:color w:val="C0504D"/>
      <w:spacing w:val="5"/>
      <w:u w:val="single"/>
    </w:rPr>
  </w:style>
  <w:style w:type="character" w:styleId="Nzevknihy">
    <w:name w:val="Book Title"/>
    <w:basedOn w:val="Standardnpsmoodstavce"/>
    <w:uiPriority w:val="99"/>
    <w:qFormat/>
    <w:rsid w:val="00434952"/>
    <w:rPr>
      <w:rFonts w:cs="Times New Roman"/>
      <w:b/>
      <w:bCs/>
      <w:smallCaps/>
      <w:spacing w:val="5"/>
    </w:rPr>
  </w:style>
  <w:style w:type="paragraph" w:customStyle="1" w:styleId="Ploha-1">
    <w:name w:val="Příloha - 1"/>
    <w:basedOn w:val="Normln"/>
    <w:link w:val="Ploha-1Char"/>
    <w:uiPriority w:val="99"/>
    <w:rsid w:val="00434952"/>
    <w:pPr>
      <w:spacing w:after="120" w:line="240" w:lineRule="auto"/>
      <w:jc w:val="both"/>
    </w:pPr>
    <w:rPr>
      <w:rFonts w:ascii="Calibri" w:hAnsi="Calibri"/>
      <w:b/>
    </w:rPr>
  </w:style>
  <w:style w:type="character" w:customStyle="1" w:styleId="Ploha-1Char">
    <w:name w:val="Příloha - 1 Char"/>
    <w:basedOn w:val="Standardnpsmoodstavce"/>
    <w:link w:val="Ploha-1"/>
    <w:uiPriority w:val="99"/>
    <w:locked/>
    <w:rsid w:val="00434952"/>
    <w:rPr>
      <w:rFonts w:ascii="Calibri" w:hAnsi="Calibri"/>
      <w:b/>
    </w:rPr>
  </w:style>
  <w:style w:type="table" w:customStyle="1" w:styleId="Mkatabulky111">
    <w:name w:val="Mřížka tabulky111"/>
    <w:uiPriority w:val="99"/>
    <w:rsid w:val="00434952"/>
    <w:pPr>
      <w:spacing w:after="12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ublik-def3">
    <w:name w:val="publik-def3"/>
    <w:uiPriority w:val="99"/>
    <w:rsid w:val="00434952"/>
    <w:rPr>
      <w:sz w:val="22"/>
    </w:rPr>
  </w:style>
  <w:style w:type="paragraph" w:customStyle="1" w:styleId="web1">
    <w:name w:val="web1"/>
    <w:basedOn w:val="Normln"/>
    <w:uiPriority w:val="99"/>
    <w:rsid w:val="00434952"/>
    <w:pPr>
      <w:spacing w:after="0" w:line="240" w:lineRule="auto"/>
    </w:pPr>
    <w:rPr>
      <w:b/>
      <w:bCs/>
      <w:sz w:val="26"/>
      <w:szCs w:val="26"/>
    </w:rPr>
  </w:style>
  <w:style w:type="character" w:styleId="CittHTML">
    <w:name w:val="HTML Cite"/>
    <w:basedOn w:val="Standardnpsmoodstavce"/>
    <w:uiPriority w:val="99"/>
    <w:locked/>
    <w:rsid w:val="00434952"/>
    <w:rPr>
      <w:rFonts w:cs="Times New Roman"/>
      <w:color w:val="009933"/>
    </w:rPr>
  </w:style>
  <w:style w:type="character" w:customStyle="1" w:styleId="vshid2">
    <w:name w:val="vshid2"/>
    <w:uiPriority w:val="99"/>
    <w:rsid w:val="00434952"/>
    <w:rPr>
      <w:vanish/>
    </w:rPr>
  </w:style>
  <w:style w:type="paragraph" w:styleId="Textvysvtlivek">
    <w:name w:val="endnote text"/>
    <w:basedOn w:val="Normln"/>
    <w:link w:val="TextvysvtlivekChar"/>
    <w:uiPriority w:val="99"/>
    <w:locked/>
    <w:rsid w:val="00434952"/>
    <w:pPr>
      <w:spacing w:after="0" w:line="240" w:lineRule="auto"/>
    </w:pPr>
    <w:rPr>
      <w:sz w:val="20"/>
      <w:szCs w:val="20"/>
    </w:rPr>
  </w:style>
  <w:style w:type="character" w:customStyle="1" w:styleId="TextvysvtlivekChar">
    <w:name w:val="Text vysvětlivek Char"/>
    <w:basedOn w:val="Standardnpsmoodstavce"/>
    <w:link w:val="Textvysvtlivek"/>
    <w:uiPriority w:val="99"/>
    <w:rsid w:val="00434952"/>
    <w:rPr>
      <w:sz w:val="20"/>
      <w:szCs w:val="20"/>
    </w:rPr>
  </w:style>
  <w:style w:type="character" w:styleId="Odkaznavysvtlivky">
    <w:name w:val="endnote reference"/>
    <w:basedOn w:val="Standardnpsmoodstavce"/>
    <w:uiPriority w:val="99"/>
    <w:locked/>
    <w:rsid w:val="00434952"/>
    <w:rPr>
      <w:rFonts w:cs="Times New Roman"/>
      <w:vertAlign w:val="superscript"/>
    </w:rPr>
  </w:style>
  <w:style w:type="table" w:customStyle="1" w:styleId="Mkatabulky21">
    <w:name w:val="Mřížka tabulky21"/>
    <w:basedOn w:val="Normlntabulka"/>
    <w:next w:val="Mkatabulky"/>
    <w:uiPriority w:val="59"/>
    <w:rsid w:val="00434952"/>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10">
    <w:name w:val="Mřížka tabulky10"/>
    <w:basedOn w:val="Normlntabulka"/>
    <w:next w:val="Mkatabulky"/>
    <w:uiPriority w:val="59"/>
    <w:rsid w:val="00F74972"/>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seznamu3">
    <w:name w:val="Bez seznamu3"/>
    <w:next w:val="Bezseznamu"/>
    <w:uiPriority w:val="99"/>
    <w:semiHidden/>
    <w:unhideWhenUsed/>
    <w:rsid w:val="003E0D09"/>
  </w:style>
  <w:style w:type="numbering" w:customStyle="1" w:styleId="Bezseznamu11">
    <w:name w:val="Bez seznamu11"/>
    <w:next w:val="Bezseznamu"/>
    <w:uiPriority w:val="99"/>
    <w:semiHidden/>
    <w:unhideWhenUsed/>
    <w:rsid w:val="003E0D09"/>
  </w:style>
  <w:style w:type="numbering" w:customStyle="1" w:styleId="Bezseznamu111">
    <w:name w:val="Bez seznamu111"/>
    <w:next w:val="Bezseznamu"/>
    <w:uiPriority w:val="99"/>
    <w:semiHidden/>
    <w:unhideWhenUsed/>
    <w:rsid w:val="003E0D09"/>
  </w:style>
  <w:style w:type="numbering" w:customStyle="1" w:styleId="Bezseznamu21">
    <w:name w:val="Bez seznamu21"/>
    <w:next w:val="Bezseznamu"/>
    <w:uiPriority w:val="99"/>
    <w:semiHidden/>
    <w:unhideWhenUsed/>
    <w:rsid w:val="003E0D09"/>
  </w:style>
  <w:style w:type="character" w:styleId="Odkaznakoment">
    <w:name w:val="annotation reference"/>
    <w:basedOn w:val="Standardnpsmoodstavce"/>
    <w:uiPriority w:val="99"/>
    <w:semiHidden/>
    <w:unhideWhenUsed/>
    <w:locked/>
    <w:rsid w:val="00A466A6"/>
    <w:rPr>
      <w:sz w:val="16"/>
      <w:szCs w:val="16"/>
    </w:rPr>
  </w:style>
  <w:style w:type="paragraph" w:styleId="Textkomente">
    <w:name w:val="annotation text"/>
    <w:basedOn w:val="Normln"/>
    <w:link w:val="TextkomenteChar"/>
    <w:uiPriority w:val="99"/>
    <w:semiHidden/>
    <w:unhideWhenUsed/>
    <w:locked/>
    <w:rsid w:val="00A466A6"/>
    <w:pPr>
      <w:spacing w:line="240" w:lineRule="auto"/>
    </w:pPr>
    <w:rPr>
      <w:sz w:val="20"/>
      <w:szCs w:val="20"/>
    </w:rPr>
  </w:style>
  <w:style w:type="character" w:customStyle="1" w:styleId="TextkomenteChar">
    <w:name w:val="Text komentáře Char"/>
    <w:basedOn w:val="Standardnpsmoodstavce"/>
    <w:link w:val="Textkomente"/>
    <w:uiPriority w:val="99"/>
    <w:semiHidden/>
    <w:rsid w:val="00A466A6"/>
    <w:rPr>
      <w:sz w:val="20"/>
      <w:szCs w:val="20"/>
    </w:rPr>
  </w:style>
  <w:style w:type="paragraph" w:styleId="Pedmtkomente">
    <w:name w:val="annotation subject"/>
    <w:basedOn w:val="Textkomente"/>
    <w:next w:val="Textkomente"/>
    <w:link w:val="PedmtkomenteChar"/>
    <w:uiPriority w:val="99"/>
    <w:semiHidden/>
    <w:unhideWhenUsed/>
    <w:locked/>
    <w:rsid w:val="00A466A6"/>
    <w:rPr>
      <w:b/>
      <w:bCs/>
    </w:rPr>
  </w:style>
  <w:style w:type="character" w:customStyle="1" w:styleId="PedmtkomenteChar">
    <w:name w:val="Předmět komentáře Char"/>
    <w:basedOn w:val="TextkomenteChar"/>
    <w:link w:val="Pedmtkomente"/>
    <w:uiPriority w:val="99"/>
    <w:semiHidden/>
    <w:rsid w:val="00A466A6"/>
    <w:rPr>
      <w:b/>
      <w:bCs/>
      <w:sz w:val="20"/>
      <w:szCs w:val="20"/>
    </w:rPr>
  </w:style>
  <w:style w:type="numbering" w:customStyle="1" w:styleId="Bezseznamu1111">
    <w:name w:val="Bez seznamu1111"/>
    <w:next w:val="Bezseznamu"/>
    <w:uiPriority w:val="99"/>
    <w:semiHidden/>
    <w:unhideWhenUsed/>
    <w:rsid w:val="002C38F8"/>
  </w:style>
  <w:style w:type="paragraph" w:styleId="Revize">
    <w:name w:val="Revision"/>
    <w:hidden/>
    <w:uiPriority w:val="99"/>
    <w:semiHidden/>
    <w:rsid w:val="002C38F8"/>
  </w:style>
  <w:style w:type="numbering" w:customStyle="1" w:styleId="Bezseznamu4">
    <w:name w:val="Bez seznamu4"/>
    <w:next w:val="Bezseznamu"/>
    <w:uiPriority w:val="99"/>
    <w:semiHidden/>
    <w:unhideWhenUsed/>
    <w:rsid w:val="002C38F8"/>
  </w:style>
  <w:style w:type="numbering" w:customStyle="1" w:styleId="Bezseznamu12">
    <w:name w:val="Bez seznamu12"/>
    <w:next w:val="Bezseznamu"/>
    <w:uiPriority w:val="99"/>
    <w:semiHidden/>
    <w:unhideWhenUsed/>
    <w:rsid w:val="002C38F8"/>
  </w:style>
  <w:style w:type="numbering" w:customStyle="1" w:styleId="Bezseznamu112">
    <w:name w:val="Bez seznamu112"/>
    <w:next w:val="Bezseznamu"/>
    <w:uiPriority w:val="99"/>
    <w:semiHidden/>
    <w:unhideWhenUsed/>
    <w:rsid w:val="002C38F8"/>
  </w:style>
  <w:style w:type="table" w:customStyle="1" w:styleId="Mkatabulky12">
    <w:name w:val="Mřížka tabulky12"/>
    <w:basedOn w:val="Normlntabulka"/>
    <w:next w:val="Mkatabulky"/>
    <w:uiPriority w:val="59"/>
    <w:rsid w:val="002C38F8"/>
    <w:rPr>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seznamu22">
    <w:name w:val="Bez seznamu22"/>
    <w:next w:val="Bezseznamu"/>
    <w:uiPriority w:val="99"/>
    <w:semiHidden/>
    <w:unhideWhenUsed/>
    <w:rsid w:val="002C38F8"/>
  </w:style>
  <w:style w:type="table" w:customStyle="1" w:styleId="Mkatabulky13">
    <w:name w:val="Mřížka tabulky13"/>
    <w:basedOn w:val="Normlntabulka"/>
    <w:next w:val="Mkatabulky"/>
    <w:uiPriority w:val="99"/>
    <w:rsid w:val="002C38F8"/>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112">
    <w:name w:val="Mřížka tabulky112"/>
    <w:uiPriority w:val="99"/>
    <w:rsid w:val="002C38F8"/>
    <w:pPr>
      <w:spacing w:after="12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2">
    <w:name w:val="Mřížka tabulky22"/>
    <w:basedOn w:val="Normlntabulka"/>
    <w:next w:val="Mkatabulky"/>
    <w:uiPriority w:val="59"/>
    <w:rsid w:val="002C38F8"/>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seznamu5">
    <w:name w:val="Bez seznamu5"/>
    <w:next w:val="Bezseznamu"/>
    <w:uiPriority w:val="99"/>
    <w:semiHidden/>
    <w:unhideWhenUsed/>
    <w:rsid w:val="002C38F8"/>
  </w:style>
  <w:style w:type="table" w:customStyle="1" w:styleId="Mkatabulky14">
    <w:name w:val="Mřížka tabulky14"/>
    <w:basedOn w:val="Normlntabulka"/>
    <w:next w:val="Mkatabulky"/>
    <w:uiPriority w:val="59"/>
    <w:rsid w:val="002C38F8"/>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seznamu6">
    <w:name w:val="Bez seznamu6"/>
    <w:next w:val="Bezseznamu"/>
    <w:uiPriority w:val="99"/>
    <w:semiHidden/>
    <w:unhideWhenUsed/>
    <w:rsid w:val="002C38F8"/>
  </w:style>
  <w:style w:type="numbering" w:customStyle="1" w:styleId="Bezseznamu13">
    <w:name w:val="Bez seznamu13"/>
    <w:next w:val="Bezseznamu"/>
    <w:uiPriority w:val="99"/>
    <w:semiHidden/>
    <w:unhideWhenUsed/>
    <w:rsid w:val="002C38F8"/>
  </w:style>
  <w:style w:type="numbering" w:customStyle="1" w:styleId="Bezseznamu23">
    <w:name w:val="Bez seznamu23"/>
    <w:next w:val="Bezseznamu"/>
    <w:uiPriority w:val="99"/>
    <w:semiHidden/>
    <w:unhideWhenUsed/>
    <w:rsid w:val="002C38F8"/>
  </w:style>
  <w:style w:type="numbering" w:customStyle="1" w:styleId="Bezseznamu31">
    <w:name w:val="Bez seznamu31"/>
    <w:next w:val="Bezseznamu"/>
    <w:uiPriority w:val="99"/>
    <w:semiHidden/>
    <w:unhideWhenUsed/>
    <w:rsid w:val="002C38F8"/>
  </w:style>
  <w:style w:type="numbering" w:customStyle="1" w:styleId="Bezseznamu113">
    <w:name w:val="Bez seznamu113"/>
    <w:next w:val="Bezseznamu"/>
    <w:uiPriority w:val="99"/>
    <w:semiHidden/>
    <w:unhideWhenUsed/>
    <w:rsid w:val="002C38F8"/>
  </w:style>
  <w:style w:type="numbering" w:customStyle="1" w:styleId="Bezseznamu1112">
    <w:name w:val="Bez seznamu1112"/>
    <w:next w:val="Bezseznamu"/>
    <w:uiPriority w:val="99"/>
    <w:semiHidden/>
    <w:unhideWhenUsed/>
    <w:rsid w:val="002C38F8"/>
  </w:style>
  <w:style w:type="numbering" w:customStyle="1" w:styleId="Bezseznamu211">
    <w:name w:val="Bez seznamu211"/>
    <w:next w:val="Bezseznamu"/>
    <w:uiPriority w:val="99"/>
    <w:semiHidden/>
    <w:unhideWhenUsed/>
    <w:rsid w:val="002C38F8"/>
  </w:style>
  <w:style w:type="numbering" w:customStyle="1" w:styleId="Bezseznamu41">
    <w:name w:val="Bez seznamu41"/>
    <w:next w:val="Bezseznamu"/>
    <w:uiPriority w:val="99"/>
    <w:semiHidden/>
    <w:unhideWhenUsed/>
    <w:rsid w:val="002C38F8"/>
  </w:style>
  <w:style w:type="numbering" w:customStyle="1" w:styleId="Bezseznamu121">
    <w:name w:val="Bez seznamu121"/>
    <w:next w:val="Bezseznamu"/>
    <w:uiPriority w:val="99"/>
    <w:semiHidden/>
    <w:unhideWhenUsed/>
    <w:rsid w:val="002C38F8"/>
  </w:style>
  <w:style w:type="numbering" w:customStyle="1" w:styleId="Bezseznamu1121">
    <w:name w:val="Bez seznamu1121"/>
    <w:next w:val="Bezseznamu"/>
    <w:uiPriority w:val="99"/>
    <w:semiHidden/>
    <w:unhideWhenUsed/>
    <w:rsid w:val="002C38F8"/>
  </w:style>
  <w:style w:type="numbering" w:customStyle="1" w:styleId="Bezseznamu221">
    <w:name w:val="Bez seznamu221"/>
    <w:next w:val="Bezseznamu"/>
    <w:uiPriority w:val="99"/>
    <w:semiHidden/>
    <w:unhideWhenUsed/>
    <w:rsid w:val="002C38F8"/>
  </w:style>
  <w:style w:type="numbering" w:customStyle="1" w:styleId="Bezseznamu51">
    <w:name w:val="Bez seznamu51"/>
    <w:next w:val="Bezseznamu"/>
    <w:uiPriority w:val="99"/>
    <w:semiHidden/>
    <w:unhideWhenUsed/>
    <w:rsid w:val="002C38F8"/>
  </w:style>
  <w:style w:type="numbering" w:customStyle="1" w:styleId="Bezseznamu61">
    <w:name w:val="Bez seznamu61"/>
    <w:next w:val="Bezseznamu"/>
    <w:uiPriority w:val="99"/>
    <w:semiHidden/>
    <w:unhideWhenUsed/>
    <w:rsid w:val="002C38F8"/>
  </w:style>
  <w:style w:type="numbering" w:customStyle="1" w:styleId="Bezseznamu131">
    <w:name w:val="Bez seznamu131"/>
    <w:next w:val="Bezseznamu"/>
    <w:uiPriority w:val="99"/>
    <w:semiHidden/>
    <w:unhideWhenUsed/>
    <w:rsid w:val="002C38F8"/>
  </w:style>
  <w:style w:type="numbering" w:customStyle="1" w:styleId="Bezseznamu1131">
    <w:name w:val="Bez seznamu1131"/>
    <w:next w:val="Bezseznamu"/>
    <w:uiPriority w:val="99"/>
    <w:semiHidden/>
    <w:unhideWhenUsed/>
    <w:rsid w:val="002C38F8"/>
  </w:style>
  <w:style w:type="numbering" w:customStyle="1" w:styleId="Bezseznamu231">
    <w:name w:val="Bez seznamu231"/>
    <w:next w:val="Bezseznamu"/>
    <w:uiPriority w:val="99"/>
    <w:semiHidden/>
    <w:unhideWhenUsed/>
    <w:rsid w:val="002C38F8"/>
  </w:style>
  <w:style w:type="numbering" w:customStyle="1" w:styleId="Bezseznamu311">
    <w:name w:val="Bez seznamu311"/>
    <w:next w:val="Bezseznamu"/>
    <w:uiPriority w:val="99"/>
    <w:semiHidden/>
    <w:unhideWhenUsed/>
    <w:rsid w:val="002C38F8"/>
  </w:style>
  <w:style w:type="numbering" w:customStyle="1" w:styleId="Bezseznamu11111">
    <w:name w:val="Bez seznamu11111"/>
    <w:next w:val="Bezseznamu"/>
    <w:uiPriority w:val="99"/>
    <w:semiHidden/>
    <w:unhideWhenUsed/>
    <w:rsid w:val="002C38F8"/>
  </w:style>
  <w:style w:type="numbering" w:customStyle="1" w:styleId="Bezseznamu111111">
    <w:name w:val="Bez seznamu111111"/>
    <w:next w:val="Bezseznamu"/>
    <w:uiPriority w:val="99"/>
    <w:semiHidden/>
    <w:unhideWhenUsed/>
    <w:rsid w:val="002C38F8"/>
  </w:style>
  <w:style w:type="numbering" w:customStyle="1" w:styleId="Bezseznamu2111">
    <w:name w:val="Bez seznamu2111"/>
    <w:next w:val="Bezseznamu"/>
    <w:uiPriority w:val="99"/>
    <w:semiHidden/>
    <w:unhideWhenUsed/>
    <w:rsid w:val="002C38F8"/>
  </w:style>
  <w:style w:type="numbering" w:customStyle="1" w:styleId="Bezseznamu411">
    <w:name w:val="Bez seznamu411"/>
    <w:next w:val="Bezseznamu"/>
    <w:uiPriority w:val="99"/>
    <w:semiHidden/>
    <w:unhideWhenUsed/>
    <w:rsid w:val="002C38F8"/>
  </w:style>
  <w:style w:type="numbering" w:customStyle="1" w:styleId="Bezseznamu1211">
    <w:name w:val="Bez seznamu1211"/>
    <w:next w:val="Bezseznamu"/>
    <w:uiPriority w:val="99"/>
    <w:semiHidden/>
    <w:unhideWhenUsed/>
    <w:rsid w:val="002C38F8"/>
  </w:style>
  <w:style w:type="numbering" w:customStyle="1" w:styleId="Bezseznamu11211">
    <w:name w:val="Bez seznamu11211"/>
    <w:next w:val="Bezseznamu"/>
    <w:uiPriority w:val="99"/>
    <w:semiHidden/>
    <w:unhideWhenUsed/>
    <w:rsid w:val="002C38F8"/>
  </w:style>
  <w:style w:type="numbering" w:customStyle="1" w:styleId="Bezseznamu2211">
    <w:name w:val="Bez seznamu2211"/>
    <w:next w:val="Bezseznamu"/>
    <w:uiPriority w:val="99"/>
    <w:semiHidden/>
    <w:unhideWhenUsed/>
    <w:rsid w:val="002C38F8"/>
  </w:style>
  <w:style w:type="numbering" w:customStyle="1" w:styleId="Bezseznamu511">
    <w:name w:val="Bez seznamu511"/>
    <w:next w:val="Bezseznamu"/>
    <w:uiPriority w:val="99"/>
    <w:semiHidden/>
    <w:unhideWhenUsed/>
    <w:rsid w:val="002C38F8"/>
  </w:style>
  <w:style w:type="paragraph" w:customStyle="1" w:styleId="Styl3">
    <w:name w:val="Styl3"/>
    <w:basedOn w:val="01-Nadpis1"/>
    <w:link w:val="Styl3Char"/>
    <w:qFormat/>
    <w:rsid w:val="00890421"/>
  </w:style>
  <w:style w:type="character" w:customStyle="1" w:styleId="Styl3Char">
    <w:name w:val="Styl3 Char"/>
    <w:basedOn w:val="01-Nadpis1Char"/>
    <w:link w:val="Styl3"/>
    <w:rsid w:val="00890421"/>
    <w:rPr>
      <w:rFonts w:ascii="Cambria" w:hAnsi="Cambria" w:cs="Times New Roman"/>
      <w:b/>
      <w:bCs/>
      <w:color w:val="0070C0"/>
      <w:kern w:val="36"/>
      <w:sz w:val="32"/>
      <w:szCs w:val="32"/>
    </w:rPr>
  </w:style>
  <w:style w:type="table" w:customStyle="1" w:styleId="Mkatabulky15">
    <w:name w:val="Mřížka tabulky15"/>
    <w:basedOn w:val="Normlntabulka"/>
    <w:next w:val="Mkatabulky"/>
    <w:uiPriority w:val="59"/>
    <w:rsid w:val="00A40AF8"/>
    <w:rPr>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00Sbornk2013-odrkyChar">
    <w:name w:val="000 Sborník 2013 - odrážky Char"/>
    <w:basedOn w:val="Standardnpsmoodstavce"/>
    <w:link w:val="000Sbornk2013-odrky"/>
    <w:semiHidden/>
    <w:locked/>
    <w:rsid w:val="00A40AF8"/>
    <w:rPr>
      <w:szCs w:val="24"/>
    </w:rPr>
  </w:style>
  <w:style w:type="paragraph" w:customStyle="1" w:styleId="000Sbornk2013-odrky">
    <w:name w:val="000 Sborník 2013 - odrážky"/>
    <w:basedOn w:val="Normln"/>
    <w:next w:val="Normln"/>
    <w:link w:val="000Sbornk2013-odrkyChar"/>
    <w:semiHidden/>
    <w:qFormat/>
    <w:rsid w:val="00A40AF8"/>
    <w:pPr>
      <w:numPr>
        <w:numId w:val="39"/>
      </w:numPr>
      <w:spacing w:after="0" w:line="240" w:lineRule="auto"/>
      <w:jc w:val="both"/>
    </w:pPr>
    <w:rPr>
      <w:szCs w:val="24"/>
    </w:rPr>
  </w:style>
  <w:style w:type="table" w:customStyle="1" w:styleId="Mkatabulky16">
    <w:name w:val="Mřížka tabulky16"/>
    <w:basedOn w:val="Normlntabulka"/>
    <w:next w:val="Mkatabulky"/>
    <w:uiPriority w:val="59"/>
    <w:rsid w:val="00A40AF8"/>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17">
    <w:name w:val="Mřížka tabulky17"/>
    <w:basedOn w:val="Normlntabulka"/>
    <w:next w:val="Mkatabulky"/>
    <w:uiPriority w:val="59"/>
    <w:rsid w:val="00A40AF8"/>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ln">
    <w:name w:val="Normal"/>
    <w:qFormat/>
    <w:rsid w:val="00587418"/>
    <w:pPr>
      <w:spacing w:after="200" w:line="276" w:lineRule="auto"/>
    </w:pPr>
  </w:style>
  <w:style w:type="paragraph" w:styleId="Nadpis1">
    <w:name w:val="heading 1"/>
    <w:basedOn w:val="Normln"/>
    <w:link w:val="Nadpis1Char"/>
    <w:uiPriority w:val="99"/>
    <w:qFormat/>
    <w:locked/>
    <w:rsid w:val="008739EF"/>
    <w:pPr>
      <w:spacing w:before="100" w:beforeAutospacing="1" w:after="100" w:afterAutospacing="1" w:line="240" w:lineRule="auto"/>
      <w:outlineLvl w:val="0"/>
    </w:pPr>
    <w:rPr>
      <w:b/>
      <w:bCs/>
      <w:kern w:val="36"/>
      <w:sz w:val="48"/>
      <w:szCs w:val="48"/>
    </w:rPr>
  </w:style>
  <w:style w:type="paragraph" w:styleId="Nadpis2">
    <w:name w:val="heading 2"/>
    <w:basedOn w:val="Normln"/>
    <w:next w:val="Normln"/>
    <w:link w:val="Nadpis2Char"/>
    <w:uiPriority w:val="99"/>
    <w:qFormat/>
    <w:locked/>
    <w:rsid w:val="008739EF"/>
    <w:pPr>
      <w:keepNext/>
      <w:spacing w:before="240" w:after="60" w:line="240" w:lineRule="auto"/>
      <w:outlineLvl w:val="1"/>
    </w:pPr>
    <w:rPr>
      <w:rFonts w:ascii="Arial" w:hAnsi="Arial" w:cs="Arial"/>
      <w:b/>
      <w:bCs/>
      <w:i/>
      <w:iCs/>
      <w:sz w:val="28"/>
      <w:szCs w:val="28"/>
    </w:rPr>
  </w:style>
  <w:style w:type="paragraph" w:styleId="Nadpis3">
    <w:name w:val="heading 3"/>
    <w:basedOn w:val="Normln"/>
    <w:next w:val="Normln"/>
    <w:link w:val="Nadpis3Char"/>
    <w:uiPriority w:val="99"/>
    <w:qFormat/>
    <w:rsid w:val="00DD03DA"/>
    <w:pPr>
      <w:keepNext/>
      <w:keepLines/>
      <w:spacing w:before="200" w:after="0"/>
      <w:outlineLvl w:val="2"/>
    </w:pPr>
    <w:rPr>
      <w:rFonts w:ascii="Cambria" w:hAnsi="Cambria"/>
      <w:b/>
      <w:bCs/>
      <w:color w:val="4F81BD"/>
    </w:rPr>
  </w:style>
  <w:style w:type="paragraph" w:styleId="Nadpis4">
    <w:name w:val="heading 4"/>
    <w:basedOn w:val="Normln"/>
    <w:next w:val="Normln"/>
    <w:link w:val="Nadpis4Char"/>
    <w:uiPriority w:val="99"/>
    <w:qFormat/>
    <w:locked/>
    <w:rsid w:val="00C24344"/>
    <w:pPr>
      <w:keepNext/>
      <w:spacing w:before="240" w:after="60"/>
      <w:outlineLvl w:val="3"/>
    </w:pPr>
    <w:rPr>
      <w:rFonts w:ascii="Calibri" w:hAnsi="Calibri"/>
      <w:b/>
      <w:bCs/>
      <w:sz w:val="28"/>
      <w:szCs w:val="28"/>
      <w:lang w:eastAsia="en-US"/>
    </w:rPr>
  </w:style>
  <w:style w:type="paragraph" w:styleId="Nadpis5">
    <w:name w:val="heading 5"/>
    <w:basedOn w:val="Normln"/>
    <w:next w:val="Normln"/>
    <w:link w:val="Nadpis5Char"/>
    <w:uiPriority w:val="99"/>
    <w:qFormat/>
    <w:locked/>
    <w:rsid w:val="00C24344"/>
    <w:pPr>
      <w:spacing w:before="240" w:after="60"/>
      <w:outlineLvl w:val="4"/>
    </w:pPr>
    <w:rPr>
      <w:rFonts w:ascii="Calibri" w:hAnsi="Calibri"/>
      <w:b/>
      <w:bCs/>
      <w:i/>
      <w:iCs/>
      <w:sz w:val="26"/>
      <w:szCs w:val="26"/>
      <w:lang w:eastAsia="en-US"/>
    </w:rPr>
  </w:style>
  <w:style w:type="paragraph" w:styleId="Nadpis6">
    <w:name w:val="heading 6"/>
    <w:basedOn w:val="Normln"/>
    <w:next w:val="Normln"/>
    <w:link w:val="Nadpis6Char"/>
    <w:uiPriority w:val="99"/>
    <w:qFormat/>
    <w:locked/>
    <w:rsid w:val="00434952"/>
    <w:pPr>
      <w:keepNext/>
      <w:keepLines/>
      <w:spacing w:before="200" w:after="0" w:line="240" w:lineRule="auto"/>
      <w:outlineLvl w:val="5"/>
    </w:pPr>
    <w:rPr>
      <w:rFonts w:ascii="Cambria" w:hAnsi="Cambria"/>
      <w:i/>
      <w:iCs/>
      <w:color w:val="243F60"/>
    </w:rPr>
  </w:style>
  <w:style w:type="paragraph" w:styleId="Nadpis7">
    <w:name w:val="heading 7"/>
    <w:basedOn w:val="Normln"/>
    <w:next w:val="Normln"/>
    <w:link w:val="Nadpis7Char"/>
    <w:uiPriority w:val="99"/>
    <w:qFormat/>
    <w:locked/>
    <w:rsid w:val="00434952"/>
    <w:pPr>
      <w:keepNext/>
      <w:keepLines/>
      <w:spacing w:before="200" w:after="0" w:line="240" w:lineRule="auto"/>
      <w:outlineLvl w:val="6"/>
    </w:pPr>
    <w:rPr>
      <w:rFonts w:ascii="Cambria" w:hAnsi="Cambria"/>
      <w:i/>
      <w:iCs/>
      <w:color w:val="404040"/>
    </w:rPr>
  </w:style>
  <w:style w:type="paragraph" w:styleId="Nadpis8">
    <w:name w:val="heading 8"/>
    <w:basedOn w:val="Normln"/>
    <w:next w:val="Normln"/>
    <w:link w:val="Nadpis8Char"/>
    <w:uiPriority w:val="99"/>
    <w:qFormat/>
    <w:locked/>
    <w:rsid w:val="00434952"/>
    <w:pPr>
      <w:keepNext/>
      <w:keepLines/>
      <w:spacing w:before="200" w:after="0" w:line="240" w:lineRule="auto"/>
      <w:outlineLvl w:val="7"/>
    </w:pPr>
    <w:rPr>
      <w:rFonts w:ascii="Cambria" w:hAnsi="Cambria"/>
      <w:color w:val="4F81BD"/>
      <w:sz w:val="20"/>
      <w:szCs w:val="20"/>
    </w:rPr>
  </w:style>
  <w:style w:type="paragraph" w:styleId="Nadpis9">
    <w:name w:val="heading 9"/>
    <w:basedOn w:val="Normln"/>
    <w:next w:val="Normln"/>
    <w:link w:val="Nadpis9Char"/>
    <w:uiPriority w:val="99"/>
    <w:qFormat/>
    <w:locked/>
    <w:rsid w:val="00434952"/>
    <w:pPr>
      <w:keepNext/>
      <w:keepLines/>
      <w:spacing w:before="200" w:after="0" w:line="240" w:lineRule="auto"/>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8739EF"/>
    <w:rPr>
      <w:rFonts w:cs="Times New Roman"/>
      <w:b/>
      <w:bCs/>
      <w:kern w:val="36"/>
      <w:sz w:val="48"/>
      <w:szCs w:val="48"/>
    </w:rPr>
  </w:style>
  <w:style w:type="character" w:customStyle="1" w:styleId="Nadpis2Char">
    <w:name w:val="Nadpis 2 Char"/>
    <w:basedOn w:val="Standardnpsmoodstavce"/>
    <w:link w:val="Nadpis2"/>
    <w:uiPriority w:val="99"/>
    <w:locked/>
    <w:rsid w:val="008739EF"/>
    <w:rPr>
      <w:rFonts w:ascii="Arial" w:hAnsi="Arial" w:cs="Arial"/>
      <w:b/>
      <w:bCs/>
      <w:i/>
      <w:iCs/>
      <w:sz w:val="28"/>
      <w:szCs w:val="28"/>
    </w:rPr>
  </w:style>
  <w:style w:type="character" w:customStyle="1" w:styleId="Nadpis3Char">
    <w:name w:val="Nadpis 3 Char"/>
    <w:basedOn w:val="Standardnpsmoodstavce"/>
    <w:link w:val="Nadpis3"/>
    <w:uiPriority w:val="99"/>
    <w:locked/>
    <w:rsid w:val="00DD03DA"/>
    <w:rPr>
      <w:rFonts w:ascii="Cambria" w:hAnsi="Cambria" w:cs="Times New Roman"/>
      <w:b/>
      <w:bCs/>
      <w:color w:val="4F81BD"/>
    </w:rPr>
  </w:style>
  <w:style w:type="character" w:customStyle="1" w:styleId="Nadpis4Char">
    <w:name w:val="Nadpis 4 Char"/>
    <w:basedOn w:val="Standardnpsmoodstavce"/>
    <w:link w:val="Nadpis4"/>
    <w:uiPriority w:val="99"/>
    <w:rsid w:val="00C24344"/>
    <w:rPr>
      <w:rFonts w:ascii="Calibri" w:hAnsi="Calibri"/>
      <w:b/>
      <w:bCs/>
      <w:sz w:val="28"/>
      <w:szCs w:val="28"/>
      <w:lang w:eastAsia="en-US"/>
    </w:rPr>
  </w:style>
  <w:style w:type="character" w:customStyle="1" w:styleId="Nadpis5Char">
    <w:name w:val="Nadpis 5 Char"/>
    <w:basedOn w:val="Standardnpsmoodstavce"/>
    <w:link w:val="Nadpis5"/>
    <w:uiPriority w:val="99"/>
    <w:rsid w:val="00C24344"/>
    <w:rPr>
      <w:rFonts w:ascii="Calibri" w:hAnsi="Calibri"/>
      <w:b/>
      <w:bCs/>
      <w:i/>
      <w:iCs/>
      <w:sz w:val="26"/>
      <w:szCs w:val="26"/>
      <w:lang w:eastAsia="en-US"/>
    </w:rPr>
  </w:style>
  <w:style w:type="paragraph" w:styleId="Textbubliny">
    <w:name w:val="Balloon Text"/>
    <w:basedOn w:val="Normln"/>
    <w:link w:val="TextbublinyChar"/>
    <w:uiPriority w:val="99"/>
    <w:rsid w:val="002945F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locked/>
    <w:rsid w:val="002945F4"/>
    <w:rPr>
      <w:rFonts w:ascii="Tahoma" w:hAnsi="Tahoma" w:cs="Tahoma"/>
      <w:sz w:val="16"/>
      <w:szCs w:val="16"/>
      <w:lang w:val="cs-CZ" w:eastAsia="cs-CZ"/>
    </w:rPr>
  </w:style>
  <w:style w:type="paragraph" w:styleId="Textpoznpodarou">
    <w:name w:val="footnote text"/>
    <w:aliases w:val="Poznámka"/>
    <w:basedOn w:val="Normln"/>
    <w:link w:val="TextpoznpodarouChar"/>
    <w:uiPriority w:val="99"/>
    <w:semiHidden/>
    <w:rsid w:val="0022190A"/>
    <w:pPr>
      <w:spacing w:after="0" w:line="240" w:lineRule="auto"/>
    </w:pPr>
    <w:rPr>
      <w:sz w:val="20"/>
      <w:szCs w:val="20"/>
    </w:rPr>
  </w:style>
  <w:style w:type="character" w:customStyle="1" w:styleId="TextpoznpodarouChar">
    <w:name w:val="Text pozn. pod čarou Char"/>
    <w:aliases w:val="Poznámka Char"/>
    <w:basedOn w:val="Standardnpsmoodstavce"/>
    <w:link w:val="Textpoznpodarou"/>
    <w:uiPriority w:val="99"/>
    <w:semiHidden/>
    <w:locked/>
    <w:rsid w:val="0022190A"/>
    <w:rPr>
      <w:rFonts w:cs="Times New Roman"/>
      <w:sz w:val="20"/>
      <w:szCs w:val="20"/>
      <w:lang w:val="cs-CZ" w:eastAsia="cs-CZ"/>
    </w:rPr>
  </w:style>
  <w:style w:type="character" w:styleId="Znakapoznpodarou">
    <w:name w:val="footnote reference"/>
    <w:basedOn w:val="Standardnpsmoodstavce"/>
    <w:semiHidden/>
    <w:rsid w:val="0022190A"/>
    <w:rPr>
      <w:rFonts w:cs="Times New Roman"/>
      <w:vertAlign w:val="superscript"/>
    </w:rPr>
  </w:style>
  <w:style w:type="character" w:styleId="Hypertextovodkaz">
    <w:name w:val="Hyperlink"/>
    <w:basedOn w:val="Standardnpsmoodstavce"/>
    <w:uiPriority w:val="99"/>
    <w:rsid w:val="00ED6E12"/>
    <w:rPr>
      <w:rFonts w:cs="Times New Roman"/>
      <w:color w:val="0000FF"/>
      <w:u w:val="single"/>
    </w:rPr>
  </w:style>
  <w:style w:type="paragraph" w:styleId="Normlnweb">
    <w:name w:val="Normal (Web)"/>
    <w:basedOn w:val="Normln"/>
    <w:uiPriority w:val="99"/>
    <w:rsid w:val="00FC382E"/>
    <w:pPr>
      <w:spacing w:before="100" w:beforeAutospacing="1" w:after="100" w:afterAutospacing="1" w:line="240" w:lineRule="auto"/>
    </w:pPr>
    <w:rPr>
      <w:sz w:val="24"/>
      <w:szCs w:val="24"/>
    </w:rPr>
  </w:style>
  <w:style w:type="paragraph" w:styleId="Odstavecseseznamem">
    <w:name w:val="List Paragraph"/>
    <w:basedOn w:val="Normln"/>
    <w:uiPriority w:val="99"/>
    <w:qFormat/>
    <w:rsid w:val="00380D23"/>
    <w:pPr>
      <w:ind w:left="720"/>
      <w:contextualSpacing/>
    </w:pPr>
  </w:style>
  <w:style w:type="paragraph" w:styleId="Titulek">
    <w:name w:val="caption"/>
    <w:basedOn w:val="Normln"/>
    <w:next w:val="Normln"/>
    <w:uiPriority w:val="99"/>
    <w:qFormat/>
    <w:locked/>
    <w:rsid w:val="00B01C00"/>
    <w:pPr>
      <w:spacing w:line="240" w:lineRule="auto"/>
    </w:pPr>
    <w:rPr>
      <w:b/>
      <w:bCs/>
      <w:color w:val="4F81BD"/>
      <w:sz w:val="18"/>
      <w:szCs w:val="18"/>
    </w:rPr>
  </w:style>
  <w:style w:type="paragraph" w:styleId="Zpat">
    <w:name w:val="footer"/>
    <w:basedOn w:val="Normln"/>
    <w:link w:val="ZpatChar"/>
    <w:uiPriority w:val="99"/>
    <w:rsid w:val="008739EF"/>
    <w:pPr>
      <w:tabs>
        <w:tab w:val="center" w:pos="4536"/>
        <w:tab w:val="right" w:pos="9072"/>
      </w:tabs>
      <w:spacing w:after="0" w:line="240" w:lineRule="auto"/>
    </w:pPr>
    <w:rPr>
      <w:sz w:val="24"/>
      <w:szCs w:val="24"/>
    </w:rPr>
  </w:style>
  <w:style w:type="character" w:customStyle="1" w:styleId="ZpatChar">
    <w:name w:val="Zápatí Char"/>
    <w:basedOn w:val="Standardnpsmoodstavce"/>
    <w:link w:val="Zpat"/>
    <w:uiPriority w:val="99"/>
    <w:locked/>
    <w:rsid w:val="008739EF"/>
    <w:rPr>
      <w:rFonts w:cs="Times New Roman"/>
      <w:sz w:val="24"/>
      <w:szCs w:val="24"/>
    </w:rPr>
  </w:style>
  <w:style w:type="character" w:styleId="slostrnky">
    <w:name w:val="page number"/>
    <w:basedOn w:val="Standardnpsmoodstavce"/>
    <w:uiPriority w:val="99"/>
    <w:rsid w:val="008739EF"/>
    <w:rPr>
      <w:rFonts w:cs="Times New Roman"/>
    </w:rPr>
  </w:style>
  <w:style w:type="paragraph" w:customStyle="1" w:styleId="Styl4">
    <w:name w:val="Styl4"/>
    <w:basedOn w:val="Normln"/>
    <w:uiPriority w:val="99"/>
    <w:rsid w:val="008739EF"/>
    <w:pPr>
      <w:overflowPunct w:val="0"/>
      <w:autoSpaceDE w:val="0"/>
      <w:autoSpaceDN w:val="0"/>
      <w:adjustRightInd w:val="0"/>
      <w:spacing w:before="120" w:after="120" w:line="240" w:lineRule="auto"/>
      <w:jc w:val="both"/>
    </w:pPr>
    <w:rPr>
      <w:color w:val="000000"/>
      <w:sz w:val="24"/>
      <w:szCs w:val="24"/>
    </w:rPr>
  </w:style>
  <w:style w:type="character" w:customStyle="1" w:styleId="textProstyChar">
    <w:name w:val="textProsty Char"/>
    <w:basedOn w:val="Standardnpsmoodstavce"/>
    <w:link w:val="textProsty"/>
    <w:uiPriority w:val="99"/>
    <w:locked/>
    <w:rsid w:val="008739EF"/>
    <w:rPr>
      <w:rFonts w:ascii="Arial" w:hAnsi="Arial" w:cs="Arial"/>
      <w:color w:val="000000"/>
      <w:sz w:val="24"/>
      <w:szCs w:val="24"/>
      <w:lang w:val="en-GB"/>
    </w:rPr>
  </w:style>
  <w:style w:type="paragraph" w:customStyle="1" w:styleId="textProsty">
    <w:name w:val="textProsty"/>
    <w:basedOn w:val="Normln"/>
    <w:link w:val="textProstyChar"/>
    <w:uiPriority w:val="99"/>
    <w:rsid w:val="008739EF"/>
    <w:pPr>
      <w:spacing w:after="120" w:line="240" w:lineRule="auto"/>
      <w:jc w:val="both"/>
    </w:pPr>
    <w:rPr>
      <w:rFonts w:ascii="Arial" w:hAnsi="Arial" w:cs="Arial"/>
      <w:color w:val="000000"/>
      <w:szCs w:val="24"/>
      <w:lang w:val="en-GB"/>
    </w:rPr>
  </w:style>
  <w:style w:type="table" w:styleId="Mkatabulky">
    <w:name w:val="Table Grid"/>
    <w:basedOn w:val="Normlntabulka"/>
    <w:uiPriority w:val="99"/>
    <w:locked/>
    <w:rsid w:val="008739EF"/>
    <w:rPr>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uiPriority w:val="99"/>
    <w:locked/>
    <w:rsid w:val="008739EF"/>
    <w:rPr>
      <w:sz w:val="24"/>
    </w:rPr>
  </w:style>
  <w:style w:type="paragraph" w:styleId="Zkladntextodsazen">
    <w:name w:val="Body Text Indent"/>
    <w:basedOn w:val="Normln"/>
    <w:link w:val="ZkladntextodsazenChar"/>
    <w:uiPriority w:val="99"/>
    <w:rsid w:val="008739EF"/>
    <w:pPr>
      <w:spacing w:after="0" w:line="240" w:lineRule="auto"/>
      <w:ind w:firstLine="709"/>
      <w:jc w:val="both"/>
    </w:pPr>
    <w:rPr>
      <w:sz w:val="24"/>
      <w:szCs w:val="24"/>
    </w:rPr>
  </w:style>
  <w:style w:type="character" w:customStyle="1" w:styleId="ZkladntextodsazenChar">
    <w:name w:val="Základní text odsazený Char"/>
    <w:basedOn w:val="Standardnpsmoodstavce"/>
    <w:link w:val="Zkladntextodsazen"/>
    <w:uiPriority w:val="99"/>
    <w:locked/>
    <w:rsid w:val="00B92D26"/>
    <w:rPr>
      <w:rFonts w:cs="Times New Roman"/>
    </w:rPr>
  </w:style>
  <w:style w:type="character" w:customStyle="1" w:styleId="ZkladntextodsazenChar1">
    <w:name w:val="Základní text odsazený Char1"/>
    <w:basedOn w:val="Standardnpsmoodstavce"/>
    <w:uiPriority w:val="99"/>
    <w:semiHidden/>
    <w:rsid w:val="008739EF"/>
    <w:rPr>
      <w:rFonts w:cs="Times New Roman"/>
    </w:rPr>
  </w:style>
  <w:style w:type="paragraph" w:customStyle="1" w:styleId="description">
    <w:name w:val="description"/>
    <w:basedOn w:val="Normln"/>
    <w:uiPriority w:val="99"/>
    <w:rsid w:val="008739EF"/>
    <w:pPr>
      <w:spacing w:after="0" w:line="240" w:lineRule="auto"/>
    </w:pPr>
    <w:rPr>
      <w:sz w:val="24"/>
      <w:szCs w:val="24"/>
    </w:rPr>
  </w:style>
  <w:style w:type="paragraph" w:styleId="Seznamsodrkami4">
    <w:name w:val="List Bullet 4"/>
    <w:basedOn w:val="Normln"/>
    <w:autoRedefine/>
    <w:uiPriority w:val="99"/>
    <w:rsid w:val="008739EF"/>
    <w:pPr>
      <w:spacing w:after="0" w:line="240" w:lineRule="auto"/>
      <w:jc w:val="both"/>
    </w:pPr>
    <w:rPr>
      <w:szCs w:val="20"/>
    </w:rPr>
  </w:style>
  <w:style w:type="paragraph" w:styleId="Zhlav">
    <w:name w:val="header"/>
    <w:basedOn w:val="Normln"/>
    <w:link w:val="ZhlavChar"/>
    <w:uiPriority w:val="99"/>
    <w:rsid w:val="008739EF"/>
    <w:pPr>
      <w:tabs>
        <w:tab w:val="center" w:pos="4536"/>
        <w:tab w:val="right" w:pos="9072"/>
      </w:tabs>
      <w:spacing w:after="0" w:line="240" w:lineRule="auto"/>
    </w:pPr>
    <w:rPr>
      <w:sz w:val="24"/>
      <w:szCs w:val="24"/>
    </w:rPr>
  </w:style>
  <w:style w:type="character" w:customStyle="1" w:styleId="ZhlavChar">
    <w:name w:val="Záhlaví Char"/>
    <w:basedOn w:val="Standardnpsmoodstavce"/>
    <w:link w:val="Zhlav"/>
    <w:uiPriority w:val="99"/>
    <w:locked/>
    <w:rsid w:val="008739EF"/>
    <w:rPr>
      <w:rFonts w:cs="Times New Roman"/>
      <w:sz w:val="24"/>
      <w:szCs w:val="24"/>
    </w:rPr>
  </w:style>
  <w:style w:type="paragraph" w:customStyle="1" w:styleId="Styl1">
    <w:name w:val="Styl1"/>
    <w:basedOn w:val="Normln"/>
    <w:uiPriority w:val="99"/>
    <w:rsid w:val="008739EF"/>
    <w:pPr>
      <w:spacing w:after="0" w:line="240" w:lineRule="auto"/>
      <w:ind w:left="227" w:hanging="227"/>
      <w:jc w:val="both"/>
    </w:pPr>
    <w:rPr>
      <w:rFonts w:ascii="EhrhardtMT" w:hAnsi="EhrhardtMT" w:cs="EhrhardtMT"/>
      <w:sz w:val="19"/>
      <w:szCs w:val="19"/>
    </w:rPr>
  </w:style>
  <w:style w:type="character" w:styleId="Zvraznn">
    <w:name w:val="Emphasis"/>
    <w:basedOn w:val="Standardnpsmoodstavce"/>
    <w:uiPriority w:val="99"/>
    <w:qFormat/>
    <w:locked/>
    <w:rsid w:val="008739EF"/>
    <w:rPr>
      <w:rFonts w:cs="Times New Roman"/>
      <w:b/>
      <w:bCs/>
    </w:rPr>
  </w:style>
  <w:style w:type="character" w:customStyle="1" w:styleId="st1">
    <w:name w:val="st1"/>
    <w:basedOn w:val="Standardnpsmoodstavce"/>
    <w:uiPriority w:val="99"/>
    <w:rsid w:val="008739EF"/>
    <w:rPr>
      <w:rFonts w:cs="Times New Roman"/>
    </w:rPr>
  </w:style>
  <w:style w:type="character" w:customStyle="1" w:styleId="hps">
    <w:name w:val="hps"/>
    <w:basedOn w:val="Standardnpsmoodstavce"/>
    <w:uiPriority w:val="99"/>
    <w:rsid w:val="008739EF"/>
    <w:rPr>
      <w:rFonts w:cs="Times New Roman"/>
    </w:rPr>
  </w:style>
  <w:style w:type="character" w:customStyle="1" w:styleId="shorttext">
    <w:name w:val="short_text"/>
    <w:basedOn w:val="Standardnpsmoodstavce"/>
    <w:uiPriority w:val="99"/>
    <w:rsid w:val="008739EF"/>
    <w:rPr>
      <w:rFonts w:cs="Times New Roman"/>
    </w:rPr>
  </w:style>
  <w:style w:type="character" w:customStyle="1" w:styleId="hpsatn">
    <w:name w:val="hps atn"/>
    <w:basedOn w:val="Standardnpsmoodstavce"/>
    <w:uiPriority w:val="99"/>
    <w:rsid w:val="008739EF"/>
    <w:rPr>
      <w:rFonts w:cs="Times New Roman"/>
    </w:rPr>
  </w:style>
  <w:style w:type="paragraph" w:styleId="Seznamsodrkami">
    <w:name w:val="List Bullet"/>
    <w:basedOn w:val="Normln"/>
    <w:uiPriority w:val="99"/>
    <w:rsid w:val="000F4CCF"/>
    <w:pPr>
      <w:numPr>
        <w:numId w:val="1"/>
      </w:numPr>
      <w:tabs>
        <w:tab w:val="clear" w:pos="720"/>
        <w:tab w:val="num" w:pos="360"/>
      </w:tabs>
      <w:spacing w:after="0" w:line="240" w:lineRule="auto"/>
      <w:ind w:left="360"/>
    </w:pPr>
    <w:rPr>
      <w:sz w:val="24"/>
      <w:szCs w:val="24"/>
    </w:rPr>
  </w:style>
  <w:style w:type="character" w:customStyle="1" w:styleId="object">
    <w:name w:val="object"/>
    <w:basedOn w:val="Standardnpsmoodstavce"/>
    <w:uiPriority w:val="99"/>
    <w:rsid w:val="000F4CCF"/>
    <w:rPr>
      <w:rFonts w:ascii="Verdana" w:hAnsi="Verdana" w:cs="Times New Roman"/>
      <w:color w:val="333333"/>
      <w:sz w:val="18"/>
      <w:szCs w:val="18"/>
    </w:rPr>
  </w:style>
  <w:style w:type="character" w:customStyle="1" w:styleId="st">
    <w:name w:val="st"/>
    <w:basedOn w:val="Standardnpsmoodstavce"/>
    <w:uiPriority w:val="99"/>
    <w:rsid w:val="00A71697"/>
    <w:rPr>
      <w:rFonts w:cs="Times New Roman"/>
    </w:rPr>
  </w:style>
  <w:style w:type="table" w:customStyle="1" w:styleId="Mkatabulky1">
    <w:name w:val="Mřížka tabulky1"/>
    <w:uiPriority w:val="99"/>
    <w:rsid w:val="00365B49"/>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
    <w:name w:val="Mřížka tabulky2"/>
    <w:uiPriority w:val="99"/>
    <w:rsid w:val="00365B49"/>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3">
    <w:name w:val="Mřížka tabulky3"/>
    <w:uiPriority w:val="99"/>
    <w:rsid w:val="00791AD0"/>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4">
    <w:name w:val="Mřížka tabulky4"/>
    <w:uiPriority w:val="99"/>
    <w:rsid w:val="00D35EB2"/>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ulka-1">
    <w:name w:val="Tabulka - 1"/>
    <w:basedOn w:val="Normln"/>
    <w:link w:val="Tabulka-1Char"/>
    <w:uiPriority w:val="99"/>
    <w:rsid w:val="004B5A13"/>
    <w:pPr>
      <w:spacing w:before="200" w:after="100"/>
      <w:jc w:val="center"/>
    </w:pPr>
    <w:rPr>
      <w:rFonts w:ascii="Calibri" w:hAnsi="Calibri"/>
      <w:b/>
      <w:sz w:val="24"/>
      <w:szCs w:val="24"/>
    </w:rPr>
  </w:style>
  <w:style w:type="character" w:customStyle="1" w:styleId="Tabulka-1Char">
    <w:name w:val="Tabulka - 1 Char"/>
    <w:basedOn w:val="Standardnpsmoodstavce"/>
    <w:link w:val="Tabulka-1"/>
    <w:uiPriority w:val="99"/>
    <w:locked/>
    <w:rsid w:val="004B5A13"/>
    <w:rPr>
      <w:rFonts w:ascii="Calibri" w:hAnsi="Calibri" w:cs="Times New Roman"/>
      <w:b/>
      <w:sz w:val="24"/>
      <w:szCs w:val="24"/>
    </w:rPr>
  </w:style>
  <w:style w:type="paragraph" w:customStyle="1" w:styleId="Graf-1">
    <w:name w:val="Graf - 1"/>
    <w:basedOn w:val="Normln"/>
    <w:link w:val="Graf-1Char"/>
    <w:uiPriority w:val="99"/>
    <w:rsid w:val="004B5A13"/>
    <w:pPr>
      <w:spacing w:before="200" w:after="100"/>
      <w:jc w:val="center"/>
    </w:pPr>
    <w:rPr>
      <w:rFonts w:ascii="Calibri" w:hAnsi="Calibri"/>
      <w:b/>
      <w:sz w:val="24"/>
      <w:szCs w:val="24"/>
    </w:rPr>
  </w:style>
  <w:style w:type="character" w:customStyle="1" w:styleId="Graf-1Char">
    <w:name w:val="Graf - 1 Char"/>
    <w:basedOn w:val="Standardnpsmoodstavce"/>
    <w:link w:val="Graf-1"/>
    <w:uiPriority w:val="99"/>
    <w:locked/>
    <w:rsid w:val="004B5A13"/>
    <w:rPr>
      <w:rFonts w:ascii="Calibri" w:hAnsi="Calibri" w:cs="Times New Roman"/>
      <w:b/>
      <w:sz w:val="24"/>
      <w:szCs w:val="24"/>
    </w:rPr>
  </w:style>
  <w:style w:type="paragraph" w:styleId="Nadpisobsahu">
    <w:name w:val="TOC Heading"/>
    <w:basedOn w:val="Nadpis1"/>
    <w:next w:val="Normln"/>
    <w:uiPriority w:val="99"/>
    <w:qFormat/>
    <w:rsid w:val="008A412A"/>
    <w:pPr>
      <w:keepNext/>
      <w:keepLines/>
      <w:spacing w:before="480" w:beforeAutospacing="0" w:after="0" w:afterAutospacing="0" w:line="276" w:lineRule="auto"/>
      <w:outlineLvl w:val="9"/>
    </w:pPr>
    <w:rPr>
      <w:rFonts w:ascii="Cambria" w:hAnsi="Cambria"/>
      <w:color w:val="365F91"/>
      <w:kern w:val="0"/>
      <w:sz w:val="28"/>
      <w:szCs w:val="28"/>
    </w:rPr>
  </w:style>
  <w:style w:type="paragraph" w:styleId="Obsah1">
    <w:name w:val="toc 1"/>
    <w:basedOn w:val="Normln"/>
    <w:next w:val="Normln"/>
    <w:autoRedefine/>
    <w:uiPriority w:val="39"/>
    <w:rsid w:val="00595BB7"/>
    <w:pPr>
      <w:tabs>
        <w:tab w:val="right" w:leader="dot" w:pos="9062"/>
      </w:tabs>
      <w:spacing w:before="100" w:after="100"/>
    </w:pPr>
    <w:rPr>
      <w:rFonts w:eastAsia="Calibri"/>
      <w:noProof/>
      <w:lang w:eastAsia="en-US"/>
    </w:rPr>
  </w:style>
  <w:style w:type="paragraph" w:styleId="Obsah2">
    <w:name w:val="toc 2"/>
    <w:basedOn w:val="Normln"/>
    <w:next w:val="Normln"/>
    <w:autoRedefine/>
    <w:uiPriority w:val="39"/>
    <w:rsid w:val="001B3A31"/>
    <w:pPr>
      <w:tabs>
        <w:tab w:val="right" w:leader="dot" w:pos="9062"/>
      </w:tabs>
      <w:spacing w:before="100" w:after="100"/>
    </w:pPr>
    <w:rPr>
      <w:noProof/>
    </w:rPr>
  </w:style>
  <w:style w:type="paragraph" w:styleId="Obsah3">
    <w:name w:val="toc 3"/>
    <w:basedOn w:val="Normln"/>
    <w:next w:val="Normln"/>
    <w:autoRedefine/>
    <w:uiPriority w:val="39"/>
    <w:rsid w:val="008A412A"/>
    <w:pPr>
      <w:spacing w:after="100"/>
      <w:ind w:left="440"/>
    </w:pPr>
  </w:style>
  <w:style w:type="paragraph" w:styleId="Bezmezer">
    <w:name w:val="No Spacing"/>
    <w:link w:val="BezmezerChar"/>
    <w:uiPriority w:val="99"/>
    <w:qFormat/>
    <w:rsid w:val="0089203A"/>
    <w:rPr>
      <w:rFonts w:ascii="Calibri" w:hAnsi="Calibri"/>
    </w:rPr>
  </w:style>
  <w:style w:type="character" w:customStyle="1" w:styleId="BezmezerChar">
    <w:name w:val="Bez mezer Char"/>
    <w:basedOn w:val="Standardnpsmoodstavce"/>
    <w:link w:val="Bezmezer"/>
    <w:uiPriority w:val="99"/>
    <w:locked/>
    <w:rsid w:val="0089203A"/>
    <w:rPr>
      <w:rFonts w:ascii="Calibri" w:hAnsi="Calibri" w:cs="Times New Roman"/>
      <w:sz w:val="22"/>
      <w:szCs w:val="22"/>
      <w:lang w:val="cs-CZ" w:eastAsia="cs-CZ" w:bidi="ar-SA"/>
    </w:rPr>
  </w:style>
  <w:style w:type="paragraph" w:customStyle="1" w:styleId="01-Nadpis1">
    <w:name w:val="01-Nadpis1"/>
    <w:basedOn w:val="Nadpis1"/>
    <w:link w:val="01-Nadpis1Char"/>
    <w:uiPriority w:val="99"/>
    <w:rsid w:val="00CF4502"/>
    <w:pPr>
      <w:keepNext/>
      <w:keepLines/>
      <w:spacing w:before="0" w:beforeAutospacing="0" w:after="0" w:afterAutospacing="0" w:line="276" w:lineRule="auto"/>
    </w:pPr>
    <w:rPr>
      <w:rFonts w:ascii="Cambria" w:hAnsi="Cambria"/>
      <w:color w:val="365F91"/>
      <w:kern w:val="0"/>
      <w:sz w:val="32"/>
      <w:szCs w:val="32"/>
    </w:rPr>
  </w:style>
  <w:style w:type="character" w:customStyle="1" w:styleId="01-Nadpis1Char">
    <w:name w:val="01-Nadpis1 Char"/>
    <w:basedOn w:val="Nadpis1Char"/>
    <w:link w:val="01-Nadpis1"/>
    <w:uiPriority w:val="99"/>
    <w:locked/>
    <w:rsid w:val="00CF4502"/>
    <w:rPr>
      <w:rFonts w:ascii="Cambria" w:hAnsi="Cambria" w:cs="Times New Roman"/>
      <w:b/>
      <w:bCs/>
      <w:color w:val="365F91"/>
      <w:kern w:val="36"/>
      <w:sz w:val="32"/>
      <w:szCs w:val="32"/>
    </w:rPr>
  </w:style>
  <w:style w:type="paragraph" w:customStyle="1" w:styleId="00-Nadpis">
    <w:name w:val="00-Nadpis"/>
    <w:basedOn w:val="Nadpis1"/>
    <w:link w:val="00-NadpisChar"/>
    <w:uiPriority w:val="99"/>
    <w:rsid w:val="00CF4502"/>
    <w:pPr>
      <w:keepNext/>
      <w:keepLines/>
      <w:spacing w:before="0" w:beforeAutospacing="0" w:after="0" w:afterAutospacing="0" w:line="276" w:lineRule="auto"/>
    </w:pPr>
    <w:rPr>
      <w:rFonts w:ascii="Cambria" w:hAnsi="Cambria"/>
      <w:color w:val="365F91"/>
      <w:kern w:val="0"/>
      <w:sz w:val="32"/>
      <w:szCs w:val="32"/>
    </w:rPr>
  </w:style>
  <w:style w:type="character" w:customStyle="1" w:styleId="00-NadpisChar">
    <w:name w:val="00-Nadpis Char"/>
    <w:basedOn w:val="Nadpis1Char"/>
    <w:link w:val="00-Nadpis"/>
    <w:uiPriority w:val="99"/>
    <w:locked/>
    <w:rsid w:val="00CF4502"/>
    <w:rPr>
      <w:rFonts w:ascii="Cambria" w:hAnsi="Cambria" w:cs="Times New Roman"/>
      <w:b/>
      <w:bCs/>
      <w:color w:val="365F91"/>
      <w:kern w:val="36"/>
      <w:sz w:val="32"/>
      <w:szCs w:val="32"/>
    </w:rPr>
  </w:style>
  <w:style w:type="paragraph" w:customStyle="1" w:styleId="02-Nadpis2">
    <w:name w:val="02-Nadpis2"/>
    <w:basedOn w:val="Nadpis2"/>
    <w:link w:val="02-Nadpis2Char"/>
    <w:uiPriority w:val="99"/>
    <w:rsid w:val="00CF4502"/>
    <w:pPr>
      <w:keepLines/>
      <w:spacing w:before="0" w:after="0" w:line="276" w:lineRule="auto"/>
    </w:pPr>
    <w:rPr>
      <w:rFonts w:ascii="Cambria" w:hAnsi="Cambria" w:cs="Times New Roman"/>
      <w:i w:val="0"/>
      <w:iCs w:val="0"/>
      <w:color w:val="4F81BD"/>
    </w:rPr>
  </w:style>
  <w:style w:type="character" w:customStyle="1" w:styleId="02-Nadpis2Char">
    <w:name w:val="02-Nadpis2 Char"/>
    <w:basedOn w:val="Nadpis2Char"/>
    <w:link w:val="02-Nadpis2"/>
    <w:uiPriority w:val="99"/>
    <w:locked/>
    <w:rsid w:val="00CF4502"/>
    <w:rPr>
      <w:rFonts w:ascii="Cambria" w:hAnsi="Cambria" w:cs="Times New Roman"/>
      <w:b/>
      <w:bCs/>
      <w:i/>
      <w:iCs/>
      <w:color w:val="4F81BD"/>
      <w:sz w:val="28"/>
      <w:szCs w:val="28"/>
    </w:rPr>
  </w:style>
  <w:style w:type="paragraph" w:customStyle="1" w:styleId="03-Nadpis3">
    <w:name w:val="03-Nadpis3"/>
    <w:basedOn w:val="Nadpis3"/>
    <w:link w:val="03-Nadpis3Char"/>
    <w:uiPriority w:val="99"/>
    <w:rsid w:val="00CF4502"/>
    <w:pPr>
      <w:spacing w:before="0"/>
    </w:pPr>
    <w:rPr>
      <w:sz w:val="26"/>
      <w:szCs w:val="26"/>
    </w:rPr>
  </w:style>
  <w:style w:type="character" w:customStyle="1" w:styleId="03-Nadpis3Char">
    <w:name w:val="03-Nadpis3 Char"/>
    <w:basedOn w:val="Nadpis3Char"/>
    <w:link w:val="03-Nadpis3"/>
    <w:uiPriority w:val="99"/>
    <w:locked/>
    <w:rsid w:val="00CF4502"/>
    <w:rPr>
      <w:rFonts w:ascii="Cambria" w:hAnsi="Cambria" w:cs="Times New Roman"/>
      <w:b/>
      <w:bCs/>
      <w:color w:val="4F81BD"/>
      <w:sz w:val="26"/>
      <w:szCs w:val="26"/>
    </w:rPr>
  </w:style>
  <w:style w:type="paragraph" w:customStyle="1" w:styleId="0G-Titulek">
    <w:name w:val="0G-Titulek"/>
    <w:basedOn w:val="Normln"/>
    <w:link w:val="0G-TitulekChar"/>
    <w:uiPriority w:val="99"/>
    <w:rsid w:val="003806C6"/>
    <w:pPr>
      <w:keepNext/>
      <w:spacing w:after="0"/>
      <w:ind w:firstLine="720"/>
      <w:jc w:val="center"/>
    </w:pPr>
    <w:rPr>
      <w:rFonts w:ascii="Calibri" w:hAnsi="Calibri" w:cs="Calibri"/>
      <w:b/>
      <w:sz w:val="24"/>
      <w:szCs w:val="24"/>
      <w:lang w:eastAsia="en-US"/>
    </w:rPr>
  </w:style>
  <w:style w:type="character" w:customStyle="1" w:styleId="0G-TitulekChar">
    <w:name w:val="0G-Titulek Char"/>
    <w:basedOn w:val="Standardnpsmoodstavce"/>
    <w:link w:val="0G-Titulek"/>
    <w:uiPriority w:val="99"/>
    <w:locked/>
    <w:rsid w:val="003806C6"/>
    <w:rPr>
      <w:rFonts w:ascii="Calibri" w:eastAsia="Times New Roman" w:hAnsi="Calibri" w:cs="Calibri"/>
      <w:b/>
      <w:sz w:val="24"/>
      <w:szCs w:val="24"/>
      <w:lang w:eastAsia="en-US"/>
    </w:rPr>
  </w:style>
  <w:style w:type="paragraph" w:customStyle="1" w:styleId="0G-Pramen">
    <w:name w:val="0G-Pramen"/>
    <w:basedOn w:val="Normln"/>
    <w:link w:val="0G-PramenChar"/>
    <w:uiPriority w:val="99"/>
    <w:rsid w:val="003806C6"/>
    <w:pPr>
      <w:keepNext/>
      <w:spacing w:after="0"/>
      <w:ind w:firstLine="720"/>
      <w:jc w:val="center"/>
    </w:pPr>
    <w:rPr>
      <w:rFonts w:ascii="Calibri" w:hAnsi="Calibri" w:cs="Calibri"/>
      <w:i/>
      <w:lang w:eastAsia="en-US"/>
    </w:rPr>
  </w:style>
  <w:style w:type="character" w:customStyle="1" w:styleId="0G-PramenChar">
    <w:name w:val="0G-Pramen Char"/>
    <w:basedOn w:val="Standardnpsmoodstavce"/>
    <w:link w:val="0G-Pramen"/>
    <w:uiPriority w:val="99"/>
    <w:locked/>
    <w:rsid w:val="003806C6"/>
    <w:rPr>
      <w:rFonts w:ascii="Calibri" w:eastAsia="Times New Roman" w:hAnsi="Calibri" w:cs="Calibri"/>
      <w:i/>
      <w:lang w:eastAsia="en-US"/>
    </w:rPr>
  </w:style>
  <w:style w:type="paragraph" w:customStyle="1" w:styleId="0T-Titulek">
    <w:name w:val="0T-Titulek"/>
    <w:basedOn w:val="Normln"/>
    <w:link w:val="0T-TitulekChar"/>
    <w:uiPriority w:val="99"/>
    <w:rsid w:val="001B37D4"/>
    <w:pPr>
      <w:keepNext/>
      <w:widowControl w:val="0"/>
      <w:suppressLineNumbers/>
      <w:spacing w:after="0"/>
      <w:jc w:val="center"/>
    </w:pPr>
    <w:rPr>
      <w:rFonts w:ascii="Calibri" w:hAnsi="Calibri" w:cs="Calibri"/>
      <w:b/>
      <w:sz w:val="24"/>
      <w:szCs w:val="24"/>
      <w:lang w:eastAsia="en-US"/>
    </w:rPr>
  </w:style>
  <w:style w:type="character" w:customStyle="1" w:styleId="0T-TitulekChar">
    <w:name w:val="0T-Titulek Char"/>
    <w:basedOn w:val="Standardnpsmoodstavce"/>
    <w:link w:val="0T-Titulek"/>
    <w:uiPriority w:val="99"/>
    <w:locked/>
    <w:rsid w:val="001B37D4"/>
    <w:rPr>
      <w:rFonts w:ascii="Calibri" w:hAnsi="Calibri" w:cs="Calibri"/>
      <w:b/>
      <w:sz w:val="24"/>
      <w:szCs w:val="24"/>
      <w:lang w:eastAsia="en-US"/>
    </w:rPr>
  </w:style>
  <w:style w:type="paragraph" w:customStyle="1" w:styleId="0T-Pramen">
    <w:name w:val="0T-Pramen"/>
    <w:basedOn w:val="Normln"/>
    <w:link w:val="0T-PramenChar"/>
    <w:uiPriority w:val="99"/>
    <w:rsid w:val="001B37D4"/>
    <w:pPr>
      <w:keepNext/>
      <w:widowControl w:val="0"/>
      <w:suppressLineNumbers/>
      <w:spacing w:after="0"/>
      <w:jc w:val="center"/>
    </w:pPr>
    <w:rPr>
      <w:rFonts w:ascii="Calibri" w:hAnsi="Calibri" w:cs="Calibri"/>
      <w:i/>
      <w:lang w:eastAsia="en-US"/>
    </w:rPr>
  </w:style>
  <w:style w:type="character" w:customStyle="1" w:styleId="0T-PramenChar">
    <w:name w:val="0T-Pramen Char"/>
    <w:basedOn w:val="Standardnpsmoodstavce"/>
    <w:link w:val="0T-Pramen"/>
    <w:uiPriority w:val="99"/>
    <w:locked/>
    <w:rsid w:val="001B37D4"/>
    <w:rPr>
      <w:rFonts w:ascii="Calibri" w:hAnsi="Calibri" w:cs="Calibri"/>
      <w:i/>
      <w:lang w:eastAsia="en-US"/>
    </w:rPr>
  </w:style>
  <w:style w:type="paragraph" w:customStyle="1" w:styleId="05-Text">
    <w:name w:val="05-Text"/>
    <w:basedOn w:val="Normln"/>
    <w:link w:val="05-TextChar"/>
    <w:uiPriority w:val="99"/>
    <w:qFormat/>
    <w:rsid w:val="00E07193"/>
    <w:pPr>
      <w:keepNext/>
      <w:ind w:firstLine="720"/>
      <w:jc w:val="both"/>
    </w:pPr>
    <w:rPr>
      <w:sz w:val="24"/>
      <w:szCs w:val="24"/>
    </w:rPr>
  </w:style>
  <w:style w:type="character" w:customStyle="1" w:styleId="05-TextChar">
    <w:name w:val="05-Text Char"/>
    <w:basedOn w:val="Standardnpsmoodstavce"/>
    <w:link w:val="05-Text"/>
    <w:uiPriority w:val="99"/>
    <w:locked/>
    <w:rsid w:val="00E07193"/>
    <w:rPr>
      <w:rFonts w:cs="Times New Roman"/>
      <w:sz w:val="24"/>
      <w:szCs w:val="24"/>
    </w:rPr>
  </w:style>
  <w:style w:type="paragraph" w:customStyle="1" w:styleId="05-vet-s-sly">
    <w:name w:val="05-výčet-s-čísly"/>
    <w:basedOn w:val="Normln"/>
    <w:link w:val="05-vet-s-slyChar"/>
    <w:uiPriority w:val="99"/>
    <w:rsid w:val="00996215"/>
    <w:pPr>
      <w:keepNext/>
      <w:spacing w:after="0"/>
      <w:ind w:left="284" w:hanging="284"/>
      <w:jc w:val="both"/>
    </w:pPr>
    <w:rPr>
      <w:sz w:val="24"/>
      <w:szCs w:val="24"/>
      <w:lang w:eastAsia="en-US"/>
    </w:rPr>
  </w:style>
  <w:style w:type="character" w:customStyle="1" w:styleId="05-vet-s-slyChar">
    <w:name w:val="05-výčet-s-čísly Char"/>
    <w:basedOn w:val="Standardnpsmoodstavce"/>
    <w:link w:val="05-vet-s-sly"/>
    <w:uiPriority w:val="99"/>
    <w:locked/>
    <w:rsid w:val="00996215"/>
    <w:rPr>
      <w:rFonts w:eastAsia="Times New Roman" w:cs="Times New Roman"/>
      <w:sz w:val="24"/>
      <w:szCs w:val="24"/>
      <w:lang w:eastAsia="en-US"/>
    </w:rPr>
  </w:style>
  <w:style w:type="paragraph" w:customStyle="1" w:styleId="06-vet-bez-sel">
    <w:name w:val="06-výčet-bez-čísel"/>
    <w:basedOn w:val="Normln"/>
    <w:link w:val="06-vet-bez-selChar"/>
    <w:uiPriority w:val="99"/>
    <w:rsid w:val="003149AE"/>
    <w:pPr>
      <w:keepNext/>
      <w:numPr>
        <w:numId w:val="13"/>
      </w:numPr>
      <w:spacing w:after="0"/>
      <w:ind w:left="284" w:hanging="284"/>
      <w:contextualSpacing/>
      <w:jc w:val="both"/>
    </w:pPr>
    <w:rPr>
      <w:sz w:val="24"/>
      <w:szCs w:val="24"/>
      <w:lang w:eastAsia="en-US"/>
    </w:rPr>
  </w:style>
  <w:style w:type="character" w:customStyle="1" w:styleId="06-vet-bez-selChar">
    <w:name w:val="06-výčet-bez-čísel Char"/>
    <w:basedOn w:val="Standardnpsmoodstavce"/>
    <w:link w:val="06-vet-bez-sel"/>
    <w:uiPriority w:val="99"/>
    <w:locked/>
    <w:rsid w:val="003149AE"/>
    <w:rPr>
      <w:sz w:val="24"/>
      <w:szCs w:val="24"/>
      <w:lang w:eastAsia="en-US"/>
    </w:rPr>
  </w:style>
  <w:style w:type="paragraph" w:customStyle="1" w:styleId="05-vet-s-slovnm">
    <w:name w:val="05-výčet-s-číslováním"/>
    <w:basedOn w:val="Normln"/>
    <w:link w:val="05-vet-s-slovnmChar"/>
    <w:uiPriority w:val="99"/>
    <w:rsid w:val="003149AE"/>
    <w:pPr>
      <w:keepNext/>
      <w:numPr>
        <w:numId w:val="7"/>
      </w:numPr>
      <w:spacing w:after="0"/>
      <w:contextualSpacing/>
      <w:jc w:val="both"/>
    </w:pPr>
    <w:rPr>
      <w:sz w:val="24"/>
      <w:szCs w:val="24"/>
    </w:rPr>
  </w:style>
  <w:style w:type="character" w:customStyle="1" w:styleId="05-vet-s-slovnmChar">
    <w:name w:val="05-výčet-s-číslováním Char"/>
    <w:basedOn w:val="Standardnpsmoodstavce"/>
    <w:link w:val="05-vet-s-slovnm"/>
    <w:uiPriority w:val="99"/>
    <w:locked/>
    <w:rsid w:val="003149AE"/>
    <w:rPr>
      <w:sz w:val="24"/>
      <w:szCs w:val="24"/>
    </w:rPr>
  </w:style>
  <w:style w:type="paragraph" w:customStyle="1" w:styleId="04-Podnadipsek">
    <w:name w:val="04-Podnadipsek"/>
    <w:basedOn w:val="Normln"/>
    <w:link w:val="04-PodnadipsekChar"/>
    <w:uiPriority w:val="99"/>
    <w:rsid w:val="002C3EB2"/>
    <w:pPr>
      <w:keepNext/>
      <w:spacing w:after="0"/>
      <w:jc w:val="both"/>
    </w:pPr>
    <w:rPr>
      <w:b/>
      <w:sz w:val="24"/>
      <w:szCs w:val="24"/>
    </w:rPr>
  </w:style>
  <w:style w:type="character" w:customStyle="1" w:styleId="04-PodnadipsekChar">
    <w:name w:val="04-Podnadipsek Char"/>
    <w:basedOn w:val="Standardnpsmoodstavce"/>
    <w:link w:val="04-Podnadipsek"/>
    <w:uiPriority w:val="99"/>
    <w:locked/>
    <w:rsid w:val="002C3EB2"/>
    <w:rPr>
      <w:rFonts w:cs="Times New Roman"/>
      <w:b/>
      <w:sz w:val="24"/>
      <w:szCs w:val="24"/>
    </w:rPr>
  </w:style>
  <w:style w:type="character" w:styleId="Sledovanodkaz">
    <w:name w:val="FollowedHyperlink"/>
    <w:basedOn w:val="Standardnpsmoodstavce"/>
    <w:uiPriority w:val="99"/>
    <w:semiHidden/>
    <w:unhideWhenUsed/>
    <w:locked/>
    <w:rsid w:val="00C82061"/>
    <w:rPr>
      <w:color w:val="800080" w:themeColor="followedHyperlink"/>
      <w:u w:val="single"/>
    </w:rPr>
  </w:style>
  <w:style w:type="paragraph" w:styleId="Nzev">
    <w:name w:val="Title"/>
    <w:basedOn w:val="Normln"/>
    <w:link w:val="NzevChar"/>
    <w:uiPriority w:val="99"/>
    <w:qFormat/>
    <w:locked/>
    <w:rsid w:val="00C24344"/>
    <w:pPr>
      <w:spacing w:before="240" w:after="60"/>
      <w:jc w:val="center"/>
      <w:outlineLvl w:val="0"/>
    </w:pPr>
    <w:rPr>
      <w:rFonts w:ascii="Cambria" w:hAnsi="Cambria"/>
      <w:b/>
      <w:bCs/>
      <w:kern w:val="28"/>
      <w:sz w:val="32"/>
      <w:szCs w:val="32"/>
      <w:lang w:eastAsia="en-US"/>
    </w:rPr>
  </w:style>
  <w:style w:type="character" w:customStyle="1" w:styleId="NzevChar">
    <w:name w:val="Název Char"/>
    <w:basedOn w:val="Standardnpsmoodstavce"/>
    <w:link w:val="Nzev"/>
    <w:uiPriority w:val="99"/>
    <w:rsid w:val="00C24344"/>
    <w:rPr>
      <w:rFonts w:ascii="Cambria" w:hAnsi="Cambria"/>
      <w:b/>
      <w:bCs/>
      <w:kern w:val="28"/>
      <w:sz w:val="32"/>
      <w:szCs w:val="32"/>
      <w:lang w:eastAsia="en-US"/>
    </w:rPr>
  </w:style>
  <w:style w:type="paragraph" w:styleId="Vrazncitt">
    <w:name w:val="Intense Quote"/>
    <w:basedOn w:val="Normln"/>
    <w:next w:val="Normln"/>
    <w:link w:val="VrazncittChar"/>
    <w:uiPriority w:val="99"/>
    <w:qFormat/>
    <w:rsid w:val="00C24344"/>
    <w:pPr>
      <w:pBdr>
        <w:bottom w:val="single" w:sz="4" w:space="4" w:color="4F81BD"/>
      </w:pBdr>
      <w:spacing w:before="200" w:after="280"/>
      <w:ind w:left="936" w:right="936"/>
    </w:pPr>
    <w:rPr>
      <w:b/>
      <w:bCs/>
      <w:i/>
      <w:iCs/>
      <w:color w:val="4F81BD"/>
      <w:lang w:eastAsia="en-US"/>
    </w:rPr>
  </w:style>
  <w:style w:type="character" w:customStyle="1" w:styleId="VrazncittChar">
    <w:name w:val="Výrazný citát Char"/>
    <w:basedOn w:val="Standardnpsmoodstavce"/>
    <w:link w:val="Vrazncitt"/>
    <w:uiPriority w:val="99"/>
    <w:rsid w:val="00C24344"/>
    <w:rPr>
      <w:b/>
      <w:bCs/>
      <w:i/>
      <w:iCs/>
      <w:color w:val="4F81BD"/>
      <w:lang w:eastAsia="en-US"/>
    </w:rPr>
  </w:style>
  <w:style w:type="paragraph" w:customStyle="1" w:styleId="Skripta-Nadpis11">
    <w:name w:val="Skripta - Nadpis 1.1"/>
    <w:basedOn w:val="Normln"/>
    <w:next w:val="Skritpa-Text"/>
    <w:uiPriority w:val="99"/>
    <w:rsid w:val="004E6063"/>
    <w:pPr>
      <w:ind w:left="714" w:hanging="357"/>
    </w:pPr>
    <w:rPr>
      <w:rFonts w:ascii="Arial" w:eastAsia="Calibri" w:hAnsi="Arial"/>
      <w:sz w:val="26"/>
      <w:u w:val="single"/>
      <w:lang w:eastAsia="en-US"/>
    </w:rPr>
  </w:style>
  <w:style w:type="paragraph" w:customStyle="1" w:styleId="Skritpa-Text">
    <w:name w:val="Skritpa - Text"/>
    <w:basedOn w:val="Normln"/>
    <w:uiPriority w:val="99"/>
    <w:rsid w:val="004E6063"/>
    <w:pPr>
      <w:spacing w:line="360" w:lineRule="auto"/>
      <w:ind w:firstLine="709"/>
      <w:contextualSpacing/>
      <w:jc w:val="both"/>
    </w:pPr>
    <w:rPr>
      <w:rFonts w:ascii="Arial" w:eastAsia="Calibri" w:hAnsi="Arial"/>
      <w:sz w:val="24"/>
      <w:lang w:eastAsia="en-US"/>
    </w:rPr>
  </w:style>
  <w:style w:type="table" w:customStyle="1" w:styleId="Mkatabulky5">
    <w:name w:val="Mřížka tabulky5"/>
    <w:basedOn w:val="Normlntabulka"/>
    <w:next w:val="Mkatabulky"/>
    <w:uiPriority w:val="59"/>
    <w:rsid w:val="003C633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6">
    <w:name w:val="Mřížka tabulky6"/>
    <w:basedOn w:val="Normlntabulka"/>
    <w:next w:val="Mkatabulky"/>
    <w:uiPriority w:val="59"/>
    <w:rsid w:val="006A2747"/>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7">
    <w:name w:val="Mřížka tabulky7"/>
    <w:basedOn w:val="Normlntabulka"/>
    <w:next w:val="Mkatabulky"/>
    <w:uiPriority w:val="59"/>
    <w:rsid w:val="006A2747"/>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8">
    <w:name w:val="Mřížka tabulky8"/>
    <w:basedOn w:val="Normlntabulka"/>
    <w:next w:val="Mkatabulky"/>
    <w:uiPriority w:val="59"/>
    <w:rsid w:val="006A2747"/>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stupntext">
    <w:name w:val="Placeholder Text"/>
    <w:basedOn w:val="Standardnpsmoodstavce"/>
    <w:uiPriority w:val="99"/>
    <w:semiHidden/>
    <w:rsid w:val="006A2747"/>
    <w:rPr>
      <w:color w:val="808080"/>
    </w:rPr>
  </w:style>
  <w:style w:type="character" w:customStyle="1" w:styleId="Nadpis6Char">
    <w:name w:val="Nadpis 6 Char"/>
    <w:basedOn w:val="Standardnpsmoodstavce"/>
    <w:link w:val="Nadpis6"/>
    <w:uiPriority w:val="99"/>
    <w:rsid w:val="00434952"/>
    <w:rPr>
      <w:rFonts w:ascii="Cambria" w:hAnsi="Cambria"/>
      <w:i/>
      <w:iCs/>
      <w:color w:val="243F60"/>
    </w:rPr>
  </w:style>
  <w:style w:type="character" w:customStyle="1" w:styleId="Nadpis7Char">
    <w:name w:val="Nadpis 7 Char"/>
    <w:basedOn w:val="Standardnpsmoodstavce"/>
    <w:link w:val="Nadpis7"/>
    <w:uiPriority w:val="99"/>
    <w:rsid w:val="00434952"/>
    <w:rPr>
      <w:rFonts w:ascii="Cambria" w:hAnsi="Cambria"/>
      <w:i/>
      <w:iCs/>
      <w:color w:val="404040"/>
    </w:rPr>
  </w:style>
  <w:style w:type="character" w:customStyle="1" w:styleId="Nadpis8Char">
    <w:name w:val="Nadpis 8 Char"/>
    <w:basedOn w:val="Standardnpsmoodstavce"/>
    <w:link w:val="Nadpis8"/>
    <w:uiPriority w:val="99"/>
    <w:rsid w:val="00434952"/>
    <w:rPr>
      <w:rFonts w:ascii="Cambria" w:hAnsi="Cambria"/>
      <w:color w:val="4F81BD"/>
      <w:sz w:val="20"/>
      <w:szCs w:val="20"/>
    </w:rPr>
  </w:style>
  <w:style w:type="character" w:customStyle="1" w:styleId="Nadpis9Char">
    <w:name w:val="Nadpis 9 Char"/>
    <w:basedOn w:val="Standardnpsmoodstavce"/>
    <w:link w:val="Nadpis9"/>
    <w:uiPriority w:val="99"/>
    <w:rsid w:val="00434952"/>
    <w:rPr>
      <w:rFonts w:ascii="Cambria" w:hAnsi="Cambria"/>
      <w:i/>
      <w:iCs/>
      <w:color w:val="404040"/>
      <w:sz w:val="20"/>
      <w:szCs w:val="20"/>
    </w:rPr>
  </w:style>
  <w:style w:type="paragraph" w:customStyle="1" w:styleId="Skripta-Nadpis111">
    <w:name w:val="Skripta - Nadpis 1.1.1"/>
    <w:basedOn w:val="Normln"/>
    <w:next w:val="Skritpa-Text"/>
    <w:uiPriority w:val="99"/>
    <w:rsid w:val="00434952"/>
    <w:pPr>
      <w:spacing w:line="360" w:lineRule="auto"/>
      <w:ind w:left="1071" w:hanging="357"/>
    </w:pPr>
    <w:rPr>
      <w:rFonts w:ascii="Arial" w:eastAsia="Calibri" w:hAnsi="Arial" w:cs="Arial"/>
      <w:b/>
      <w:sz w:val="24"/>
      <w:lang w:eastAsia="en-US"/>
    </w:rPr>
  </w:style>
  <w:style w:type="numbering" w:customStyle="1" w:styleId="Bezseznamu1">
    <w:name w:val="Bez seznamu1"/>
    <w:next w:val="Bezseznamu"/>
    <w:uiPriority w:val="99"/>
    <w:semiHidden/>
    <w:unhideWhenUsed/>
    <w:rsid w:val="00434952"/>
  </w:style>
  <w:style w:type="paragraph" w:customStyle="1" w:styleId="spriteclose">
    <w:name w:val="sprite_close"/>
    <w:basedOn w:val="Normln"/>
    <w:rsid w:val="00434952"/>
    <w:pPr>
      <w:spacing w:before="100" w:beforeAutospacing="1" w:after="100" w:afterAutospacing="1" w:line="240" w:lineRule="auto"/>
    </w:pPr>
    <w:rPr>
      <w:sz w:val="24"/>
      <w:szCs w:val="24"/>
      <w:lang w:val="en-GB" w:eastAsia="en-GB"/>
    </w:rPr>
  </w:style>
  <w:style w:type="paragraph" w:customStyle="1" w:styleId="spritemaximize">
    <w:name w:val="sprite_maximize"/>
    <w:basedOn w:val="Normln"/>
    <w:rsid w:val="00434952"/>
    <w:pPr>
      <w:spacing w:before="100" w:beforeAutospacing="1" w:after="100" w:afterAutospacing="1" w:line="240" w:lineRule="auto"/>
    </w:pPr>
    <w:rPr>
      <w:sz w:val="24"/>
      <w:szCs w:val="24"/>
      <w:lang w:val="en-GB" w:eastAsia="en-GB"/>
    </w:rPr>
  </w:style>
  <w:style w:type="paragraph" w:customStyle="1" w:styleId="spriterestore">
    <w:name w:val="sprite_restore"/>
    <w:basedOn w:val="Normln"/>
    <w:rsid w:val="00434952"/>
    <w:pPr>
      <w:spacing w:before="100" w:beforeAutospacing="1" w:after="100" w:afterAutospacing="1" w:line="240" w:lineRule="auto"/>
    </w:pPr>
    <w:rPr>
      <w:sz w:val="24"/>
      <w:szCs w:val="24"/>
      <w:lang w:val="en-GB" w:eastAsia="en-GB"/>
    </w:rPr>
  </w:style>
  <w:style w:type="paragraph" w:customStyle="1" w:styleId="spriteiwne">
    <w:name w:val="sprite_iw_ne"/>
    <w:basedOn w:val="Normln"/>
    <w:rsid w:val="00434952"/>
    <w:pPr>
      <w:spacing w:before="100" w:beforeAutospacing="1" w:after="100" w:afterAutospacing="1" w:line="240" w:lineRule="auto"/>
    </w:pPr>
    <w:rPr>
      <w:sz w:val="24"/>
      <w:szCs w:val="24"/>
      <w:lang w:val="en-GB" w:eastAsia="en-GB"/>
    </w:rPr>
  </w:style>
  <w:style w:type="paragraph" w:customStyle="1" w:styleId="spriteiwnw">
    <w:name w:val="sprite_iw_nw"/>
    <w:basedOn w:val="Normln"/>
    <w:rsid w:val="00434952"/>
    <w:pPr>
      <w:spacing w:before="100" w:beforeAutospacing="1" w:after="100" w:afterAutospacing="1" w:line="240" w:lineRule="auto"/>
    </w:pPr>
    <w:rPr>
      <w:sz w:val="24"/>
      <w:szCs w:val="24"/>
      <w:lang w:val="en-GB" w:eastAsia="en-GB"/>
    </w:rPr>
  </w:style>
  <w:style w:type="paragraph" w:customStyle="1" w:styleId="spriteiwse0">
    <w:name w:val="sprite_iw_se0"/>
    <w:basedOn w:val="Normln"/>
    <w:rsid w:val="00434952"/>
    <w:pPr>
      <w:spacing w:before="100" w:beforeAutospacing="1" w:after="100" w:afterAutospacing="1" w:line="240" w:lineRule="auto"/>
    </w:pPr>
    <w:rPr>
      <w:sz w:val="24"/>
      <w:szCs w:val="24"/>
      <w:lang w:val="en-GB" w:eastAsia="en-GB"/>
    </w:rPr>
  </w:style>
  <w:style w:type="paragraph" w:customStyle="1" w:styleId="spriteiwsw0">
    <w:name w:val="sprite_iw_sw0"/>
    <w:basedOn w:val="Normln"/>
    <w:rsid w:val="00434952"/>
    <w:pPr>
      <w:spacing w:before="100" w:beforeAutospacing="1" w:after="100" w:afterAutospacing="1" w:line="240" w:lineRule="auto"/>
    </w:pPr>
    <w:rPr>
      <w:sz w:val="24"/>
      <w:szCs w:val="24"/>
      <w:lang w:val="en-GB" w:eastAsia="en-GB"/>
    </w:rPr>
  </w:style>
  <w:style w:type="paragraph" w:customStyle="1" w:styleId="spriteiwtab1dl">
    <w:name w:val="sprite_iw_tab_1dl"/>
    <w:basedOn w:val="Normln"/>
    <w:rsid w:val="00434952"/>
    <w:pPr>
      <w:spacing w:before="100" w:beforeAutospacing="1" w:after="100" w:afterAutospacing="1" w:line="240" w:lineRule="auto"/>
    </w:pPr>
    <w:rPr>
      <w:sz w:val="24"/>
      <w:szCs w:val="24"/>
      <w:lang w:val="en-GB" w:eastAsia="en-GB"/>
    </w:rPr>
  </w:style>
  <w:style w:type="paragraph" w:customStyle="1" w:styleId="spriteiwtab1l">
    <w:name w:val="sprite_iw_tab_1l"/>
    <w:basedOn w:val="Normln"/>
    <w:rsid w:val="00434952"/>
    <w:pPr>
      <w:spacing w:before="100" w:beforeAutospacing="1" w:after="100" w:afterAutospacing="1" w:line="240" w:lineRule="auto"/>
    </w:pPr>
    <w:rPr>
      <w:sz w:val="24"/>
      <w:szCs w:val="24"/>
      <w:lang w:val="en-GB" w:eastAsia="en-GB"/>
    </w:rPr>
  </w:style>
  <w:style w:type="paragraph" w:customStyle="1" w:styleId="spriteiwtabdl">
    <w:name w:val="sprite_iw_tab_dl"/>
    <w:basedOn w:val="Normln"/>
    <w:rsid w:val="00434952"/>
    <w:pPr>
      <w:spacing w:before="100" w:beforeAutospacing="1" w:after="100" w:afterAutospacing="1" w:line="240" w:lineRule="auto"/>
    </w:pPr>
    <w:rPr>
      <w:sz w:val="24"/>
      <w:szCs w:val="24"/>
      <w:lang w:val="en-GB" w:eastAsia="en-GB"/>
    </w:rPr>
  </w:style>
  <w:style w:type="paragraph" w:customStyle="1" w:styleId="spriteiwtabdr">
    <w:name w:val="sprite_iw_tab_dr"/>
    <w:basedOn w:val="Normln"/>
    <w:rsid w:val="00434952"/>
    <w:pPr>
      <w:spacing w:before="100" w:beforeAutospacing="1" w:after="100" w:afterAutospacing="1" w:line="240" w:lineRule="auto"/>
    </w:pPr>
    <w:rPr>
      <w:sz w:val="24"/>
      <w:szCs w:val="24"/>
      <w:lang w:val="en-GB" w:eastAsia="en-GB"/>
    </w:rPr>
  </w:style>
  <w:style w:type="paragraph" w:customStyle="1" w:styleId="spriteiwtabl">
    <w:name w:val="sprite_iw_tab_l"/>
    <w:basedOn w:val="Normln"/>
    <w:rsid w:val="00434952"/>
    <w:pPr>
      <w:spacing w:before="100" w:beforeAutospacing="1" w:after="100" w:afterAutospacing="1" w:line="240" w:lineRule="auto"/>
    </w:pPr>
    <w:rPr>
      <w:sz w:val="24"/>
      <w:szCs w:val="24"/>
      <w:lang w:val="en-GB" w:eastAsia="en-GB"/>
    </w:rPr>
  </w:style>
  <w:style w:type="paragraph" w:customStyle="1" w:styleId="spriteiwtabr">
    <w:name w:val="sprite_iw_tab_r"/>
    <w:basedOn w:val="Normln"/>
    <w:rsid w:val="00434952"/>
    <w:pPr>
      <w:spacing w:before="100" w:beforeAutospacing="1" w:after="100" w:afterAutospacing="1" w:line="240" w:lineRule="auto"/>
    </w:pPr>
    <w:rPr>
      <w:sz w:val="24"/>
      <w:szCs w:val="24"/>
      <w:lang w:val="en-GB" w:eastAsia="en-GB"/>
    </w:rPr>
  </w:style>
  <w:style w:type="paragraph" w:customStyle="1" w:styleId="spriteiwtabback1dl">
    <w:name w:val="sprite_iw_tabback_1dl"/>
    <w:basedOn w:val="Normln"/>
    <w:rsid w:val="00434952"/>
    <w:pPr>
      <w:spacing w:before="100" w:beforeAutospacing="1" w:after="100" w:afterAutospacing="1" w:line="240" w:lineRule="auto"/>
    </w:pPr>
    <w:rPr>
      <w:sz w:val="24"/>
      <w:szCs w:val="24"/>
      <w:lang w:val="en-GB" w:eastAsia="en-GB"/>
    </w:rPr>
  </w:style>
  <w:style w:type="paragraph" w:customStyle="1" w:styleId="spriteiwtabback1l">
    <w:name w:val="sprite_iw_tabback_1l"/>
    <w:basedOn w:val="Normln"/>
    <w:rsid w:val="00434952"/>
    <w:pPr>
      <w:spacing w:before="100" w:beforeAutospacing="1" w:after="100" w:afterAutospacing="1" w:line="240" w:lineRule="auto"/>
    </w:pPr>
    <w:rPr>
      <w:sz w:val="24"/>
      <w:szCs w:val="24"/>
      <w:lang w:val="en-GB" w:eastAsia="en-GB"/>
    </w:rPr>
  </w:style>
  <w:style w:type="paragraph" w:customStyle="1" w:styleId="spriteiwtabbackdl">
    <w:name w:val="sprite_iw_tabback_dl"/>
    <w:basedOn w:val="Normln"/>
    <w:rsid w:val="00434952"/>
    <w:pPr>
      <w:spacing w:before="100" w:beforeAutospacing="1" w:after="100" w:afterAutospacing="1" w:line="240" w:lineRule="auto"/>
    </w:pPr>
    <w:rPr>
      <w:sz w:val="24"/>
      <w:szCs w:val="24"/>
      <w:lang w:val="en-GB" w:eastAsia="en-GB"/>
    </w:rPr>
  </w:style>
  <w:style w:type="paragraph" w:customStyle="1" w:styleId="spriteiwtabbackdr">
    <w:name w:val="sprite_iw_tabback_dr"/>
    <w:basedOn w:val="Normln"/>
    <w:rsid w:val="00434952"/>
    <w:pPr>
      <w:spacing w:before="100" w:beforeAutospacing="1" w:after="100" w:afterAutospacing="1" w:line="240" w:lineRule="auto"/>
    </w:pPr>
    <w:rPr>
      <w:sz w:val="24"/>
      <w:szCs w:val="24"/>
      <w:lang w:val="en-GB" w:eastAsia="en-GB"/>
    </w:rPr>
  </w:style>
  <w:style w:type="paragraph" w:customStyle="1" w:styleId="spriteiwtabbackl">
    <w:name w:val="sprite_iw_tabback_l"/>
    <w:basedOn w:val="Normln"/>
    <w:rsid w:val="00434952"/>
    <w:pPr>
      <w:spacing w:before="100" w:beforeAutospacing="1" w:after="100" w:afterAutospacing="1" w:line="240" w:lineRule="auto"/>
    </w:pPr>
    <w:rPr>
      <w:sz w:val="24"/>
      <w:szCs w:val="24"/>
      <w:lang w:val="en-GB" w:eastAsia="en-GB"/>
    </w:rPr>
  </w:style>
  <w:style w:type="paragraph" w:customStyle="1" w:styleId="spriteiwtabbackr">
    <w:name w:val="sprite_iw_tabback_r"/>
    <w:basedOn w:val="Normln"/>
    <w:rsid w:val="00434952"/>
    <w:pPr>
      <w:spacing w:before="100" w:beforeAutospacing="1" w:after="100" w:afterAutospacing="1" w:line="240" w:lineRule="auto"/>
    </w:pPr>
    <w:rPr>
      <w:sz w:val="24"/>
      <w:szCs w:val="24"/>
      <w:lang w:val="en-GB" w:eastAsia="en-GB"/>
    </w:rPr>
  </w:style>
  <w:style w:type="paragraph" w:customStyle="1" w:styleId="spriteiwxtap">
    <w:name w:val="sprite_iw_xtap"/>
    <w:basedOn w:val="Normln"/>
    <w:rsid w:val="00434952"/>
    <w:pPr>
      <w:spacing w:before="100" w:beforeAutospacing="1" w:after="100" w:afterAutospacing="1" w:line="240" w:lineRule="auto"/>
    </w:pPr>
    <w:rPr>
      <w:sz w:val="24"/>
      <w:szCs w:val="24"/>
      <w:lang w:val="en-GB" w:eastAsia="en-GB"/>
    </w:rPr>
  </w:style>
  <w:style w:type="paragraph" w:customStyle="1" w:styleId="spriteiwxtapl">
    <w:name w:val="sprite_iw_xtap_l"/>
    <w:basedOn w:val="Normln"/>
    <w:rsid w:val="00434952"/>
    <w:pPr>
      <w:spacing w:before="100" w:beforeAutospacing="1" w:after="100" w:afterAutospacing="1" w:line="240" w:lineRule="auto"/>
    </w:pPr>
    <w:rPr>
      <w:sz w:val="24"/>
      <w:szCs w:val="24"/>
      <w:lang w:val="en-GB" w:eastAsia="en-GB"/>
    </w:rPr>
  </w:style>
  <w:style w:type="paragraph" w:customStyle="1" w:styleId="spriteiwxtapld">
    <w:name w:val="sprite_iw_xtap_ld"/>
    <w:basedOn w:val="Normln"/>
    <w:rsid w:val="00434952"/>
    <w:pPr>
      <w:spacing w:before="100" w:beforeAutospacing="1" w:after="100" w:afterAutospacing="1" w:line="240" w:lineRule="auto"/>
    </w:pPr>
    <w:rPr>
      <w:sz w:val="24"/>
      <w:szCs w:val="24"/>
      <w:lang w:val="en-GB" w:eastAsia="en-GB"/>
    </w:rPr>
  </w:style>
  <w:style w:type="paragraph" w:customStyle="1" w:styleId="spriteiwxtaprd">
    <w:name w:val="sprite_iw_xtap_rd"/>
    <w:basedOn w:val="Normln"/>
    <w:rsid w:val="00434952"/>
    <w:pPr>
      <w:spacing w:before="100" w:beforeAutospacing="1" w:after="100" w:afterAutospacing="1" w:line="240" w:lineRule="auto"/>
    </w:pPr>
    <w:rPr>
      <w:sz w:val="24"/>
      <w:szCs w:val="24"/>
      <w:lang w:val="en-GB" w:eastAsia="en-GB"/>
    </w:rPr>
  </w:style>
  <w:style w:type="paragraph" w:customStyle="1" w:styleId="spriteiwxtapu">
    <w:name w:val="sprite_iw_xtap_u"/>
    <w:basedOn w:val="Normln"/>
    <w:rsid w:val="00434952"/>
    <w:pPr>
      <w:spacing w:before="100" w:beforeAutospacing="1" w:after="100" w:afterAutospacing="1" w:line="240" w:lineRule="auto"/>
    </w:pPr>
    <w:rPr>
      <w:sz w:val="24"/>
      <w:szCs w:val="24"/>
      <w:lang w:val="en-GB" w:eastAsia="en-GB"/>
    </w:rPr>
  </w:style>
  <w:style w:type="paragraph" w:customStyle="1" w:styleId="spriteiwxtapul">
    <w:name w:val="sprite_iw_xtap_ul"/>
    <w:basedOn w:val="Normln"/>
    <w:rsid w:val="00434952"/>
    <w:pPr>
      <w:spacing w:before="100" w:beforeAutospacing="1" w:after="100" w:afterAutospacing="1" w:line="240" w:lineRule="auto"/>
    </w:pPr>
    <w:rPr>
      <w:sz w:val="24"/>
      <w:szCs w:val="24"/>
      <w:lang w:val="en-GB" w:eastAsia="en-GB"/>
    </w:rPr>
  </w:style>
  <w:style w:type="paragraph" w:customStyle="1" w:styleId="spriteiwsne">
    <w:name w:val="sprite_iws_ne"/>
    <w:basedOn w:val="Normln"/>
    <w:rsid w:val="00434952"/>
    <w:pPr>
      <w:spacing w:before="100" w:beforeAutospacing="1" w:after="100" w:afterAutospacing="1" w:line="240" w:lineRule="auto"/>
    </w:pPr>
    <w:rPr>
      <w:sz w:val="24"/>
      <w:szCs w:val="24"/>
      <w:lang w:val="en-GB" w:eastAsia="en-GB"/>
    </w:rPr>
  </w:style>
  <w:style w:type="paragraph" w:customStyle="1" w:styleId="spriteiwsnw">
    <w:name w:val="sprite_iws_nw"/>
    <w:basedOn w:val="Normln"/>
    <w:rsid w:val="00434952"/>
    <w:pPr>
      <w:spacing w:before="100" w:beforeAutospacing="1" w:after="100" w:afterAutospacing="1" w:line="240" w:lineRule="auto"/>
    </w:pPr>
    <w:rPr>
      <w:sz w:val="24"/>
      <w:szCs w:val="24"/>
      <w:lang w:val="en-GB" w:eastAsia="en-GB"/>
    </w:rPr>
  </w:style>
  <w:style w:type="paragraph" w:customStyle="1" w:styleId="spriteiwsse">
    <w:name w:val="sprite_iws_se"/>
    <w:basedOn w:val="Normln"/>
    <w:rsid w:val="00434952"/>
    <w:pPr>
      <w:spacing w:before="100" w:beforeAutospacing="1" w:after="100" w:afterAutospacing="1" w:line="240" w:lineRule="auto"/>
    </w:pPr>
    <w:rPr>
      <w:sz w:val="24"/>
      <w:szCs w:val="24"/>
      <w:lang w:val="en-GB" w:eastAsia="en-GB"/>
    </w:rPr>
  </w:style>
  <w:style w:type="paragraph" w:customStyle="1" w:styleId="spriteiwssw">
    <w:name w:val="sprite_iws_sw"/>
    <w:basedOn w:val="Normln"/>
    <w:rsid w:val="00434952"/>
    <w:pPr>
      <w:spacing w:before="100" w:beforeAutospacing="1" w:after="100" w:afterAutospacing="1" w:line="240" w:lineRule="auto"/>
    </w:pPr>
    <w:rPr>
      <w:sz w:val="24"/>
      <w:szCs w:val="24"/>
      <w:lang w:val="en-GB" w:eastAsia="en-GB"/>
    </w:rPr>
  </w:style>
  <w:style w:type="paragraph" w:customStyle="1" w:styleId="spriteiwstab1dl">
    <w:name w:val="sprite_iws_tab_1dl"/>
    <w:basedOn w:val="Normln"/>
    <w:rsid w:val="00434952"/>
    <w:pPr>
      <w:spacing w:before="100" w:beforeAutospacing="1" w:after="100" w:afterAutospacing="1" w:line="240" w:lineRule="auto"/>
    </w:pPr>
    <w:rPr>
      <w:sz w:val="24"/>
      <w:szCs w:val="24"/>
      <w:lang w:val="en-GB" w:eastAsia="en-GB"/>
    </w:rPr>
  </w:style>
  <w:style w:type="paragraph" w:customStyle="1" w:styleId="spriteiwstab1l">
    <w:name w:val="sprite_iws_tab_1l"/>
    <w:basedOn w:val="Normln"/>
    <w:rsid w:val="00434952"/>
    <w:pPr>
      <w:spacing w:before="100" w:beforeAutospacing="1" w:after="100" w:afterAutospacing="1" w:line="240" w:lineRule="auto"/>
    </w:pPr>
    <w:rPr>
      <w:sz w:val="24"/>
      <w:szCs w:val="24"/>
      <w:lang w:val="en-GB" w:eastAsia="en-GB"/>
    </w:rPr>
  </w:style>
  <w:style w:type="paragraph" w:customStyle="1" w:styleId="spriteiwstabdl">
    <w:name w:val="sprite_iws_tab_dl"/>
    <w:basedOn w:val="Normln"/>
    <w:rsid w:val="00434952"/>
    <w:pPr>
      <w:spacing w:before="100" w:beforeAutospacing="1" w:after="100" w:afterAutospacing="1" w:line="240" w:lineRule="auto"/>
    </w:pPr>
    <w:rPr>
      <w:sz w:val="24"/>
      <w:szCs w:val="24"/>
      <w:lang w:val="en-GB" w:eastAsia="en-GB"/>
    </w:rPr>
  </w:style>
  <w:style w:type="paragraph" w:customStyle="1" w:styleId="spriteiwstabdo">
    <w:name w:val="sprite_iws_tab_do"/>
    <w:basedOn w:val="Normln"/>
    <w:rsid w:val="00434952"/>
    <w:pPr>
      <w:spacing w:before="100" w:beforeAutospacing="1" w:after="100" w:afterAutospacing="1" w:line="240" w:lineRule="auto"/>
    </w:pPr>
    <w:rPr>
      <w:sz w:val="24"/>
      <w:szCs w:val="24"/>
      <w:lang w:val="en-GB" w:eastAsia="en-GB"/>
    </w:rPr>
  </w:style>
  <w:style w:type="paragraph" w:customStyle="1" w:styleId="spriteiwstabdr">
    <w:name w:val="sprite_iws_tab_dr"/>
    <w:basedOn w:val="Normln"/>
    <w:rsid w:val="00434952"/>
    <w:pPr>
      <w:spacing w:before="100" w:beforeAutospacing="1" w:after="100" w:afterAutospacing="1" w:line="240" w:lineRule="auto"/>
    </w:pPr>
    <w:rPr>
      <w:sz w:val="24"/>
      <w:szCs w:val="24"/>
      <w:lang w:val="en-GB" w:eastAsia="en-GB"/>
    </w:rPr>
  </w:style>
  <w:style w:type="paragraph" w:customStyle="1" w:styleId="spriteiwstabl">
    <w:name w:val="sprite_iws_tab_l"/>
    <w:basedOn w:val="Normln"/>
    <w:rsid w:val="00434952"/>
    <w:pPr>
      <w:spacing w:before="100" w:beforeAutospacing="1" w:after="100" w:afterAutospacing="1" w:line="240" w:lineRule="auto"/>
    </w:pPr>
    <w:rPr>
      <w:sz w:val="24"/>
      <w:szCs w:val="24"/>
      <w:lang w:val="en-GB" w:eastAsia="en-GB"/>
    </w:rPr>
  </w:style>
  <w:style w:type="paragraph" w:customStyle="1" w:styleId="spriteiwstabo">
    <w:name w:val="sprite_iws_tab_o"/>
    <w:basedOn w:val="Normln"/>
    <w:rsid w:val="00434952"/>
    <w:pPr>
      <w:spacing w:before="100" w:beforeAutospacing="1" w:after="100" w:afterAutospacing="1" w:line="240" w:lineRule="auto"/>
    </w:pPr>
    <w:rPr>
      <w:sz w:val="24"/>
      <w:szCs w:val="24"/>
      <w:lang w:val="en-GB" w:eastAsia="en-GB"/>
    </w:rPr>
  </w:style>
  <w:style w:type="paragraph" w:customStyle="1" w:styleId="spriteiwstabr">
    <w:name w:val="sprite_iws_tab_r"/>
    <w:basedOn w:val="Normln"/>
    <w:rsid w:val="00434952"/>
    <w:pPr>
      <w:spacing w:before="100" w:beforeAutospacing="1" w:after="100" w:afterAutospacing="1" w:line="240" w:lineRule="auto"/>
    </w:pPr>
    <w:rPr>
      <w:sz w:val="24"/>
      <w:szCs w:val="24"/>
      <w:lang w:val="en-GB" w:eastAsia="en-GB"/>
    </w:rPr>
  </w:style>
  <w:style w:type="paragraph" w:customStyle="1" w:styleId="spriteiwstap">
    <w:name w:val="sprite_iws_tap"/>
    <w:basedOn w:val="Normln"/>
    <w:rsid w:val="00434952"/>
    <w:pPr>
      <w:spacing w:before="100" w:beforeAutospacing="1" w:after="100" w:afterAutospacing="1" w:line="240" w:lineRule="auto"/>
    </w:pPr>
    <w:rPr>
      <w:sz w:val="24"/>
      <w:szCs w:val="24"/>
      <w:lang w:val="en-GB" w:eastAsia="en-GB"/>
    </w:rPr>
  </w:style>
  <w:style w:type="paragraph" w:customStyle="1" w:styleId="spriteiwstapl">
    <w:name w:val="sprite_iws_tap_l"/>
    <w:basedOn w:val="Normln"/>
    <w:rsid w:val="00434952"/>
    <w:pPr>
      <w:spacing w:before="100" w:beforeAutospacing="1" w:after="100" w:afterAutospacing="1" w:line="240" w:lineRule="auto"/>
    </w:pPr>
    <w:rPr>
      <w:sz w:val="24"/>
      <w:szCs w:val="24"/>
      <w:lang w:val="en-GB" w:eastAsia="en-GB"/>
    </w:rPr>
  </w:style>
  <w:style w:type="paragraph" w:customStyle="1" w:styleId="spriteiwstapld">
    <w:name w:val="sprite_iws_tap_ld"/>
    <w:basedOn w:val="Normln"/>
    <w:rsid w:val="00434952"/>
    <w:pPr>
      <w:spacing w:before="100" w:beforeAutospacing="1" w:after="100" w:afterAutospacing="1" w:line="240" w:lineRule="auto"/>
    </w:pPr>
    <w:rPr>
      <w:sz w:val="24"/>
      <w:szCs w:val="24"/>
      <w:lang w:val="en-GB" w:eastAsia="en-GB"/>
    </w:rPr>
  </w:style>
  <w:style w:type="paragraph" w:customStyle="1" w:styleId="spriteiwstaprd">
    <w:name w:val="sprite_iws_tap_rd"/>
    <w:basedOn w:val="Normln"/>
    <w:rsid w:val="00434952"/>
    <w:pPr>
      <w:spacing w:before="100" w:beforeAutospacing="1" w:after="100" w:afterAutospacing="1" w:line="240" w:lineRule="auto"/>
    </w:pPr>
    <w:rPr>
      <w:sz w:val="24"/>
      <w:szCs w:val="24"/>
      <w:lang w:val="en-GB" w:eastAsia="en-GB"/>
    </w:rPr>
  </w:style>
  <w:style w:type="paragraph" w:customStyle="1" w:styleId="spriteiwstapu">
    <w:name w:val="sprite_iws_tap_u"/>
    <w:basedOn w:val="Normln"/>
    <w:rsid w:val="00434952"/>
    <w:pPr>
      <w:spacing w:before="100" w:beforeAutospacing="1" w:after="100" w:afterAutospacing="1" w:line="240" w:lineRule="auto"/>
    </w:pPr>
    <w:rPr>
      <w:sz w:val="24"/>
      <w:szCs w:val="24"/>
      <w:lang w:val="en-GB" w:eastAsia="en-GB"/>
    </w:rPr>
  </w:style>
  <w:style w:type="paragraph" w:customStyle="1" w:styleId="spriteiwstapul">
    <w:name w:val="sprite_iws_tap_ul"/>
    <w:basedOn w:val="Normln"/>
    <w:rsid w:val="00434952"/>
    <w:pPr>
      <w:spacing w:before="100" w:beforeAutospacing="1" w:after="100" w:afterAutospacing="1" w:line="240" w:lineRule="auto"/>
    </w:pPr>
    <w:rPr>
      <w:sz w:val="24"/>
      <w:szCs w:val="24"/>
      <w:lang w:val="en-GB" w:eastAsia="en-GB"/>
    </w:rPr>
  </w:style>
  <w:style w:type="paragraph" w:customStyle="1" w:styleId="google-src-text">
    <w:name w:val="google-src-text"/>
    <w:basedOn w:val="Normln"/>
    <w:rsid w:val="00434952"/>
    <w:pPr>
      <w:spacing w:before="100" w:beforeAutospacing="1" w:after="100" w:afterAutospacing="1" w:line="240" w:lineRule="auto"/>
    </w:pPr>
    <w:rPr>
      <w:vanish/>
      <w:sz w:val="24"/>
      <w:szCs w:val="24"/>
      <w:lang w:val="en-GB" w:eastAsia="en-GB"/>
    </w:rPr>
  </w:style>
  <w:style w:type="paragraph" w:customStyle="1" w:styleId="google-src-active-text">
    <w:name w:val="google-src-active-text"/>
    <w:basedOn w:val="Normln"/>
    <w:rsid w:val="00434952"/>
    <w:pPr>
      <w:spacing w:before="100" w:beforeAutospacing="1" w:after="100" w:afterAutospacing="1" w:line="240" w:lineRule="auto"/>
    </w:pPr>
    <w:rPr>
      <w:rFonts w:ascii="Arial" w:hAnsi="Arial" w:cs="Arial"/>
      <w:color w:val="000000"/>
      <w:sz w:val="18"/>
      <w:szCs w:val="18"/>
      <w:lang w:val="en-GB" w:eastAsia="en-GB"/>
    </w:rPr>
  </w:style>
  <w:style w:type="character" w:customStyle="1" w:styleId="notranslate">
    <w:name w:val="notranslate"/>
    <w:basedOn w:val="Standardnpsmoodstavce"/>
    <w:rsid w:val="00434952"/>
  </w:style>
  <w:style w:type="character" w:customStyle="1" w:styleId="google-src-text1">
    <w:name w:val="google-src-text1"/>
    <w:basedOn w:val="Standardnpsmoodstavce"/>
    <w:rsid w:val="00434952"/>
    <w:rPr>
      <w:vanish/>
      <w:webHidden w:val="0"/>
      <w:specVanish w:val="0"/>
    </w:rPr>
  </w:style>
  <w:style w:type="table" w:customStyle="1" w:styleId="Mkatabulky9">
    <w:name w:val="Mřížka tabulky9"/>
    <w:basedOn w:val="Normlntabulka"/>
    <w:next w:val="Mkatabulky"/>
    <w:uiPriority w:val="59"/>
    <w:rsid w:val="00434952"/>
    <w:rPr>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seznamu2">
    <w:name w:val="Bez seznamu2"/>
    <w:next w:val="Bezseznamu"/>
    <w:uiPriority w:val="99"/>
    <w:semiHidden/>
    <w:unhideWhenUsed/>
    <w:rsid w:val="00434952"/>
  </w:style>
  <w:style w:type="table" w:customStyle="1" w:styleId="Mkatabulky11">
    <w:name w:val="Mřížka tabulky11"/>
    <w:basedOn w:val="Normlntabulka"/>
    <w:next w:val="Mkatabulky"/>
    <w:uiPriority w:val="99"/>
    <w:rsid w:val="00434952"/>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Standardnpsmoodstavce"/>
    <w:uiPriority w:val="99"/>
    <w:semiHidden/>
    <w:locked/>
    <w:rsid w:val="00434952"/>
    <w:rPr>
      <w:rFonts w:cs="Times New Roman"/>
      <w:sz w:val="20"/>
      <w:szCs w:val="20"/>
    </w:rPr>
  </w:style>
  <w:style w:type="paragraph" w:styleId="Seznam">
    <w:name w:val="List"/>
    <w:basedOn w:val="Normln"/>
    <w:uiPriority w:val="99"/>
    <w:locked/>
    <w:rsid w:val="00434952"/>
    <w:pPr>
      <w:spacing w:after="120" w:line="240" w:lineRule="auto"/>
      <w:ind w:left="283" w:hanging="283"/>
    </w:pPr>
    <w:rPr>
      <w:rFonts w:ascii="Calibri" w:hAnsi="Calibri"/>
    </w:rPr>
  </w:style>
  <w:style w:type="paragraph" w:styleId="Seznam2">
    <w:name w:val="List 2"/>
    <w:basedOn w:val="Normln"/>
    <w:uiPriority w:val="99"/>
    <w:locked/>
    <w:rsid w:val="00434952"/>
    <w:pPr>
      <w:spacing w:after="120" w:line="240" w:lineRule="auto"/>
      <w:ind w:left="566" w:hanging="283"/>
    </w:pPr>
    <w:rPr>
      <w:rFonts w:ascii="Calibri" w:hAnsi="Calibri"/>
    </w:rPr>
  </w:style>
  <w:style w:type="paragraph" w:styleId="Seznamsodrkami2">
    <w:name w:val="List Bullet 2"/>
    <w:basedOn w:val="Normln"/>
    <w:uiPriority w:val="99"/>
    <w:locked/>
    <w:rsid w:val="00434952"/>
    <w:pPr>
      <w:numPr>
        <w:numId w:val="22"/>
      </w:numPr>
      <w:spacing w:after="120" w:line="240" w:lineRule="auto"/>
    </w:pPr>
    <w:rPr>
      <w:rFonts w:ascii="Calibri" w:hAnsi="Calibri"/>
    </w:rPr>
  </w:style>
  <w:style w:type="paragraph" w:styleId="Zkladntext">
    <w:name w:val="Body Text"/>
    <w:basedOn w:val="Normln"/>
    <w:link w:val="ZkladntextChar"/>
    <w:uiPriority w:val="99"/>
    <w:locked/>
    <w:rsid w:val="00434952"/>
    <w:pPr>
      <w:spacing w:after="120" w:line="240" w:lineRule="auto"/>
    </w:pPr>
    <w:rPr>
      <w:rFonts w:ascii="Calibri" w:hAnsi="Calibri"/>
    </w:rPr>
  </w:style>
  <w:style w:type="character" w:customStyle="1" w:styleId="ZkladntextChar">
    <w:name w:val="Základní text Char"/>
    <w:basedOn w:val="Standardnpsmoodstavce"/>
    <w:link w:val="Zkladntext"/>
    <w:uiPriority w:val="99"/>
    <w:rsid w:val="00434952"/>
    <w:rPr>
      <w:rFonts w:ascii="Calibri" w:hAnsi="Calibri"/>
    </w:rPr>
  </w:style>
  <w:style w:type="paragraph" w:styleId="Zkladntext-prvnodsazen">
    <w:name w:val="Body Text First Indent"/>
    <w:basedOn w:val="Zkladntext"/>
    <w:link w:val="Zkladntext-prvnodsazenChar"/>
    <w:uiPriority w:val="99"/>
    <w:locked/>
    <w:rsid w:val="00434952"/>
    <w:pPr>
      <w:ind w:firstLine="210"/>
    </w:pPr>
  </w:style>
  <w:style w:type="character" w:customStyle="1" w:styleId="Zkladntext-prvnodsazenChar">
    <w:name w:val="Základní text - první odsazený Char"/>
    <w:basedOn w:val="ZkladntextChar"/>
    <w:link w:val="Zkladntext-prvnodsazen"/>
    <w:uiPriority w:val="99"/>
    <w:rsid w:val="00434952"/>
    <w:rPr>
      <w:rFonts w:ascii="Calibri" w:hAnsi="Calibri"/>
    </w:rPr>
  </w:style>
  <w:style w:type="paragraph" w:styleId="Zkladntext-prvnodsazen2">
    <w:name w:val="Body Text First Indent 2"/>
    <w:basedOn w:val="Zkladntextodsazen"/>
    <w:link w:val="Zkladntext-prvnodsazen2Char"/>
    <w:uiPriority w:val="99"/>
    <w:locked/>
    <w:rsid w:val="00434952"/>
    <w:pPr>
      <w:spacing w:after="120"/>
      <w:ind w:left="283" w:firstLine="210"/>
      <w:jc w:val="left"/>
    </w:pPr>
    <w:rPr>
      <w:rFonts w:ascii="Calibri" w:hAnsi="Calibri"/>
      <w:sz w:val="22"/>
      <w:szCs w:val="22"/>
    </w:rPr>
  </w:style>
  <w:style w:type="character" w:customStyle="1" w:styleId="Zkladntext-prvnodsazen2Char">
    <w:name w:val="Základní text - první odsazený 2 Char"/>
    <w:basedOn w:val="ZkladntextodsazenChar"/>
    <w:link w:val="Zkladntext-prvnodsazen2"/>
    <w:uiPriority w:val="99"/>
    <w:rsid w:val="00434952"/>
    <w:rPr>
      <w:rFonts w:ascii="Calibri" w:hAnsi="Calibri" w:cs="Times New Roman"/>
    </w:rPr>
  </w:style>
  <w:style w:type="paragraph" w:customStyle="1" w:styleId="Styl2">
    <w:name w:val="Styl2"/>
    <w:uiPriority w:val="99"/>
    <w:rsid w:val="00434952"/>
    <w:pPr>
      <w:spacing w:after="200" w:line="276" w:lineRule="auto"/>
    </w:pPr>
    <w:rPr>
      <w:rFonts w:ascii="Calibri" w:hAnsi="Calibri"/>
      <w:lang w:val="en-GB" w:eastAsia="en-US"/>
    </w:rPr>
  </w:style>
  <w:style w:type="paragraph" w:styleId="Podtitul">
    <w:name w:val="Subtitle"/>
    <w:basedOn w:val="Normln"/>
    <w:next w:val="Normln"/>
    <w:link w:val="PodtitulChar"/>
    <w:uiPriority w:val="99"/>
    <w:qFormat/>
    <w:locked/>
    <w:rsid w:val="00434952"/>
    <w:pPr>
      <w:numPr>
        <w:ilvl w:val="1"/>
      </w:numPr>
      <w:spacing w:after="120" w:line="240" w:lineRule="auto"/>
    </w:pPr>
    <w:rPr>
      <w:rFonts w:ascii="Cambria" w:hAnsi="Cambria"/>
      <w:i/>
      <w:iCs/>
      <w:color w:val="4F81BD"/>
      <w:spacing w:val="15"/>
      <w:sz w:val="24"/>
      <w:szCs w:val="24"/>
    </w:rPr>
  </w:style>
  <w:style w:type="character" w:customStyle="1" w:styleId="PodtitulChar">
    <w:name w:val="Podtitul Char"/>
    <w:basedOn w:val="Standardnpsmoodstavce"/>
    <w:link w:val="Podtitul"/>
    <w:uiPriority w:val="99"/>
    <w:rsid w:val="00434952"/>
    <w:rPr>
      <w:rFonts w:ascii="Cambria" w:hAnsi="Cambria"/>
      <w:i/>
      <w:iCs/>
      <w:color w:val="4F81BD"/>
      <w:spacing w:val="15"/>
      <w:sz w:val="24"/>
      <w:szCs w:val="24"/>
    </w:rPr>
  </w:style>
  <w:style w:type="character" w:styleId="Siln">
    <w:name w:val="Strong"/>
    <w:basedOn w:val="Standardnpsmoodstavce"/>
    <w:uiPriority w:val="99"/>
    <w:qFormat/>
    <w:locked/>
    <w:rsid w:val="00434952"/>
    <w:rPr>
      <w:rFonts w:cs="Times New Roman"/>
      <w:b/>
      <w:bCs/>
    </w:rPr>
  </w:style>
  <w:style w:type="paragraph" w:styleId="Citt">
    <w:name w:val="Quote"/>
    <w:basedOn w:val="Normln"/>
    <w:next w:val="Normln"/>
    <w:link w:val="CittChar"/>
    <w:uiPriority w:val="99"/>
    <w:qFormat/>
    <w:rsid w:val="00434952"/>
    <w:pPr>
      <w:spacing w:after="120" w:line="240" w:lineRule="auto"/>
    </w:pPr>
    <w:rPr>
      <w:rFonts w:ascii="Calibri" w:hAnsi="Calibri"/>
      <w:i/>
      <w:iCs/>
      <w:color w:val="000000"/>
    </w:rPr>
  </w:style>
  <w:style w:type="character" w:customStyle="1" w:styleId="CittChar">
    <w:name w:val="Citát Char"/>
    <w:basedOn w:val="Standardnpsmoodstavce"/>
    <w:link w:val="Citt"/>
    <w:uiPriority w:val="99"/>
    <w:rsid w:val="00434952"/>
    <w:rPr>
      <w:rFonts w:ascii="Calibri" w:hAnsi="Calibri"/>
      <w:i/>
      <w:iCs/>
      <w:color w:val="000000"/>
    </w:rPr>
  </w:style>
  <w:style w:type="character" w:styleId="Zdraznnjemn">
    <w:name w:val="Subtle Emphasis"/>
    <w:basedOn w:val="Standardnpsmoodstavce"/>
    <w:uiPriority w:val="99"/>
    <w:qFormat/>
    <w:rsid w:val="00434952"/>
    <w:rPr>
      <w:rFonts w:cs="Times New Roman"/>
      <w:i/>
      <w:iCs/>
      <w:color w:val="808080"/>
    </w:rPr>
  </w:style>
  <w:style w:type="character" w:styleId="Zdraznnintenzivn">
    <w:name w:val="Intense Emphasis"/>
    <w:basedOn w:val="Standardnpsmoodstavce"/>
    <w:uiPriority w:val="99"/>
    <w:qFormat/>
    <w:rsid w:val="00434952"/>
    <w:rPr>
      <w:rFonts w:cs="Times New Roman"/>
      <w:b/>
      <w:bCs/>
      <w:i/>
      <w:iCs/>
      <w:color w:val="4F81BD"/>
    </w:rPr>
  </w:style>
  <w:style w:type="character" w:styleId="Odkazjemn">
    <w:name w:val="Subtle Reference"/>
    <w:basedOn w:val="Standardnpsmoodstavce"/>
    <w:uiPriority w:val="99"/>
    <w:qFormat/>
    <w:rsid w:val="00434952"/>
    <w:rPr>
      <w:rFonts w:cs="Times New Roman"/>
      <w:smallCaps/>
      <w:color w:val="C0504D"/>
      <w:u w:val="single"/>
    </w:rPr>
  </w:style>
  <w:style w:type="character" w:styleId="Odkazintenzivn">
    <w:name w:val="Intense Reference"/>
    <w:basedOn w:val="Standardnpsmoodstavce"/>
    <w:uiPriority w:val="99"/>
    <w:qFormat/>
    <w:rsid w:val="00434952"/>
    <w:rPr>
      <w:rFonts w:cs="Times New Roman"/>
      <w:b/>
      <w:bCs/>
      <w:smallCaps/>
      <w:color w:val="C0504D"/>
      <w:spacing w:val="5"/>
      <w:u w:val="single"/>
    </w:rPr>
  </w:style>
  <w:style w:type="character" w:styleId="Nzevknihy">
    <w:name w:val="Book Title"/>
    <w:basedOn w:val="Standardnpsmoodstavce"/>
    <w:uiPriority w:val="99"/>
    <w:qFormat/>
    <w:rsid w:val="00434952"/>
    <w:rPr>
      <w:rFonts w:cs="Times New Roman"/>
      <w:b/>
      <w:bCs/>
      <w:smallCaps/>
      <w:spacing w:val="5"/>
    </w:rPr>
  </w:style>
  <w:style w:type="paragraph" w:customStyle="1" w:styleId="Ploha-1">
    <w:name w:val="Příloha - 1"/>
    <w:basedOn w:val="Normln"/>
    <w:link w:val="Ploha-1Char"/>
    <w:uiPriority w:val="99"/>
    <w:rsid w:val="00434952"/>
    <w:pPr>
      <w:spacing w:after="120" w:line="240" w:lineRule="auto"/>
      <w:jc w:val="both"/>
    </w:pPr>
    <w:rPr>
      <w:rFonts w:ascii="Calibri" w:hAnsi="Calibri"/>
      <w:b/>
    </w:rPr>
  </w:style>
  <w:style w:type="character" w:customStyle="1" w:styleId="Ploha-1Char">
    <w:name w:val="Příloha - 1 Char"/>
    <w:basedOn w:val="Standardnpsmoodstavce"/>
    <w:link w:val="Ploha-1"/>
    <w:uiPriority w:val="99"/>
    <w:locked/>
    <w:rsid w:val="00434952"/>
    <w:rPr>
      <w:rFonts w:ascii="Calibri" w:hAnsi="Calibri"/>
      <w:b/>
    </w:rPr>
  </w:style>
  <w:style w:type="table" w:customStyle="1" w:styleId="Mkatabulky111">
    <w:name w:val="Mřížka tabulky111"/>
    <w:uiPriority w:val="99"/>
    <w:rsid w:val="00434952"/>
    <w:pPr>
      <w:spacing w:after="12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ublik-def3">
    <w:name w:val="publik-def3"/>
    <w:uiPriority w:val="99"/>
    <w:rsid w:val="00434952"/>
    <w:rPr>
      <w:sz w:val="22"/>
    </w:rPr>
  </w:style>
  <w:style w:type="paragraph" w:customStyle="1" w:styleId="web1">
    <w:name w:val="web1"/>
    <w:basedOn w:val="Normln"/>
    <w:uiPriority w:val="99"/>
    <w:rsid w:val="00434952"/>
    <w:pPr>
      <w:spacing w:after="0" w:line="240" w:lineRule="auto"/>
    </w:pPr>
    <w:rPr>
      <w:b/>
      <w:bCs/>
      <w:sz w:val="26"/>
      <w:szCs w:val="26"/>
    </w:rPr>
  </w:style>
  <w:style w:type="character" w:styleId="CittHTML">
    <w:name w:val="HTML Cite"/>
    <w:basedOn w:val="Standardnpsmoodstavce"/>
    <w:uiPriority w:val="99"/>
    <w:locked/>
    <w:rsid w:val="00434952"/>
    <w:rPr>
      <w:rFonts w:cs="Times New Roman"/>
      <w:color w:val="009933"/>
    </w:rPr>
  </w:style>
  <w:style w:type="character" w:customStyle="1" w:styleId="vshid2">
    <w:name w:val="vshid2"/>
    <w:uiPriority w:val="99"/>
    <w:rsid w:val="00434952"/>
    <w:rPr>
      <w:vanish/>
    </w:rPr>
  </w:style>
  <w:style w:type="paragraph" w:styleId="Textvysvtlivek">
    <w:name w:val="endnote text"/>
    <w:basedOn w:val="Normln"/>
    <w:link w:val="TextvysvtlivekChar"/>
    <w:uiPriority w:val="99"/>
    <w:locked/>
    <w:rsid w:val="00434952"/>
    <w:pPr>
      <w:spacing w:after="0" w:line="240" w:lineRule="auto"/>
    </w:pPr>
    <w:rPr>
      <w:sz w:val="20"/>
      <w:szCs w:val="20"/>
    </w:rPr>
  </w:style>
  <w:style w:type="character" w:customStyle="1" w:styleId="TextvysvtlivekChar">
    <w:name w:val="Text vysvětlivek Char"/>
    <w:basedOn w:val="Standardnpsmoodstavce"/>
    <w:link w:val="Textvysvtlivek"/>
    <w:uiPriority w:val="99"/>
    <w:rsid w:val="00434952"/>
    <w:rPr>
      <w:sz w:val="20"/>
      <w:szCs w:val="20"/>
    </w:rPr>
  </w:style>
  <w:style w:type="character" w:styleId="Odkaznavysvtlivky">
    <w:name w:val="endnote reference"/>
    <w:basedOn w:val="Standardnpsmoodstavce"/>
    <w:uiPriority w:val="99"/>
    <w:locked/>
    <w:rsid w:val="00434952"/>
    <w:rPr>
      <w:rFonts w:cs="Times New Roman"/>
      <w:vertAlign w:val="superscript"/>
    </w:rPr>
  </w:style>
  <w:style w:type="table" w:customStyle="1" w:styleId="Mkatabulky21">
    <w:name w:val="Mřížka tabulky21"/>
    <w:basedOn w:val="Normlntabulka"/>
    <w:next w:val="Mkatabulky"/>
    <w:uiPriority w:val="59"/>
    <w:rsid w:val="00434952"/>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10">
    <w:name w:val="Mřížka tabulky10"/>
    <w:basedOn w:val="Normlntabulka"/>
    <w:next w:val="Mkatabulky"/>
    <w:uiPriority w:val="59"/>
    <w:rsid w:val="00F74972"/>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seznamu3">
    <w:name w:val="Bez seznamu3"/>
    <w:next w:val="Bezseznamu"/>
    <w:uiPriority w:val="99"/>
    <w:semiHidden/>
    <w:unhideWhenUsed/>
    <w:rsid w:val="003E0D09"/>
  </w:style>
  <w:style w:type="numbering" w:customStyle="1" w:styleId="Bezseznamu11">
    <w:name w:val="Bez seznamu11"/>
    <w:next w:val="Bezseznamu"/>
    <w:uiPriority w:val="99"/>
    <w:semiHidden/>
    <w:unhideWhenUsed/>
    <w:rsid w:val="003E0D09"/>
  </w:style>
  <w:style w:type="numbering" w:customStyle="1" w:styleId="Bezseznamu111">
    <w:name w:val="Bez seznamu111"/>
    <w:next w:val="Bezseznamu"/>
    <w:uiPriority w:val="99"/>
    <w:semiHidden/>
    <w:unhideWhenUsed/>
    <w:rsid w:val="003E0D09"/>
  </w:style>
  <w:style w:type="numbering" w:customStyle="1" w:styleId="Bezseznamu21">
    <w:name w:val="Bez seznamu21"/>
    <w:next w:val="Bezseznamu"/>
    <w:uiPriority w:val="99"/>
    <w:semiHidden/>
    <w:unhideWhenUsed/>
    <w:rsid w:val="003E0D09"/>
  </w:style>
  <w:style w:type="character" w:styleId="Odkaznakoment">
    <w:name w:val="annotation reference"/>
    <w:basedOn w:val="Standardnpsmoodstavce"/>
    <w:uiPriority w:val="99"/>
    <w:semiHidden/>
    <w:unhideWhenUsed/>
    <w:locked/>
    <w:rsid w:val="00A466A6"/>
    <w:rPr>
      <w:sz w:val="16"/>
      <w:szCs w:val="16"/>
    </w:rPr>
  </w:style>
  <w:style w:type="paragraph" w:styleId="Textkomente">
    <w:name w:val="annotation text"/>
    <w:basedOn w:val="Normln"/>
    <w:link w:val="TextkomenteChar"/>
    <w:uiPriority w:val="99"/>
    <w:semiHidden/>
    <w:unhideWhenUsed/>
    <w:locked/>
    <w:rsid w:val="00A466A6"/>
    <w:pPr>
      <w:spacing w:line="240" w:lineRule="auto"/>
    </w:pPr>
    <w:rPr>
      <w:sz w:val="20"/>
      <w:szCs w:val="20"/>
    </w:rPr>
  </w:style>
  <w:style w:type="character" w:customStyle="1" w:styleId="TextkomenteChar">
    <w:name w:val="Text komentáře Char"/>
    <w:basedOn w:val="Standardnpsmoodstavce"/>
    <w:link w:val="Textkomente"/>
    <w:uiPriority w:val="99"/>
    <w:semiHidden/>
    <w:rsid w:val="00A466A6"/>
    <w:rPr>
      <w:sz w:val="20"/>
      <w:szCs w:val="20"/>
    </w:rPr>
  </w:style>
  <w:style w:type="paragraph" w:styleId="Pedmtkomente">
    <w:name w:val="annotation subject"/>
    <w:basedOn w:val="Textkomente"/>
    <w:next w:val="Textkomente"/>
    <w:link w:val="PedmtkomenteChar"/>
    <w:uiPriority w:val="99"/>
    <w:semiHidden/>
    <w:unhideWhenUsed/>
    <w:locked/>
    <w:rsid w:val="00A466A6"/>
    <w:rPr>
      <w:b/>
      <w:bCs/>
    </w:rPr>
  </w:style>
  <w:style w:type="character" w:customStyle="1" w:styleId="PedmtkomenteChar">
    <w:name w:val="Předmět komentáře Char"/>
    <w:basedOn w:val="TextkomenteChar"/>
    <w:link w:val="Pedmtkomente"/>
    <w:uiPriority w:val="99"/>
    <w:semiHidden/>
    <w:rsid w:val="00A466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14371">
      <w:bodyDiv w:val="1"/>
      <w:marLeft w:val="0"/>
      <w:marRight w:val="0"/>
      <w:marTop w:val="0"/>
      <w:marBottom w:val="0"/>
      <w:divBdr>
        <w:top w:val="none" w:sz="0" w:space="0" w:color="auto"/>
        <w:left w:val="none" w:sz="0" w:space="0" w:color="auto"/>
        <w:bottom w:val="none" w:sz="0" w:space="0" w:color="auto"/>
        <w:right w:val="none" w:sz="0" w:space="0" w:color="auto"/>
      </w:divBdr>
    </w:div>
    <w:div w:id="1208489039">
      <w:marLeft w:val="0"/>
      <w:marRight w:val="0"/>
      <w:marTop w:val="0"/>
      <w:marBottom w:val="0"/>
      <w:divBdr>
        <w:top w:val="none" w:sz="0" w:space="0" w:color="auto"/>
        <w:left w:val="none" w:sz="0" w:space="0" w:color="auto"/>
        <w:bottom w:val="none" w:sz="0" w:space="0" w:color="auto"/>
        <w:right w:val="none" w:sz="0" w:space="0" w:color="auto"/>
      </w:divBdr>
    </w:div>
    <w:div w:id="1208489040">
      <w:marLeft w:val="0"/>
      <w:marRight w:val="0"/>
      <w:marTop w:val="0"/>
      <w:marBottom w:val="0"/>
      <w:divBdr>
        <w:top w:val="none" w:sz="0" w:space="0" w:color="auto"/>
        <w:left w:val="none" w:sz="0" w:space="0" w:color="auto"/>
        <w:bottom w:val="none" w:sz="0" w:space="0" w:color="auto"/>
        <w:right w:val="none" w:sz="0" w:space="0" w:color="auto"/>
      </w:divBdr>
    </w:div>
    <w:div w:id="1208489041">
      <w:marLeft w:val="0"/>
      <w:marRight w:val="0"/>
      <w:marTop w:val="0"/>
      <w:marBottom w:val="0"/>
      <w:divBdr>
        <w:top w:val="none" w:sz="0" w:space="0" w:color="auto"/>
        <w:left w:val="none" w:sz="0" w:space="0" w:color="auto"/>
        <w:bottom w:val="none" w:sz="0" w:space="0" w:color="auto"/>
        <w:right w:val="none" w:sz="0" w:space="0" w:color="auto"/>
      </w:divBdr>
    </w:div>
    <w:div w:id="1208489048">
      <w:marLeft w:val="0"/>
      <w:marRight w:val="0"/>
      <w:marTop w:val="0"/>
      <w:marBottom w:val="0"/>
      <w:divBdr>
        <w:top w:val="none" w:sz="0" w:space="0" w:color="auto"/>
        <w:left w:val="none" w:sz="0" w:space="0" w:color="auto"/>
        <w:bottom w:val="none" w:sz="0" w:space="0" w:color="auto"/>
        <w:right w:val="none" w:sz="0" w:space="0" w:color="auto"/>
      </w:divBdr>
      <w:divsChild>
        <w:div w:id="1208489047">
          <w:marLeft w:val="0"/>
          <w:marRight w:val="0"/>
          <w:marTop w:val="0"/>
          <w:marBottom w:val="0"/>
          <w:divBdr>
            <w:top w:val="none" w:sz="0" w:space="0" w:color="auto"/>
            <w:left w:val="none" w:sz="0" w:space="0" w:color="auto"/>
            <w:bottom w:val="none" w:sz="0" w:space="0" w:color="auto"/>
            <w:right w:val="none" w:sz="0" w:space="0" w:color="auto"/>
          </w:divBdr>
          <w:divsChild>
            <w:div w:id="1208489058">
              <w:marLeft w:val="0"/>
              <w:marRight w:val="0"/>
              <w:marTop w:val="0"/>
              <w:marBottom w:val="0"/>
              <w:divBdr>
                <w:top w:val="none" w:sz="0" w:space="0" w:color="auto"/>
                <w:left w:val="none" w:sz="0" w:space="0" w:color="auto"/>
                <w:bottom w:val="none" w:sz="0" w:space="0" w:color="auto"/>
                <w:right w:val="none" w:sz="0" w:space="0" w:color="auto"/>
              </w:divBdr>
              <w:divsChild>
                <w:div w:id="1208489049">
                  <w:marLeft w:val="0"/>
                  <w:marRight w:val="0"/>
                  <w:marTop w:val="0"/>
                  <w:marBottom w:val="0"/>
                  <w:divBdr>
                    <w:top w:val="none" w:sz="0" w:space="0" w:color="auto"/>
                    <w:left w:val="none" w:sz="0" w:space="0" w:color="auto"/>
                    <w:bottom w:val="none" w:sz="0" w:space="0" w:color="auto"/>
                    <w:right w:val="none" w:sz="0" w:space="0" w:color="auto"/>
                  </w:divBdr>
                  <w:divsChild>
                    <w:div w:id="1208489045">
                      <w:marLeft w:val="0"/>
                      <w:marRight w:val="0"/>
                      <w:marTop w:val="0"/>
                      <w:marBottom w:val="0"/>
                      <w:divBdr>
                        <w:top w:val="none" w:sz="0" w:space="0" w:color="auto"/>
                        <w:left w:val="none" w:sz="0" w:space="0" w:color="auto"/>
                        <w:bottom w:val="none" w:sz="0" w:space="0" w:color="auto"/>
                        <w:right w:val="none" w:sz="0" w:space="0" w:color="auto"/>
                      </w:divBdr>
                      <w:divsChild>
                        <w:div w:id="1208489052">
                          <w:marLeft w:val="0"/>
                          <w:marRight w:val="0"/>
                          <w:marTop w:val="0"/>
                          <w:marBottom w:val="0"/>
                          <w:divBdr>
                            <w:top w:val="none" w:sz="0" w:space="0" w:color="auto"/>
                            <w:left w:val="none" w:sz="0" w:space="0" w:color="auto"/>
                            <w:bottom w:val="none" w:sz="0" w:space="0" w:color="auto"/>
                            <w:right w:val="none" w:sz="0" w:space="0" w:color="auto"/>
                          </w:divBdr>
                          <w:divsChild>
                            <w:div w:id="1208489051">
                              <w:marLeft w:val="0"/>
                              <w:marRight w:val="0"/>
                              <w:marTop w:val="0"/>
                              <w:marBottom w:val="0"/>
                              <w:divBdr>
                                <w:top w:val="none" w:sz="0" w:space="0" w:color="auto"/>
                                <w:left w:val="none" w:sz="0" w:space="0" w:color="auto"/>
                                <w:bottom w:val="none" w:sz="0" w:space="0" w:color="auto"/>
                                <w:right w:val="none" w:sz="0" w:space="0" w:color="auto"/>
                              </w:divBdr>
                              <w:divsChild>
                                <w:div w:id="1208489046">
                                  <w:marLeft w:val="0"/>
                                  <w:marRight w:val="0"/>
                                  <w:marTop w:val="0"/>
                                  <w:marBottom w:val="0"/>
                                  <w:divBdr>
                                    <w:top w:val="none" w:sz="0" w:space="0" w:color="auto"/>
                                    <w:left w:val="none" w:sz="0" w:space="0" w:color="auto"/>
                                    <w:bottom w:val="none" w:sz="0" w:space="0" w:color="auto"/>
                                    <w:right w:val="none" w:sz="0" w:space="0" w:color="auto"/>
                                  </w:divBdr>
                                  <w:divsChild>
                                    <w:div w:id="1208489050">
                                      <w:marLeft w:val="0"/>
                                      <w:marRight w:val="0"/>
                                      <w:marTop w:val="0"/>
                                      <w:marBottom w:val="0"/>
                                      <w:divBdr>
                                        <w:top w:val="none" w:sz="0" w:space="0" w:color="auto"/>
                                        <w:left w:val="none" w:sz="0" w:space="0" w:color="auto"/>
                                        <w:bottom w:val="none" w:sz="0" w:space="0" w:color="auto"/>
                                        <w:right w:val="none" w:sz="0" w:space="0" w:color="auto"/>
                                      </w:divBdr>
                                      <w:divsChild>
                                        <w:div w:id="1208489054">
                                          <w:marLeft w:val="0"/>
                                          <w:marRight w:val="0"/>
                                          <w:marTop w:val="0"/>
                                          <w:marBottom w:val="0"/>
                                          <w:divBdr>
                                            <w:top w:val="none" w:sz="0" w:space="0" w:color="auto"/>
                                            <w:left w:val="none" w:sz="0" w:space="0" w:color="auto"/>
                                            <w:bottom w:val="none" w:sz="0" w:space="0" w:color="auto"/>
                                            <w:right w:val="none" w:sz="0" w:space="0" w:color="auto"/>
                                          </w:divBdr>
                                          <w:divsChild>
                                            <w:div w:id="1208489056">
                                              <w:marLeft w:val="0"/>
                                              <w:marRight w:val="0"/>
                                              <w:marTop w:val="0"/>
                                              <w:marBottom w:val="0"/>
                                              <w:divBdr>
                                                <w:top w:val="none" w:sz="0" w:space="0" w:color="auto"/>
                                                <w:left w:val="none" w:sz="0" w:space="0" w:color="auto"/>
                                                <w:bottom w:val="none" w:sz="0" w:space="0" w:color="auto"/>
                                                <w:right w:val="none" w:sz="0" w:space="0" w:color="auto"/>
                                              </w:divBdr>
                                              <w:divsChild>
                                                <w:div w:id="120848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8489057">
      <w:marLeft w:val="0"/>
      <w:marRight w:val="0"/>
      <w:marTop w:val="0"/>
      <w:marBottom w:val="0"/>
      <w:divBdr>
        <w:top w:val="none" w:sz="0" w:space="0" w:color="auto"/>
        <w:left w:val="none" w:sz="0" w:space="0" w:color="auto"/>
        <w:bottom w:val="none" w:sz="0" w:space="0" w:color="auto"/>
        <w:right w:val="none" w:sz="0" w:space="0" w:color="auto"/>
      </w:divBdr>
      <w:divsChild>
        <w:div w:id="1208489044">
          <w:marLeft w:val="0"/>
          <w:marRight w:val="0"/>
          <w:marTop w:val="0"/>
          <w:marBottom w:val="0"/>
          <w:divBdr>
            <w:top w:val="none" w:sz="0" w:space="0" w:color="auto"/>
            <w:left w:val="none" w:sz="0" w:space="0" w:color="auto"/>
            <w:bottom w:val="none" w:sz="0" w:space="0" w:color="auto"/>
            <w:right w:val="none" w:sz="0" w:space="0" w:color="auto"/>
          </w:divBdr>
          <w:divsChild>
            <w:div w:id="1208489043">
              <w:marLeft w:val="0"/>
              <w:marRight w:val="0"/>
              <w:marTop w:val="150"/>
              <w:marBottom w:val="150"/>
              <w:divBdr>
                <w:top w:val="none" w:sz="0" w:space="0" w:color="auto"/>
                <w:left w:val="none" w:sz="0" w:space="0" w:color="auto"/>
                <w:bottom w:val="none" w:sz="0" w:space="0" w:color="auto"/>
                <w:right w:val="none" w:sz="0" w:space="0" w:color="auto"/>
              </w:divBdr>
              <w:divsChild>
                <w:div w:id="1208489053">
                  <w:marLeft w:val="0"/>
                  <w:marRight w:val="0"/>
                  <w:marTop w:val="0"/>
                  <w:marBottom w:val="0"/>
                  <w:divBdr>
                    <w:top w:val="none" w:sz="0" w:space="0" w:color="auto"/>
                    <w:left w:val="none" w:sz="0" w:space="0" w:color="auto"/>
                    <w:bottom w:val="none" w:sz="0" w:space="0" w:color="auto"/>
                    <w:right w:val="none" w:sz="0" w:space="0" w:color="auto"/>
                  </w:divBdr>
                  <w:divsChild>
                    <w:div w:id="12084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89059">
      <w:marLeft w:val="0"/>
      <w:marRight w:val="0"/>
      <w:marTop w:val="0"/>
      <w:marBottom w:val="0"/>
      <w:divBdr>
        <w:top w:val="none" w:sz="0" w:space="0" w:color="auto"/>
        <w:left w:val="none" w:sz="0" w:space="0" w:color="auto"/>
        <w:bottom w:val="none" w:sz="0" w:space="0" w:color="auto"/>
        <w:right w:val="none" w:sz="0" w:space="0" w:color="auto"/>
      </w:divBdr>
      <w:divsChild>
        <w:div w:id="1208489061">
          <w:marLeft w:val="0"/>
          <w:marRight w:val="0"/>
          <w:marTop w:val="0"/>
          <w:marBottom w:val="0"/>
          <w:divBdr>
            <w:top w:val="none" w:sz="0" w:space="0" w:color="auto"/>
            <w:left w:val="none" w:sz="0" w:space="0" w:color="auto"/>
            <w:bottom w:val="none" w:sz="0" w:space="0" w:color="auto"/>
            <w:right w:val="none" w:sz="0" w:space="0" w:color="auto"/>
          </w:divBdr>
          <w:divsChild>
            <w:div w:id="1208489060">
              <w:marLeft w:val="0"/>
              <w:marRight w:val="0"/>
              <w:marTop w:val="0"/>
              <w:marBottom w:val="0"/>
              <w:divBdr>
                <w:top w:val="none" w:sz="0" w:space="0" w:color="auto"/>
                <w:left w:val="none" w:sz="0" w:space="0" w:color="auto"/>
                <w:bottom w:val="none" w:sz="0" w:space="0" w:color="auto"/>
                <w:right w:val="none" w:sz="0" w:space="0" w:color="auto"/>
              </w:divBdr>
              <w:divsChild>
                <w:div w:id="12084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89063">
      <w:marLeft w:val="0"/>
      <w:marRight w:val="0"/>
      <w:marTop w:val="0"/>
      <w:marBottom w:val="0"/>
      <w:divBdr>
        <w:top w:val="none" w:sz="0" w:space="0" w:color="auto"/>
        <w:left w:val="none" w:sz="0" w:space="0" w:color="auto"/>
        <w:bottom w:val="none" w:sz="0" w:space="0" w:color="auto"/>
        <w:right w:val="none" w:sz="0" w:space="0" w:color="auto"/>
      </w:divBdr>
    </w:div>
    <w:div w:id="1208489064">
      <w:marLeft w:val="0"/>
      <w:marRight w:val="0"/>
      <w:marTop w:val="0"/>
      <w:marBottom w:val="0"/>
      <w:divBdr>
        <w:top w:val="none" w:sz="0" w:space="0" w:color="auto"/>
        <w:left w:val="none" w:sz="0" w:space="0" w:color="auto"/>
        <w:bottom w:val="none" w:sz="0" w:space="0" w:color="auto"/>
        <w:right w:val="none" w:sz="0" w:space="0" w:color="auto"/>
      </w:divBdr>
    </w:div>
    <w:div w:id="1208489065">
      <w:marLeft w:val="0"/>
      <w:marRight w:val="0"/>
      <w:marTop w:val="0"/>
      <w:marBottom w:val="0"/>
      <w:divBdr>
        <w:top w:val="none" w:sz="0" w:space="0" w:color="auto"/>
        <w:left w:val="none" w:sz="0" w:space="0" w:color="auto"/>
        <w:bottom w:val="none" w:sz="0" w:space="0" w:color="auto"/>
        <w:right w:val="none" w:sz="0" w:space="0" w:color="auto"/>
      </w:divBdr>
    </w:div>
    <w:div w:id="1275402872">
      <w:bodyDiv w:val="1"/>
      <w:marLeft w:val="0"/>
      <w:marRight w:val="0"/>
      <w:marTop w:val="0"/>
      <w:marBottom w:val="0"/>
      <w:divBdr>
        <w:top w:val="none" w:sz="0" w:space="0" w:color="auto"/>
        <w:left w:val="none" w:sz="0" w:space="0" w:color="auto"/>
        <w:bottom w:val="none" w:sz="0" w:space="0" w:color="auto"/>
        <w:right w:val="none" w:sz="0" w:space="0" w:color="auto"/>
      </w:divBdr>
    </w:div>
    <w:div w:id="1710377448">
      <w:bodyDiv w:val="1"/>
      <w:marLeft w:val="0"/>
      <w:marRight w:val="0"/>
      <w:marTop w:val="0"/>
      <w:marBottom w:val="0"/>
      <w:divBdr>
        <w:top w:val="none" w:sz="0" w:space="0" w:color="auto"/>
        <w:left w:val="none" w:sz="0" w:space="0" w:color="auto"/>
        <w:bottom w:val="none" w:sz="0" w:space="0" w:color="auto"/>
        <w:right w:val="none" w:sz="0" w:space="0" w:color="auto"/>
      </w:divBdr>
    </w:div>
    <w:div w:id="1876427451">
      <w:bodyDiv w:val="1"/>
      <w:marLeft w:val="0"/>
      <w:marRight w:val="0"/>
      <w:marTop w:val="0"/>
      <w:marBottom w:val="0"/>
      <w:divBdr>
        <w:top w:val="none" w:sz="0" w:space="0" w:color="auto"/>
        <w:left w:val="none" w:sz="0" w:space="0" w:color="auto"/>
        <w:bottom w:val="none" w:sz="0" w:space="0" w:color="auto"/>
        <w:right w:val="none" w:sz="0" w:space="0" w:color="auto"/>
      </w:divBdr>
    </w:div>
    <w:div w:id="2058895159">
      <w:bodyDiv w:val="1"/>
      <w:marLeft w:val="0"/>
      <w:marRight w:val="0"/>
      <w:marTop w:val="0"/>
      <w:marBottom w:val="0"/>
      <w:divBdr>
        <w:top w:val="none" w:sz="0" w:space="0" w:color="auto"/>
        <w:left w:val="none" w:sz="0" w:space="0" w:color="auto"/>
        <w:bottom w:val="none" w:sz="0" w:space="0" w:color="auto"/>
        <w:right w:val="none" w:sz="0" w:space="0" w:color="auto"/>
      </w:divBdr>
    </w:div>
    <w:div w:id="209801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is.brno.cz/tms" TargetMode="External"/><Relationship Id="rId21" Type="http://schemas.openxmlformats.org/officeDocument/2006/relationships/image" Target="media/image10.wmf"/><Relationship Id="rId42" Type="http://schemas.openxmlformats.org/officeDocument/2006/relationships/hyperlink" Target="http://www.czso.cz/csu/2009edicniplan.nsf/publ/4020-09-" TargetMode="External"/><Relationship Id="rId47" Type="http://schemas.openxmlformats.org/officeDocument/2006/relationships/oleObject" Target="embeddings/oleObject7.bin"/><Relationship Id="rId63" Type="http://schemas.openxmlformats.org/officeDocument/2006/relationships/oleObject" Target="embeddings/oleObject12.bin"/><Relationship Id="rId68" Type="http://schemas.openxmlformats.org/officeDocument/2006/relationships/chart" Target="charts/chart1.xml"/><Relationship Id="rId84" Type="http://schemas.openxmlformats.org/officeDocument/2006/relationships/hyperlink" Target="http://cs.wikipedia.org/wiki/Soubor:Clash_of_Civilizations_world_map.png" TargetMode="External"/><Relationship Id="rId89" Type="http://schemas.openxmlformats.org/officeDocument/2006/relationships/hyperlink" Target="http://cs.wikipedia.org/wiki/Isl%C3%A1m" TargetMode="External"/><Relationship Id="rId112" Type="http://schemas.openxmlformats.org/officeDocument/2006/relationships/hyperlink" Target="http://esa.un.org/unpd/wpp/unpp/Panel_profiles.htm" TargetMode="External"/><Relationship Id="rId16" Type="http://schemas.openxmlformats.org/officeDocument/2006/relationships/image" Target="media/image6.png"/><Relationship Id="rId107" Type="http://schemas.openxmlformats.org/officeDocument/2006/relationships/footer" Target="footer1.xml"/><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image" Target="media/image16.emf"/><Relationship Id="rId37" Type="http://schemas.openxmlformats.org/officeDocument/2006/relationships/oleObject" Target="embeddings/oleObject6.bin"/><Relationship Id="rId40" Type="http://schemas.openxmlformats.org/officeDocument/2006/relationships/hyperlink" Target="http://kdem.vse.cz/resources/relik09/Prispevky_PDF/Fiala_Langhamrova%20Hulik.%20%20%20%20%20%20pdf" TargetMode="External"/><Relationship Id="rId45" Type="http://schemas.openxmlformats.org/officeDocument/2006/relationships/image" Target="media/image22.png"/><Relationship Id="rId53" Type="http://schemas.openxmlformats.org/officeDocument/2006/relationships/diagramLayout" Target="diagrams/layout1.xml"/><Relationship Id="rId58" Type="http://schemas.openxmlformats.org/officeDocument/2006/relationships/image" Target="media/image27.wmf"/><Relationship Id="rId66" Type="http://schemas.openxmlformats.org/officeDocument/2006/relationships/hyperlink" Target="http://www.czso.cz/csu/2013edicniplan.nsf/publ/3115-13-r_2013" TargetMode="External"/><Relationship Id="rId74" Type="http://schemas.openxmlformats.org/officeDocument/2006/relationships/hyperlink" Target="http://tentea.ec.europa.eu/en/ten-t_projects/30_priority_projects/priority_project_23/priority_project_23.htm" TargetMode="External"/><Relationship Id="rId79" Type="http://schemas.openxmlformats.org/officeDocument/2006/relationships/hyperlink" Target="http://www.sciencedirect.com/science/article/pii/S004873330800053X" TargetMode="External"/><Relationship Id="rId87" Type="http://schemas.openxmlformats.org/officeDocument/2006/relationships/hyperlink" Target="http://cs.wikipedia.org/wiki/Pravoslav%C3%AD" TargetMode="External"/><Relationship Id="rId102" Type="http://schemas.openxmlformats.org/officeDocument/2006/relationships/hyperlink" Target="http://en.wikipedia.org/wiki/File:World_population_(UN).svg" TargetMode="External"/><Relationship Id="rId110" Type="http://schemas.openxmlformats.org/officeDocument/2006/relationships/hyperlink" Target="http://www.ipcc.ch/"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11.bin"/><Relationship Id="rId82" Type="http://schemas.openxmlformats.org/officeDocument/2006/relationships/image" Target="media/image35.png"/><Relationship Id="rId90" Type="http://schemas.openxmlformats.org/officeDocument/2006/relationships/hyperlink" Target="http://cs.wikipedia.org/wiki/Subsaharsk%C3%A1_Afrika" TargetMode="External"/><Relationship Id="rId95" Type="http://schemas.openxmlformats.org/officeDocument/2006/relationships/hyperlink" Target="http://cs.wikipedia.org/wiki/Turecko" TargetMode="External"/><Relationship Id="rId19" Type="http://schemas.openxmlformats.org/officeDocument/2006/relationships/image" Target="media/image9.wmf"/><Relationship Id="rId14" Type="http://schemas.openxmlformats.org/officeDocument/2006/relationships/image" Target="media/image4.jpeg"/><Relationship Id="rId22" Type="http://schemas.openxmlformats.org/officeDocument/2006/relationships/oleObject" Target="embeddings/oleObject3.bin"/><Relationship Id="rId27" Type="http://schemas.openxmlformats.org/officeDocument/2006/relationships/hyperlink" Target="http://www.sfrb.cz/servis/" TargetMode="External"/><Relationship Id="rId30" Type="http://schemas.openxmlformats.org/officeDocument/2006/relationships/image" Target="media/image14.emf"/><Relationship Id="rId35" Type="http://schemas.openxmlformats.org/officeDocument/2006/relationships/oleObject" Target="embeddings/oleObject5.bin"/><Relationship Id="rId43" Type="http://schemas.openxmlformats.org/officeDocument/2006/relationships/hyperlink" Target="http://www.czso.cz/csu/2010edicniplan.nsf/p/4021-10" TargetMode="External"/><Relationship Id="rId48" Type="http://schemas.openxmlformats.org/officeDocument/2006/relationships/image" Target="media/image24.wmf"/><Relationship Id="rId56" Type="http://schemas.microsoft.com/office/2007/relationships/diagramDrawing" Target="diagrams/drawing1.xml"/><Relationship Id="rId64" Type="http://schemas.openxmlformats.org/officeDocument/2006/relationships/image" Target="media/image30.png"/><Relationship Id="rId69" Type="http://schemas.openxmlformats.org/officeDocument/2006/relationships/image" Target="media/image31.png"/><Relationship Id="rId77" Type="http://schemas.openxmlformats.org/officeDocument/2006/relationships/image" Target="media/image34.tiff"/><Relationship Id="rId100" Type="http://schemas.openxmlformats.org/officeDocument/2006/relationships/image" Target="media/image38.jpeg"/><Relationship Id="rId105" Type="http://schemas.openxmlformats.org/officeDocument/2006/relationships/image" Target="media/image42.png"/><Relationship Id="rId113" Type="http://schemas.openxmlformats.org/officeDocument/2006/relationships/hyperlink" Target="http://www.worldbank" TargetMode="External"/><Relationship Id="rId8" Type="http://schemas.openxmlformats.org/officeDocument/2006/relationships/endnotes" Target="endnotes.xml"/><Relationship Id="rId51" Type="http://schemas.openxmlformats.org/officeDocument/2006/relationships/oleObject" Target="embeddings/oleObject9.bin"/><Relationship Id="rId72" Type="http://schemas.openxmlformats.org/officeDocument/2006/relationships/hyperlink" Target="http://cs.wikipedia.org/wiki/Vl%C3%A1da_%C4%8Cesk%C3%A9_republiky" TargetMode="External"/><Relationship Id="rId80" Type="http://schemas.openxmlformats.org/officeDocument/2006/relationships/hyperlink" Target="http://www" TargetMode="External"/><Relationship Id="rId85" Type="http://schemas.openxmlformats.org/officeDocument/2006/relationships/image" Target="media/image37.png"/><Relationship Id="rId93" Type="http://schemas.openxmlformats.org/officeDocument/2006/relationships/hyperlink" Target="http://cs.wikipedia.org/wiki/%C4%8C%C3%ADna" TargetMode="External"/><Relationship Id="rId98" Type="http://schemas.openxmlformats.org/officeDocument/2006/relationships/hyperlink" Target="http://cs.wikipedia.org/wiki/N%C3%A1bo%C5%BEenstv%C3%AD"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7.emf"/><Relationship Id="rId38" Type="http://schemas.openxmlformats.org/officeDocument/2006/relationships/image" Target="media/image20.png"/><Relationship Id="rId46" Type="http://schemas.openxmlformats.org/officeDocument/2006/relationships/image" Target="media/image23.wmf"/><Relationship Id="rId59" Type="http://schemas.openxmlformats.org/officeDocument/2006/relationships/oleObject" Target="embeddings/oleObject10.bin"/><Relationship Id="rId67" Type="http://schemas.openxmlformats.org/officeDocument/2006/relationships/hyperlink" Target="http://www.mmr.cz/" TargetMode="External"/><Relationship Id="rId103" Type="http://schemas.openxmlformats.org/officeDocument/2006/relationships/image" Target="media/image40.png"/><Relationship Id="rId108" Type="http://schemas.openxmlformats.org/officeDocument/2006/relationships/footer" Target="footer2.xml"/><Relationship Id="rId20" Type="http://schemas.openxmlformats.org/officeDocument/2006/relationships/oleObject" Target="embeddings/oleObject2.bin"/><Relationship Id="rId41" Type="http://schemas.openxmlformats.org/officeDocument/2006/relationships/hyperlink" Target="http://kdem.vse.cz/resources/relik09/RELIK_2009.pdf" TargetMode="External"/><Relationship Id="rId54" Type="http://schemas.openxmlformats.org/officeDocument/2006/relationships/diagramQuickStyle" Target="diagrams/quickStyle1.xml"/><Relationship Id="rId62" Type="http://schemas.openxmlformats.org/officeDocument/2006/relationships/image" Target="media/image29.wmf"/><Relationship Id="rId70" Type="http://schemas.openxmlformats.org/officeDocument/2006/relationships/hyperlink" Target="http://cs.wikipedia.org/wiki/Stakeholder" TargetMode="External"/><Relationship Id="rId75" Type="http://schemas.openxmlformats.org/officeDocument/2006/relationships/image" Target="media/image33.wmf"/><Relationship Id="rId83" Type="http://schemas.openxmlformats.org/officeDocument/2006/relationships/image" Target="media/image36.png"/><Relationship Id="rId88" Type="http://schemas.openxmlformats.org/officeDocument/2006/relationships/hyperlink" Target="http://cs.wikipedia.org/wiki/Latinsk%C3%A1_Amerika" TargetMode="External"/><Relationship Id="rId91" Type="http://schemas.openxmlformats.org/officeDocument/2006/relationships/hyperlink" Target="http://cs.wikipedia.org/wiki/Hinduismus" TargetMode="External"/><Relationship Id="rId96" Type="http://schemas.openxmlformats.org/officeDocument/2006/relationships/hyperlink" Target="http://cs.wikipedia.org/wiki/Izrael" TargetMode="External"/><Relationship Id="rId111" Type="http://schemas.openxmlformats.org/officeDocument/2006/relationships/hyperlink" Target="http://europa.eu/about%20-e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wmf"/><Relationship Id="rId28" Type="http://schemas.openxmlformats.org/officeDocument/2006/relationships/hyperlink" Target="http://www.bakbasel.ch/" TargetMode="External"/><Relationship Id="rId36" Type="http://schemas.openxmlformats.org/officeDocument/2006/relationships/image" Target="media/image19.wmf"/><Relationship Id="rId49" Type="http://schemas.openxmlformats.org/officeDocument/2006/relationships/oleObject" Target="embeddings/oleObject8.bin"/><Relationship Id="rId57" Type="http://schemas.openxmlformats.org/officeDocument/2006/relationships/image" Target="media/image26.png"/><Relationship Id="rId106" Type="http://schemas.openxmlformats.org/officeDocument/2006/relationships/image" Target="media/image43.png"/><Relationship Id="rId114" Type="http://schemas.openxmlformats.org/officeDocument/2006/relationships/fontTable" Target="fontTable.xml"/><Relationship Id="rId10" Type="http://schemas.openxmlformats.org/officeDocument/2006/relationships/image" Target="media/image1.wmf"/><Relationship Id="rId31" Type="http://schemas.openxmlformats.org/officeDocument/2006/relationships/image" Target="media/image15.png"/><Relationship Id="rId44" Type="http://schemas.openxmlformats.org/officeDocument/2006/relationships/image" Target="media/image21.png"/><Relationship Id="rId52" Type="http://schemas.openxmlformats.org/officeDocument/2006/relationships/diagramData" Target="diagrams/data1.xml"/><Relationship Id="rId60" Type="http://schemas.openxmlformats.org/officeDocument/2006/relationships/image" Target="media/image28.wmf"/><Relationship Id="rId65" Type="http://schemas.openxmlformats.org/officeDocument/2006/relationships/hyperlink" Target="http://www.czso.cz/" TargetMode="External"/><Relationship Id="rId73" Type="http://schemas.openxmlformats.org/officeDocument/2006/relationships/image" Target="media/image32.png"/><Relationship Id="rId78" Type="http://schemas.openxmlformats.org/officeDocument/2006/relationships/hyperlink" Target="http://cepin.cz/cze/prednaska" TargetMode="External"/><Relationship Id="rId81" Type="http://schemas.openxmlformats.org/officeDocument/2006/relationships/hyperlink" Target="http://scita" TargetMode="External"/><Relationship Id="rId86" Type="http://schemas.openxmlformats.org/officeDocument/2006/relationships/hyperlink" Target="http://cs.wikipedia.org/wiki/Z%C3%A1padn%C3%AD_kultura" TargetMode="External"/><Relationship Id="rId94" Type="http://schemas.openxmlformats.org/officeDocument/2006/relationships/hyperlink" Target="http://cs.wikipedia.org/wiki/Japonsko" TargetMode="External"/><Relationship Id="rId99" Type="http://schemas.openxmlformats.org/officeDocument/2006/relationships/chart" Target="charts/chart2.xml"/><Relationship Id="rId101" Type="http://schemas.openxmlformats.org/officeDocument/2006/relationships/image" Target="media/image39.emf"/><Relationship Id="rId4" Type="http://schemas.microsoft.com/office/2007/relationships/stylesWithEffects" Target="stylesWithEffects.xml"/><Relationship Id="rId9" Type="http://schemas.openxmlformats.org/officeDocument/2006/relationships/hyperlink" Target="http://translate.googleusercontent.com/translate_c?depth=1&amp;hl=cs&amp;prev=/search%3Fq%3Dwikipedia:%2Bregional%2Beconomy%26biw%3D1920%26bih%3D955&amp;rurl=translate.google.cz&amp;sl=en&amp;u=http://en.wikipedia.org/w/index.php%3Ftitle%3DMelvin_L._Greenhut%26action%3Dedit%26redlink%3D1&amp;usg=ALkJrhhsm3cNXjmO6pTFDS9EsQE6CzIt0w" TargetMode="Externa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hyperlink" Target="http://geography.cz/sbornik/wp-content/uploads/2010/01/g09-4-1blazek.pdf" TargetMode="External"/><Relationship Id="rId109" Type="http://schemas.openxmlformats.org/officeDocument/2006/relationships/footer" Target="footer3.xml"/><Relationship Id="rId34" Type="http://schemas.openxmlformats.org/officeDocument/2006/relationships/image" Target="media/image18.wmf"/><Relationship Id="rId50" Type="http://schemas.openxmlformats.org/officeDocument/2006/relationships/image" Target="media/image25.wmf"/><Relationship Id="rId55" Type="http://schemas.openxmlformats.org/officeDocument/2006/relationships/diagramColors" Target="diagrams/colors1.xml"/><Relationship Id="rId76" Type="http://schemas.openxmlformats.org/officeDocument/2006/relationships/oleObject" Target="embeddings/oleObject13.bin"/><Relationship Id="rId97" Type="http://schemas.openxmlformats.org/officeDocument/2006/relationships/hyperlink" Target="http://cs.wikipedia.org/wiki/Etiopie" TargetMode="External"/><Relationship Id="rId104" Type="http://schemas.openxmlformats.org/officeDocument/2006/relationships/image" Target="media/image41.png"/><Relationship Id="rId7" Type="http://schemas.openxmlformats.org/officeDocument/2006/relationships/footnotes" Target="footnotes.xml"/><Relationship Id="rId71" Type="http://schemas.openxmlformats.org/officeDocument/2006/relationships/hyperlink" Target="http://cs.wikipedia.org/wiki/Prezident_%C4%8Cesk%C3%A9_republiky" TargetMode="External"/><Relationship Id="rId92" Type="http://schemas.openxmlformats.org/officeDocument/2006/relationships/hyperlink" Target="http://cs.wikipedia.org/wiki/Buddhismus" TargetMode="External"/><Relationship Id="rId2" Type="http://schemas.openxmlformats.org/officeDocument/2006/relationships/numbering" Target="numbering.xml"/><Relationship Id="rId29"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cs.wikipedia.org/wiki/Delegace" TargetMode="External"/><Relationship Id="rId2" Type="http://schemas.openxmlformats.org/officeDocument/2006/relationships/hyperlink" Target="http://de.wikipedia.org/wiki/System_der_zentralen_Orte" TargetMode="External"/><Relationship Id="rId1" Type="http://schemas.openxmlformats.org/officeDocument/2006/relationships/hyperlink" Target="http://en.wikipedia.org/wiki/Principles_of_Economics_(Marshall)" TargetMode="External"/><Relationship Id="rId4" Type="http://schemas.openxmlformats.org/officeDocument/2006/relationships/hyperlink" Target="http://cs.wikipedia.org/wiki/Pravomoc"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254893\Desktop\Doktorsk&#233;%20studium\ostatn&#237;\viturk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MU%20ESF\OPVK\skripta\migrace\Cizinci_V_CR.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List1!$C$2</c:f>
              <c:strCache>
                <c:ptCount val="1"/>
                <c:pt idx="0">
                  <c:v>Úbytek obilí</c:v>
                </c:pt>
              </c:strCache>
            </c:strRef>
          </c:tx>
          <c:invertIfNegative val="0"/>
          <c:dLbls>
            <c:dLblPos val="outEnd"/>
            <c:showLegendKey val="0"/>
            <c:showVal val="1"/>
            <c:showCatName val="0"/>
            <c:showSerName val="0"/>
            <c:showPercent val="0"/>
            <c:showBubbleSize val="0"/>
            <c:showLeaderLines val="0"/>
          </c:dLbls>
          <c:val>
            <c:numRef>
              <c:f>List1!$C$3:$C$5</c:f>
              <c:numCache>
                <c:formatCode>General</c:formatCode>
                <c:ptCount val="3"/>
                <c:pt idx="0">
                  <c:v>20</c:v>
                </c:pt>
                <c:pt idx="1">
                  <c:v>50</c:v>
                </c:pt>
                <c:pt idx="2">
                  <c:v>100</c:v>
                </c:pt>
              </c:numCache>
            </c:numRef>
          </c:val>
        </c:ser>
        <c:ser>
          <c:idx val="1"/>
          <c:order val="1"/>
          <c:tx>
            <c:strRef>
              <c:f>List1!$D$2</c:f>
              <c:strCache>
                <c:ptCount val="1"/>
                <c:pt idx="0">
                  <c:v>Přírůstek výrobků</c:v>
                </c:pt>
              </c:strCache>
            </c:strRef>
          </c:tx>
          <c:invertIfNegative val="0"/>
          <c:dLbls>
            <c:dLblPos val="outEnd"/>
            <c:showLegendKey val="0"/>
            <c:showVal val="1"/>
            <c:showCatName val="0"/>
            <c:showSerName val="0"/>
            <c:showPercent val="0"/>
            <c:showBubbleSize val="0"/>
            <c:showLeaderLines val="0"/>
          </c:dLbls>
          <c:val>
            <c:numRef>
              <c:f>List1!$D$3:$D$5</c:f>
              <c:numCache>
                <c:formatCode>General</c:formatCode>
                <c:ptCount val="3"/>
                <c:pt idx="0">
                  <c:v>90</c:v>
                </c:pt>
                <c:pt idx="1">
                  <c:v>80</c:v>
                </c:pt>
                <c:pt idx="2">
                  <c:v>70</c:v>
                </c:pt>
              </c:numCache>
            </c:numRef>
          </c:val>
        </c:ser>
        <c:dLbls>
          <c:showLegendKey val="0"/>
          <c:showVal val="0"/>
          <c:showCatName val="0"/>
          <c:showSerName val="0"/>
          <c:showPercent val="0"/>
          <c:showBubbleSize val="0"/>
        </c:dLbls>
        <c:gapWidth val="150"/>
        <c:axId val="187992320"/>
        <c:axId val="188002688"/>
      </c:barChart>
      <c:catAx>
        <c:axId val="187992320"/>
        <c:scaling>
          <c:orientation val="minMax"/>
        </c:scaling>
        <c:delete val="0"/>
        <c:axPos val="b"/>
        <c:title>
          <c:tx>
            <c:rich>
              <a:bodyPr/>
              <a:lstStyle/>
              <a:p>
                <a:pPr>
                  <a:defRPr/>
                </a:pPr>
                <a:r>
                  <a:rPr lang="en-US" sz="1050" b="0"/>
                  <a:t>stupeň znečištění</a:t>
                </a:r>
              </a:p>
            </c:rich>
          </c:tx>
          <c:overlay val="0"/>
        </c:title>
        <c:majorTickMark val="out"/>
        <c:minorTickMark val="none"/>
        <c:tickLblPos val="nextTo"/>
        <c:crossAx val="188002688"/>
        <c:crosses val="autoZero"/>
        <c:auto val="1"/>
        <c:lblAlgn val="ctr"/>
        <c:lblOffset val="100"/>
        <c:noMultiLvlLbl val="0"/>
      </c:catAx>
      <c:valAx>
        <c:axId val="188002688"/>
        <c:scaling>
          <c:orientation val="minMax"/>
          <c:max val="120"/>
        </c:scaling>
        <c:delete val="0"/>
        <c:axPos val="l"/>
        <c:majorGridlines>
          <c:spPr>
            <a:ln>
              <a:noFill/>
            </a:ln>
          </c:spPr>
        </c:majorGridlines>
        <c:title>
          <c:tx>
            <c:rich>
              <a:bodyPr rot="-5400000" vert="horz"/>
              <a:lstStyle/>
              <a:p>
                <a:pPr>
                  <a:defRPr/>
                </a:pPr>
                <a:r>
                  <a:rPr lang="en-US" sz="1050" b="0"/>
                  <a:t>tis. Kč</a:t>
                </a:r>
              </a:p>
            </c:rich>
          </c:tx>
          <c:overlay val="0"/>
        </c:title>
        <c:numFmt formatCode="General" sourceLinked="1"/>
        <c:majorTickMark val="none"/>
        <c:minorTickMark val="none"/>
        <c:tickLblPos val="none"/>
        <c:spPr>
          <a:ln w="0"/>
        </c:spPr>
        <c:crossAx val="187992320"/>
        <c:crosses val="autoZero"/>
        <c:crossBetween val="between"/>
      </c:valAx>
      <c:spPr>
        <a:noFill/>
        <a:ln w="0"/>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'Migrace-celkem'!$A$44</c:f>
              <c:strCache>
                <c:ptCount val="1"/>
                <c:pt idx="0">
                  <c:v>přistěhovalí</c:v>
                </c:pt>
              </c:strCache>
            </c:strRef>
          </c:tx>
          <c:marker>
            <c:symbol val="none"/>
          </c:marker>
          <c:cat>
            <c:numRef>
              <c:f>'Migrace-celkem'!$B$43:$Q$43</c:f>
              <c:numCache>
                <c:formatCode>General</c:formatCod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numCache>
            </c:numRef>
          </c:cat>
          <c:val>
            <c:numRef>
              <c:f>'Migrace-celkem'!$B$44:$Q$44</c:f>
              <c:numCache>
                <c:formatCode>#,##0_ ;\-#,##0\ </c:formatCode>
                <c:ptCount val="16"/>
                <c:pt idx="0">
                  <c:v>5903</c:v>
                </c:pt>
                <c:pt idx="1">
                  <c:v>7408</c:v>
                </c:pt>
                <c:pt idx="2">
                  <c:v>9949</c:v>
                </c:pt>
                <c:pt idx="3">
                  <c:v>7943</c:v>
                </c:pt>
                <c:pt idx="4">
                  <c:v>6810</c:v>
                </c:pt>
                <c:pt idx="5">
                  <c:v>4227</c:v>
                </c:pt>
                <c:pt idx="6">
                  <c:v>11323</c:v>
                </c:pt>
                <c:pt idx="7">
                  <c:v>43648</c:v>
                </c:pt>
                <c:pt idx="8">
                  <c:v>57438</c:v>
                </c:pt>
                <c:pt idx="9">
                  <c:v>50804</c:v>
                </c:pt>
                <c:pt idx="10">
                  <c:v>58576</c:v>
                </c:pt>
                <c:pt idx="11">
                  <c:v>66125</c:v>
                </c:pt>
                <c:pt idx="12">
                  <c:v>102511</c:v>
                </c:pt>
                <c:pt idx="13">
                  <c:v>76151</c:v>
                </c:pt>
                <c:pt idx="14">
                  <c:v>38199</c:v>
                </c:pt>
                <c:pt idx="15">
                  <c:v>28046</c:v>
                </c:pt>
              </c:numCache>
            </c:numRef>
          </c:val>
          <c:smooth val="0"/>
        </c:ser>
        <c:ser>
          <c:idx val="2"/>
          <c:order val="1"/>
          <c:tx>
            <c:strRef>
              <c:f>'Migrace-celkem'!$A$45</c:f>
              <c:strCache>
                <c:ptCount val="1"/>
                <c:pt idx="0">
                  <c:v>vystěhovalí</c:v>
                </c:pt>
              </c:strCache>
            </c:strRef>
          </c:tx>
          <c:marker>
            <c:symbol val="none"/>
          </c:marker>
          <c:cat>
            <c:numRef>
              <c:f>'Migrace-celkem'!$B$43:$Q$43</c:f>
              <c:numCache>
                <c:formatCode>General</c:formatCod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numCache>
            </c:numRef>
          </c:cat>
          <c:val>
            <c:numRef>
              <c:f>'Migrace-celkem'!$B$45:$Q$45</c:f>
              <c:numCache>
                <c:formatCode>#,##0_ ;\-#,##0\ </c:formatCode>
                <c:ptCount val="16"/>
                <c:pt idx="0">
                  <c:v>-84</c:v>
                </c:pt>
                <c:pt idx="1">
                  <c:v>-153</c:v>
                </c:pt>
                <c:pt idx="2">
                  <c:v>-119</c:v>
                </c:pt>
                <c:pt idx="3">
                  <c:v>-167</c:v>
                </c:pt>
                <c:pt idx="4">
                  <c:v>-123</c:v>
                </c:pt>
                <c:pt idx="5">
                  <c:v>-161</c:v>
                </c:pt>
                <c:pt idx="6">
                  <c:v>-20566</c:v>
                </c:pt>
                <c:pt idx="7">
                  <c:v>-31091</c:v>
                </c:pt>
                <c:pt idx="8">
                  <c:v>-33203</c:v>
                </c:pt>
                <c:pt idx="9">
                  <c:v>-33784</c:v>
                </c:pt>
                <c:pt idx="10">
                  <c:v>-21796</c:v>
                </c:pt>
                <c:pt idx="11">
                  <c:v>-31388</c:v>
                </c:pt>
                <c:pt idx="12">
                  <c:v>-18424</c:v>
                </c:pt>
                <c:pt idx="13">
                  <c:v>-3821</c:v>
                </c:pt>
                <c:pt idx="14">
                  <c:v>-9350</c:v>
                </c:pt>
                <c:pt idx="15">
                  <c:v>-12481</c:v>
                </c:pt>
              </c:numCache>
            </c:numRef>
          </c:val>
          <c:smooth val="0"/>
        </c:ser>
        <c:ser>
          <c:idx val="3"/>
          <c:order val="2"/>
          <c:tx>
            <c:strRef>
              <c:f>'Migrace-celkem'!$A$46</c:f>
              <c:strCache>
                <c:ptCount val="1"/>
                <c:pt idx="0">
                  <c:v>saldo</c:v>
                </c:pt>
              </c:strCache>
            </c:strRef>
          </c:tx>
          <c:marker>
            <c:symbol val="none"/>
          </c:marker>
          <c:cat>
            <c:numRef>
              <c:f>'Migrace-celkem'!$B$43:$Q$43</c:f>
              <c:numCache>
                <c:formatCode>General</c:formatCod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numCache>
            </c:numRef>
          </c:cat>
          <c:val>
            <c:numRef>
              <c:f>'Migrace-celkem'!$B$46:$Q$46</c:f>
              <c:numCache>
                <c:formatCode>#,##0_ ;\-#,##0\ </c:formatCode>
                <c:ptCount val="16"/>
                <c:pt idx="0">
                  <c:v>5819</c:v>
                </c:pt>
                <c:pt idx="1">
                  <c:v>7255</c:v>
                </c:pt>
                <c:pt idx="2">
                  <c:v>9830</c:v>
                </c:pt>
                <c:pt idx="3">
                  <c:v>7776</c:v>
                </c:pt>
                <c:pt idx="4">
                  <c:v>6687</c:v>
                </c:pt>
                <c:pt idx="5">
                  <c:v>4066</c:v>
                </c:pt>
                <c:pt idx="6">
                  <c:v>-9243</c:v>
                </c:pt>
                <c:pt idx="7">
                  <c:v>12557</c:v>
                </c:pt>
                <c:pt idx="8">
                  <c:v>24235</c:v>
                </c:pt>
                <c:pt idx="9">
                  <c:v>17020</c:v>
                </c:pt>
                <c:pt idx="10">
                  <c:v>36780</c:v>
                </c:pt>
                <c:pt idx="11">
                  <c:v>34737</c:v>
                </c:pt>
                <c:pt idx="12">
                  <c:v>84087</c:v>
                </c:pt>
                <c:pt idx="13">
                  <c:v>72330</c:v>
                </c:pt>
                <c:pt idx="14">
                  <c:v>28849</c:v>
                </c:pt>
                <c:pt idx="15">
                  <c:v>15565</c:v>
                </c:pt>
              </c:numCache>
            </c:numRef>
          </c:val>
          <c:smooth val="0"/>
        </c:ser>
        <c:dLbls>
          <c:showLegendKey val="0"/>
          <c:showVal val="0"/>
          <c:showCatName val="0"/>
          <c:showSerName val="0"/>
          <c:showPercent val="0"/>
          <c:showBubbleSize val="0"/>
        </c:dLbls>
        <c:marker val="1"/>
        <c:smooth val="0"/>
        <c:axId val="187524992"/>
        <c:axId val="187526528"/>
      </c:lineChart>
      <c:catAx>
        <c:axId val="187524992"/>
        <c:scaling>
          <c:orientation val="minMax"/>
        </c:scaling>
        <c:delete val="0"/>
        <c:axPos val="b"/>
        <c:numFmt formatCode="General" sourceLinked="1"/>
        <c:majorTickMark val="out"/>
        <c:minorTickMark val="none"/>
        <c:tickLblPos val="nextTo"/>
        <c:crossAx val="187526528"/>
        <c:crosses val="autoZero"/>
        <c:auto val="1"/>
        <c:lblAlgn val="ctr"/>
        <c:lblOffset val="100"/>
        <c:noMultiLvlLbl val="0"/>
      </c:catAx>
      <c:valAx>
        <c:axId val="187526528"/>
        <c:scaling>
          <c:orientation val="minMax"/>
          <c:max val="110000"/>
          <c:min val="-4000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_ ;\-#,##0\ " sourceLinked="1"/>
        <c:majorTickMark val="out"/>
        <c:minorTickMark val="none"/>
        <c:tickLblPos val="nextTo"/>
        <c:crossAx val="187524992"/>
        <c:crosses val="autoZero"/>
        <c:crossBetween val="between"/>
        <c:majorUnit val="10000"/>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1B341-2003-48BD-8D3C-323E2549B444}" type="doc">
      <dgm:prSet loTypeId="urn:microsoft.com/office/officeart/2005/8/layout/pyramid3" loCatId="pyramid" qsTypeId="urn:microsoft.com/office/officeart/2005/8/quickstyle/simple1" qsCatId="simple" csTypeId="urn:microsoft.com/office/officeart/2005/8/colors/accent1_2" csCatId="accent1" phldr="1"/>
      <dgm:spPr/>
      <dgm:t>
        <a:bodyPr/>
        <a:lstStyle/>
        <a:p>
          <a:endParaRPr lang="cs-CZ"/>
        </a:p>
      </dgm:t>
    </dgm:pt>
    <dgm:pt modelId="{563E9E12-8F78-4CFB-8909-D89AF4232948}">
      <dgm:prSet phldrT="[Text]" custT="1"/>
      <dgm:spPr>
        <a:solidFill>
          <a:schemeClr val="bg1">
            <a:lumMod val="65000"/>
          </a:schemeClr>
        </a:solidFill>
      </dgm:spPr>
      <dgm:t>
        <a:bodyPr/>
        <a:lstStyle/>
        <a:p>
          <a:pPr algn="ctr"/>
          <a:r>
            <a:rPr lang="cs-CZ" sz="1400" b="1"/>
            <a:t>Výzkum a </a:t>
          </a:r>
          <a:r>
            <a:rPr lang="cs-CZ" sz="1400" b="1" baseline="0"/>
            <a:t>vývoj</a:t>
          </a:r>
        </a:p>
      </dgm:t>
    </dgm:pt>
    <dgm:pt modelId="{C202528C-15B0-463F-A5EA-23D74563873C}" type="parTrans" cxnId="{D1827AA3-8672-4E88-9CE5-FB3A9E5ACA73}">
      <dgm:prSet/>
      <dgm:spPr/>
      <dgm:t>
        <a:bodyPr/>
        <a:lstStyle/>
        <a:p>
          <a:pPr algn="ctr"/>
          <a:endParaRPr lang="cs-CZ"/>
        </a:p>
      </dgm:t>
    </dgm:pt>
    <dgm:pt modelId="{6DA622C5-6D0B-48C6-A433-D16C4B59EAAC}" type="sibTrans" cxnId="{D1827AA3-8672-4E88-9CE5-FB3A9E5ACA73}">
      <dgm:prSet/>
      <dgm:spPr/>
      <dgm:t>
        <a:bodyPr/>
        <a:lstStyle/>
        <a:p>
          <a:pPr algn="ctr"/>
          <a:endParaRPr lang="cs-CZ"/>
        </a:p>
      </dgm:t>
    </dgm:pt>
    <dgm:pt modelId="{2976880C-B1A7-4182-94BA-83A17348563E}">
      <dgm:prSet phldrT="[Text]" custT="1"/>
      <dgm:spPr>
        <a:solidFill>
          <a:schemeClr val="bg1">
            <a:lumMod val="65000"/>
          </a:schemeClr>
        </a:solidFill>
      </dgm:spPr>
      <dgm:t>
        <a:bodyPr/>
        <a:lstStyle/>
        <a:p>
          <a:pPr algn="ctr"/>
          <a:r>
            <a:rPr lang="cs-CZ" sz="1350" b="1"/>
            <a:t>Marketing a </a:t>
          </a:r>
          <a:r>
            <a:rPr lang="cs-CZ" sz="1350" b="1" baseline="0"/>
            <a:t>prodej</a:t>
          </a:r>
        </a:p>
      </dgm:t>
    </dgm:pt>
    <dgm:pt modelId="{2D986E18-A811-4428-83B0-925F8BEEE7A5}" type="parTrans" cxnId="{185B03B4-43F9-4582-83BF-768B079C9D8C}">
      <dgm:prSet/>
      <dgm:spPr/>
      <dgm:t>
        <a:bodyPr/>
        <a:lstStyle/>
        <a:p>
          <a:pPr algn="ctr"/>
          <a:endParaRPr lang="cs-CZ"/>
        </a:p>
      </dgm:t>
    </dgm:pt>
    <dgm:pt modelId="{30FBE4E0-2E3C-46F2-9329-6698ED1D64E4}" type="sibTrans" cxnId="{185B03B4-43F9-4582-83BF-768B079C9D8C}">
      <dgm:prSet/>
      <dgm:spPr/>
      <dgm:t>
        <a:bodyPr/>
        <a:lstStyle/>
        <a:p>
          <a:pPr algn="ctr"/>
          <a:endParaRPr lang="cs-CZ"/>
        </a:p>
      </dgm:t>
    </dgm:pt>
    <dgm:pt modelId="{05518C28-25EF-4B0A-B0B7-DC685CF870F2}">
      <dgm:prSet phldrT="[Text]" custT="1"/>
      <dgm:spPr>
        <a:solidFill>
          <a:schemeClr val="bg1">
            <a:lumMod val="65000"/>
          </a:schemeClr>
        </a:solidFill>
      </dgm:spPr>
      <dgm:t>
        <a:bodyPr/>
        <a:lstStyle/>
        <a:p>
          <a:pPr algn="ctr"/>
          <a:r>
            <a:rPr lang="cs-CZ" sz="1300" b="1"/>
            <a:t>Projektová </a:t>
          </a:r>
          <a:r>
            <a:rPr lang="cs-CZ" sz="1300" b="1" baseline="0"/>
            <a:t>činnost</a:t>
          </a:r>
        </a:p>
      </dgm:t>
    </dgm:pt>
    <dgm:pt modelId="{E171AF6D-A4F3-47D7-8C4D-AFC72AFA2658}" type="parTrans" cxnId="{EDAF69FE-D248-497D-AA03-2D83BA4C5AA9}">
      <dgm:prSet/>
      <dgm:spPr/>
      <dgm:t>
        <a:bodyPr/>
        <a:lstStyle/>
        <a:p>
          <a:pPr algn="ctr"/>
          <a:endParaRPr lang="cs-CZ"/>
        </a:p>
      </dgm:t>
    </dgm:pt>
    <dgm:pt modelId="{90698877-CB49-4D43-BAA4-44DB4ED25343}" type="sibTrans" cxnId="{EDAF69FE-D248-497D-AA03-2D83BA4C5AA9}">
      <dgm:prSet/>
      <dgm:spPr/>
      <dgm:t>
        <a:bodyPr/>
        <a:lstStyle/>
        <a:p>
          <a:pPr algn="ctr"/>
          <a:endParaRPr lang="cs-CZ"/>
        </a:p>
      </dgm:t>
    </dgm:pt>
    <dgm:pt modelId="{98FAFCF1-4E33-4B83-BADA-E6A723926DD7}">
      <dgm:prSet custT="1"/>
      <dgm:spPr>
        <a:solidFill>
          <a:schemeClr val="bg1">
            <a:lumMod val="85000"/>
          </a:schemeClr>
        </a:solidFill>
      </dgm:spPr>
      <dgm:t>
        <a:bodyPr/>
        <a:lstStyle/>
        <a:p>
          <a:pPr algn="ctr"/>
          <a:r>
            <a:rPr lang="cs-CZ" sz="1250" baseline="0"/>
            <a:t>Řízení lidských zdrojů</a:t>
          </a:r>
        </a:p>
      </dgm:t>
    </dgm:pt>
    <dgm:pt modelId="{66FB205E-0B55-4A21-800C-4504DE50C23F}" type="parTrans" cxnId="{97BE7B29-4EF9-4037-8E77-0A7213412CCA}">
      <dgm:prSet/>
      <dgm:spPr/>
      <dgm:t>
        <a:bodyPr/>
        <a:lstStyle/>
        <a:p>
          <a:pPr algn="ctr"/>
          <a:endParaRPr lang="cs-CZ"/>
        </a:p>
      </dgm:t>
    </dgm:pt>
    <dgm:pt modelId="{E088503C-7087-4934-B14F-CFFF5FB0DA68}" type="sibTrans" cxnId="{97BE7B29-4EF9-4037-8E77-0A7213412CCA}">
      <dgm:prSet/>
      <dgm:spPr/>
      <dgm:t>
        <a:bodyPr/>
        <a:lstStyle/>
        <a:p>
          <a:pPr algn="ctr"/>
          <a:endParaRPr lang="cs-CZ"/>
        </a:p>
      </dgm:t>
    </dgm:pt>
    <dgm:pt modelId="{20A2EC84-1794-4FD6-9BF3-20C65BA17787}">
      <dgm:prSet custT="1"/>
      <dgm:spPr>
        <a:solidFill>
          <a:schemeClr val="bg1">
            <a:lumMod val="85000"/>
          </a:schemeClr>
        </a:solidFill>
      </dgm:spPr>
      <dgm:t>
        <a:bodyPr/>
        <a:lstStyle/>
        <a:p>
          <a:pPr algn="ctr"/>
          <a:r>
            <a:rPr lang="cs-CZ" sz="1200" baseline="0"/>
            <a:t>Finance</a:t>
          </a:r>
        </a:p>
      </dgm:t>
    </dgm:pt>
    <dgm:pt modelId="{5F25662B-C758-4E5A-8CD8-7D019660C6F5}" type="parTrans" cxnId="{981B235B-DBA1-4324-82FF-35F0609DAED5}">
      <dgm:prSet/>
      <dgm:spPr/>
      <dgm:t>
        <a:bodyPr/>
        <a:lstStyle/>
        <a:p>
          <a:pPr algn="ctr"/>
          <a:endParaRPr lang="cs-CZ"/>
        </a:p>
      </dgm:t>
    </dgm:pt>
    <dgm:pt modelId="{49F4869E-5C94-48FE-B378-788A8750D0B3}" type="sibTrans" cxnId="{981B235B-DBA1-4324-82FF-35F0609DAED5}">
      <dgm:prSet/>
      <dgm:spPr/>
      <dgm:t>
        <a:bodyPr/>
        <a:lstStyle/>
        <a:p>
          <a:pPr algn="ctr"/>
          <a:endParaRPr lang="cs-CZ"/>
        </a:p>
      </dgm:t>
    </dgm:pt>
    <dgm:pt modelId="{97896F8A-B7D6-4493-B357-FAE00C417FCD}">
      <dgm:prSet custT="1"/>
      <dgm:spPr>
        <a:solidFill>
          <a:schemeClr val="bg1">
            <a:lumMod val="85000"/>
          </a:schemeClr>
        </a:solidFill>
      </dgm:spPr>
      <dgm:t>
        <a:bodyPr/>
        <a:lstStyle/>
        <a:p>
          <a:pPr algn="ctr"/>
          <a:r>
            <a:rPr lang="cs-CZ" sz="1150" baseline="0"/>
            <a:t>Logistika</a:t>
          </a:r>
        </a:p>
      </dgm:t>
    </dgm:pt>
    <dgm:pt modelId="{F1E4A4F6-0EF5-433C-81FB-A07D5EDF17A0}" type="parTrans" cxnId="{EF93BE1C-7195-4F1C-90FC-D2E35F4BF2CE}">
      <dgm:prSet/>
      <dgm:spPr/>
      <dgm:t>
        <a:bodyPr/>
        <a:lstStyle/>
        <a:p>
          <a:pPr algn="ctr"/>
          <a:endParaRPr lang="cs-CZ"/>
        </a:p>
      </dgm:t>
    </dgm:pt>
    <dgm:pt modelId="{DC2FDD0B-6BF0-4C47-A65C-518DF7BFB56A}" type="sibTrans" cxnId="{EF93BE1C-7195-4F1C-90FC-D2E35F4BF2CE}">
      <dgm:prSet/>
      <dgm:spPr/>
      <dgm:t>
        <a:bodyPr/>
        <a:lstStyle/>
        <a:p>
          <a:pPr algn="ctr"/>
          <a:endParaRPr lang="cs-CZ"/>
        </a:p>
      </dgm:t>
    </dgm:pt>
    <dgm:pt modelId="{822B58F5-7361-4DFD-BB8D-6E74E9809988}">
      <dgm:prSet custT="1"/>
      <dgm:spPr>
        <a:solidFill>
          <a:schemeClr val="bg1">
            <a:lumMod val="85000"/>
          </a:schemeClr>
        </a:solidFill>
      </dgm:spPr>
      <dgm:t>
        <a:bodyPr/>
        <a:lstStyle/>
        <a:p>
          <a:pPr algn="ctr"/>
          <a:r>
            <a:rPr lang="cs-CZ" sz="1100" baseline="0"/>
            <a:t>Výroba</a:t>
          </a:r>
        </a:p>
      </dgm:t>
    </dgm:pt>
    <dgm:pt modelId="{9CB48DD6-F6E8-435F-B2B4-B5E1F3886517}" type="parTrans" cxnId="{10329B8C-4447-4B0B-80CC-4E12F74AFAFD}">
      <dgm:prSet/>
      <dgm:spPr/>
      <dgm:t>
        <a:bodyPr/>
        <a:lstStyle/>
        <a:p>
          <a:pPr algn="ctr"/>
          <a:endParaRPr lang="cs-CZ"/>
        </a:p>
      </dgm:t>
    </dgm:pt>
    <dgm:pt modelId="{2D297EF9-A226-426F-9E0C-8CFD00243AD0}" type="sibTrans" cxnId="{10329B8C-4447-4B0B-80CC-4E12F74AFAFD}">
      <dgm:prSet/>
      <dgm:spPr/>
      <dgm:t>
        <a:bodyPr/>
        <a:lstStyle/>
        <a:p>
          <a:pPr algn="ctr"/>
          <a:endParaRPr lang="cs-CZ"/>
        </a:p>
      </dgm:t>
    </dgm:pt>
    <dgm:pt modelId="{BC3525ED-02FF-4444-AF8B-64CF48823260}" type="pres">
      <dgm:prSet presAssocID="{6E71B341-2003-48BD-8D3C-323E2549B444}" presName="Name0" presStyleCnt="0">
        <dgm:presLayoutVars>
          <dgm:dir/>
          <dgm:animLvl val="lvl"/>
          <dgm:resizeHandles val="exact"/>
        </dgm:presLayoutVars>
      </dgm:prSet>
      <dgm:spPr/>
      <dgm:t>
        <a:bodyPr/>
        <a:lstStyle/>
        <a:p>
          <a:endParaRPr lang="cs-CZ"/>
        </a:p>
      </dgm:t>
    </dgm:pt>
    <dgm:pt modelId="{FACA5DE3-8FAE-4C2A-B11C-FCDAC9ED3278}" type="pres">
      <dgm:prSet presAssocID="{563E9E12-8F78-4CFB-8909-D89AF4232948}" presName="Name8" presStyleCnt="0"/>
      <dgm:spPr/>
    </dgm:pt>
    <dgm:pt modelId="{E3F7EAC4-9660-4493-9FBB-5DF559B3538A}" type="pres">
      <dgm:prSet presAssocID="{563E9E12-8F78-4CFB-8909-D89AF4232948}" presName="level" presStyleLbl="node1" presStyleIdx="0" presStyleCnt="7">
        <dgm:presLayoutVars>
          <dgm:chMax val="1"/>
          <dgm:bulletEnabled val="1"/>
        </dgm:presLayoutVars>
      </dgm:prSet>
      <dgm:spPr/>
      <dgm:t>
        <a:bodyPr/>
        <a:lstStyle/>
        <a:p>
          <a:endParaRPr lang="cs-CZ"/>
        </a:p>
      </dgm:t>
    </dgm:pt>
    <dgm:pt modelId="{F9150124-19F8-4285-A941-0D47768E2E3D}" type="pres">
      <dgm:prSet presAssocID="{563E9E12-8F78-4CFB-8909-D89AF4232948}" presName="levelTx" presStyleLbl="revTx" presStyleIdx="0" presStyleCnt="0">
        <dgm:presLayoutVars>
          <dgm:chMax val="1"/>
          <dgm:bulletEnabled val="1"/>
        </dgm:presLayoutVars>
      </dgm:prSet>
      <dgm:spPr/>
      <dgm:t>
        <a:bodyPr/>
        <a:lstStyle/>
        <a:p>
          <a:endParaRPr lang="cs-CZ"/>
        </a:p>
      </dgm:t>
    </dgm:pt>
    <dgm:pt modelId="{2C70B0B2-1DAA-4BEF-849C-0484200C03D3}" type="pres">
      <dgm:prSet presAssocID="{2976880C-B1A7-4182-94BA-83A17348563E}" presName="Name8" presStyleCnt="0"/>
      <dgm:spPr/>
    </dgm:pt>
    <dgm:pt modelId="{E71BA6FE-8464-4939-B5A9-5C635A4CD25D}" type="pres">
      <dgm:prSet presAssocID="{2976880C-B1A7-4182-94BA-83A17348563E}" presName="level" presStyleLbl="node1" presStyleIdx="1" presStyleCnt="7">
        <dgm:presLayoutVars>
          <dgm:chMax val="1"/>
          <dgm:bulletEnabled val="1"/>
        </dgm:presLayoutVars>
      </dgm:prSet>
      <dgm:spPr/>
      <dgm:t>
        <a:bodyPr/>
        <a:lstStyle/>
        <a:p>
          <a:endParaRPr lang="cs-CZ"/>
        </a:p>
      </dgm:t>
    </dgm:pt>
    <dgm:pt modelId="{33F7DD84-3914-4A80-BA0F-515FCCD8970D}" type="pres">
      <dgm:prSet presAssocID="{2976880C-B1A7-4182-94BA-83A17348563E}" presName="levelTx" presStyleLbl="revTx" presStyleIdx="0" presStyleCnt="0">
        <dgm:presLayoutVars>
          <dgm:chMax val="1"/>
          <dgm:bulletEnabled val="1"/>
        </dgm:presLayoutVars>
      </dgm:prSet>
      <dgm:spPr/>
      <dgm:t>
        <a:bodyPr/>
        <a:lstStyle/>
        <a:p>
          <a:endParaRPr lang="cs-CZ"/>
        </a:p>
      </dgm:t>
    </dgm:pt>
    <dgm:pt modelId="{F6274A59-44F0-4599-A9E3-BC201C1B4B18}" type="pres">
      <dgm:prSet presAssocID="{05518C28-25EF-4B0A-B0B7-DC685CF870F2}" presName="Name8" presStyleCnt="0"/>
      <dgm:spPr/>
    </dgm:pt>
    <dgm:pt modelId="{5925C2F6-224A-4446-9D4A-EEFE65DB8012}" type="pres">
      <dgm:prSet presAssocID="{05518C28-25EF-4B0A-B0B7-DC685CF870F2}" presName="level" presStyleLbl="node1" presStyleIdx="2" presStyleCnt="7">
        <dgm:presLayoutVars>
          <dgm:chMax val="1"/>
          <dgm:bulletEnabled val="1"/>
        </dgm:presLayoutVars>
      </dgm:prSet>
      <dgm:spPr/>
      <dgm:t>
        <a:bodyPr/>
        <a:lstStyle/>
        <a:p>
          <a:endParaRPr lang="cs-CZ"/>
        </a:p>
      </dgm:t>
    </dgm:pt>
    <dgm:pt modelId="{96033A2C-8983-4F17-AAFF-232796AA4B99}" type="pres">
      <dgm:prSet presAssocID="{05518C28-25EF-4B0A-B0B7-DC685CF870F2}" presName="levelTx" presStyleLbl="revTx" presStyleIdx="0" presStyleCnt="0">
        <dgm:presLayoutVars>
          <dgm:chMax val="1"/>
          <dgm:bulletEnabled val="1"/>
        </dgm:presLayoutVars>
      </dgm:prSet>
      <dgm:spPr/>
      <dgm:t>
        <a:bodyPr/>
        <a:lstStyle/>
        <a:p>
          <a:endParaRPr lang="cs-CZ"/>
        </a:p>
      </dgm:t>
    </dgm:pt>
    <dgm:pt modelId="{28602928-A96C-4F4C-845C-938E1D82E14D}" type="pres">
      <dgm:prSet presAssocID="{98FAFCF1-4E33-4B83-BADA-E6A723926DD7}" presName="Name8" presStyleCnt="0"/>
      <dgm:spPr/>
    </dgm:pt>
    <dgm:pt modelId="{DCFE704E-F07A-4BB8-8399-3E2FA6DF36D7}" type="pres">
      <dgm:prSet presAssocID="{98FAFCF1-4E33-4B83-BADA-E6A723926DD7}" presName="level" presStyleLbl="node1" presStyleIdx="3" presStyleCnt="7">
        <dgm:presLayoutVars>
          <dgm:chMax val="1"/>
          <dgm:bulletEnabled val="1"/>
        </dgm:presLayoutVars>
      </dgm:prSet>
      <dgm:spPr/>
      <dgm:t>
        <a:bodyPr/>
        <a:lstStyle/>
        <a:p>
          <a:endParaRPr lang="cs-CZ"/>
        </a:p>
      </dgm:t>
    </dgm:pt>
    <dgm:pt modelId="{17078517-149C-45DB-A492-7818E10A16E4}" type="pres">
      <dgm:prSet presAssocID="{98FAFCF1-4E33-4B83-BADA-E6A723926DD7}" presName="levelTx" presStyleLbl="revTx" presStyleIdx="0" presStyleCnt="0">
        <dgm:presLayoutVars>
          <dgm:chMax val="1"/>
          <dgm:bulletEnabled val="1"/>
        </dgm:presLayoutVars>
      </dgm:prSet>
      <dgm:spPr/>
      <dgm:t>
        <a:bodyPr/>
        <a:lstStyle/>
        <a:p>
          <a:endParaRPr lang="cs-CZ"/>
        </a:p>
      </dgm:t>
    </dgm:pt>
    <dgm:pt modelId="{5034EF39-AB22-4E2C-A5AE-6D1FB407A071}" type="pres">
      <dgm:prSet presAssocID="{20A2EC84-1794-4FD6-9BF3-20C65BA17787}" presName="Name8" presStyleCnt="0"/>
      <dgm:spPr/>
    </dgm:pt>
    <dgm:pt modelId="{72D8C20D-0D85-4949-A57D-27F20DF647FB}" type="pres">
      <dgm:prSet presAssocID="{20A2EC84-1794-4FD6-9BF3-20C65BA17787}" presName="level" presStyleLbl="node1" presStyleIdx="4" presStyleCnt="7">
        <dgm:presLayoutVars>
          <dgm:chMax val="1"/>
          <dgm:bulletEnabled val="1"/>
        </dgm:presLayoutVars>
      </dgm:prSet>
      <dgm:spPr/>
      <dgm:t>
        <a:bodyPr/>
        <a:lstStyle/>
        <a:p>
          <a:endParaRPr lang="cs-CZ"/>
        </a:p>
      </dgm:t>
    </dgm:pt>
    <dgm:pt modelId="{FF0DEFE2-08EC-483C-B4C4-C9F6F31D2D69}" type="pres">
      <dgm:prSet presAssocID="{20A2EC84-1794-4FD6-9BF3-20C65BA17787}" presName="levelTx" presStyleLbl="revTx" presStyleIdx="0" presStyleCnt="0">
        <dgm:presLayoutVars>
          <dgm:chMax val="1"/>
          <dgm:bulletEnabled val="1"/>
        </dgm:presLayoutVars>
      </dgm:prSet>
      <dgm:spPr/>
      <dgm:t>
        <a:bodyPr/>
        <a:lstStyle/>
        <a:p>
          <a:endParaRPr lang="cs-CZ"/>
        </a:p>
      </dgm:t>
    </dgm:pt>
    <dgm:pt modelId="{7E509AF3-780D-44C4-A65C-6B46C389DA1A}" type="pres">
      <dgm:prSet presAssocID="{97896F8A-B7D6-4493-B357-FAE00C417FCD}" presName="Name8" presStyleCnt="0"/>
      <dgm:spPr/>
    </dgm:pt>
    <dgm:pt modelId="{9295D0BC-33CF-4059-B06D-0A361072D967}" type="pres">
      <dgm:prSet presAssocID="{97896F8A-B7D6-4493-B357-FAE00C417FCD}" presName="level" presStyleLbl="node1" presStyleIdx="5" presStyleCnt="7">
        <dgm:presLayoutVars>
          <dgm:chMax val="1"/>
          <dgm:bulletEnabled val="1"/>
        </dgm:presLayoutVars>
      </dgm:prSet>
      <dgm:spPr/>
      <dgm:t>
        <a:bodyPr/>
        <a:lstStyle/>
        <a:p>
          <a:endParaRPr lang="cs-CZ"/>
        </a:p>
      </dgm:t>
    </dgm:pt>
    <dgm:pt modelId="{C5A22AC2-BADB-4921-8060-38FA1272954B}" type="pres">
      <dgm:prSet presAssocID="{97896F8A-B7D6-4493-B357-FAE00C417FCD}" presName="levelTx" presStyleLbl="revTx" presStyleIdx="0" presStyleCnt="0">
        <dgm:presLayoutVars>
          <dgm:chMax val="1"/>
          <dgm:bulletEnabled val="1"/>
        </dgm:presLayoutVars>
      </dgm:prSet>
      <dgm:spPr/>
      <dgm:t>
        <a:bodyPr/>
        <a:lstStyle/>
        <a:p>
          <a:endParaRPr lang="cs-CZ"/>
        </a:p>
      </dgm:t>
    </dgm:pt>
    <dgm:pt modelId="{963E13C7-64D5-4296-8920-48BAAFAF1793}" type="pres">
      <dgm:prSet presAssocID="{822B58F5-7361-4DFD-BB8D-6E74E9809988}" presName="Name8" presStyleCnt="0"/>
      <dgm:spPr/>
    </dgm:pt>
    <dgm:pt modelId="{7725C768-621C-433F-9B83-257A7A06867A}" type="pres">
      <dgm:prSet presAssocID="{822B58F5-7361-4DFD-BB8D-6E74E9809988}" presName="level" presStyleLbl="node1" presStyleIdx="6" presStyleCnt="7">
        <dgm:presLayoutVars>
          <dgm:chMax val="1"/>
          <dgm:bulletEnabled val="1"/>
        </dgm:presLayoutVars>
      </dgm:prSet>
      <dgm:spPr/>
      <dgm:t>
        <a:bodyPr/>
        <a:lstStyle/>
        <a:p>
          <a:endParaRPr lang="cs-CZ"/>
        </a:p>
      </dgm:t>
    </dgm:pt>
    <dgm:pt modelId="{FDB87B9C-17BF-4D3C-9798-E0B71C6A7528}" type="pres">
      <dgm:prSet presAssocID="{822B58F5-7361-4DFD-BB8D-6E74E9809988}" presName="levelTx" presStyleLbl="revTx" presStyleIdx="0" presStyleCnt="0">
        <dgm:presLayoutVars>
          <dgm:chMax val="1"/>
          <dgm:bulletEnabled val="1"/>
        </dgm:presLayoutVars>
      </dgm:prSet>
      <dgm:spPr/>
      <dgm:t>
        <a:bodyPr/>
        <a:lstStyle/>
        <a:p>
          <a:endParaRPr lang="cs-CZ"/>
        </a:p>
      </dgm:t>
    </dgm:pt>
  </dgm:ptLst>
  <dgm:cxnLst>
    <dgm:cxn modelId="{0E8006D6-B6A0-4102-9434-1FD65B396E2E}" type="presOf" srcId="{20A2EC84-1794-4FD6-9BF3-20C65BA17787}" destId="{72D8C20D-0D85-4949-A57D-27F20DF647FB}" srcOrd="0" destOrd="0" presId="urn:microsoft.com/office/officeart/2005/8/layout/pyramid3"/>
    <dgm:cxn modelId="{EF93BE1C-7195-4F1C-90FC-D2E35F4BF2CE}" srcId="{6E71B341-2003-48BD-8D3C-323E2549B444}" destId="{97896F8A-B7D6-4493-B357-FAE00C417FCD}" srcOrd="5" destOrd="0" parTransId="{F1E4A4F6-0EF5-433C-81FB-A07D5EDF17A0}" sibTransId="{DC2FDD0B-6BF0-4C47-A65C-518DF7BFB56A}"/>
    <dgm:cxn modelId="{185B03B4-43F9-4582-83BF-768B079C9D8C}" srcId="{6E71B341-2003-48BD-8D3C-323E2549B444}" destId="{2976880C-B1A7-4182-94BA-83A17348563E}" srcOrd="1" destOrd="0" parTransId="{2D986E18-A811-4428-83B0-925F8BEEE7A5}" sibTransId="{30FBE4E0-2E3C-46F2-9329-6698ED1D64E4}"/>
    <dgm:cxn modelId="{4E15DE7F-50A3-4E70-9392-B446DCC00B4D}" type="presOf" srcId="{97896F8A-B7D6-4493-B357-FAE00C417FCD}" destId="{9295D0BC-33CF-4059-B06D-0A361072D967}" srcOrd="0" destOrd="0" presId="urn:microsoft.com/office/officeart/2005/8/layout/pyramid3"/>
    <dgm:cxn modelId="{D9016736-7649-44E1-8C8C-9AAD4969D23B}" type="presOf" srcId="{563E9E12-8F78-4CFB-8909-D89AF4232948}" destId="{E3F7EAC4-9660-4493-9FBB-5DF559B3538A}" srcOrd="0" destOrd="0" presId="urn:microsoft.com/office/officeart/2005/8/layout/pyramid3"/>
    <dgm:cxn modelId="{EDAF69FE-D248-497D-AA03-2D83BA4C5AA9}" srcId="{6E71B341-2003-48BD-8D3C-323E2549B444}" destId="{05518C28-25EF-4B0A-B0B7-DC685CF870F2}" srcOrd="2" destOrd="0" parTransId="{E171AF6D-A4F3-47D7-8C4D-AFC72AFA2658}" sibTransId="{90698877-CB49-4D43-BAA4-44DB4ED25343}"/>
    <dgm:cxn modelId="{12DDE925-D4A5-4DF6-882C-62DC7BC95FE4}" type="presOf" srcId="{97896F8A-B7D6-4493-B357-FAE00C417FCD}" destId="{C5A22AC2-BADB-4921-8060-38FA1272954B}" srcOrd="1" destOrd="0" presId="urn:microsoft.com/office/officeart/2005/8/layout/pyramid3"/>
    <dgm:cxn modelId="{D46898DE-871D-46EC-9DCA-431ED973D96B}" type="presOf" srcId="{05518C28-25EF-4B0A-B0B7-DC685CF870F2}" destId="{5925C2F6-224A-4446-9D4A-EEFE65DB8012}" srcOrd="0" destOrd="0" presId="urn:microsoft.com/office/officeart/2005/8/layout/pyramid3"/>
    <dgm:cxn modelId="{D1827AA3-8672-4E88-9CE5-FB3A9E5ACA73}" srcId="{6E71B341-2003-48BD-8D3C-323E2549B444}" destId="{563E9E12-8F78-4CFB-8909-D89AF4232948}" srcOrd="0" destOrd="0" parTransId="{C202528C-15B0-463F-A5EA-23D74563873C}" sibTransId="{6DA622C5-6D0B-48C6-A433-D16C4B59EAAC}"/>
    <dgm:cxn modelId="{8FC21E37-63FD-4D29-8E31-9866A7010215}" type="presOf" srcId="{2976880C-B1A7-4182-94BA-83A17348563E}" destId="{E71BA6FE-8464-4939-B5A9-5C635A4CD25D}" srcOrd="0" destOrd="0" presId="urn:microsoft.com/office/officeart/2005/8/layout/pyramid3"/>
    <dgm:cxn modelId="{E23F108D-0437-489C-A415-056E114ACA6E}" type="presOf" srcId="{822B58F5-7361-4DFD-BB8D-6E74E9809988}" destId="{7725C768-621C-433F-9B83-257A7A06867A}" srcOrd="0" destOrd="0" presId="urn:microsoft.com/office/officeart/2005/8/layout/pyramid3"/>
    <dgm:cxn modelId="{3454F5CA-7456-4304-9B82-BBD5477F5132}" type="presOf" srcId="{05518C28-25EF-4B0A-B0B7-DC685CF870F2}" destId="{96033A2C-8983-4F17-AAFF-232796AA4B99}" srcOrd="1" destOrd="0" presId="urn:microsoft.com/office/officeart/2005/8/layout/pyramid3"/>
    <dgm:cxn modelId="{8721C6F8-B0AF-4999-AB16-2F27EA33245F}" type="presOf" srcId="{98FAFCF1-4E33-4B83-BADA-E6A723926DD7}" destId="{DCFE704E-F07A-4BB8-8399-3E2FA6DF36D7}" srcOrd="0" destOrd="0" presId="urn:microsoft.com/office/officeart/2005/8/layout/pyramid3"/>
    <dgm:cxn modelId="{624D7AE9-CF67-4A81-9F07-D8004F837084}" type="presOf" srcId="{98FAFCF1-4E33-4B83-BADA-E6A723926DD7}" destId="{17078517-149C-45DB-A492-7818E10A16E4}" srcOrd="1" destOrd="0" presId="urn:microsoft.com/office/officeart/2005/8/layout/pyramid3"/>
    <dgm:cxn modelId="{981B235B-DBA1-4324-82FF-35F0609DAED5}" srcId="{6E71B341-2003-48BD-8D3C-323E2549B444}" destId="{20A2EC84-1794-4FD6-9BF3-20C65BA17787}" srcOrd="4" destOrd="0" parTransId="{5F25662B-C758-4E5A-8CD8-7D019660C6F5}" sibTransId="{49F4869E-5C94-48FE-B378-788A8750D0B3}"/>
    <dgm:cxn modelId="{AF8062FF-1F34-4631-810D-E60750BE0679}" type="presOf" srcId="{6E71B341-2003-48BD-8D3C-323E2549B444}" destId="{BC3525ED-02FF-4444-AF8B-64CF48823260}" srcOrd="0" destOrd="0" presId="urn:microsoft.com/office/officeart/2005/8/layout/pyramid3"/>
    <dgm:cxn modelId="{2FEEA3A8-1023-415F-922C-283D8FA72C8F}" type="presOf" srcId="{563E9E12-8F78-4CFB-8909-D89AF4232948}" destId="{F9150124-19F8-4285-A941-0D47768E2E3D}" srcOrd="1" destOrd="0" presId="urn:microsoft.com/office/officeart/2005/8/layout/pyramid3"/>
    <dgm:cxn modelId="{10329B8C-4447-4B0B-80CC-4E12F74AFAFD}" srcId="{6E71B341-2003-48BD-8D3C-323E2549B444}" destId="{822B58F5-7361-4DFD-BB8D-6E74E9809988}" srcOrd="6" destOrd="0" parTransId="{9CB48DD6-F6E8-435F-B2B4-B5E1F3886517}" sibTransId="{2D297EF9-A226-426F-9E0C-8CFD00243AD0}"/>
    <dgm:cxn modelId="{C097734E-582A-49A4-86ED-83CA57EE7C68}" type="presOf" srcId="{822B58F5-7361-4DFD-BB8D-6E74E9809988}" destId="{FDB87B9C-17BF-4D3C-9798-E0B71C6A7528}" srcOrd="1" destOrd="0" presId="urn:microsoft.com/office/officeart/2005/8/layout/pyramid3"/>
    <dgm:cxn modelId="{97BE7B29-4EF9-4037-8E77-0A7213412CCA}" srcId="{6E71B341-2003-48BD-8D3C-323E2549B444}" destId="{98FAFCF1-4E33-4B83-BADA-E6A723926DD7}" srcOrd="3" destOrd="0" parTransId="{66FB205E-0B55-4A21-800C-4504DE50C23F}" sibTransId="{E088503C-7087-4934-B14F-CFFF5FB0DA68}"/>
    <dgm:cxn modelId="{25C2ECC9-DF53-45CA-A104-5B647EABE243}" type="presOf" srcId="{20A2EC84-1794-4FD6-9BF3-20C65BA17787}" destId="{FF0DEFE2-08EC-483C-B4C4-C9F6F31D2D69}" srcOrd="1" destOrd="0" presId="urn:microsoft.com/office/officeart/2005/8/layout/pyramid3"/>
    <dgm:cxn modelId="{1E604372-73E8-43F0-9B2C-D9A2A0B35A57}" type="presOf" srcId="{2976880C-B1A7-4182-94BA-83A17348563E}" destId="{33F7DD84-3914-4A80-BA0F-515FCCD8970D}" srcOrd="1" destOrd="0" presId="urn:microsoft.com/office/officeart/2005/8/layout/pyramid3"/>
    <dgm:cxn modelId="{16277482-17B7-4498-A82C-FAE5EE0B0CCF}" type="presParOf" srcId="{BC3525ED-02FF-4444-AF8B-64CF48823260}" destId="{FACA5DE3-8FAE-4C2A-B11C-FCDAC9ED3278}" srcOrd="0" destOrd="0" presId="urn:microsoft.com/office/officeart/2005/8/layout/pyramid3"/>
    <dgm:cxn modelId="{C3258B69-8E8F-46EB-87B2-B7E8398FE07F}" type="presParOf" srcId="{FACA5DE3-8FAE-4C2A-B11C-FCDAC9ED3278}" destId="{E3F7EAC4-9660-4493-9FBB-5DF559B3538A}" srcOrd="0" destOrd="0" presId="urn:microsoft.com/office/officeart/2005/8/layout/pyramid3"/>
    <dgm:cxn modelId="{E6DBB4F6-2CFA-4C64-B9A3-4F50EE758840}" type="presParOf" srcId="{FACA5DE3-8FAE-4C2A-B11C-FCDAC9ED3278}" destId="{F9150124-19F8-4285-A941-0D47768E2E3D}" srcOrd="1" destOrd="0" presId="urn:microsoft.com/office/officeart/2005/8/layout/pyramid3"/>
    <dgm:cxn modelId="{DB2E81B4-6780-44C6-AE62-8052A52D0B6C}" type="presParOf" srcId="{BC3525ED-02FF-4444-AF8B-64CF48823260}" destId="{2C70B0B2-1DAA-4BEF-849C-0484200C03D3}" srcOrd="1" destOrd="0" presId="urn:microsoft.com/office/officeart/2005/8/layout/pyramid3"/>
    <dgm:cxn modelId="{EDE8D210-206E-4DCB-BD6B-0889F8439AB5}" type="presParOf" srcId="{2C70B0B2-1DAA-4BEF-849C-0484200C03D3}" destId="{E71BA6FE-8464-4939-B5A9-5C635A4CD25D}" srcOrd="0" destOrd="0" presId="urn:microsoft.com/office/officeart/2005/8/layout/pyramid3"/>
    <dgm:cxn modelId="{1D6B00BA-327E-40CE-97F2-45E836732273}" type="presParOf" srcId="{2C70B0B2-1DAA-4BEF-849C-0484200C03D3}" destId="{33F7DD84-3914-4A80-BA0F-515FCCD8970D}" srcOrd="1" destOrd="0" presId="urn:microsoft.com/office/officeart/2005/8/layout/pyramid3"/>
    <dgm:cxn modelId="{D46E41FC-9828-475E-9F1E-C46A51A23FD6}" type="presParOf" srcId="{BC3525ED-02FF-4444-AF8B-64CF48823260}" destId="{F6274A59-44F0-4599-A9E3-BC201C1B4B18}" srcOrd="2" destOrd="0" presId="urn:microsoft.com/office/officeart/2005/8/layout/pyramid3"/>
    <dgm:cxn modelId="{1D181012-3724-4423-B2C1-1EFC8FC537E0}" type="presParOf" srcId="{F6274A59-44F0-4599-A9E3-BC201C1B4B18}" destId="{5925C2F6-224A-4446-9D4A-EEFE65DB8012}" srcOrd="0" destOrd="0" presId="urn:microsoft.com/office/officeart/2005/8/layout/pyramid3"/>
    <dgm:cxn modelId="{1C5BAC54-4100-461F-8A60-45D9AB1D285D}" type="presParOf" srcId="{F6274A59-44F0-4599-A9E3-BC201C1B4B18}" destId="{96033A2C-8983-4F17-AAFF-232796AA4B99}" srcOrd="1" destOrd="0" presId="urn:microsoft.com/office/officeart/2005/8/layout/pyramid3"/>
    <dgm:cxn modelId="{D356CBCB-1B80-46E0-A154-C0C25E009566}" type="presParOf" srcId="{BC3525ED-02FF-4444-AF8B-64CF48823260}" destId="{28602928-A96C-4F4C-845C-938E1D82E14D}" srcOrd="3" destOrd="0" presId="urn:microsoft.com/office/officeart/2005/8/layout/pyramid3"/>
    <dgm:cxn modelId="{7DF5E3CD-96A4-4D6C-9688-EF5F494A996A}" type="presParOf" srcId="{28602928-A96C-4F4C-845C-938E1D82E14D}" destId="{DCFE704E-F07A-4BB8-8399-3E2FA6DF36D7}" srcOrd="0" destOrd="0" presId="urn:microsoft.com/office/officeart/2005/8/layout/pyramid3"/>
    <dgm:cxn modelId="{3F78C225-A3D4-472F-8938-AF6BA2BCA1E0}" type="presParOf" srcId="{28602928-A96C-4F4C-845C-938E1D82E14D}" destId="{17078517-149C-45DB-A492-7818E10A16E4}" srcOrd="1" destOrd="0" presId="urn:microsoft.com/office/officeart/2005/8/layout/pyramid3"/>
    <dgm:cxn modelId="{3A7842E1-0968-411C-9F1D-BFCAF7E98756}" type="presParOf" srcId="{BC3525ED-02FF-4444-AF8B-64CF48823260}" destId="{5034EF39-AB22-4E2C-A5AE-6D1FB407A071}" srcOrd="4" destOrd="0" presId="urn:microsoft.com/office/officeart/2005/8/layout/pyramid3"/>
    <dgm:cxn modelId="{D3163889-A0A7-427A-85B5-20FB4C645986}" type="presParOf" srcId="{5034EF39-AB22-4E2C-A5AE-6D1FB407A071}" destId="{72D8C20D-0D85-4949-A57D-27F20DF647FB}" srcOrd="0" destOrd="0" presId="urn:microsoft.com/office/officeart/2005/8/layout/pyramid3"/>
    <dgm:cxn modelId="{4F91800D-FD92-48DD-B2A7-852F84F12F82}" type="presParOf" srcId="{5034EF39-AB22-4E2C-A5AE-6D1FB407A071}" destId="{FF0DEFE2-08EC-483C-B4C4-C9F6F31D2D69}" srcOrd="1" destOrd="0" presId="urn:microsoft.com/office/officeart/2005/8/layout/pyramid3"/>
    <dgm:cxn modelId="{00D6A799-D7A9-4F1A-92FE-ED17C78FA369}" type="presParOf" srcId="{BC3525ED-02FF-4444-AF8B-64CF48823260}" destId="{7E509AF3-780D-44C4-A65C-6B46C389DA1A}" srcOrd="5" destOrd="0" presId="urn:microsoft.com/office/officeart/2005/8/layout/pyramid3"/>
    <dgm:cxn modelId="{E3353F42-0BBC-445D-8E0F-E211297E8F9E}" type="presParOf" srcId="{7E509AF3-780D-44C4-A65C-6B46C389DA1A}" destId="{9295D0BC-33CF-4059-B06D-0A361072D967}" srcOrd="0" destOrd="0" presId="urn:microsoft.com/office/officeart/2005/8/layout/pyramid3"/>
    <dgm:cxn modelId="{0D9F3614-CE5A-4B68-8C4A-3AF38C452D6F}" type="presParOf" srcId="{7E509AF3-780D-44C4-A65C-6B46C389DA1A}" destId="{C5A22AC2-BADB-4921-8060-38FA1272954B}" srcOrd="1" destOrd="0" presId="urn:microsoft.com/office/officeart/2005/8/layout/pyramid3"/>
    <dgm:cxn modelId="{238444D0-B802-46F8-AD42-963C3C14FB2C}" type="presParOf" srcId="{BC3525ED-02FF-4444-AF8B-64CF48823260}" destId="{963E13C7-64D5-4296-8920-48BAAFAF1793}" srcOrd="6" destOrd="0" presId="urn:microsoft.com/office/officeart/2005/8/layout/pyramid3"/>
    <dgm:cxn modelId="{4F5368D9-CD60-42A5-B6AF-8000D4BCFAFB}" type="presParOf" srcId="{963E13C7-64D5-4296-8920-48BAAFAF1793}" destId="{7725C768-621C-433F-9B83-257A7A06867A}" srcOrd="0" destOrd="0" presId="urn:microsoft.com/office/officeart/2005/8/layout/pyramid3"/>
    <dgm:cxn modelId="{35BCA198-BF8E-4E22-84E9-5623E0EA879B}" type="presParOf" srcId="{963E13C7-64D5-4296-8920-48BAAFAF1793}" destId="{FDB87B9C-17BF-4D3C-9798-E0B71C6A7528}" srcOrd="1" destOrd="0" presId="urn:microsoft.com/office/officeart/2005/8/layout/pyramid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F7EAC4-9660-4493-9FBB-5DF559B3538A}">
      <dsp:nvSpPr>
        <dsp:cNvPr id="0" name=""/>
        <dsp:cNvSpPr/>
      </dsp:nvSpPr>
      <dsp:spPr>
        <a:xfrm rot="10800000">
          <a:off x="0" y="0"/>
          <a:ext cx="5657850" cy="228600"/>
        </a:xfrm>
        <a:prstGeom prst="trapezoid">
          <a:avLst>
            <a:gd name="adj" fmla="val 176786"/>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cs-CZ" sz="1400" b="1" kern="1200"/>
            <a:t>Výzkum a </a:t>
          </a:r>
          <a:r>
            <a:rPr lang="cs-CZ" sz="1400" b="1" kern="1200" baseline="0"/>
            <a:t>vývoj</a:t>
          </a:r>
        </a:p>
      </dsp:txBody>
      <dsp:txXfrm rot="-10800000">
        <a:off x="990123" y="0"/>
        <a:ext cx="3677602" cy="228600"/>
      </dsp:txXfrm>
    </dsp:sp>
    <dsp:sp modelId="{E71BA6FE-8464-4939-B5A9-5C635A4CD25D}">
      <dsp:nvSpPr>
        <dsp:cNvPr id="0" name=""/>
        <dsp:cNvSpPr/>
      </dsp:nvSpPr>
      <dsp:spPr>
        <a:xfrm rot="10800000">
          <a:off x="404132" y="228599"/>
          <a:ext cx="4849585" cy="228600"/>
        </a:xfrm>
        <a:prstGeom prst="trapezoid">
          <a:avLst>
            <a:gd name="adj" fmla="val 176786"/>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cs-CZ" sz="1350" b="1" kern="1200"/>
            <a:t>Marketing a </a:t>
          </a:r>
          <a:r>
            <a:rPr lang="cs-CZ" sz="1350" b="1" kern="1200" baseline="0"/>
            <a:t>prodej</a:t>
          </a:r>
        </a:p>
      </dsp:txBody>
      <dsp:txXfrm rot="-10800000">
        <a:off x="1252809" y="228599"/>
        <a:ext cx="3152230" cy="228600"/>
      </dsp:txXfrm>
    </dsp:sp>
    <dsp:sp modelId="{5925C2F6-224A-4446-9D4A-EEFE65DB8012}">
      <dsp:nvSpPr>
        <dsp:cNvPr id="0" name=""/>
        <dsp:cNvSpPr/>
      </dsp:nvSpPr>
      <dsp:spPr>
        <a:xfrm rot="10800000">
          <a:off x="808264" y="457200"/>
          <a:ext cx="4041321" cy="228600"/>
        </a:xfrm>
        <a:prstGeom prst="trapezoid">
          <a:avLst>
            <a:gd name="adj" fmla="val 176786"/>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cs-CZ" sz="1300" b="1" kern="1200"/>
            <a:t>Projektová </a:t>
          </a:r>
          <a:r>
            <a:rPr lang="cs-CZ" sz="1300" b="1" kern="1200" baseline="0"/>
            <a:t>činnost</a:t>
          </a:r>
        </a:p>
      </dsp:txBody>
      <dsp:txXfrm rot="-10800000">
        <a:off x="1515495" y="457200"/>
        <a:ext cx="2626858" cy="228600"/>
      </dsp:txXfrm>
    </dsp:sp>
    <dsp:sp modelId="{DCFE704E-F07A-4BB8-8399-3E2FA6DF36D7}">
      <dsp:nvSpPr>
        <dsp:cNvPr id="0" name=""/>
        <dsp:cNvSpPr/>
      </dsp:nvSpPr>
      <dsp:spPr>
        <a:xfrm rot="10800000">
          <a:off x="1212396" y="685800"/>
          <a:ext cx="3233057" cy="228600"/>
        </a:xfrm>
        <a:prstGeom prst="trapezoid">
          <a:avLst>
            <a:gd name="adj" fmla="val 176786"/>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55625">
            <a:lnSpc>
              <a:spcPct val="90000"/>
            </a:lnSpc>
            <a:spcBef>
              <a:spcPct val="0"/>
            </a:spcBef>
            <a:spcAft>
              <a:spcPct val="35000"/>
            </a:spcAft>
          </a:pPr>
          <a:r>
            <a:rPr lang="cs-CZ" sz="1250" kern="1200" baseline="0"/>
            <a:t>Řízení lidských zdrojů</a:t>
          </a:r>
        </a:p>
      </dsp:txBody>
      <dsp:txXfrm rot="-10800000">
        <a:off x="1778181" y="685800"/>
        <a:ext cx="2101487" cy="228600"/>
      </dsp:txXfrm>
    </dsp:sp>
    <dsp:sp modelId="{72D8C20D-0D85-4949-A57D-27F20DF647FB}">
      <dsp:nvSpPr>
        <dsp:cNvPr id="0" name=""/>
        <dsp:cNvSpPr/>
      </dsp:nvSpPr>
      <dsp:spPr>
        <a:xfrm rot="10800000">
          <a:off x="1616528" y="914400"/>
          <a:ext cx="2424792" cy="228600"/>
        </a:xfrm>
        <a:prstGeom prst="trapezoid">
          <a:avLst>
            <a:gd name="adj" fmla="val 176786"/>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kern="1200" baseline="0"/>
            <a:t>Finance</a:t>
          </a:r>
        </a:p>
      </dsp:txBody>
      <dsp:txXfrm rot="-10800000">
        <a:off x="2040867" y="914400"/>
        <a:ext cx="1576115" cy="228600"/>
      </dsp:txXfrm>
    </dsp:sp>
    <dsp:sp modelId="{9295D0BC-33CF-4059-B06D-0A361072D967}">
      <dsp:nvSpPr>
        <dsp:cNvPr id="0" name=""/>
        <dsp:cNvSpPr/>
      </dsp:nvSpPr>
      <dsp:spPr>
        <a:xfrm rot="10800000">
          <a:off x="2020660" y="1143000"/>
          <a:ext cx="1616528" cy="228600"/>
        </a:xfrm>
        <a:prstGeom prst="trapezoid">
          <a:avLst>
            <a:gd name="adj" fmla="val 176786"/>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11175">
            <a:lnSpc>
              <a:spcPct val="90000"/>
            </a:lnSpc>
            <a:spcBef>
              <a:spcPct val="0"/>
            </a:spcBef>
            <a:spcAft>
              <a:spcPct val="35000"/>
            </a:spcAft>
          </a:pPr>
          <a:r>
            <a:rPr lang="cs-CZ" sz="1150" kern="1200" baseline="0"/>
            <a:t>Logistika</a:t>
          </a:r>
        </a:p>
      </dsp:txBody>
      <dsp:txXfrm rot="-10800000">
        <a:off x="2303553" y="1143000"/>
        <a:ext cx="1050743" cy="228600"/>
      </dsp:txXfrm>
    </dsp:sp>
    <dsp:sp modelId="{7725C768-621C-433F-9B83-257A7A06867A}">
      <dsp:nvSpPr>
        <dsp:cNvPr id="0" name=""/>
        <dsp:cNvSpPr/>
      </dsp:nvSpPr>
      <dsp:spPr>
        <a:xfrm rot="10800000">
          <a:off x="2424792" y="1371600"/>
          <a:ext cx="808264" cy="228600"/>
        </a:xfrm>
        <a:prstGeom prst="trapezoid">
          <a:avLst>
            <a:gd name="adj" fmla="val 176786"/>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baseline="0"/>
            <a:t>Výroba</a:t>
          </a:r>
        </a:p>
      </dsp:txBody>
      <dsp:txXfrm rot="-10800000">
        <a:off x="2424792" y="1371600"/>
        <a:ext cx="808264" cy="2286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8D253-762D-468D-B5CC-ACD6F1E0C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3950</TotalTime>
  <Pages>1</Pages>
  <Words>76818</Words>
  <Characters>437869</Characters>
  <Application>Microsoft Office Word</Application>
  <DocSecurity>0</DocSecurity>
  <Lines>3648</Lines>
  <Paragraphs>1027</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513660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Viturka Milan</dc:creator>
  <cp:lastModifiedBy>Viturka Milan</cp:lastModifiedBy>
  <cp:revision>191</cp:revision>
  <cp:lastPrinted>2014-03-12T08:40:00Z</cp:lastPrinted>
  <dcterms:created xsi:type="dcterms:W3CDTF">2013-12-28T10:34:00Z</dcterms:created>
  <dcterms:modified xsi:type="dcterms:W3CDTF">2014-03-14T08:42:00Z</dcterms:modified>
</cp:coreProperties>
</file>