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2F2" w:rsidRDefault="003E02F2" w:rsidP="003E02F2">
      <w:pPr>
        <w:pStyle w:val="Nadpis2"/>
        <w:spacing w:before="0" w:line="240" w:lineRule="auto"/>
        <w:jc w:val="center"/>
        <w:rPr>
          <w:rFonts w:ascii="Georgia" w:hAnsi="Georgia"/>
          <w:color w:val="244061" w:themeColor="accent1" w:themeShade="80"/>
        </w:rPr>
      </w:pPr>
      <w:bookmarkStart w:id="0" w:name="_Toc321900178"/>
      <w:bookmarkStart w:id="1" w:name="_Toc325121962"/>
      <w:bookmarkStart w:id="2" w:name="_Toc325211174"/>
      <w:bookmarkStart w:id="3" w:name="_Toc331786359"/>
    </w:p>
    <w:p w:rsidR="00FC65FD" w:rsidRPr="003E02F2" w:rsidRDefault="003E02F2" w:rsidP="003E02F2">
      <w:pPr>
        <w:pStyle w:val="Nadpis2"/>
        <w:spacing w:before="0" w:line="240" w:lineRule="auto"/>
        <w:jc w:val="center"/>
        <w:rPr>
          <w:rFonts w:ascii="Georgia" w:hAnsi="Georgia"/>
          <w:color w:val="244061" w:themeColor="accent1" w:themeShade="80"/>
        </w:rPr>
      </w:pPr>
      <w:r>
        <w:rPr>
          <w:rFonts w:ascii="Georgia" w:hAnsi="Georgia"/>
          <w:noProof/>
          <w:sz w:val="20"/>
          <w:szCs w:val="20"/>
          <w:lang w:eastAsia="cs-CZ"/>
        </w:rPr>
        <w:pict>
          <v:rect id="Rectangle 2" o:spid="_x0000_s1027" style="position:absolute;left:0;text-align:left;margin-left:-5.6pt;margin-top:-8.6pt;width:461.25pt;height:31.55pt;z-index:251658240;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" fillcolor="#36c" strokecolor="#369">
            <v:fill opacity="0"/>
          </v:rect>
        </w:pict>
      </w:r>
      <w:r w:rsidR="00FC65FD" w:rsidRPr="003E02F2">
        <w:rPr>
          <w:rFonts w:ascii="Georgia" w:hAnsi="Georgia"/>
          <w:color w:val="244061" w:themeColor="accent1" w:themeShade="80"/>
        </w:rPr>
        <w:t>Finanční analýza</w:t>
      </w:r>
      <w:bookmarkEnd w:id="0"/>
      <w:r w:rsidR="00FC65FD" w:rsidRPr="003E02F2">
        <w:rPr>
          <w:rFonts w:ascii="Georgia" w:hAnsi="Georgia"/>
          <w:color w:val="244061" w:themeColor="accent1" w:themeShade="80"/>
        </w:rPr>
        <w:t>, hodnocení finanční pozice obc</w:t>
      </w:r>
      <w:bookmarkEnd w:id="1"/>
      <w:bookmarkEnd w:id="2"/>
      <w:bookmarkEnd w:id="3"/>
      <w:r>
        <w:rPr>
          <w:rFonts w:ascii="Georgia" w:hAnsi="Georgia"/>
          <w:color w:val="244061" w:themeColor="accent1" w:themeShade="80"/>
        </w:rPr>
        <w:t>Í</w:t>
      </w:r>
    </w:p>
    <w:p w:rsidR="00FC65FD" w:rsidRDefault="00FC65FD" w:rsidP="00FC65FD">
      <w:pPr>
        <w:rPr>
          <w:rFonts w:ascii="Georgia" w:hAnsi="Georgia"/>
          <w:sz w:val="20"/>
          <w:szCs w:val="20"/>
        </w:rPr>
      </w:pPr>
    </w:p>
    <w:p w:rsidR="003E02F2" w:rsidRPr="003E02F2" w:rsidRDefault="003E02F2" w:rsidP="00FC65FD">
      <w:pPr>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 xml:space="preserve">Finanční analýza firmy je teoreticky velmi propracovaná a v praxi často využívaná. Avšak problematika finanční analýzy obcí je oblast poměrně opomíjená. Problematikou finanční analýzy podniku se v českém prostředí zabývá např. Růčková, Synek, Dluhošová, Holečková, Kalouda, Kyslingerová a mnozí další. Kraftová ve své publikaci „Finanční analýza municipální firmy“ aplikuje znalosti z prostředí finanční analýzy podniků pro potřeby finanční analýzy firem zakládaných či zřizovaných územními samosprávnými celky, tedy firem, u nichž nelze považovat zisk za jejich hlavní cíl. </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Finanční analýza firmy je metodou hodnocení finančního hospodaření firmy založené na rozboru účetních údajů. Jejím smyslem je „</w:t>
      </w:r>
      <w:r w:rsidRPr="003E02F2">
        <w:rPr>
          <w:rFonts w:ascii="Georgia" w:hAnsi="Georgia"/>
          <w:i/>
          <w:sz w:val="20"/>
          <w:szCs w:val="20"/>
        </w:rPr>
        <w:t>dospět k určitým závěrům o celkové hospodářské a finanční situaci podniku a připravit podklady pro rozhodování</w:t>
      </w:r>
      <w:r w:rsidRPr="003E02F2">
        <w:rPr>
          <w:rFonts w:ascii="Georgia" w:hAnsi="Georgia"/>
          <w:sz w:val="20"/>
          <w:szCs w:val="20"/>
        </w:rPr>
        <w:t xml:space="preserve">“ (Černá a kol., 1997:2). </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 xml:space="preserve">Kraftová (2002) rozeznává čtyři </w:t>
      </w:r>
      <w:r w:rsidRPr="003E02F2">
        <w:rPr>
          <w:rFonts w:ascii="Georgia" w:hAnsi="Georgia"/>
          <w:b/>
          <w:sz w:val="20"/>
          <w:szCs w:val="20"/>
        </w:rPr>
        <w:t>cíle finanční analýzy</w:t>
      </w:r>
      <w:r w:rsidRPr="003E02F2">
        <w:rPr>
          <w:rFonts w:ascii="Georgia" w:hAnsi="Georgia"/>
          <w:sz w:val="20"/>
          <w:szCs w:val="20"/>
        </w:rPr>
        <w:t xml:space="preserve">: (1) posouzení dosavadního vývoje organizace a poskytnutí informací pro rozhodování, (2) rozbor možných variant vývoje a výběr nejvhodnější varianty, (3) porovnání výsledků různých srovnatelných organizací a (4) zpracování informací pro hodnocení organizace vnějšími partnery, věřiteli i vlastníky. </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 xml:space="preserve">Podle charakteru informačních zdrojů lze rozlišit fundamentální analýzu (rozbory založené na souvislostech mezi ekonomickými a mimoekonomickými vlivy a na zkušenostech odborníků a jejich subjektivních odhadech), a technickou analýzu (založená na matematicko-statistických metodách), dalšími druhy finančních analýz jsou kauzální analýza (hodnotí příčinně důsledkové vazby mezi jevy) a komparační analýza (doplňuje technickou analýzu srovnáváním se standardními hodnotami ukazatelů nebo využívá srovnávací báze při komparaci určité skupiny firem). V </w:t>
      </w:r>
      <w:r w:rsidR="000054EA" w:rsidRPr="003E02F2">
        <w:rPr>
          <w:rFonts w:ascii="Georgia" w:hAnsi="Georgia"/>
          <w:sz w:val="20"/>
          <w:szCs w:val="20"/>
        </w:rPr>
        <w:t>textu</w:t>
      </w:r>
      <w:r w:rsidRPr="003E02F2">
        <w:rPr>
          <w:rFonts w:ascii="Georgia" w:hAnsi="Georgia"/>
          <w:sz w:val="20"/>
          <w:szCs w:val="20"/>
        </w:rPr>
        <w:t xml:space="preserve"> jsou využity zejména metody a postupy technické a komparační finanční analýzy obcí. </w:t>
      </w:r>
    </w:p>
    <w:p w:rsidR="00FC65FD" w:rsidRPr="003E02F2" w:rsidRDefault="00FC65FD" w:rsidP="003E02F2">
      <w:pPr>
        <w:spacing w:line="312" w:lineRule="auto"/>
        <w:rPr>
          <w:rFonts w:ascii="Georgia" w:hAnsi="Georgia"/>
          <w:b/>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b/>
          <w:sz w:val="20"/>
          <w:szCs w:val="20"/>
        </w:rPr>
        <w:t>Zdroje informací</w:t>
      </w:r>
      <w:r w:rsidRPr="003E02F2">
        <w:rPr>
          <w:rFonts w:ascii="Georgia" w:hAnsi="Georgia"/>
          <w:sz w:val="20"/>
          <w:szCs w:val="20"/>
        </w:rPr>
        <w:t xml:space="preserve"> pro finanční analýzu obcí lze rozdělit</w:t>
      </w:r>
      <w:r w:rsidRPr="003E02F2">
        <w:rPr>
          <w:rFonts w:ascii="Georgia" w:hAnsi="Georgia"/>
          <w:color w:val="FF0000"/>
          <w:sz w:val="20"/>
          <w:szCs w:val="20"/>
        </w:rPr>
        <w:t xml:space="preserve"> </w:t>
      </w:r>
      <w:r w:rsidRPr="003E02F2">
        <w:rPr>
          <w:rFonts w:ascii="Georgia" w:hAnsi="Georgia"/>
          <w:sz w:val="20"/>
          <w:szCs w:val="20"/>
        </w:rPr>
        <w:t>interní a externí. V případě interních zdrojů se jedná o data, které se týkají přímo dané obce a vznikají v důsledku její činnosti. Tyto data poskytuje finanční účetnictví prostřednictvím základních účetních výkazů a rozpočet obce prostřednictvím výkazu pro hodnocení plnění rozpočtu ÚSC. Externí zdroje zahrnují data z vnějšího ekonomického prostředí.</w:t>
      </w:r>
    </w:p>
    <w:p w:rsidR="00FC65FD" w:rsidRPr="003E02F2" w:rsidRDefault="00FC65FD" w:rsidP="003E02F2">
      <w:pPr>
        <w:spacing w:line="312" w:lineRule="auto"/>
        <w:rPr>
          <w:rFonts w:ascii="Georgia" w:hAnsi="Georgia"/>
          <w:sz w:val="20"/>
          <w:szCs w:val="20"/>
        </w:rPr>
      </w:pPr>
    </w:p>
    <w:p w:rsidR="00FC65FD" w:rsidRDefault="00FC65FD" w:rsidP="003E02F2">
      <w:pPr>
        <w:spacing w:line="312" w:lineRule="auto"/>
        <w:rPr>
          <w:rFonts w:ascii="Georgia" w:hAnsi="Georgia"/>
          <w:sz w:val="20"/>
          <w:szCs w:val="20"/>
        </w:rPr>
      </w:pPr>
      <w:r w:rsidRPr="003E02F2">
        <w:rPr>
          <w:rFonts w:ascii="Georgia" w:hAnsi="Georgia"/>
          <w:sz w:val="20"/>
          <w:szCs w:val="20"/>
        </w:rPr>
        <w:t xml:space="preserve">Základní </w:t>
      </w:r>
      <w:r w:rsidRPr="003E02F2">
        <w:rPr>
          <w:rFonts w:ascii="Georgia" w:hAnsi="Georgia"/>
          <w:b/>
          <w:sz w:val="20"/>
          <w:szCs w:val="20"/>
        </w:rPr>
        <w:t>metody finanční analýzy</w:t>
      </w:r>
      <w:r w:rsidRPr="003E02F2">
        <w:rPr>
          <w:rFonts w:ascii="Georgia" w:hAnsi="Georgia"/>
          <w:sz w:val="20"/>
          <w:szCs w:val="20"/>
        </w:rPr>
        <w:t xml:space="preserve"> lze podle způsobu konstrukce ukazatelů odvozených na základě dat z účetních výkazů rozdělit na metody absolutní využívající absolutní, extenzivní ukazatele a metody relativní využívající relativní, intenzivní ukazatele. Absolutní ukazatele lze dále rozdělit na stavové (uvádějí údaje o stavu k určitému datu) a tokové (vypovídají o vývoji zkoumané skutečnosti za dané časové období). Přehled o základních typech ukazatelů je uveden v</w:t>
      </w:r>
      <w:r w:rsidR="003E02F2" w:rsidRPr="003E02F2">
        <w:rPr>
          <w:rFonts w:ascii="Georgia" w:hAnsi="Georgia"/>
          <w:sz w:val="20"/>
          <w:szCs w:val="20"/>
        </w:rPr>
        <w:t xml:space="preserve"> následujícím </w:t>
      </w:r>
      <w:r w:rsidRPr="003E02F2">
        <w:rPr>
          <w:rFonts w:ascii="Georgia" w:hAnsi="Georgia"/>
          <w:sz w:val="20"/>
          <w:szCs w:val="20"/>
        </w:rPr>
        <w:t>obrázku. V případě intenzivních ukazatelů hrají velkou roli tzv. poměrové ukazatele. Kromě analýzy poměrových ukazatelů lze metody a postupy finanční analýzy dále rozdělit na postupy horizontální analýzy (analýza vývojových trendů, sledování vývoje zkoumané veličiny v čase) a vertikální analýzy (strukturální analýza, zjišťuje se procentní podíl jednotlivých položek ke zvolenému základu), metody porovnávání mezi subjekty či analýzy soustav ukazatelů.</w:t>
      </w:r>
    </w:p>
    <w:p w:rsidR="003E02F2" w:rsidRPr="003E02F2" w:rsidRDefault="003E02F2" w:rsidP="003E02F2">
      <w:pPr>
        <w:spacing w:line="312" w:lineRule="auto"/>
        <w:rPr>
          <w:rFonts w:ascii="Georgia" w:hAnsi="Georgia"/>
          <w:sz w:val="20"/>
          <w:szCs w:val="20"/>
        </w:rPr>
      </w:pPr>
    </w:p>
    <w:p w:rsidR="00FC65FD" w:rsidRPr="003E02F2" w:rsidRDefault="00FC65FD" w:rsidP="00FC65FD">
      <w:pPr>
        <w:pStyle w:val="Nadpis4"/>
        <w:spacing w:line="240" w:lineRule="auto"/>
        <w:jc w:val="center"/>
        <w:rPr>
          <w:rFonts w:ascii="Georgia" w:hAnsi="Georgia"/>
          <w:color w:val="244061" w:themeColor="accent1" w:themeShade="80"/>
          <w:sz w:val="20"/>
          <w:szCs w:val="20"/>
        </w:rPr>
      </w:pPr>
      <w:bookmarkStart w:id="4" w:name="_Toc331840091"/>
      <w:r w:rsidRPr="003E02F2">
        <w:rPr>
          <w:rFonts w:ascii="Georgia" w:hAnsi="Georgia"/>
          <w:color w:val="244061" w:themeColor="accent1" w:themeShade="80"/>
          <w:sz w:val="20"/>
          <w:szCs w:val="20"/>
        </w:rPr>
        <w:lastRenderedPageBreak/>
        <w:t>Obr</w:t>
      </w:r>
      <w:r w:rsidR="003E02F2" w:rsidRPr="003E02F2">
        <w:rPr>
          <w:rFonts w:ascii="Georgia" w:hAnsi="Georgia"/>
          <w:color w:val="244061" w:themeColor="accent1" w:themeShade="80"/>
          <w:sz w:val="20"/>
          <w:szCs w:val="20"/>
        </w:rPr>
        <w:t>ázek</w:t>
      </w:r>
      <w:r w:rsidRPr="003E02F2">
        <w:rPr>
          <w:rFonts w:ascii="Georgia" w:hAnsi="Georgia"/>
          <w:color w:val="244061" w:themeColor="accent1" w:themeShade="80"/>
          <w:sz w:val="20"/>
          <w:szCs w:val="20"/>
        </w:rPr>
        <w:t>: Základní typy ukazatelů finanční analýzy</w:t>
      </w:r>
      <w:bookmarkEnd w:id="4"/>
    </w:p>
    <w:tbl>
      <w:tblPr>
        <w:tblW w:w="9284" w:type="dxa"/>
        <w:jc w:val="center"/>
        <w:tblCellMar>
          <w:left w:w="0" w:type="dxa"/>
          <w:right w:w="0" w:type="dxa"/>
        </w:tblCellMar>
        <w:tblLook w:val="00A0"/>
      </w:tblPr>
      <w:tblGrid>
        <w:gridCol w:w="4606"/>
        <w:gridCol w:w="4678"/>
      </w:tblGrid>
      <w:tr w:rsidR="00FC65FD" w:rsidRPr="003E02F2" w:rsidTr="00FC65FD">
        <w:trPr>
          <w:trHeight w:val="223"/>
          <w:jc w:val="center"/>
        </w:trPr>
        <w:tc>
          <w:tcPr>
            <w:tcW w:w="9284" w:type="dxa"/>
            <w:gridSpan w:val="2"/>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rsidR="00FC65FD" w:rsidRPr="003E02F2" w:rsidRDefault="00FC65FD" w:rsidP="00FC65FD">
            <w:pPr>
              <w:spacing w:line="312" w:lineRule="auto"/>
              <w:jc w:val="center"/>
              <w:rPr>
                <w:rFonts w:ascii="Georgia" w:hAnsi="Georgia"/>
                <w:sz w:val="20"/>
                <w:szCs w:val="20"/>
              </w:rPr>
            </w:pPr>
            <w:r w:rsidRPr="003E02F2">
              <w:rPr>
                <w:rFonts w:ascii="Georgia" w:hAnsi="Georgia"/>
                <w:b/>
                <w:bCs/>
                <w:sz w:val="20"/>
                <w:szCs w:val="20"/>
              </w:rPr>
              <w:t>DÍLČÍ UKAZATELE</w:t>
            </w:r>
          </w:p>
        </w:tc>
      </w:tr>
      <w:tr w:rsidR="00FC65FD" w:rsidRPr="003E02F2" w:rsidTr="00FC65FD">
        <w:trPr>
          <w:trHeight w:val="213"/>
          <w:jc w:val="center"/>
        </w:trPr>
        <w:tc>
          <w:tcPr>
            <w:tcW w:w="4606"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rsidR="00FC65FD" w:rsidRPr="003E02F2" w:rsidRDefault="00FC65FD" w:rsidP="00FC65FD">
            <w:pPr>
              <w:spacing w:line="312" w:lineRule="auto"/>
              <w:jc w:val="center"/>
              <w:rPr>
                <w:rFonts w:ascii="Georgia" w:hAnsi="Georgia"/>
                <w:sz w:val="20"/>
                <w:szCs w:val="20"/>
              </w:rPr>
            </w:pPr>
            <w:r w:rsidRPr="003E02F2">
              <w:rPr>
                <w:rFonts w:ascii="Georgia" w:hAnsi="Georgia"/>
                <w:b/>
                <w:bCs/>
                <w:sz w:val="20"/>
                <w:szCs w:val="20"/>
              </w:rPr>
              <w:t>absolutní</w:t>
            </w:r>
          </w:p>
        </w:tc>
        <w:tc>
          <w:tcPr>
            <w:tcW w:w="467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rsidR="00FC65FD" w:rsidRPr="003E02F2" w:rsidRDefault="00FC65FD" w:rsidP="00FC65FD">
            <w:pPr>
              <w:spacing w:line="312" w:lineRule="auto"/>
              <w:jc w:val="center"/>
              <w:rPr>
                <w:rFonts w:ascii="Georgia" w:hAnsi="Georgia"/>
                <w:sz w:val="20"/>
                <w:szCs w:val="20"/>
              </w:rPr>
            </w:pPr>
            <w:r w:rsidRPr="003E02F2">
              <w:rPr>
                <w:rFonts w:ascii="Georgia" w:hAnsi="Georgia"/>
                <w:b/>
                <w:bCs/>
                <w:sz w:val="20"/>
                <w:szCs w:val="20"/>
              </w:rPr>
              <w:t>relativní (poměrové, podílové)</w:t>
            </w:r>
          </w:p>
        </w:tc>
      </w:tr>
      <w:tr w:rsidR="00FC65FD" w:rsidRPr="003E02F2" w:rsidTr="00FC65FD">
        <w:trPr>
          <w:trHeight w:val="2101"/>
          <w:jc w:val="center"/>
        </w:trPr>
        <w:tc>
          <w:tcPr>
            <w:tcW w:w="4606"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FC65FD" w:rsidRPr="003E02F2" w:rsidRDefault="00FC65FD" w:rsidP="00346049">
            <w:pPr>
              <w:numPr>
                <w:ilvl w:val="0"/>
                <w:numId w:val="11"/>
              </w:numPr>
              <w:spacing w:line="312" w:lineRule="auto"/>
              <w:jc w:val="left"/>
              <w:rPr>
                <w:rFonts w:ascii="Georgia" w:hAnsi="Georgia"/>
                <w:sz w:val="20"/>
                <w:szCs w:val="20"/>
              </w:rPr>
            </w:pPr>
            <w:r w:rsidRPr="003E02F2">
              <w:rPr>
                <w:rFonts w:ascii="Georgia" w:hAnsi="Georgia"/>
                <w:sz w:val="20"/>
                <w:szCs w:val="20"/>
              </w:rPr>
              <w:t xml:space="preserve">bazální (základní) </w:t>
            </w:r>
          </w:p>
          <w:p w:rsidR="00FC65FD" w:rsidRPr="003E02F2" w:rsidRDefault="00FC65FD" w:rsidP="00346049">
            <w:pPr>
              <w:numPr>
                <w:ilvl w:val="0"/>
                <w:numId w:val="11"/>
              </w:numPr>
              <w:spacing w:line="312" w:lineRule="auto"/>
              <w:jc w:val="left"/>
              <w:rPr>
                <w:rFonts w:ascii="Georgia" w:hAnsi="Georgia"/>
                <w:sz w:val="20"/>
                <w:szCs w:val="20"/>
              </w:rPr>
            </w:pPr>
            <w:r w:rsidRPr="003E02F2">
              <w:rPr>
                <w:rFonts w:ascii="Georgia" w:hAnsi="Georgia"/>
                <w:sz w:val="20"/>
                <w:szCs w:val="20"/>
              </w:rPr>
              <w:t xml:space="preserve">rozdílové </w:t>
            </w:r>
          </w:p>
          <w:p w:rsidR="00FC65FD" w:rsidRPr="003E02F2" w:rsidRDefault="00FC65FD" w:rsidP="00346049">
            <w:pPr>
              <w:numPr>
                <w:ilvl w:val="0"/>
                <w:numId w:val="11"/>
              </w:numPr>
              <w:spacing w:line="312" w:lineRule="auto"/>
              <w:jc w:val="left"/>
              <w:rPr>
                <w:rFonts w:ascii="Georgia" w:hAnsi="Georgia"/>
                <w:sz w:val="20"/>
                <w:szCs w:val="20"/>
              </w:rPr>
            </w:pPr>
            <w:r w:rsidRPr="003E02F2">
              <w:rPr>
                <w:rFonts w:ascii="Georgia" w:hAnsi="Georgia"/>
                <w:sz w:val="20"/>
                <w:szCs w:val="20"/>
              </w:rPr>
              <w:t xml:space="preserve">marginální (přírůstkové) </w:t>
            </w:r>
          </w:p>
        </w:tc>
        <w:tc>
          <w:tcPr>
            <w:tcW w:w="467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FC65FD" w:rsidRPr="003E02F2" w:rsidRDefault="00FC65FD" w:rsidP="00346049">
            <w:pPr>
              <w:numPr>
                <w:ilvl w:val="0"/>
                <w:numId w:val="11"/>
              </w:numPr>
              <w:spacing w:line="312" w:lineRule="auto"/>
              <w:jc w:val="left"/>
              <w:rPr>
                <w:rFonts w:ascii="Georgia" w:hAnsi="Georgia"/>
                <w:sz w:val="20"/>
                <w:szCs w:val="20"/>
              </w:rPr>
            </w:pPr>
            <w:r w:rsidRPr="003E02F2">
              <w:rPr>
                <w:rFonts w:ascii="Georgia" w:hAnsi="Georgia"/>
                <w:sz w:val="20"/>
                <w:szCs w:val="20"/>
              </w:rPr>
              <w:t xml:space="preserve">prostý poměr dvou absolutních ukazatelů </w:t>
            </w:r>
          </w:p>
          <w:p w:rsidR="00FC65FD" w:rsidRPr="003E02F2" w:rsidRDefault="00FC65FD" w:rsidP="00346049">
            <w:pPr>
              <w:numPr>
                <w:ilvl w:val="0"/>
                <w:numId w:val="11"/>
              </w:numPr>
              <w:spacing w:line="312" w:lineRule="auto"/>
              <w:jc w:val="left"/>
              <w:rPr>
                <w:rFonts w:ascii="Georgia" w:hAnsi="Georgia"/>
                <w:sz w:val="20"/>
                <w:szCs w:val="20"/>
              </w:rPr>
            </w:pPr>
            <w:r w:rsidRPr="003E02F2">
              <w:rPr>
                <w:rFonts w:ascii="Georgia" w:hAnsi="Georgia"/>
                <w:sz w:val="20"/>
                <w:szCs w:val="20"/>
              </w:rPr>
              <w:t xml:space="preserve">podíl různých hodnot absolutního ukazatele </w:t>
            </w:r>
          </w:p>
          <w:p w:rsidR="00FC65FD" w:rsidRPr="003E02F2" w:rsidRDefault="00FC65FD" w:rsidP="00346049">
            <w:pPr>
              <w:numPr>
                <w:ilvl w:val="1"/>
                <w:numId w:val="11"/>
              </w:numPr>
              <w:spacing w:line="312" w:lineRule="auto"/>
              <w:jc w:val="left"/>
              <w:rPr>
                <w:rFonts w:ascii="Georgia" w:hAnsi="Georgia"/>
                <w:sz w:val="20"/>
                <w:szCs w:val="20"/>
              </w:rPr>
            </w:pPr>
            <w:r w:rsidRPr="003E02F2">
              <w:rPr>
                <w:rFonts w:ascii="Georgia" w:hAnsi="Georgia"/>
                <w:i/>
                <w:iCs/>
                <w:sz w:val="20"/>
                <w:szCs w:val="20"/>
              </w:rPr>
              <w:t>index bazický</w:t>
            </w:r>
            <w:r w:rsidRPr="003E02F2">
              <w:rPr>
                <w:rFonts w:ascii="Georgia" w:hAnsi="Georgia"/>
                <w:sz w:val="20"/>
                <w:szCs w:val="20"/>
              </w:rPr>
              <w:t xml:space="preserve"> </w:t>
            </w:r>
          </w:p>
          <w:p w:rsidR="00FC65FD" w:rsidRPr="003E02F2" w:rsidRDefault="00FC65FD" w:rsidP="00346049">
            <w:pPr>
              <w:numPr>
                <w:ilvl w:val="1"/>
                <w:numId w:val="11"/>
              </w:numPr>
              <w:spacing w:line="312" w:lineRule="auto"/>
              <w:jc w:val="left"/>
              <w:rPr>
                <w:rFonts w:ascii="Georgia" w:hAnsi="Georgia"/>
                <w:sz w:val="20"/>
                <w:szCs w:val="20"/>
              </w:rPr>
            </w:pPr>
            <w:r w:rsidRPr="003E02F2">
              <w:rPr>
                <w:rFonts w:ascii="Georgia" w:hAnsi="Georgia"/>
                <w:i/>
                <w:iCs/>
                <w:sz w:val="20"/>
                <w:szCs w:val="20"/>
              </w:rPr>
              <w:t>index řetězový</w:t>
            </w:r>
            <w:r w:rsidRPr="003E02F2">
              <w:rPr>
                <w:rFonts w:ascii="Georgia" w:hAnsi="Georgia"/>
                <w:sz w:val="20"/>
                <w:szCs w:val="20"/>
              </w:rPr>
              <w:t xml:space="preserve"> </w:t>
            </w:r>
          </w:p>
          <w:p w:rsidR="00FC65FD" w:rsidRPr="003E02F2" w:rsidRDefault="00FC65FD" w:rsidP="00346049">
            <w:pPr>
              <w:numPr>
                <w:ilvl w:val="0"/>
                <w:numId w:val="11"/>
              </w:numPr>
              <w:spacing w:line="312" w:lineRule="auto"/>
              <w:jc w:val="left"/>
              <w:rPr>
                <w:rFonts w:ascii="Georgia" w:hAnsi="Georgia"/>
                <w:sz w:val="20"/>
                <w:szCs w:val="20"/>
              </w:rPr>
            </w:pPr>
            <w:r w:rsidRPr="003E02F2">
              <w:rPr>
                <w:rFonts w:ascii="Georgia" w:hAnsi="Georgia"/>
                <w:sz w:val="20"/>
                <w:szCs w:val="20"/>
              </w:rPr>
              <w:t xml:space="preserve">marginální (relativní přírůstkové) </w:t>
            </w:r>
          </w:p>
          <w:p w:rsidR="00FC65FD" w:rsidRPr="003E02F2" w:rsidRDefault="00FC65FD" w:rsidP="00346049">
            <w:pPr>
              <w:numPr>
                <w:ilvl w:val="0"/>
                <w:numId w:val="11"/>
              </w:numPr>
              <w:spacing w:line="312" w:lineRule="auto"/>
              <w:jc w:val="left"/>
              <w:rPr>
                <w:rFonts w:ascii="Georgia" w:hAnsi="Georgia"/>
                <w:sz w:val="20"/>
                <w:szCs w:val="20"/>
              </w:rPr>
            </w:pPr>
            <w:r w:rsidRPr="003E02F2">
              <w:rPr>
                <w:rFonts w:ascii="Georgia" w:hAnsi="Georgia"/>
                <w:sz w:val="20"/>
                <w:szCs w:val="20"/>
              </w:rPr>
              <w:t xml:space="preserve">senzitivity (citlivost), tj. poměr relativních marginálních ukazatelů </w:t>
            </w:r>
          </w:p>
        </w:tc>
      </w:tr>
    </w:tbl>
    <w:p w:rsidR="00FC65FD" w:rsidRPr="003E02F2" w:rsidRDefault="00FC65FD" w:rsidP="00FC65FD">
      <w:pPr>
        <w:jc w:val="right"/>
        <w:rPr>
          <w:rFonts w:ascii="Georgia" w:hAnsi="Georgia"/>
          <w:i/>
          <w:sz w:val="20"/>
          <w:szCs w:val="20"/>
        </w:rPr>
      </w:pPr>
      <w:r w:rsidRPr="003E02F2">
        <w:rPr>
          <w:rFonts w:ascii="Georgia" w:hAnsi="Georgia"/>
          <w:i/>
          <w:sz w:val="20"/>
          <w:szCs w:val="20"/>
        </w:rPr>
        <w:t>Zdroj: Kraftová, I. (2002:27).</w:t>
      </w:r>
    </w:p>
    <w:p w:rsidR="00FC65FD" w:rsidRPr="003E02F2" w:rsidRDefault="00FC65FD" w:rsidP="003E02F2">
      <w:pPr>
        <w:spacing w:line="312" w:lineRule="auto"/>
        <w:rPr>
          <w:rFonts w:ascii="Georgia" w:hAnsi="Georgia"/>
          <w:sz w:val="20"/>
          <w:szCs w:val="20"/>
        </w:rPr>
      </w:pPr>
    </w:p>
    <w:p w:rsidR="00FC65FD" w:rsidRDefault="00FC65FD" w:rsidP="003E02F2">
      <w:pPr>
        <w:spacing w:line="312" w:lineRule="auto"/>
        <w:rPr>
          <w:rFonts w:ascii="Georgia" w:hAnsi="Georgia"/>
          <w:sz w:val="20"/>
          <w:szCs w:val="20"/>
        </w:rPr>
      </w:pPr>
      <w:r w:rsidRPr="003E02F2">
        <w:rPr>
          <w:rFonts w:ascii="Georgia" w:hAnsi="Georgia"/>
          <w:sz w:val="20"/>
          <w:szCs w:val="20"/>
        </w:rPr>
        <w:t xml:space="preserve">Mezi tradičně uplatňované </w:t>
      </w:r>
      <w:r w:rsidRPr="003E02F2">
        <w:rPr>
          <w:rFonts w:ascii="Georgia" w:hAnsi="Georgia"/>
          <w:b/>
          <w:sz w:val="20"/>
          <w:szCs w:val="20"/>
        </w:rPr>
        <w:t>oblasti finanční analýzy</w:t>
      </w:r>
      <w:r w:rsidRPr="003E02F2">
        <w:rPr>
          <w:rFonts w:ascii="Georgia" w:hAnsi="Georgia"/>
          <w:sz w:val="20"/>
          <w:szCs w:val="20"/>
        </w:rPr>
        <w:t xml:space="preserve"> patří rentabilita, likvidita, zadluženost, tržní hodnota</w:t>
      </w:r>
      <w:r w:rsidRPr="003E02F2">
        <w:rPr>
          <w:rStyle w:val="Znakapoznpodarou"/>
          <w:rFonts w:ascii="Georgia" w:hAnsi="Georgia"/>
          <w:sz w:val="20"/>
          <w:szCs w:val="20"/>
        </w:rPr>
        <w:footnoteReference w:id="1"/>
      </w:r>
      <w:r w:rsidRPr="003E02F2">
        <w:rPr>
          <w:rFonts w:ascii="Georgia" w:hAnsi="Georgia"/>
          <w:sz w:val="20"/>
          <w:szCs w:val="20"/>
        </w:rPr>
        <w:t xml:space="preserve"> a aktivita</w:t>
      </w:r>
      <w:r w:rsidRPr="003E02F2">
        <w:rPr>
          <w:rStyle w:val="Znakapoznpodarou"/>
          <w:rFonts w:ascii="Georgia" w:hAnsi="Georgia"/>
          <w:sz w:val="20"/>
          <w:szCs w:val="20"/>
        </w:rPr>
        <w:footnoteReference w:id="2"/>
      </w:r>
      <w:r w:rsidRPr="003E02F2">
        <w:rPr>
          <w:rFonts w:ascii="Georgia" w:hAnsi="Georgia"/>
          <w:sz w:val="20"/>
          <w:szCs w:val="20"/>
        </w:rPr>
        <w:t xml:space="preserve"> firmy. Je zřejmé, že pro potřeby finanční analýzy obcí nebudou uplatněny všechny tyto oblasti, případně budou nahrazeny jinými. Pro potřeby posouzení finanční kondice obce bývají nejčastěji využívány finanční ukazatele z těchto oblastí: příjmy rozpočtového hospodaření, výdaje rozpočtového hospodaření, provozní (běžný) rozpočet, kapitálový rozpočet, zadluženost obce, likvidita obce, případně další oblasti (srov. např. Peková, 2011, Žehrová, Pfeiferová, 2006, Halásek a kol., 2002, Binek a kol., 2007).</w:t>
      </w:r>
    </w:p>
    <w:p w:rsidR="003E02F2" w:rsidRPr="003E02F2" w:rsidRDefault="003E02F2" w:rsidP="003E02F2">
      <w:pPr>
        <w:spacing w:line="312" w:lineRule="auto"/>
        <w:rPr>
          <w:rFonts w:ascii="Georgia" w:hAnsi="Georgia"/>
          <w:sz w:val="20"/>
          <w:szCs w:val="20"/>
        </w:rPr>
      </w:pPr>
    </w:p>
    <w:p w:rsidR="00FC65FD" w:rsidRPr="003E02F2" w:rsidRDefault="00FC65FD" w:rsidP="003E02F2">
      <w:pPr>
        <w:pStyle w:val="Nadpis2"/>
        <w:spacing w:line="312" w:lineRule="auto"/>
        <w:jc w:val="center"/>
        <w:rPr>
          <w:rFonts w:ascii="Georgia" w:hAnsi="Georgia"/>
          <w:color w:val="244061" w:themeColor="accent1" w:themeShade="80"/>
          <w:sz w:val="24"/>
          <w:szCs w:val="24"/>
        </w:rPr>
      </w:pPr>
      <w:bookmarkStart w:id="5" w:name="_Toc325121963"/>
      <w:bookmarkStart w:id="6" w:name="_Toc325211175"/>
      <w:bookmarkStart w:id="7" w:name="_Toc331786360"/>
      <w:r w:rsidRPr="003E02F2">
        <w:rPr>
          <w:rFonts w:ascii="Georgia" w:hAnsi="Georgia"/>
          <w:color w:val="244061" w:themeColor="accent1" w:themeShade="80"/>
          <w:sz w:val="24"/>
          <w:szCs w:val="24"/>
        </w:rPr>
        <w:t>Vybrané ukazatele pro hodnocení finanční kondice obce</w:t>
      </w:r>
      <w:bookmarkEnd w:id="5"/>
      <w:bookmarkEnd w:id="6"/>
      <w:bookmarkEnd w:id="7"/>
    </w:p>
    <w:p w:rsidR="00FC65FD" w:rsidRPr="003E02F2" w:rsidRDefault="00FC65FD" w:rsidP="003E02F2">
      <w:pPr>
        <w:spacing w:line="312" w:lineRule="auto"/>
        <w:rPr>
          <w:rFonts w:ascii="Georgia" w:hAnsi="Georgia"/>
          <w:sz w:val="20"/>
          <w:szCs w:val="20"/>
          <w:lang w:eastAsia="cs-CZ"/>
        </w:rPr>
      </w:pPr>
    </w:p>
    <w:p w:rsidR="00FC65FD" w:rsidRPr="003E02F2" w:rsidRDefault="00FC65FD" w:rsidP="003E02F2">
      <w:pPr>
        <w:spacing w:line="312" w:lineRule="auto"/>
        <w:rPr>
          <w:rFonts w:ascii="Georgia" w:hAnsi="Georgia"/>
          <w:sz w:val="20"/>
          <w:szCs w:val="20"/>
          <w:lang w:eastAsia="cs-CZ"/>
        </w:rPr>
      </w:pPr>
      <w:r w:rsidRPr="003E02F2">
        <w:rPr>
          <w:rFonts w:ascii="Georgia" w:hAnsi="Georgia"/>
          <w:sz w:val="20"/>
          <w:szCs w:val="20"/>
          <w:lang w:eastAsia="cs-CZ"/>
        </w:rPr>
        <w:t>V následujícím textu jsou popsány základní a nejčastěji využívané ukazatele včetně možného způsobu interpretace výsledků a případných omezení jejich vypovídací schopnosti. Ukazatele jsou vybrány zejména z oblastí rozpočtového hospodaření (příjmová a výdajová stránka, běžný a kapitálový účet rozpočtu), likvidity a zadluženosti.</w:t>
      </w:r>
    </w:p>
    <w:p w:rsidR="00FC65FD" w:rsidRPr="003E02F2" w:rsidRDefault="00FC65FD" w:rsidP="003E02F2">
      <w:pPr>
        <w:spacing w:line="312" w:lineRule="auto"/>
        <w:rPr>
          <w:rFonts w:ascii="Georgia" w:hAnsi="Georgia"/>
          <w:sz w:val="20"/>
          <w:szCs w:val="20"/>
          <w:lang w:eastAsia="cs-CZ"/>
        </w:rPr>
      </w:pPr>
    </w:p>
    <w:p w:rsidR="00FC65FD" w:rsidRPr="003E02F2" w:rsidRDefault="00FC65FD" w:rsidP="003E02F2">
      <w:pPr>
        <w:spacing w:line="312" w:lineRule="auto"/>
        <w:rPr>
          <w:rFonts w:ascii="Georgia" w:hAnsi="Georgia"/>
          <w:sz w:val="20"/>
          <w:szCs w:val="20"/>
          <w:lang w:eastAsia="cs-CZ"/>
        </w:rPr>
      </w:pPr>
      <w:r w:rsidRPr="003E02F2">
        <w:rPr>
          <w:rFonts w:ascii="Georgia" w:hAnsi="Georgia"/>
          <w:sz w:val="20"/>
          <w:szCs w:val="20"/>
          <w:lang w:eastAsia="cs-CZ"/>
        </w:rPr>
        <w:t>Často bývají využívány ukazatele podílu vybrané kategorie v přepočtu na obyvatele – zde je však při detailnějším zkoumání výsledků a interpretaci zejména výdajů třeba vzít v úvahu velikost spádové oblasti, na kterou se daná kategorie dat vztahuje, pro kterou obec danou službu vykonává.  Též je třeba vzít v úvahu rozsah činností, které daná obec vykonává. Využívány bývají též ukazatele srovnávající výsledky za různá rozpočtová období. Ukazatele tohoto typu nejsou v následujícím textu představeny, ale samozřejmě mohou být jednoduše zkonstruovány z níže uvedených ukazatelů.</w:t>
      </w:r>
    </w:p>
    <w:p w:rsidR="00FC65FD" w:rsidRPr="003E02F2" w:rsidRDefault="00FC65FD" w:rsidP="003E02F2">
      <w:pPr>
        <w:pStyle w:val="Odstavecseseznamem"/>
        <w:spacing w:line="312" w:lineRule="auto"/>
        <w:ind w:left="0"/>
        <w:rPr>
          <w:rFonts w:ascii="Georgia" w:hAnsi="Georgia"/>
          <w:sz w:val="20"/>
          <w:szCs w:val="20"/>
          <w:lang w:eastAsia="cs-CZ"/>
        </w:rPr>
      </w:pPr>
    </w:p>
    <w:p w:rsidR="00FC65FD" w:rsidRDefault="00FC65FD" w:rsidP="003E02F2">
      <w:pPr>
        <w:pStyle w:val="Odstavecseseznamem"/>
        <w:spacing w:line="312" w:lineRule="auto"/>
        <w:ind w:left="0"/>
        <w:rPr>
          <w:rFonts w:ascii="Georgia" w:hAnsi="Georgia"/>
          <w:sz w:val="20"/>
          <w:szCs w:val="20"/>
          <w:lang w:eastAsia="cs-CZ"/>
        </w:rPr>
      </w:pPr>
      <w:r w:rsidRPr="003E02F2">
        <w:rPr>
          <w:rFonts w:ascii="Georgia" w:hAnsi="Georgia"/>
          <w:sz w:val="20"/>
          <w:szCs w:val="20"/>
          <w:lang w:eastAsia="cs-CZ"/>
        </w:rPr>
        <w:t>V případě hodnocení ukazatelů konstruovaných s využitím dat o dlouhodobém majetku obce je třeba mít na paměti, že obce až do r. 2011 svůj majetek neodepisovaly a tedy do výpočtů za starší období vstupuje pořizovací hodnota tohoto majetku. Z důvodu postupného přechodu na nový způsob účtování o majetku nelze ani v nejbližších letech očekávat, že z účetních výkazů bude možné vyčíst reálnou hodnotu majetku.</w:t>
      </w:r>
    </w:p>
    <w:p w:rsidR="003E02F2" w:rsidRPr="003E02F2" w:rsidRDefault="003E02F2" w:rsidP="003E02F2">
      <w:pPr>
        <w:pStyle w:val="Odstavecseseznamem"/>
        <w:spacing w:line="312" w:lineRule="auto"/>
        <w:ind w:left="0"/>
        <w:rPr>
          <w:rFonts w:ascii="Georgia" w:hAnsi="Georgia"/>
          <w:sz w:val="20"/>
          <w:szCs w:val="20"/>
        </w:rPr>
      </w:pPr>
    </w:p>
    <w:p w:rsidR="00FC65FD" w:rsidRPr="003E02F2" w:rsidRDefault="00FC65FD" w:rsidP="003E02F2">
      <w:pPr>
        <w:pStyle w:val="Nadpis3"/>
        <w:spacing w:line="312" w:lineRule="auto"/>
        <w:rPr>
          <w:rFonts w:ascii="Georgia" w:hAnsi="Georgia"/>
          <w:color w:val="244061" w:themeColor="accent1" w:themeShade="80"/>
          <w:sz w:val="20"/>
          <w:szCs w:val="20"/>
        </w:rPr>
      </w:pPr>
      <w:bookmarkStart w:id="8" w:name="_Toc331786361"/>
      <w:r w:rsidRPr="003E02F2">
        <w:rPr>
          <w:rFonts w:ascii="Georgia" w:hAnsi="Georgia"/>
          <w:color w:val="244061" w:themeColor="accent1" w:themeShade="80"/>
          <w:sz w:val="20"/>
          <w:szCs w:val="20"/>
        </w:rPr>
        <w:lastRenderedPageBreak/>
        <w:t>1. Ukazatele -  příjmy a výdaje</w:t>
      </w:r>
      <w:bookmarkEnd w:id="8"/>
    </w:p>
    <w:p w:rsidR="00FC65FD" w:rsidRPr="003E02F2" w:rsidRDefault="00FC65FD" w:rsidP="003E02F2">
      <w:pPr>
        <w:spacing w:line="312" w:lineRule="auto"/>
        <w:rPr>
          <w:rFonts w:ascii="Georgia" w:hAnsi="Georgia"/>
          <w:sz w:val="20"/>
          <w:szCs w:val="20"/>
          <w:lang w:eastAsia="cs-CZ"/>
        </w:rPr>
      </w:pPr>
    </w:p>
    <w:p w:rsidR="00FC65FD" w:rsidRPr="003E02F2" w:rsidRDefault="00FC65FD" w:rsidP="003E02F2">
      <w:pPr>
        <w:pStyle w:val="Odstavecseseznamem"/>
        <w:numPr>
          <w:ilvl w:val="0"/>
          <w:numId w:val="2"/>
        </w:numPr>
        <w:spacing w:line="312" w:lineRule="auto"/>
        <w:ind w:left="284" w:hanging="284"/>
        <w:rPr>
          <w:rFonts w:ascii="Georgia" w:hAnsi="Georgia"/>
          <w:sz w:val="20"/>
          <w:szCs w:val="20"/>
          <w:u w:val="single"/>
        </w:rPr>
      </w:pPr>
      <w:r w:rsidRPr="003E02F2">
        <w:rPr>
          <w:rFonts w:ascii="Georgia" w:hAnsi="Georgia"/>
          <w:sz w:val="20"/>
          <w:szCs w:val="20"/>
          <w:u w:val="single"/>
        </w:rPr>
        <w:t>Celkové příjmy na obyvatele</w:t>
      </w:r>
    </w:p>
    <w:p w:rsidR="00FC65FD" w:rsidRPr="003E02F2" w:rsidRDefault="00FC65FD" w:rsidP="003E02F2">
      <w:pPr>
        <w:pStyle w:val="Odstavecseseznamem"/>
        <w:spacing w:line="312" w:lineRule="auto"/>
        <w:ind w:left="284"/>
        <w:rPr>
          <w:rFonts w:ascii="Georgia" w:hAnsi="Georgia"/>
          <w:sz w:val="20"/>
          <w:szCs w:val="20"/>
          <w:u w:val="single"/>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Ukazatel umožňuje posoudit velikost rozpočtu mezi obcemi i mezi lety. Jedná se o jednoduchý základní ukazatel vyjadřující výši zdrojů obce. Omezení ukazatele vyplývá ze zařazení kapitálových příjmů a investičních transferů, což ztěžuje interpretaci výsledků, je třeba odpovědět na otázky čím je způsobena meziroční změna tohoto ukazatele? Je rozdíl mezi obcemi dán různě vysokými kapitálovými výdaji? Inkasovala některá z obcí vyšší investiční dotace? Jsou obce srovnatelně velké, není rozdíl dán velikostí obce (zejména z důvodu RUD)? Výsledky tohoto ukazatele mohou obce ovlivnit pouze omezeně – svojí aktivitou mohou ovlivnit pouze malou část daňových příjmů (zejména místní poplatky a částečně také svěřené daně), nedaňové a kapitálové příjmy.</w:t>
      </w:r>
    </w:p>
    <w:p w:rsidR="00FC65FD" w:rsidRPr="003E02F2" w:rsidRDefault="00FC65FD" w:rsidP="003E02F2">
      <w:pPr>
        <w:spacing w:line="312" w:lineRule="auto"/>
        <w:rPr>
          <w:rFonts w:ascii="Georgia" w:hAnsi="Georgia"/>
          <w:sz w:val="20"/>
          <w:szCs w:val="20"/>
        </w:rPr>
      </w:pPr>
    </w:p>
    <w:p w:rsidR="00FC65FD" w:rsidRPr="003E02F2" w:rsidRDefault="00FC65FD" w:rsidP="003E02F2">
      <w:pPr>
        <w:pStyle w:val="Odstavecseseznamem"/>
        <w:numPr>
          <w:ilvl w:val="0"/>
          <w:numId w:val="2"/>
        </w:numPr>
        <w:spacing w:line="312" w:lineRule="auto"/>
        <w:ind w:left="284" w:hanging="284"/>
        <w:rPr>
          <w:rFonts w:ascii="Georgia" w:hAnsi="Georgia"/>
          <w:sz w:val="20"/>
          <w:szCs w:val="20"/>
          <w:u w:val="single"/>
        </w:rPr>
      </w:pPr>
      <w:r w:rsidRPr="003E02F2">
        <w:rPr>
          <w:rFonts w:ascii="Georgia" w:hAnsi="Georgia"/>
          <w:sz w:val="20"/>
          <w:szCs w:val="20"/>
          <w:u w:val="single"/>
        </w:rPr>
        <w:t xml:space="preserve">Ukazatele daňových příjmů </w:t>
      </w:r>
    </w:p>
    <w:p w:rsidR="00FC65FD" w:rsidRPr="003E02F2" w:rsidRDefault="00FC65FD" w:rsidP="003E02F2">
      <w:pPr>
        <w:pStyle w:val="Odstavecseseznamem"/>
        <w:numPr>
          <w:ilvl w:val="0"/>
          <w:numId w:val="9"/>
        </w:numPr>
        <w:spacing w:line="312" w:lineRule="auto"/>
        <w:rPr>
          <w:rFonts w:ascii="Georgia" w:hAnsi="Georgia"/>
          <w:sz w:val="20"/>
          <w:szCs w:val="20"/>
          <w:u w:val="single"/>
        </w:rPr>
      </w:pPr>
      <w:r w:rsidRPr="003E02F2">
        <w:rPr>
          <w:rFonts w:ascii="Georgia" w:hAnsi="Georgia"/>
          <w:sz w:val="20"/>
          <w:szCs w:val="20"/>
          <w:u w:val="single"/>
        </w:rPr>
        <w:t>Daňové příjmy na obyvatele</w:t>
      </w:r>
    </w:p>
    <w:p w:rsidR="00FC65FD" w:rsidRPr="003E02F2" w:rsidRDefault="00FC65FD" w:rsidP="003E02F2">
      <w:pPr>
        <w:pStyle w:val="Odstavecseseznamem"/>
        <w:numPr>
          <w:ilvl w:val="0"/>
          <w:numId w:val="9"/>
        </w:numPr>
        <w:spacing w:line="312" w:lineRule="auto"/>
        <w:rPr>
          <w:rFonts w:ascii="Georgia" w:hAnsi="Georgia"/>
          <w:sz w:val="20"/>
          <w:szCs w:val="20"/>
          <w:u w:val="single"/>
        </w:rPr>
      </w:pPr>
      <w:r w:rsidRPr="003E02F2">
        <w:rPr>
          <w:rFonts w:ascii="Georgia" w:hAnsi="Georgia"/>
          <w:sz w:val="20"/>
          <w:szCs w:val="20"/>
          <w:u w:val="single"/>
        </w:rPr>
        <w:t>Podíl daňových příjmů na celkových příjmech</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 xml:space="preserve">Ukazatel vyjadřuje výši příjmů z daní, místních, správních a ostatních poplatků - jedná se o stabilní zdroj rozpočtů obcí, jejich podstatnou část však obec nemá možnost svojí aktivitou ovlivnit. </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Při srovnání mezi obcemi postihuje zejména vliv RUD na rozpočet obce. Při využívání tohoto ukazatele je vhodné použít dlouhodobější pohled na jeho výsledky. Meziroční srovnání poukazuje zejména na vlivy hospodářské situace, která ovlivňuje nejdůležitější daňové výnosy; případně lze postihnout vlivy vyplývající ze změny RUD. Interpretace ukazatelů může být ovlivněna zařazením daně z příjmů právnických osob placené danou obcí do výpočtu. Nejedná se totiž o příjem, který by posiloval zdroje obce, obec tuto daň platí sama sobě a projevuje se tedy také buď ve výdajové části rozpočtu (daň placená z vybraných příjmů v rozpočtové činnosti obce) nebo v nákladech vedlejší činnosti (daň placená v rámci podnikatelské činnosti obce).</w:t>
      </w:r>
    </w:p>
    <w:p w:rsidR="00FC65FD" w:rsidRPr="003E02F2" w:rsidRDefault="00FC65FD" w:rsidP="003E02F2">
      <w:pPr>
        <w:spacing w:line="312" w:lineRule="auto"/>
        <w:rPr>
          <w:rFonts w:ascii="Georgia" w:hAnsi="Georgia"/>
          <w:sz w:val="20"/>
          <w:szCs w:val="20"/>
        </w:rPr>
      </w:pPr>
    </w:p>
    <w:p w:rsidR="00FC65FD" w:rsidRPr="003E02F2" w:rsidRDefault="00FC65FD" w:rsidP="003E02F2">
      <w:pPr>
        <w:pStyle w:val="Odstavecseseznamem"/>
        <w:numPr>
          <w:ilvl w:val="0"/>
          <w:numId w:val="2"/>
        </w:numPr>
        <w:spacing w:line="312" w:lineRule="auto"/>
        <w:ind w:left="284" w:hanging="284"/>
        <w:rPr>
          <w:rFonts w:ascii="Georgia" w:hAnsi="Georgia"/>
          <w:sz w:val="20"/>
          <w:szCs w:val="20"/>
          <w:u w:val="single"/>
        </w:rPr>
      </w:pPr>
      <w:r w:rsidRPr="003E02F2">
        <w:rPr>
          <w:rFonts w:ascii="Georgia" w:hAnsi="Georgia"/>
          <w:sz w:val="20"/>
          <w:szCs w:val="20"/>
          <w:u w:val="single"/>
        </w:rPr>
        <w:t>Ukazatele vlastních příjmů</w:t>
      </w:r>
    </w:p>
    <w:p w:rsidR="00FC65FD" w:rsidRPr="003E02F2" w:rsidRDefault="00FC65FD" w:rsidP="003E02F2">
      <w:pPr>
        <w:pStyle w:val="Odstavecseseznamem"/>
        <w:numPr>
          <w:ilvl w:val="0"/>
          <w:numId w:val="8"/>
        </w:numPr>
        <w:spacing w:line="312" w:lineRule="auto"/>
        <w:rPr>
          <w:rFonts w:ascii="Georgia" w:hAnsi="Georgia"/>
          <w:sz w:val="20"/>
          <w:szCs w:val="20"/>
          <w:u w:val="single"/>
        </w:rPr>
      </w:pPr>
      <w:r w:rsidRPr="003E02F2">
        <w:rPr>
          <w:rFonts w:ascii="Georgia" w:hAnsi="Georgia"/>
          <w:sz w:val="20"/>
          <w:szCs w:val="20"/>
          <w:u w:val="single"/>
        </w:rPr>
        <w:t>Vlastní příjmy na obyvatele</w:t>
      </w:r>
    </w:p>
    <w:p w:rsidR="00FC65FD" w:rsidRPr="003E02F2" w:rsidRDefault="00FC65FD" w:rsidP="003E02F2">
      <w:pPr>
        <w:pStyle w:val="Odstavecseseznamem"/>
        <w:numPr>
          <w:ilvl w:val="0"/>
          <w:numId w:val="8"/>
        </w:numPr>
        <w:spacing w:line="312" w:lineRule="auto"/>
        <w:rPr>
          <w:rFonts w:ascii="Georgia" w:hAnsi="Georgia"/>
          <w:sz w:val="20"/>
          <w:szCs w:val="20"/>
          <w:u w:val="single"/>
        </w:rPr>
      </w:pPr>
      <w:r w:rsidRPr="003E02F2">
        <w:rPr>
          <w:rFonts w:ascii="Georgia" w:hAnsi="Georgia"/>
          <w:sz w:val="20"/>
          <w:szCs w:val="20"/>
          <w:u w:val="single"/>
        </w:rPr>
        <w:t>Podíl vlastních příjmů na celkových příjmech</w:t>
      </w:r>
    </w:p>
    <w:p w:rsidR="00FC65FD" w:rsidRPr="003E02F2" w:rsidRDefault="00FC65FD" w:rsidP="003E02F2">
      <w:pPr>
        <w:pStyle w:val="Odstavecseseznamem"/>
        <w:numPr>
          <w:ilvl w:val="0"/>
          <w:numId w:val="8"/>
        </w:numPr>
        <w:spacing w:line="312" w:lineRule="auto"/>
        <w:rPr>
          <w:rFonts w:ascii="Georgia" w:hAnsi="Georgia"/>
          <w:sz w:val="20"/>
          <w:szCs w:val="20"/>
          <w:u w:val="single"/>
        </w:rPr>
      </w:pPr>
      <w:r w:rsidRPr="003E02F2">
        <w:rPr>
          <w:rFonts w:ascii="Georgia" w:hAnsi="Georgia"/>
          <w:sz w:val="20"/>
          <w:szCs w:val="20"/>
          <w:u w:val="single"/>
        </w:rPr>
        <w:t xml:space="preserve">Podíl vybraných vlastních příjmů na celkových příjmech </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Ukazatele umožňují porovnat výši vlastních příjmů mezi obcemi i mezi různými roky. Omezení ukazatele (i) je obdobné jako u ukazatele celkových příjmů na obyvatele, vyplývá ze zařazení kapitálových příjmů do výpočtu, které v jednotlivých obcích nebývají každoročně ve stabilní výši. Ukazatel (ii) vyjadřuje finanční stabilitu obce. Jak moc je obec nezávislá na transferech? Při srovnání různě velkých obcí může omezení spočívat v různém rozsahu přenesené působnosti, která je financována prostřednictvím transferů (např. do r. 2011 výplata sociálních dávek na úřadech ORP). Rovněž je při interpretaci třeba brát v úvahu velikost obce z pohledu nastavení RUD. V ukazateli (iii) jsou oproti předchozímu ukazateli z výše vlastních příjmů vyloučeny příjmy ze sdílených daní, lze na ně totiž pohlížet jako na příjmy transferového charakteru, nejedná se o vlastní příjmy obce z pohledu zainteresovanosti obce na jejich získávání. Kromě srovnávání výsledků mezi obcemi jsou tyto ukazatele vhodné také pro hodnocení vývoje hospodaření obce, zejména v případě ukazatelů bez započítání příjmů ze sdílených daní. Výsledky ukazatelů (i) a (ii) obce mohou ovlivnit svojí aktivitou pouze částečně, výsledky ukazatele (iii) jsou v podstatě plně závislé na aktivitě obce.</w:t>
      </w:r>
    </w:p>
    <w:p w:rsidR="00FC65FD" w:rsidRPr="003E02F2" w:rsidRDefault="00FC65FD" w:rsidP="003E02F2">
      <w:pPr>
        <w:spacing w:line="312" w:lineRule="auto"/>
        <w:rPr>
          <w:rFonts w:ascii="Georgia" w:hAnsi="Georgia"/>
          <w:sz w:val="20"/>
          <w:szCs w:val="20"/>
        </w:rPr>
      </w:pPr>
    </w:p>
    <w:p w:rsidR="00FC65FD" w:rsidRPr="003E02F2" w:rsidRDefault="00FC65FD" w:rsidP="003E02F2">
      <w:pPr>
        <w:pStyle w:val="Odstavecseseznamem"/>
        <w:numPr>
          <w:ilvl w:val="0"/>
          <w:numId w:val="2"/>
        </w:numPr>
        <w:spacing w:line="312" w:lineRule="auto"/>
        <w:ind w:left="284" w:hanging="284"/>
        <w:rPr>
          <w:rFonts w:ascii="Georgia" w:hAnsi="Georgia"/>
          <w:sz w:val="20"/>
          <w:szCs w:val="20"/>
          <w:u w:val="single"/>
        </w:rPr>
      </w:pPr>
      <w:r w:rsidRPr="003E02F2">
        <w:rPr>
          <w:rFonts w:ascii="Georgia" w:hAnsi="Georgia"/>
          <w:sz w:val="20"/>
          <w:szCs w:val="20"/>
          <w:u w:val="single"/>
        </w:rPr>
        <w:t>Výdaje na obyvatele</w:t>
      </w:r>
    </w:p>
    <w:p w:rsidR="00FC65FD" w:rsidRPr="003E02F2" w:rsidRDefault="00FC65FD" w:rsidP="003E02F2">
      <w:pPr>
        <w:pStyle w:val="Odstavecseseznamem"/>
        <w:numPr>
          <w:ilvl w:val="0"/>
          <w:numId w:val="7"/>
        </w:numPr>
        <w:spacing w:line="312" w:lineRule="auto"/>
        <w:rPr>
          <w:rFonts w:ascii="Georgia" w:hAnsi="Georgia"/>
          <w:sz w:val="20"/>
          <w:szCs w:val="20"/>
          <w:u w:val="single"/>
        </w:rPr>
      </w:pPr>
      <w:r w:rsidRPr="003E02F2">
        <w:rPr>
          <w:rFonts w:ascii="Georgia" w:hAnsi="Georgia"/>
          <w:sz w:val="20"/>
          <w:szCs w:val="20"/>
          <w:u w:val="single"/>
        </w:rPr>
        <w:t>Celkové výdaje na obyvatele</w:t>
      </w:r>
    </w:p>
    <w:p w:rsidR="00FC65FD" w:rsidRPr="003E02F2" w:rsidRDefault="00FC65FD" w:rsidP="003E02F2">
      <w:pPr>
        <w:pStyle w:val="Odstavecseseznamem"/>
        <w:numPr>
          <w:ilvl w:val="0"/>
          <w:numId w:val="7"/>
        </w:numPr>
        <w:spacing w:line="312" w:lineRule="auto"/>
        <w:rPr>
          <w:rFonts w:ascii="Georgia" w:hAnsi="Georgia"/>
          <w:sz w:val="20"/>
          <w:szCs w:val="20"/>
          <w:u w:val="single"/>
        </w:rPr>
      </w:pPr>
      <w:r w:rsidRPr="003E02F2">
        <w:rPr>
          <w:rFonts w:ascii="Georgia" w:hAnsi="Georgia"/>
          <w:sz w:val="20"/>
          <w:szCs w:val="20"/>
          <w:u w:val="single"/>
        </w:rPr>
        <w:t>Běžné výdaje na obyvatele</w:t>
      </w:r>
    </w:p>
    <w:p w:rsidR="00FC65FD" w:rsidRPr="003E02F2" w:rsidRDefault="00FC65FD" w:rsidP="003E02F2">
      <w:pPr>
        <w:pStyle w:val="Odstavecseseznamem"/>
        <w:numPr>
          <w:ilvl w:val="0"/>
          <w:numId w:val="7"/>
        </w:numPr>
        <w:spacing w:line="312" w:lineRule="auto"/>
        <w:rPr>
          <w:rFonts w:ascii="Georgia" w:hAnsi="Georgia"/>
          <w:sz w:val="20"/>
          <w:szCs w:val="20"/>
          <w:u w:val="single"/>
        </w:rPr>
      </w:pPr>
      <w:r w:rsidRPr="003E02F2">
        <w:rPr>
          <w:rFonts w:ascii="Georgia" w:hAnsi="Georgia"/>
          <w:sz w:val="20"/>
          <w:szCs w:val="20"/>
          <w:u w:val="single"/>
        </w:rPr>
        <w:t>Kapitálové výdaje na obyvatele</w:t>
      </w:r>
    </w:p>
    <w:p w:rsidR="00FC65FD" w:rsidRPr="003E02F2" w:rsidRDefault="00FC65FD" w:rsidP="003E02F2">
      <w:pPr>
        <w:pStyle w:val="Odstavecseseznamem"/>
        <w:numPr>
          <w:ilvl w:val="0"/>
          <w:numId w:val="7"/>
        </w:numPr>
        <w:spacing w:line="312" w:lineRule="auto"/>
        <w:rPr>
          <w:rFonts w:ascii="Georgia" w:hAnsi="Georgia"/>
          <w:sz w:val="20"/>
          <w:szCs w:val="20"/>
          <w:u w:val="single"/>
        </w:rPr>
      </w:pPr>
      <w:r w:rsidRPr="003E02F2">
        <w:rPr>
          <w:rFonts w:ascii="Georgia" w:hAnsi="Georgia"/>
          <w:sz w:val="20"/>
          <w:szCs w:val="20"/>
          <w:u w:val="single"/>
        </w:rPr>
        <w:t>Každoročně se opakující výdaje na obyvatele</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Ukazatel postihuje výši běžných i kapitálových výdajů obce v přepočtu na 1 obyvatele. Jedná se o jednoduchý ukazatel umožňující základní srovnání mezi obcemi i mezi lety. Opět je při interpretaci třeba brát v úvahu velikost obce, rozsah činností, které obec zajišťuje (a pro jakou spádovou oblast), výši jednorázových (zejména kapitálových) výdajů, atp. Ukazatel je vhodný pro ilustraci rozdílů mezi obce i mezi lety, hodnocení výše ukazatele je však diskutabilní. Jaká je optimální výše výdajů na obyvatele? Jak hodnotit vyšší či nižší výsledky oproti průměru? Jsou nižší výdaje na obyvatele znakem nedostatku prostředků nebo jsou výsledkem lepšího hospodaření? Tyto skutečnosti nelze posoudit bez znalosti rozsahu a struktury výdajů, které obce realizují, zejména není postižena kvalita poskytovaných statků a služeb. V případě varianty ukazatele (iii) jsou do výpočtu zahrnuty pouze ty běžné výdaje, které mají každoročně se opakující charakter, tato forma však umožňuje lepší meziroční srovnání výsledků. Ukazatele jsou tedy vhodné pro využití k hodnocení vývoje hospodaření obcí a zejména pro plánování úrovně výdajů do budoucnosti. Možnost ovlivnit výsledky tohoto ukazatele aktivitou obce je dána zejména objemem mandatorních výdajů, které je obec povinna ze svého rozpočtu hradit. Oproti tomu investiční činnost obce je otázkou rozhodnutí zastupitelstva obce.</w:t>
      </w:r>
    </w:p>
    <w:p w:rsidR="00FC65FD" w:rsidRPr="003E02F2" w:rsidRDefault="00FC65FD" w:rsidP="003E02F2">
      <w:pPr>
        <w:spacing w:line="312" w:lineRule="auto"/>
        <w:rPr>
          <w:rFonts w:ascii="Georgia" w:hAnsi="Georgia"/>
          <w:sz w:val="20"/>
          <w:szCs w:val="20"/>
        </w:rPr>
      </w:pPr>
    </w:p>
    <w:p w:rsidR="00FC65FD" w:rsidRPr="003E02F2" w:rsidRDefault="00FC65FD" w:rsidP="003E02F2">
      <w:pPr>
        <w:pStyle w:val="Odstavecseseznamem"/>
        <w:numPr>
          <w:ilvl w:val="0"/>
          <w:numId w:val="2"/>
        </w:numPr>
        <w:spacing w:line="312" w:lineRule="auto"/>
        <w:ind w:left="284" w:hanging="284"/>
        <w:rPr>
          <w:rFonts w:ascii="Georgia" w:hAnsi="Georgia"/>
          <w:sz w:val="20"/>
          <w:szCs w:val="20"/>
          <w:u w:val="single"/>
        </w:rPr>
      </w:pPr>
      <w:r w:rsidRPr="003E02F2">
        <w:rPr>
          <w:rFonts w:ascii="Georgia" w:hAnsi="Georgia"/>
          <w:sz w:val="20"/>
          <w:szCs w:val="20"/>
          <w:u w:val="single"/>
        </w:rPr>
        <w:t>Podíl vybraných výdajů na celkových výdajích</w:t>
      </w:r>
    </w:p>
    <w:p w:rsidR="00FC65FD" w:rsidRPr="003E02F2" w:rsidRDefault="00FC65FD" w:rsidP="003E02F2">
      <w:pPr>
        <w:pStyle w:val="Odstavecseseznamem"/>
        <w:numPr>
          <w:ilvl w:val="0"/>
          <w:numId w:val="10"/>
        </w:numPr>
        <w:spacing w:line="312" w:lineRule="auto"/>
        <w:rPr>
          <w:rFonts w:ascii="Georgia" w:hAnsi="Georgia"/>
          <w:sz w:val="20"/>
          <w:szCs w:val="20"/>
          <w:u w:val="single"/>
        </w:rPr>
      </w:pPr>
      <w:r w:rsidRPr="003E02F2">
        <w:rPr>
          <w:rFonts w:ascii="Georgia" w:hAnsi="Georgia"/>
          <w:sz w:val="20"/>
          <w:szCs w:val="20"/>
          <w:u w:val="single"/>
        </w:rPr>
        <w:t>Podíl běžných výdajů na celkových výdajích</w:t>
      </w:r>
    </w:p>
    <w:p w:rsidR="00FC65FD" w:rsidRPr="003E02F2" w:rsidRDefault="00FC65FD" w:rsidP="003E02F2">
      <w:pPr>
        <w:pStyle w:val="Odstavecseseznamem"/>
        <w:numPr>
          <w:ilvl w:val="0"/>
          <w:numId w:val="10"/>
        </w:numPr>
        <w:spacing w:line="312" w:lineRule="auto"/>
        <w:rPr>
          <w:rFonts w:ascii="Georgia" w:hAnsi="Georgia"/>
          <w:sz w:val="20"/>
          <w:szCs w:val="20"/>
          <w:u w:val="single"/>
        </w:rPr>
      </w:pPr>
      <w:r w:rsidRPr="003E02F2">
        <w:rPr>
          <w:rFonts w:ascii="Georgia" w:hAnsi="Georgia"/>
          <w:sz w:val="20"/>
          <w:szCs w:val="20"/>
          <w:u w:val="single"/>
        </w:rPr>
        <w:t>Podíl kapitálových výdajů na celkových výdajích</w:t>
      </w:r>
    </w:p>
    <w:p w:rsidR="00FC65FD" w:rsidRPr="003E02F2" w:rsidRDefault="00FC65FD" w:rsidP="003E02F2">
      <w:pPr>
        <w:pStyle w:val="Odstavecseseznamem"/>
        <w:numPr>
          <w:ilvl w:val="0"/>
          <w:numId w:val="10"/>
        </w:numPr>
        <w:spacing w:line="312" w:lineRule="auto"/>
        <w:rPr>
          <w:rFonts w:ascii="Georgia" w:hAnsi="Georgia"/>
          <w:sz w:val="20"/>
          <w:szCs w:val="20"/>
          <w:u w:val="single"/>
        </w:rPr>
      </w:pPr>
      <w:r w:rsidRPr="003E02F2">
        <w:rPr>
          <w:rFonts w:ascii="Georgia" w:hAnsi="Georgia"/>
          <w:sz w:val="20"/>
          <w:szCs w:val="20"/>
          <w:u w:val="single"/>
        </w:rPr>
        <w:t>Podíl každoročně se opakujících výdajů na celkových výdajích</w:t>
      </w:r>
    </w:p>
    <w:p w:rsidR="00FC65FD" w:rsidRPr="003E02F2" w:rsidRDefault="00FC65FD" w:rsidP="003E02F2">
      <w:pPr>
        <w:pStyle w:val="Odstavecseseznamem"/>
        <w:numPr>
          <w:ilvl w:val="0"/>
          <w:numId w:val="10"/>
        </w:numPr>
        <w:spacing w:line="312" w:lineRule="auto"/>
        <w:rPr>
          <w:rFonts w:ascii="Georgia" w:hAnsi="Georgia"/>
          <w:sz w:val="20"/>
          <w:szCs w:val="20"/>
          <w:u w:val="single"/>
        </w:rPr>
      </w:pPr>
      <w:r w:rsidRPr="003E02F2">
        <w:rPr>
          <w:rFonts w:ascii="Georgia" w:hAnsi="Georgia"/>
          <w:sz w:val="20"/>
          <w:szCs w:val="20"/>
          <w:u w:val="single"/>
        </w:rPr>
        <w:t>Podíl mandatorních výdajů na celkových výdajích</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 xml:space="preserve">Tyto ukazatele vyjadřují kolik z celkových výdajů obce je určeno na provozní záležitosti / na investice / na každoročně se opakující výdaje / na výdaje, které je obec povinna hradit ze zákona. Zejména u malých obcí lze očekávat meziroční výkyvy způsobené jednorázovými kapitálovými výdaji. Při interpretaci meziročních změn je třeba brát v úvahu také možné změny v rozsahu činností, zejména těch, které jsou obce povinny ze zákona vykonávat (např. do r. 2011 včetně jsou v běžných výdajích zahrnuty výdaje na sociální dávky, od r. 2012 lze očekávat pokles na straně běžných výdajů i příjmů (neinvestičních transferů) u ORP). Hodnocení výsledků těchto ukazatelů je nejednoznačné – nelze určit optimální podíl vybraných výdajů na celkových výdajích. Ukazatele jsou tedy vhodné pro využití k hodnocení vývoje hospodaření obcí a zejména pro plánování úrovně výdajů do budoucnosti. Opět je možnost ovlivnit výsledky tohoto ukazatele aktivitou obce dána zejména objemem mandatorních výdajů, které je obec povinna ze svého rozpočtu hradit. </w:t>
      </w:r>
    </w:p>
    <w:p w:rsidR="00FC65FD" w:rsidRPr="003E02F2" w:rsidRDefault="00FC65FD" w:rsidP="003E02F2">
      <w:pPr>
        <w:spacing w:line="312" w:lineRule="auto"/>
        <w:rPr>
          <w:rFonts w:ascii="Georgia" w:hAnsi="Georgia"/>
          <w:sz w:val="20"/>
          <w:szCs w:val="20"/>
        </w:rPr>
      </w:pPr>
    </w:p>
    <w:p w:rsidR="00FC65FD" w:rsidRPr="003E02F2" w:rsidRDefault="00FC65FD" w:rsidP="003E02F2">
      <w:pPr>
        <w:numPr>
          <w:ilvl w:val="0"/>
          <w:numId w:val="2"/>
        </w:numPr>
        <w:spacing w:line="312" w:lineRule="auto"/>
        <w:ind w:left="426" w:hanging="426"/>
        <w:rPr>
          <w:rFonts w:ascii="Georgia" w:hAnsi="Georgia"/>
          <w:sz w:val="20"/>
          <w:szCs w:val="20"/>
          <w:u w:val="single"/>
        </w:rPr>
      </w:pPr>
      <w:r w:rsidRPr="003E02F2">
        <w:rPr>
          <w:rFonts w:ascii="Georgia" w:hAnsi="Georgia"/>
          <w:sz w:val="20"/>
          <w:szCs w:val="20"/>
          <w:u w:val="single"/>
        </w:rPr>
        <w:t>Podíl výdajů plynoucích do vybrané oblasti na celkových výdajích</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 xml:space="preserve">Výdaje dle jednotlivých oblastí je vhodné sledovat odděleně pro běžné a pro kapitálové výdaje; to umožní lepší interpretaci meziročních změn. Srovnání ukazatelů mezi obcemi je vhodné pouze u obcí s obdobnými parametry. Ukazatele jsou vhodné zejména pro hodnocení vývoje hospodaření konkrétní obce, pro sledování trendů v daných výdajových oblastech a pro plánování budoucích výdajů obce. </w:t>
      </w:r>
      <w:r w:rsidRPr="003E02F2">
        <w:rPr>
          <w:rFonts w:ascii="Georgia" w:hAnsi="Georgia"/>
          <w:sz w:val="20"/>
          <w:szCs w:val="20"/>
        </w:rPr>
        <w:lastRenderedPageBreak/>
        <w:t xml:space="preserve">Opět je možnost ovlivnit výsledky tohoto ukazatele aktivitou obce dána zejména objemem mandatorních výdajů v té které oblasti, které je obec povinna ze svého rozpočtu hradit. </w:t>
      </w:r>
    </w:p>
    <w:p w:rsidR="00FC65FD" w:rsidRPr="003E02F2" w:rsidRDefault="00FC65FD" w:rsidP="003E02F2">
      <w:pPr>
        <w:spacing w:line="312" w:lineRule="auto"/>
        <w:rPr>
          <w:rFonts w:ascii="Georgia" w:hAnsi="Georgia"/>
          <w:sz w:val="20"/>
          <w:szCs w:val="20"/>
        </w:rPr>
      </w:pPr>
    </w:p>
    <w:p w:rsidR="00FC65FD" w:rsidRDefault="00FC65FD" w:rsidP="003E02F2">
      <w:pPr>
        <w:spacing w:line="312" w:lineRule="auto"/>
        <w:rPr>
          <w:rFonts w:ascii="Georgia" w:hAnsi="Georgia"/>
          <w:sz w:val="20"/>
          <w:szCs w:val="20"/>
        </w:rPr>
      </w:pPr>
      <w:r w:rsidRPr="003E02F2">
        <w:rPr>
          <w:rFonts w:ascii="Georgia" w:hAnsi="Georgia"/>
          <w:sz w:val="20"/>
          <w:szCs w:val="20"/>
        </w:rPr>
        <w:t xml:space="preserve">Významným ukazatelem z této oblasti je ukazatel </w:t>
      </w:r>
      <w:r w:rsidRPr="003E02F2">
        <w:rPr>
          <w:rFonts w:ascii="Georgia" w:hAnsi="Georgia"/>
          <w:sz w:val="20"/>
          <w:szCs w:val="20"/>
          <w:u w:val="single"/>
        </w:rPr>
        <w:t>podílu běžných výdajů na správu na celkových běžných výdajích</w:t>
      </w:r>
      <w:r w:rsidRPr="003E02F2">
        <w:rPr>
          <w:rFonts w:ascii="Georgia" w:hAnsi="Georgia"/>
          <w:sz w:val="20"/>
          <w:szCs w:val="20"/>
        </w:rPr>
        <w:t>. Ukazatel vyjadřuje, jaký podíl běžných výdajů je tvořen provozními výdaji na činnost místní správy, tedy samotné zajištění výkonu veřejné správy v území. Velkou část těchto výdajů však tvoří tzv. mandatorní výdaje, zejména výdaje na platy zaměstnanců úřadu a na odměny členů zastupitelstva obce a dalších orgánů obce.</w:t>
      </w:r>
    </w:p>
    <w:p w:rsidR="003E02F2" w:rsidRPr="003E02F2" w:rsidRDefault="003E02F2"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color w:val="244061" w:themeColor="accent1" w:themeShade="80"/>
          <w:sz w:val="20"/>
          <w:szCs w:val="20"/>
        </w:rPr>
      </w:pPr>
    </w:p>
    <w:p w:rsidR="00FC65FD" w:rsidRPr="003E02F2" w:rsidRDefault="003E02F2" w:rsidP="003E02F2">
      <w:pPr>
        <w:pStyle w:val="Nadpis3"/>
        <w:spacing w:after="240" w:line="312" w:lineRule="auto"/>
        <w:rPr>
          <w:rFonts w:ascii="Georgia" w:hAnsi="Georgia"/>
          <w:color w:val="244061" w:themeColor="accent1" w:themeShade="80"/>
          <w:sz w:val="20"/>
          <w:szCs w:val="20"/>
        </w:rPr>
      </w:pPr>
      <w:r w:rsidRPr="003E02F2">
        <w:rPr>
          <w:rFonts w:ascii="Georgia" w:hAnsi="Georgia"/>
          <w:color w:val="244061" w:themeColor="accent1" w:themeShade="80"/>
          <w:sz w:val="20"/>
          <w:szCs w:val="20"/>
        </w:rPr>
        <w:t>2.</w:t>
      </w:r>
      <w:r w:rsidR="00FC65FD" w:rsidRPr="003E02F2">
        <w:rPr>
          <w:rFonts w:ascii="Georgia" w:hAnsi="Georgia"/>
          <w:color w:val="244061" w:themeColor="accent1" w:themeShade="80"/>
          <w:sz w:val="20"/>
          <w:szCs w:val="20"/>
        </w:rPr>
        <w:t xml:space="preserve"> </w:t>
      </w:r>
      <w:bookmarkStart w:id="9" w:name="_Toc331786362"/>
      <w:r w:rsidR="00FC65FD" w:rsidRPr="003E02F2">
        <w:rPr>
          <w:rFonts w:ascii="Georgia" w:hAnsi="Georgia"/>
          <w:color w:val="244061" w:themeColor="accent1" w:themeShade="80"/>
          <w:sz w:val="20"/>
          <w:szCs w:val="20"/>
        </w:rPr>
        <w:t>Ukazatele – saldo rozpočtu</w:t>
      </w:r>
      <w:bookmarkEnd w:id="9"/>
    </w:p>
    <w:p w:rsidR="00FC65FD" w:rsidRPr="003E02F2" w:rsidRDefault="00FC65FD" w:rsidP="003E02F2">
      <w:pPr>
        <w:pStyle w:val="Odstavecseseznamem"/>
        <w:numPr>
          <w:ilvl w:val="0"/>
          <w:numId w:val="12"/>
        </w:numPr>
        <w:spacing w:line="312" w:lineRule="auto"/>
        <w:ind w:left="284" w:hanging="284"/>
        <w:rPr>
          <w:rFonts w:ascii="Georgia" w:hAnsi="Georgia"/>
          <w:sz w:val="20"/>
          <w:szCs w:val="20"/>
          <w:u w:val="single"/>
        </w:rPr>
      </w:pPr>
      <w:r w:rsidRPr="003E02F2">
        <w:rPr>
          <w:rFonts w:ascii="Georgia" w:hAnsi="Georgia"/>
          <w:sz w:val="20"/>
          <w:szCs w:val="20"/>
          <w:u w:val="single"/>
        </w:rPr>
        <w:t xml:space="preserve">Saldo rozpočtu </w:t>
      </w:r>
    </w:p>
    <w:p w:rsidR="00FC65FD" w:rsidRPr="003E02F2" w:rsidRDefault="00FC65FD" w:rsidP="003E02F2">
      <w:pPr>
        <w:spacing w:line="312" w:lineRule="auto"/>
        <w:ind w:left="360" w:firstLine="348"/>
        <w:rPr>
          <w:rFonts w:ascii="Georgia" w:hAnsi="Georgia"/>
          <w:sz w:val="20"/>
          <w:szCs w:val="20"/>
          <w:lang w:eastAsia="cs-CZ"/>
        </w:rPr>
      </w:pPr>
      <w:r w:rsidRPr="003E02F2">
        <w:rPr>
          <w:rFonts w:ascii="Georgia" w:hAnsi="Georgia"/>
          <w:sz w:val="20"/>
          <w:szCs w:val="20"/>
          <w:lang w:eastAsia="cs-CZ"/>
        </w:rPr>
        <w:t xml:space="preserve">(i)   </w:t>
      </w:r>
      <w:r w:rsidRPr="003E02F2">
        <w:rPr>
          <w:rFonts w:ascii="Georgia" w:hAnsi="Georgia"/>
          <w:sz w:val="20"/>
          <w:szCs w:val="20"/>
          <w:u w:val="single"/>
          <w:lang w:eastAsia="cs-CZ"/>
        </w:rPr>
        <w:t>výše na obyvatele</w:t>
      </w:r>
    </w:p>
    <w:p w:rsidR="00FC65FD" w:rsidRPr="003E02F2" w:rsidRDefault="00FC65FD" w:rsidP="003E02F2">
      <w:pPr>
        <w:numPr>
          <w:ilvl w:val="2"/>
          <w:numId w:val="12"/>
        </w:numPr>
        <w:tabs>
          <w:tab w:val="clear" w:pos="2700"/>
          <w:tab w:val="num" w:pos="1080"/>
        </w:tabs>
        <w:spacing w:line="312" w:lineRule="auto"/>
        <w:ind w:left="1080" w:hanging="360"/>
        <w:rPr>
          <w:rFonts w:ascii="Georgia" w:hAnsi="Georgia"/>
          <w:sz w:val="20"/>
          <w:szCs w:val="20"/>
          <w:u w:val="single"/>
          <w:lang w:eastAsia="cs-CZ"/>
        </w:rPr>
      </w:pPr>
      <w:r w:rsidRPr="003E02F2">
        <w:rPr>
          <w:rFonts w:ascii="Georgia" w:hAnsi="Georgia"/>
          <w:sz w:val="20"/>
          <w:szCs w:val="20"/>
          <w:u w:val="single"/>
          <w:lang w:eastAsia="cs-CZ"/>
        </w:rPr>
        <w:t>podíl na celkových příjmech</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 xml:space="preserve">Varianta (i) podává informaci o výši přebytku či deficitu rozpočtu obce, (ii) sleduje míru úspor. </w:t>
      </w: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 xml:space="preserve">Ukazatele hodnotící výši salda rozpočtu nejsou pro posuzování finanční situace obce vhodné. Hodnocení na základě tohoto ukazatele je možné při dlouhodobějším pohledu, nikoliv na základě jednoročního výsledku. Samotná informace o tom, zda obec dosáhla za daný rok celkově přebytku či deficitu, nic nevypovídá o její finanční kondici. V úvahu je třeba vzít informace o důvodech vzniku deficitu (provozní či investiční), o způsobech jeho úhrady (v případě dluhového financování deficitu je třeba též vzít v úvahu podmínky splácení), o důvodech vzniku přebytku (spoření do budoucna či z důvodu nutnosti zajištění prostředků na splácení současného dluhu). </w:t>
      </w:r>
    </w:p>
    <w:p w:rsidR="00FC65FD" w:rsidRPr="003E02F2" w:rsidRDefault="00FC65FD" w:rsidP="003E02F2">
      <w:pPr>
        <w:spacing w:line="312" w:lineRule="auto"/>
        <w:rPr>
          <w:rFonts w:ascii="Georgia" w:hAnsi="Georgia"/>
          <w:sz w:val="20"/>
          <w:szCs w:val="20"/>
        </w:rPr>
      </w:pPr>
    </w:p>
    <w:p w:rsidR="00FC65FD" w:rsidRPr="003E02F2" w:rsidRDefault="00FC65FD" w:rsidP="003E02F2">
      <w:pPr>
        <w:pStyle w:val="Odstavecseseznamem"/>
        <w:numPr>
          <w:ilvl w:val="0"/>
          <w:numId w:val="12"/>
        </w:numPr>
        <w:spacing w:line="312" w:lineRule="auto"/>
        <w:ind w:left="284" w:hanging="284"/>
        <w:rPr>
          <w:rFonts w:ascii="Georgia" w:hAnsi="Georgia"/>
          <w:sz w:val="20"/>
          <w:szCs w:val="20"/>
          <w:u w:val="single"/>
        </w:rPr>
      </w:pPr>
      <w:r w:rsidRPr="003E02F2">
        <w:rPr>
          <w:rFonts w:ascii="Georgia" w:hAnsi="Georgia"/>
          <w:sz w:val="20"/>
          <w:szCs w:val="20"/>
          <w:u w:val="single"/>
        </w:rPr>
        <w:t>Saldo běžného rozpočtu – výše na obyvatele</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Ukazatel umožňuje porovnávat schopnost jednotlivých obcí generovat přebytek běžného rozpočtu. Jedná se o základní ukazatel hodnotící zdraví rozpočtového hospodaření obce, avšak je nutno vzít v úvahu, že stejná hodnota ukazatele má u různě velkých obcí velmi rozdílné reálné dopady. Tento ukazatel je vhodný jak pro komparaci s jinými obcemi tak pro hodnocení vývoje hospodaření v provozní části rozpočtu. Při detailnějším hodnocení výsledků tohoto ukazatele je třeba brát v úvahu omezenou možnost obce aktivně získávat běžné příjmy a oproti tomu nutnost hradit zejména mandatorní výdaje.</w:t>
      </w:r>
    </w:p>
    <w:p w:rsidR="00FC65FD" w:rsidRPr="003E02F2" w:rsidRDefault="00FC65FD" w:rsidP="003E02F2">
      <w:pPr>
        <w:spacing w:line="312" w:lineRule="auto"/>
        <w:rPr>
          <w:rFonts w:ascii="Georgia" w:hAnsi="Georgia"/>
          <w:sz w:val="20"/>
          <w:szCs w:val="20"/>
        </w:rPr>
      </w:pPr>
    </w:p>
    <w:p w:rsidR="00FC65FD" w:rsidRPr="003E02F2" w:rsidRDefault="00FC65FD" w:rsidP="003E02F2">
      <w:pPr>
        <w:pStyle w:val="Odstavecseseznamem"/>
        <w:numPr>
          <w:ilvl w:val="0"/>
          <w:numId w:val="12"/>
        </w:numPr>
        <w:spacing w:line="312" w:lineRule="auto"/>
        <w:ind w:left="284" w:hanging="284"/>
        <w:rPr>
          <w:rFonts w:ascii="Georgia" w:hAnsi="Georgia"/>
          <w:sz w:val="20"/>
          <w:szCs w:val="20"/>
          <w:u w:val="single"/>
        </w:rPr>
      </w:pPr>
      <w:r w:rsidRPr="003E02F2">
        <w:rPr>
          <w:rFonts w:ascii="Georgia" w:hAnsi="Georgia"/>
          <w:sz w:val="20"/>
          <w:szCs w:val="20"/>
          <w:u w:val="single"/>
        </w:rPr>
        <w:t>Podíl salda běžného rozpočtu na běžných příjmech</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Ukazatel vyjadřuje, jaký podíl ze svých běžných příjmů obec uspořila. Srovnání výsledků tohoto ukazatele může být mírně nevýhodné pro obce, které plní větší rozsah úkolů v přenesené působnosti a na tyto činnosti získávají neinvestiční transfery. V čitateli ukazatele tak budou zahrnuty výdaje i příjmy související s touto činností, ovšem ve jmenovateli budou zahrnuty pouze příjmy - veškeré neinvestiční transfery. Opět, stejně jako v případě předchozího ukazatele, je třeba brát v úvahu omezenou možnost obce aktivně získávat běžné příjmy a oproti tomu nutnost hradit zejména mandatorní výdaje.</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Ukazatel je vhodný k hodnocení finanční situace konkrétní obce a při znalosti trendů běžné příjmové i výdajové stránky rozpočtu se jedná o velmi důležitý ukazatel pro plánování budoucích aktivit obce (provozních i investičních).</w:t>
      </w:r>
    </w:p>
    <w:p w:rsidR="00FC65FD" w:rsidRPr="003E02F2" w:rsidRDefault="00FC65FD" w:rsidP="003E02F2">
      <w:pPr>
        <w:spacing w:line="312" w:lineRule="auto"/>
        <w:rPr>
          <w:rFonts w:ascii="Georgia" w:hAnsi="Georgia"/>
          <w:sz w:val="20"/>
          <w:szCs w:val="20"/>
        </w:rPr>
      </w:pPr>
    </w:p>
    <w:p w:rsidR="00FC65FD" w:rsidRPr="003E02F2" w:rsidRDefault="00FC65FD" w:rsidP="003E02F2">
      <w:pPr>
        <w:pStyle w:val="Odstavecseseznamem"/>
        <w:numPr>
          <w:ilvl w:val="0"/>
          <w:numId w:val="12"/>
        </w:numPr>
        <w:spacing w:line="312" w:lineRule="auto"/>
        <w:ind w:left="284" w:hanging="284"/>
        <w:rPr>
          <w:rFonts w:ascii="Georgia" w:hAnsi="Georgia"/>
          <w:sz w:val="20"/>
          <w:szCs w:val="20"/>
          <w:u w:val="single"/>
        </w:rPr>
      </w:pPr>
      <w:r w:rsidRPr="003E02F2">
        <w:rPr>
          <w:rFonts w:ascii="Georgia" w:hAnsi="Georgia"/>
          <w:sz w:val="20"/>
          <w:szCs w:val="20"/>
          <w:u w:val="single"/>
        </w:rPr>
        <w:t>Podíl běžných příjmů a běžných výdajů</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Ukazatel vyjadřuje míru krytí běžných výdajů běžnými příjmy obce. Obdobně jako v případě předchozího ukazatele může být srovnání výsledků mírně nevýhodné pro obce, které plní větší rozsah úkolů v přenesené působnosti financované neinvestičními transfery. Využití ukazatele je obdobné jako v případě ukazatelů c) a d).</w:t>
      </w:r>
    </w:p>
    <w:p w:rsidR="00FC65FD" w:rsidRPr="003E02F2" w:rsidRDefault="00FC65FD" w:rsidP="003E02F2">
      <w:pPr>
        <w:spacing w:line="312" w:lineRule="auto"/>
        <w:rPr>
          <w:rFonts w:ascii="Georgia" w:hAnsi="Georgia"/>
          <w:sz w:val="20"/>
          <w:szCs w:val="20"/>
        </w:rPr>
      </w:pPr>
    </w:p>
    <w:p w:rsidR="00FC65FD" w:rsidRPr="003E02F2" w:rsidRDefault="00FC65FD" w:rsidP="003E02F2">
      <w:pPr>
        <w:pStyle w:val="Odstavecseseznamem"/>
        <w:numPr>
          <w:ilvl w:val="0"/>
          <w:numId w:val="12"/>
        </w:numPr>
        <w:spacing w:line="312" w:lineRule="auto"/>
        <w:ind w:left="284" w:hanging="284"/>
        <w:rPr>
          <w:rFonts w:ascii="Georgia" w:hAnsi="Georgia"/>
          <w:sz w:val="20"/>
          <w:szCs w:val="20"/>
          <w:u w:val="single"/>
        </w:rPr>
      </w:pPr>
      <w:r w:rsidRPr="003E02F2">
        <w:rPr>
          <w:rFonts w:ascii="Georgia" w:hAnsi="Georgia"/>
          <w:sz w:val="20"/>
          <w:szCs w:val="20"/>
          <w:u w:val="single"/>
        </w:rPr>
        <w:t>Ukazatel samofinancování běžných výdajů vlastními příjmy</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 xml:space="preserve">Ukazatel vyjadřuje, jak dokáže obec pokrýt výdaje na svůj provoz ze svých vlastních příjmů. Je sporné, jak tento ukazatel interpretovat, protože je v něm zakomponován předpoklad možné úhrady běžných výdajů také z kapitálových příjmů jakožto součásti vlastních příjmů obce. Dalším problémem interpretace ukazatele je zahrnutí všech běžných výdajů do výpočtu – tedy i těch, které jsou některé obce povinny vynakládat v rámci své přenesené působnosti a které jsou financovány z neinvestičních transferů, jejich financování z vlastních příjmů se nepředpokládá. Rovněž je problematické zahrnutí sdílených daňových příjmů do výpočtu. </w:t>
      </w:r>
    </w:p>
    <w:p w:rsidR="00FC65FD" w:rsidRPr="003E02F2" w:rsidRDefault="00FC65FD" w:rsidP="003E02F2">
      <w:pPr>
        <w:spacing w:line="312" w:lineRule="auto"/>
        <w:rPr>
          <w:rFonts w:ascii="Georgia" w:hAnsi="Georgia"/>
          <w:sz w:val="20"/>
          <w:szCs w:val="20"/>
        </w:rPr>
      </w:pPr>
    </w:p>
    <w:p w:rsidR="00FC65FD" w:rsidRPr="003E02F2" w:rsidRDefault="00FC65FD" w:rsidP="003E02F2">
      <w:pPr>
        <w:numPr>
          <w:ilvl w:val="0"/>
          <w:numId w:val="12"/>
        </w:numPr>
        <w:spacing w:line="312" w:lineRule="auto"/>
        <w:ind w:left="284" w:hanging="284"/>
        <w:rPr>
          <w:rFonts w:ascii="Georgia" w:hAnsi="Georgia"/>
          <w:sz w:val="20"/>
          <w:szCs w:val="20"/>
          <w:u w:val="single"/>
        </w:rPr>
      </w:pPr>
      <w:r w:rsidRPr="003E02F2">
        <w:rPr>
          <w:rFonts w:ascii="Georgia" w:hAnsi="Georgia"/>
          <w:sz w:val="20"/>
          <w:szCs w:val="20"/>
          <w:u w:val="single"/>
        </w:rPr>
        <w:t xml:space="preserve">Ukazatel kapacity samofinancování kapitálových výdajů </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Ukazatel je vypočítán jako podíl součtu přebytku běžného rozpočtu a kapitálových příjmů a kapitálových výdajů. Určuje, jak je obec schopna uhradit své investice výlučně z vlastních prostředků daného roku. Nebere v úvahu možné přebytky rozpočtu z minulých let, které obce na investice mohou uspořit. Výsledky tohoto ukazatele může obec ovlivnit zejména pečlivým plánováním svých investičních aktivit; tento ukazatel je tedy velmi vhodný právě pro tento účel - pro plánování investičních aktivit obce.</w:t>
      </w:r>
    </w:p>
    <w:p w:rsidR="00FC65FD" w:rsidRPr="003E02F2" w:rsidRDefault="00FC65FD" w:rsidP="003E02F2">
      <w:pPr>
        <w:spacing w:line="312" w:lineRule="auto"/>
        <w:rPr>
          <w:rFonts w:ascii="Georgia" w:hAnsi="Georgia"/>
          <w:sz w:val="20"/>
          <w:szCs w:val="20"/>
        </w:rPr>
      </w:pPr>
    </w:p>
    <w:p w:rsidR="00FC65FD" w:rsidRPr="003E02F2" w:rsidRDefault="00FC65FD" w:rsidP="003E02F2">
      <w:pPr>
        <w:pStyle w:val="Odstavecseseznamem"/>
        <w:numPr>
          <w:ilvl w:val="0"/>
          <w:numId w:val="12"/>
        </w:numPr>
        <w:spacing w:line="312" w:lineRule="auto"/>
        <w:ind w:left="284" w:hanging="284"/>
        <w:rPr>
          <w:rFonts w:ascii="Georgia" w:hAnsi="Georgia"/>
          <w:sz w:val="20"/>
          <w:szCs w:val="20"/>
        </w:rPr>
      </w:pPr>
      <w:r w:rsidRPr="003E02F2">
        <w:rPr>
          <w:rFonts w:ascii="Georgia" w:hAnsi="Georgia"/>
          <w:sz w:val="20"/>
          <w:szCs w:val="20"/>
          <w:u w:val="single"/>
        </w:rPr>
        <w:t xml:space="preserve">Ukazatel krytí kapitálových výdajů kapitálovými příjmy </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Ukazatel vyjadřuje, jaký podíl kapitálových výdajů obec pokryje ze svých kapitálových příjmů (třída 3 dle rozpočtové skladby). Výsledky tohoto ukazatele jsou plně závislé na aktivitě obce. Je diskutabilní, jak výsledky tohoto ukazatele interpretovat, pokud není k dispozici informace o původu kapitálových výdajů. Jednalo se o majetek určený k prodeji, nebo se obec rozhodla prodat majetek, protože neměla dostatek zdrojů na úhradu svých investic? Ukazatel je možné vyjádřit také jako podíl KV a KP včetně investičních transferů. Ukazatel je možné využít pro sledování vývoje jeho výsledků z dlouhodobějšího pohledu, pro potřeby hodnocení finanční situace konkrétní obce.</w:t>
      </w:r>
    </w:p>
    <w:p w:rsidR="00FC65FD" w:rsidRPr="003E02F2" w:rsidRDefault="00FC65FD" w:rsidP="003E02F2">
      <w:pPr>
        <w:spacing w:line="312" w:lineRule="auto"/>
        <w:rPr>
          <w:rFonts w:ascii="Georgia" w:hAnsi="Georgia"/>
          <w:sz w:val="20"/>
          <w:szCs w:val="20"/>
        </w:rPr>
      </w:pPr>
    </w:p>
    <w:p w:rsidR="00FC65FD" w:rsidRPr="003E02F2" w:rsidRDefault="00FC65FD" w:rsidP="003E02F2">
      <w:pPr>
        <w:pStyle w:val="Odstavecseseznamem"/>
        <w:numPr>
          <w:ilvl w:val="0"/>
          <w:numId w:val="12"/>
        </w:numPr>
        <w:spacing w:line="312" w:lineRule="auto"/>
        <w:ind w:left="284" w:hanging="284"/>
        <w:rPr>
          <w:rFonts w:ascii="Georgia" w:hAnsi="Georgia"/>
          <w:sz w:val="20"/>
          <w:szCs w:val="20"/>
        </w:rPr>
      </w:pPr>
      <w:r w:rsidRPr="003E02F2">
        <w:rPr>
          <w:rFonts w:ascii="Georgia" w:hAnsi="Georgia"/>
          <w:sz w:val="20"/>
          <w:szCs w:val="20"/>
          <w:u w:val="single"/>
        </w:rPr>
        <w:t xml:space="preserve">Ukazatel krytí kapitálových výdajů investičními transfery </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Ukazatel vyjadřuje, jak je obec úspěšná v získávání transferů na pokrytí svých kapitálových výdajů. Výše ukazatele může být zkreslena, pokud byl transfer na současnou investici poskytnut v předchozích letech a pokud čerpání poskytnutých transferů není omezeno na jeden kalendářní rok. Je tedy vhodné sledovat tento ukazatel z dlouhodobějšího hlediska, a to zejména pro potřeby dané konkrétní obce, případně při srovnání s obcemi s obdobnými parametry. Možnost ovlivnění výsledků tohoto ukazatele ze strany obce je do jisté míry dána schopností obce dobře zvažovat své investiční aktivity i ve vztahu k vypisovaným dotačním výzvám a schopností zpracovávat smysluplné kvalitní projektové žádosti.</w:t>
      </w:r>
    </w:p>
    <w:p w:rsidR="00FC65FD" w:rsidRPr="003E02F2" w:rsidRDefault="00FC65FD" w:rsidP="003E02F2">
      <w:pPr>
        <w:spacing w:line="312" w:lineRule="auto"/>
        <w:rPr>
          <w:rFonts w:ascii="Georgia" w:hAnsi="Georgia"/>
          <w:sz w:val="20"/>
          <w:szCs w:val="20"/>
        </w:rPr>
      </w:pPr>
    </w:p>
    <w:p w:rsidR="00FC65FD" w:rsidRPr="003E02F2" w:rsidRDefault="00FC65FD" w:rsidP="003E02F2">
      <w:pPr>
        <w:pStyle w:val="Odstavecseseznamem"/>
        <w:numPr>
          <w:ilvl w:val="0"/>
          <w:numId w:val="12"/>
        </w:numPr>
        <w:spacing w:line="312" w:lineRule="auto"/>
        <w:ind w:left="284" w:hanging="284"/>
        <w:rPr>
          <w:rFonts w:ascii="Georgia" w:hAnsi="Georgia"/>
          <w:sz w:val="20"/>
          <w:szCs w:val="20"/>
          <w:u w:val="single"/>
        </w:rPr>
      </w:pPr>
      <w:r w:rsidRPr="003E02F2">
        <w:rPr>
          <w:rFonts w:ascii="Georgia" w:hAnsi="Georgia"/>
          <w:sz w:val="20"/>
          <w:szCs w:val="20"/>
          <w:u w:val="single"/>
        </w:rPr>
        <w:lastRenderedPageBreak/>
        <w:t>Podíl kapitálových výdajů na saldu běžného rozpočtu</w:t>
      </w:r>
    </w:p>
    <w:p w:rsidR="00FC65FD" w:rsidRPr="003E02F2" w:rsidRDefault="00FC65FD" w:rsidP="003E02F2">
      <w:pPr>
        <w:spacing w:line="312" w:lineRule="auto"/>
        <w:rPr>
          <w:rFonts w:ascii="Georgia" w:hAnsi="Georgia"/>
          <w:sz w:val="20"/>
          <w:szCs w:val="20"/>
        </w:rPr>
      </w:pPr>
    </w:p>
    <w:p w:rsidR="00FC65FD" w:rsidRDefault="00FC65FD" w:rsidP="003E02F2">
      <w:pPr>
        <w:spacing w:line="312" w:lineRule="auto"/>
        <w:rPr>
          <w:rFonts w:ascii="Georgia" w:hAnsi="Georgia"/>
          <w:sz w:val="20"/>
          <w:szCs w:val="20"/>
        </w:rPr>
      </w:pPr>
      <w:r w:rsidRPr="003E02F2">
        <w:rPr>
          <w:rFonts w:ascii="Georgia" w:hAnsi="Georgia"/>
          <w:sz w:val="20"/>
          <w:szCs w:val="20"/>
        </w:rPr>
        <w:t xml:space="preserve">Ukazatel vyjadřuje, z jakého podílu jsou kapitálové výdaje obce kryty z provozního salda; na výsledek lze nahlížet také jako na výpočet počtu let, za které je obec schopna uspořit na pořizované investice ze svého běžného rozpočtu, ovšem za předpokladu, že za dané časové období budou realizovány pouze tyto kapitálové výdaje. Výsledky tohoto ukazatele může obec ovlivnit zejména pečlivým plánováním svých investičních aktivit; tento ukazatel je tedy velmi vhodný právě pro tento účel - pro plánování investičních aktivit obce při využití dlouhodobějšího pohledu na jeho výsledky. </w:t>
      </w:r>
    </w:p>
    <w:p w:rsidR="003E02F2" w:rsidRPr="003E02F2" w:rsidRDefault="003E02F2"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p>
    <w:p w:rsidR="00FC65FD" w:rsidRPr="003E02F2" w:rsidRDefault="00FC65FD" w:rsidP="003E02F2">
      <w:pPr>
        <w:pStyle w:val="Nadpis3"/>
        <w:numPr>
          <w:ilvl w:val="0"/>
          <w:numId w:val="18"/>
        </w:numPr>
        <w:spacing w:line="312" w:lineRule="auto"/>
        <w:ind w:left="0" w:firstLine="0"/>
        <w:rPr>
          <w:rFonts w:ascii="Georgia" w:hAnsi="Georgia"/>
          <w:color w:val="244061" w:themeColor="accent1" w:themeShade="80"/>
          <w:sz w:val="20"/>
          <w:szCs w:val="20"/>
        </w:rPr>
      </w:pPr>
      <w:bookmarkStart w:id="10" w:name="_Toc331786363"/>
      <w:r w:rsidRPr="003E02F2">
        <w:rPr>
          <w:rFonts w:ascii="Georgia" w:hAnsi="Georgia"/>
          <w:color w:val="244061" w:themeColor="accent1" w:themeShade="80"/>
          <w:sz w:val="20"/>
          <w:szCs w:val="20"/>
        </w:rPr>
        <w:t>Ukazatele – zadluženost</w:t>
      </w:r>
      <w:bookmarkEnd w:id="10"/>
    </w:p>
    <w:p w:rsidR="00FC65FD" w:rsidRPr="003E02F2" w:rsidRDefault="00FC65FD" w:rsidP="003E02F2">
      <w:pPr>
        <w:spacing w:line="312" w:lineRule="auto"/>
        <w:rPr>
          <w:rFonts w:ascii="Georgia" w:hAnsi="Georgia"/>
          <w:sz w:val="20"/>
          <w:szCs w:val="20"/>
          <w:lang w:eastAsia="cs-CZ"/>
        </w:rPr>
      </w:pPr>
    </w:p>
    <w:p w:rsidR="00FC65FD" w:rsidRPr="003E02F2" w:rsidRDefault="00FC65FD" w:rsidP="003E02F2">
      <w:pPr>
        <w:spacing w:line="312" w:lineRule="auto"/>
        <w:rPr>
          <w:rFonts w:ascii="Georgia" w:hAnsi="Georgia"/>
          <w:sz w:val="20"/>
          <w:szCs w:val="20"/>
          <w:lang w:eastAsia="cs-CZ"/>
        </w:rPr>
      </w:pPr>
      <w:r w:rsidRPr="003E02F2">
        <w:rPr>
          <w:rFonts w:ascii="Georgia" w:hAnsi="Georgia"/>
          <w:sz w:val="20"/>
          <w:szCs w:val="20"/>
          <w:lang w:eastAsia="cs-CZ"/>
        </w:rPr>
        <w:t>Obce nejsou nikterak omezovány ze strany státu ve své možnosti zadlužit se. Výsledky následujících ukazatelů jsou tedy plně závislé na aktivitě obce, na jejím rozhodování o svých závazcích a jejich formách.</w:t>
      </w:r>
    </w:p>
    <w:p w:rsidR="00FC65FD" w:rsidRPr="003E02F2" w:rsidRDefault="00FC65FD" w:rsidP="003E02F2">
      <w:pPr>
        <w:spacing w:line="312" w:lineRule="auto"/>
        <w:rPr>
          <w:rFonts w:ascii="Georgia" w:hAnsi="Georgia"/>
          <w:sz w:val="20"/>
          <w:szCs w:val="20"/>
          <w:lang w:eastAsia="cs-CZ"/>
        </w:rPr>
      </w:pPr>
    </w:p>
    <w:p w:rsidR="00FC65FD" w:rsidRPr="003E02F2" w:rsidRDefault="00FC65FD" w:rsidP="003E02F2">
      <w:pPr>
        <w:pStyle w:val="Odstavecseseznamem"/>
        <w:numPr>
          <w:ilvl w:val="0"/>
          <w:numId w:val="3"/>
        </w:numPr>
        <w:spacing w:line="312" w:lineRule="auto"/>
        <w:ind w:left="284" w:hanging="284"/>
        <w:rPr>
          <w:rFonts w:ascii="Georgia" w:hAnsi="Georgia"/>
          <w:sz w:val="20"/>
          <w:szCs w:val="20"/>
          <w:u w:val="single"/>
        </w:rPr>
      </w:pPr>
      <w:r w:rsidRPr="003E02F2">
        <w:rPr>
          <w:rFonts w:ascii="Georgia" w:hAnsi="Georgia"/>
          <w:sz w:val="20"/>
          <w:szCs w:val="20"/>
          <w:u w:val="single"/>
        </w:rPr>
        <w:t>Výše dluhu na obyvatele</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Ukazatel umožňuje jednoduché srovnání mezi lety i mezi obcemi, vhodné je však zejména dlouhodobý pohled na výsledky ukazatele, sledování vývoje celkové zadluženosti obce. Interpretace ukazatele je omezena faktem, že zejména malé obce mají jako klienti bank – žadatelé o úvěr obtížnější postavení než větší obce a města, je pro ně obtížnější získat cizí zdroje. Vyšší zadluženost na obyvatele také nemusí být sama o sobě špatným signálem, pokud obec disponuje vyšším provozním saldem na obyvatele a dokáže tedy lépe generovat zdroje na případné splátky.</w:t>
      </w:r>
    </w:p>
    <w:p w:rsidR="00FC65FD" w:rsidRPr="003E02F2" w:rsidRDefault="00FC65FD" w:rsidP="003E02F2">
      <w:pPr>
        <w:spacing w:line="312" w:lineRule="auto"/>
        <w:rPr>
          <w:rFonts w:ascii="Georgia" w:hAnsi="Georgia"/>
          <w:sz w:val="20"/>
          <w:szCs w:val="20"/>
        </w:rPr>
      </w:pPr>
    </w:p>
    <w:p w:rsidR="00FC65FD" w:rsidRPr="003E02F2" w:rsidRDefault="00FC65FD" w:rsidP="003E02F2">
      <w:pPr>
        <w:pStyle w:val="Odstavecseseznamem"/>
        <w:numPr>
          <w:ilvl w:val="0"/>
          <w:numId w:val="3"/>
        </w:numPr>
        <w:spacing w:line="312" w:lineRule="auto"/>
        <w:ind w:left="284" w:hanging="284"/>
        <w:rPr>
          <w:rFonts w:ascii="Georgia" w:hAnsi="Georgia"/>
          <w:sz w:val="20"/>
          <w:szCs w:val="20"/>
        </w:rPr>
      </w:pPr>
      <w:r w:rsidRPr="003E02F2">
        <w:rPr>
          <w:rFonts w:ascii="Georgia" w:hAnsi="Georgia"/>
          <w:sz w:val="20"/>
          <w:szCs w:val="20"/>
          <w:u w:val="single"/>
        </w:rPr>
        <w:t>Výše dluhu k dlouhodobému majetku</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 xml:space="preserve">Ukazatel vypovídá o míře krytí dluhů obce dlouhodobým majetkem obce. Obdoba tohoto ukazatele je využívána Monitoringem hospodaření obcí - </w:t>
      </w:r>
      <w:r w:rsidRPr="003E02F2">
        <w:rPr>
          <w:rFonts w:ascii="Georgia" w:hAnsi="Georgia"/>
          <w:sz w:val="20"/>
          <w:szCs w:val="20"/>
          <w:u w:val="single"/>
        </w:rPr>
        <w:t>podíl cizích zdrojů k celkovým aktivům</w:t>
      </w:r>
      <w:r w:rsidRPr="003E02F2">
        <w:rPr>
          <w:rFonts w:ascii="Georgia" w:hAnsi="Georgia"/>
          <w:sz w:val="20"/>
          <w:szCs w:val="20"/>
        </w:rPr>
        <w:t xml:space="preserve"> obce. Omezení tohoto ukazatele vyplývá ze skutečnosti, že až do r. 2011 byly v účetnictví obce evidovány pouze historické ceny majetku, nebylo účtováno o opotřebení dlouhodobého majetku, z účetnictví není možné zjistit reálnou hodnotu majetku. Ukazatel je, obdobně jako předchozí ukazatel, vhodný zejména pro srovnání v čase a mezi obcemi navzájem.</w:t>
      </w:r>
    </w:p>
    <w:p w:rsidR="00FC65FD" w:rsidRPr="003E02F2" w:rsidRDefault="00FC65FD" w:rsidP="003E02F2">
      <w:pPr>
        <w:spacing w:line="312" w:lineRule="auto"/>
        <w:rPr>
          <w:rFonts w:ascii="Georgia" w:hAnsi="Georgia"/>
          <w:sz w:val="20"/>
          <w:szCs w:val="20"/>
        </w:rPr>
      </w:pPr>
    </w:p>
    <w:p w:rsidR="00FC65FD" w:rsidRPr="003E02F2" w:rsidRDefault="00FC65FD" w:rsidP="003E02F2">
      <w:pPr>
        <w:pStyle w:val="Odstavecseseznamem"/>
        <w:numPr>
          <w:ilvl w:val="0"/>
          <w:numId w:val="3"/>
        </w:numPr>
        <w:spacing w:line="312" w:lineRule="auto"/>
        <w:ind w:left="284" w:hanging="284"/>
        <w:rPr>
          <w:rFonts w:ascii="Georgia" w:hAnsi="Georgia"/>
          <w:sz w:val="20"/>
          <w:szCs w:val="20"/>
          <w:u w:val="single"/>
        </w:rPr>
      </w:pPr>
      <w:r w:rsidRPr="003E02F2">
        <w:rPr>
          <w:rFonts w:ascii="Georgia" w:hAnsi="Georgia"/>
          <w:sz w:val="20"/>
          <w:szCs w:val="20"/>
          <w:u w:val="single"/>
        </w:rPr>
        <w:t>Výše dluhu k celkovým příjmům</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Ukazatel nabízí jednoduché poměření výše zadlužení obce k velikosti jejího rozpočtu (jejím příjmům). Ukazatel je opět vhodný zejména pro srovnání v čase a mezi obcemi navzájem.</w:t>
      </w:r>
    </w:p>
    <w:p w:rsidR="00FC65FD" w:rsidRPr="003E02F2" w:rsidRDefault="00FC65FD" w:rsidP="003E02F2">
      <w:pPr>
        <w:spacing w:line="312" w:lineRule="auto"/>
        <w:rPr>
          <w:rFonts w:ascii="Georgia" w:hAnsi="Georgia"/>
          <w:sz w:val="20"/>
          <w:szCs w:val="20"/>
        </w:rPr>
      </w:pPr>
    </w:p>
    <w:p w:rsidR="00FC65FD" w:rsidRPr="003E02F2" w:rsidRDefault="00FC65FD" w:rsidP="003E02F2">
      <w:pPr>
        <w:pStyle w:val="Odstavecseseznamem"/>
        <w:numPr>
          <w:ilvl w:val="0"/>
          <w:numId w:val="3"/>
        </w:numPr>
        <w:spacing w:line="312" w:lineRule="auto"/>
        <w:ind w:left="284" w:hanging="284"/>
        <w:rPr>
          <w:rFonts w:ascii="Georgia" w:hAnsi="Georgia"/>
          <w:sz w:val="20"/>
          <w:szCs w:val="20"/>
          <w:u w:val="single"/>
        </w:rPr>
      </w:pPr>
      <w:r w:rsidRPr="003E02F2">
        <w:rPr>
          <w:rFonts w:ascii="Georgia" w:hAnsi="Georgia"/>
          <w:sz w:val="20"/>
          <w:szCs w:val="20"/>
          <w:u w:val="single"/>
        </w:rPr>
        <w:t>Výše dluhu k saldu běžného rozpočtu</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 xml:space="preserve">Ukazatel vyjadřuje, za kolik let je celkový dluh splatný ze salda běžného rozpočtu obce. Výpočet vychází pouze z výše provozního salda za daný kalendářní rok, nebere v úvahu jeho možné změny v následujících letech. Rovněž nebere v úvahu splátkové kalendáře jednotlivých dluhů obce (úvěrů, půjček,…). Na druhou stranu umožňuje jednoduché vyjádření schopnosti obce hradit své dluhy ze „zisku“. Ukazatel je vhodný ke komparaci schopnosti obcí generovat zdroje potřebné ke splácení svých </w:t>
      </w:r>
      <w:r w:rsidRPr="003E02F2">
        <w:rPr>
          <w:rFonts w:ascii="Georgia" w:hAnsi="Georgia"/>
          <w:sz w:val="20"/>
          <w:szCs w:val="20"/>
        </w:rPr>
        <w:lastRenderedPageBreak/>
        <w:t>dluhů. Je rovněž vhodný pro plánování budoucích výdajů obce při znalosti zatížení budoucích rozpočtů současným dluhovým zatížením.</w:t>
      </w:r>
    </w:p>
    <w:p w:rsidR="00FC65FD" w:rsidRPr="003E02F2" w:rsidRDefault="00FC65FD" w:rsidP="003E02F2">
      <w:pPr>
        <w:spacing w:line="312" w:lineRule="auto"/>
        <w:rPr>
          <w:rFonts w:ascii="Georgia" w:hAnsi="Georgia"/>
          <w:sz w:val="20"/>
          <w:szCs w:val="20"/>
        </w:rPr>
      </w:pPr>
    </w:p>
    <w:p w:rsidR="00FC65FD" w:rsidRPr="003E02F2" w:rsidRDefault="00FC65FD" w:rsidP="003E02F2">
      <w:pPr>
        <w:pStyle w:val="Odstavecseseznamem"/>
        <w:numPr>
          <w:ilvl w:val="0"/>
          <w:numId w:val="3"/>
        </w:numPr>
        <w:spacing w:line="312" w:lineRule="auto"/>
        <w:ind w:left="284" w:hanging="284"/>
        <w:rPr>
          <w:rFonts w:ascii="Georgia" w:hAnsi="Georgia"/>
          <w:sz w:val="20"/>
          <w:szCs w:val="20"/>
          <w:u w:val="single"/>
        </w:rPr>
      </w:pPr>
      <w:r w:rsidRPr="003E02F2">
        <w:rPr>
          <w:rFonts w:ascii="Georgia" w:hAnsi="Georgia"/>
          <w:sz w:val="20"/>
          <w:szCs w:val="20"/>
          <w:u w:val="single"/>
        </w:rPr>
        <w:t>Ukazatel dluhové služby</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 xml:space="preserve">Ukazatel dluhové služby ve své obecné podobě představuje podíl výdajů na dluhovou službu na vybrané kategorii příjmů (dluhová základna). Do dluhové služby vstupují roční výdaje související se splácením dluhů, tedy zejména placené úroky, splátky jistin a splátky emitovaných dluhopisů, případně leasingové splátky. Interpretace ukazatele je pak omezena zejména vymezením příjmů, k nimž je dluhová služba vztažena. Pro srovnání mezi obcemi i mezi různými obdobími je vhodné do dluhové základny zahrnout pouze běžné příjmy, v případě neinvestičních transferů je pak vhodné započítat pouze transfery v rámci souhrnného dotačního vztahu, které jsou nárokové ze zákona a mají každoročně se opakující charakter. Vypovídací hodnota ukazatele je omezena také faktem, že postihuje pouze roční výdaje související se zadlužením, nikoliv celkový stav zadlužení. Kromě zohledňujících faktorů vymezených v kapitole 1.3.3 lze zmínit problémy s interpretací ukazatele u obcí, které mají sice vysoké zadlužení, ale mají odložené splácení a v daném roce jsou výdaje na dluhovou službu minimální. </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Ukazatel je vhodný zejména pro sledování vývoje daných položek hospodaření a při detailnější znalosti situace obce také pro hodnocení finanční situace obce.</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 xml:space="preserve">V ČR byl UDS využíván v letech 2004-2007, jeho podoba byla popsána v kapitole 2.3.2. Jiná podoba UDS je v současnosti součástí SIMU Monitoringu hospodaření obcí (informativní ukazatel č. 6), do jeho výpočtu vstupují na straně čitatele (dluhová služba) placené úroky a splátky emitovaných dluhopisů a půjčených prostředků, do jmenovatele (dluhová základna) jsou zahrnuty celkové příjmy. </w:t>
      </w:r>
    </w:p>
    <w:p w:rsidR="00FC65FD" w:rsidRPr="003E02F2" w:rsidRDefault="00FC65FD" w:rsidP="003E02F2">
      <w:pPr>
        <w:spacing w:line="312" w:lineRule="auto"/>
        <w:rPr>
          <w:rFonts w:ascii="Georgia" w:hAnsi="Georgia"/>
          <w:sz w:val="20"/>
          <w:szCs w:val="20"/>
        </w:rPr>
      </w:pPr>
    </w:p>
    <w:p w:rsidR="00FC65FD" w:rsidRPr="003E02F2" w:rsidRDefault="00FC65FD" w:rsidP="003E02F2">
      <w:pPr>
        <w:pStyle w:val="Odstavecseseznamem"/>
        <w:numPr>
          <w:ilvl w:val="0"/>
          <w:numId w:val="3"/>
        </w:numPr>
        <w:spacing w:line="312" w:lineRule="auto"/>
        <w:ind w:left="284" w:hanging="284"/>
        <w:rPr>
          <w:rFonts w:ascii="Georgia" w:hAnsi="Georgia"/>
          <w:sz w:val="20"/>
          <w:szCs w:val="20"/>
          <w:u w:val="single"/>
        </w:rPr>
      </w:pPr>
      <w:r w:rsidRPr="003E02F2">
        <w:rPr>
          <w:rFonts w:ascii="Georgia" w:hAnsi="Georgia"/>
          <w:sz w:val="20"/>
          <w:szCs w:val="20"/>
          <w:u w:val="single"/>
        </w:rPr>
        <w:t>Podíl splátek úroků a běžných příjmů</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Jedná se o obdobu předchozího ukazatele, do čitatele však vstupují pouze úroky. Ukazatel vypovídá o zatížení rozpočtu splátkami úroků, resp. jaký podíl běžných příjmů musí obec vynaložit na placené úroky.</w:t>
      </w:r>
    </w:p>
    <w:p w:rsidR="00FC65FD" w:rsidRPr="003E02F2" w:rsidRDefault="00FC65FD" w:rsidP="003E02F2">
      <w:pPr>
        <w:spacing w:line="312" w:lineRule="auto"/>
        <w:rPr>
          <w:rFonts w:ascii="Georgia" w:hAnsi="Georgia"/>
          <w:sz w:val="20"/>
          <w:szCs w:val="20"/>
        </w:rPr>
      </w:pPr>
    </w:p>
    <w:p w:rsidR="00FC65FD" w:rsidRPr="003E02F2" w:rsidRDefault="00FC65FD" w:rsidP="003E02F2">
      <w:pPr>
        <w:pStyle w:val="Odstavecseseznamem"/>
        <w:numPr>
          <w:ilvl w:val="0"/>
          <w:numId w:val="3"/>
        </w:numPr>
        <w:spacing w:line="312" w:lineRule="auto"/>
        <w:ind w:left="284" w:hanging="284"/>
        <w:rPr>
          <w:rFonts w:ascii="Georgia" w:hAnsi="Georgia"/>
          <w:sz w:val="20"/>
          <w:szCs w:val="20"/>
          <w:u w:val="single"/>
        </w:rPr>
      </w:pPr>
      <w:r w:rsidRPr="003E02F2">
        <w:rPr>
          <w:rFonts w:ascii="Georgia" w:hAnsi="Georgia"/>
          <w:sz w:val="20"/>
          <w:szCs w:val="20"/>
          <w:u w:val="single"/>
        </w:rPr>
        <w:t>Podíl dluhové služby a dluhové kapacity</w:t>
      </w:r>
    </w:p>
    <w:p w:rsidR="00FC65FD" w:rsidRPr="003E02F2" w:rsidRDefault="00FC65FD" w:rsidP="003E02F2">
      <w:pPr>
        <w:pStyle w:val="Odstavecseseznamem"/>
        <w:spacing w:line="312" w:lineRule="auto"/>
        <w:ind w:left="1364"/>
        <w:rPr>
          <w:rFonts w:ascii="Georgia" w:hAnsi="Georgia"/>
          <w:sz w:val="20"/>
          <w:szCs w:val="20"/>
          <w:u w:val="single"/>
        </w:rPr>
      </w:pPr>
      <w:r w:rsidRPr="003E02F2">
        <w:rPr>
          <w:rFonts w:ascii="Georgia" w:hAnsi="Georgia"/>
          <w:sz w:val="20"/>
          <w:szCs w:val="20"/>
          <w:u w:val="single"/>
        </w:rPr>
        <w:t>Modifikace: Podíl splátek jistiny (a emitovaných dluhopisů) a dluhové kapacity</w:t>
      </w:r>
    </w:p>
    <w:p w:rsidR="00FC65FD" w:rsidRPr="003E02F2" w:rsidRDefault="00FC65FD" w:rsidP="003E02F2">
      <w:pPr>
        <w:pStyle w:val="Odstavecseseznamem"/>
        <w:spacing w:line="312" w:lineRule="auto"/>
        <w:ind w:left="1364"/>
        <w:rPr>
          <w:rFonts w:ascii="Georgia" w:hAnsi="Georgia"/>
          <w:sz w:val="20"/>
          <w:szCs w:val="20"/>
          <w:u w:val="single"/>
        </w:rPr>
      </w:pPr>
      <w:r w:rsidRPr="003E02F2">
        <w:rPr>
          <w:rFonts w:ascii="Georgia" w:hAnsi="Georgia"/>
          <w:sz w:val="20"/>
          <w:szCs w:val="20"/>
          <w:u w:val="single"/>
        </w:rPr>
        <w:t>Modifikace: Podíl splátek úroků a dluhové kapacity</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Dluhová kapacita je vyjádřena jako přebytek běžného rozpočtu, tedy rozdíl běžných příjmů a běžných výdajů, do běžných výdajů pro tyto účely nejsou zahrnuty výdaje na dluhovou službu. Ukazatele vyjadřují, zda a s jakou rezervou je obec schopna hradit své závazky související se zadlužením z přebytku svého běžného rozpočtu. Ukazatele je možné využít jak pro srovnání schopnosti obcí splácet své dluhy, tak také pro hodnocení vývoje hospodaření obce, také pro plánování budoucích aktivit obce.</w:t>
      </w:r>
    </w:p>
    <w:p w:rsidR="00FC65FD" w:rsidRPr="003E02F2" w:rsidRDefault="00FC65FD" w:rsidP="003E02F2">
      <w:pPr>
        <w:spacing w:line="312" w:lineRule="auto"/>
        <w:rPr>
          <w:rFonts w:ascii="Georgia" w:hAnsi="Georgia"/>
          <w:sz w:val="20"/>
          <w:szCs w:val="20"/>
        </w:rPr>
      </w:pPr>
    </w:p>
    <w:p w:rsidR="00FC65FD" w:rsidRPr="003E02F2" w:rsidRDefault="00FC65FD" w:rsidP="003E02F2">
      <w:pPr>
        <w:pStyle w:val="Odstavecseseznamem"/>
        <w:numPr>
          <w:ilvl w:val="0"/>
          <w:numId w:val="3"/>
        </w:numPr>
        <w:spacing w:line="312" w:lineRule="auto"/>
        <w:ind w:left="284" w:hanging="284"/>
        <w:rPr>
          <w:rFonts w:ascii="Georgia" w:hAnsi="Georgia"/>
          <w:sz w:val="20"/>
          <w:szCs w:val="20"/>
          <w:u w:val="single"/>
        </w:rPr>
      </w:pPr>
      <w:r w:rsidRPr="003E02F2">
        <w:rPr>
          <w:rFonts w:ascii="Georgia" w:hAnsi="Georgia"/>
          <w:sz w:val="20"/>
          <w:szCs w:val="20"/>
          <w:u w:val="single"/>
        </w:rPr>
        <w:t>Podíl přijatých půjčených prostředků na kapitálových výdajích</w:t>
      </w:r>
    </w:p>
    <w:p w:rsidR="00FC65FD" w:rsidRPr="003E02F2" w:rsidRDefault="00FC65FD" w:rsidP="003E02F2">
      <w:pPr>
        <w:spacing w:line="312" w:lineRule="auto"/>
        <w:rPr>
          <w:rFonts w:ascii="Georgia" w:hAnsi="Georgia"/>
          <w:sz w:val="20"/>
          <w:szCs w:val="20"/>
        </w:rPr>
      </w:pPr>
    </w:p>
    <w:p w:rsidR="00FC65FD" w:rsidRDefault="00FC65FD" w:rsidP="003E02F2">
      <w:pPr>
        <w:spacing w:line="312" w:lineRule="auto"/>
        <w:rPr>
          <w:rFonts w:ascii="Georgia" w:hAnsi="Georgia"/>
          <w:sz w:val="20"/>
          <w:szCs w:val="20"/>
        </w:rPr>
      </w:pPr>
      <w:r w:rsidRPr="003E02F2">
        <w:rPr>
          <w:rFonts w:ascii="Georgia" w:hAnsi="Georgia"/>
          <w:sz w:val="20"/>
          <w:szCs w:val="20"/>
        </w:rPr>
        <w:t xml:space="preserve">Ukazatel vyjadřuje, jaký podíl kapitálových výdajů obec financuje z půjčených prostředků. Hodnota tohoto ukazatele by neměla překračovat 1, vyšší podíl by znamenal financování běžného provozu z cizích zdrojů. Hodnocení tohoto ukazatele může být omezeno např. způsobem financování investic </w:t>
      </w:r>
      <w:r w:rsidRPr="003E02F2">
        <w:rPr>
          <w:rFonts w:ascii="Georgia" w:hAnsi="Georgia"/>
          <w:sz w:val="20"/>
          <w:szCs w:val="20"/>
        </w:rPr>
        <w:lastRenderedPageBreak/>
        <w:t>pořizovaných z evropských fondů, kdy je obec nucena dočasně pokrýt výdaje z cizích zdrojů a teprve v dalších obdobích je jí poskytnut transfer, ze kterého jsou dluhy splaceny. Zkreslení ukazatele též může vyplývat ze situace, kdy obec čerpá dluhové prostředky v jiném kalendářním roce, než ve kterém je uplatňuje. Je tedy vhodný dlouhodobější pohled na výsledky tohoto ukazatele. Ukazatel je vhodný pro sledování vývoje vztahu zadlužení a investic.</w:t>
      </w:r>
    </w:p>
    <w:p w:rsidR="003E02F2" w:rsidRPr="003E02F2" w:rsidRDefault="003E02F2"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p>
    <w:p w:rsidR="00FC65FD" w:rsidRPr="003E02F2" w:rsidRDefault="00FC65FD" w:rsidP="003E02F2">
      <w:pPr>
        <w:pStyle w:val="Nadpis3"/>
        <w:numPr>
          <w:ilvl w:val="0"/>
          <w:numId w:val="18"/>
        </w:numPr>
        <w:spacing w:line="312" w:lineRule="auto"/>
        <w:ind w:left="0" w:firstLine="0"/>
        <w:rPr>
          <w:rFonts w:ascii="Georgia" w:hAnsi="Georgia"/>
          <w:color w:val="244061" w:themeColor="accent1" w:themeShade="80"/>
          <w:sz w:val="20"/>
          <w:szCs w:val="20"/>
        </w:rPr>
      </w:pPr>
      <w:bookmarkStart w:id="11" w:name="_Toc331786364"/>
      <w:r w:rsidRPr="003E02F2">
        <w:rPr>
          <w:rFonts w:ascii="Georgia" w:hAnsi="Georgia"/>
          <w:color w:val="244061" w:themeColor="accent1" w:themeShade="80"/>
          <w:sz w:val="20"/>
          <w:szCs w:val="20"/>
        </w:rPr>
        <w:t>Ukazatele – likvidita</w:t>
      </w:r>
      <w:bookmarkEnd w:id="11"/>
    </w:p>
    <w:p w:rsidR="00FC65FD" w:rsidRPr="003E02F2" w:rsidRDefault="00FC65FD" w:rsidP="003E02F2">
      <w:pPr>
        <w:spacing w:line="312" w:lineRule="auto"/>
        <w:rPr>
          <w:rFonts w:ascii="Georgia" w:hAnsi="Georgia"/>
          <w:sz w:val="20"/>
          <w:szCs w:val="20"/>
          <w:lang w:eastAsia="cs-CZ"/>
        </w:rPr>
      </w:pPr>
    </w:p>
    <w:p w:rsidR="00FC65FD" w:rsidRPr="003E02F2" w:rsidRDefault="00FC65FD" w:rsidP="003E02F2">
      <w:pPr>
        <w:pStyle w:val="Odstavecseseznamem"/>
        <w:numPr>
          <w:ilvl w:val="0"/>
          <w:numId w:val="4"/>
        </w:numPr>
        <w:spacing w:line="312" w:lineRule="auto"/>
        <w:ind w:left="284" w:hanging="284"/>
        <w:rPr>
          <w:rFonts w:ascii="Georgia" w:hAnsi="Georgia"/>
          <w:sz w:val="20"/>
          <w:szCs w:val="20"/>
          <w:u w:val="single"/>
        </w:rPr>
      </w:pPr>
      <w:r w:rsidRPr="003E02F2">
        <w:rPr>
          <w:rFonts w:ascii="Georgia" w:hAnsi="Georgia"/>
          <w:sz w:val="20"/>
          <w:szCs w:val="20"/>
          <w:u w:val="single"/>
        </w:rPr>
        <w:t>Běžná likvidita - podíl krátkodobých závazků a vybraného krátkodobého majetku</w:t>
      </w:r>
    </w:p>
    <w:p w:rsidR="00FC65FD" w:rsidRPr="003E02F2" w:rsidRDefault="00FC65FD" w:rsidP="003E02F2">
      <w:pPr>
        <w:pStyle w:val="Odstavecseseznamem"/>
        <w:numPr>
          <w:ilvl w:val="0"/>
          <w:numId w:val="13"/>
        </w:numPr>
        <w:spacing w:line="312" w:lineRule="auto"/>
        <w:rPr>
          <w:rFonts w:ascii="Georgia" w:hAnsi="Georgia"/>
          <w:sz w:val="20"/>
          <w:szCs w:val="20"/>
          <w:u w:val="single"/>
        </w:rPr>
      </w:pPr>
      <w:r w:rsidRPr="003E02F2">
        <w:rPr>
          <w:rFonts w:ascii="Georgia" w:hAnsi="Georgia"/>
          <w:sz w:val="20"/>
          <w:szCs w:val="20"/>
          <w:u w:val="single"/>
        </w:rPr>
        <w:t>Běžná likvidita – podíl oběžných aktiv a krátkodobých závazků</w:t>
      </w:r>
    </w:p>
    <w:p w:rsidR="00FC65FD" w:rsidRPr="003E02F2" w:rsidRDefault="00FC65FD" w:rsidP="003E02F2">
      <w:pPr>
        <w:pStyle w:val="Odstavecseseznamem"/>
        <w:numPr>
          <w:ilvl w:val="0"/>
          <w:numId w:val="13"/>
        </w:numPr>
        <w:spacing w:line="312" w:lineRule="auto"/>
        <w:rPr>
          <w:rFonts w:ascii="Georgia" w:hAnsi="Georgia"/>
          <w:sz w:val="20"/>
          <w:szCs w:val="20"/>
          <w:u w:val="single"/>
        </w:rPr>
      </w:pPr>
      <w:r w:rsidRPr="003E02F2">
        <w:rPr>
          <w:rFonts w:ascii="Georgia" w:hAnsi="Georgia"/>
          <w:sz w:val="20"/>
          <w:szCs w:val="20"/>
          <w:u w:val="single"/>
        </w:rPr>
        <w:t>Okamžitá likvidita - podíl krátkodobého finančního majetku a krátkodobých závazků</w:t>
      </w:r>
      <w:r w:rsidRPr="003E02F2">
        <w:rPr>
          <w:rFonts w:ascii="Georgia" w:hAnsi="Georgia"/>
          <w:sz w:val="20"/>
          <w:szCs w:val="20"/>
        </w:rPr>
        <w:t xml:space="preserve"> </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Ukazatel (i) je jedním z monitorujících ukazatelů SIMU Monitoringu hospodaření obcí. Ukazatele likvidity vyjadřují, zda je obec schopna uhradit své krátkodobé závazky ze svých likvidních prostředků. Jedná se o ukazatele, jejichž výsledky jsou ovlivnitelné obcí, ovšem s určitým omezením co se týče získávání likvidních finančních prostředků, když podstatná část těchto zdrojů je tvořena z podílu na výnosech vybraných daní zasílaných na účet obce v daných intervalech. Na druhou stranu, právě tento fakt může obci velmi usnadnit krátkodobé plánování v oblasti její platební schopnosti. Ukazatele jsou vhodné jak pro srovnání mezi obcemi, tak pro hodnocení finanční situace konkrétní obce.</w:t>
      </w:r>
    </w:p>
    <w:p w:rsidR="00FC65FD" w:rsidRPr="003E02F2" w:rsidRDefault="00FC65FD" w:rsidP="003E02F2">
      <w:pPr>
        <w:spacing w:line="312" w:lineRule="auto"/>
        <w:rPr>
          <w:rFonts w:ascii="Georgia" w:hAnsi="Georgia"/>
          <w:sz w:val="20"/>
          <w:szCs w:val="20"/>
        </w:rPr>
      </w:pPr>
    </w:p>
    <w:p w:rsidR="00FC65FD" w:rsidRPr="003E02F2" w:rsidRDefault="00FC65FD" w:rsidP="003E02F2">
      <w:pPr>
        <w:numPr>
          <w:ilvl w:val="0"/>
          <w:numId w:val="4"/>
        </w:numPr>
        <w:spacing w:line="312" w:lineRule="auto"/>
        <w:ind w:left="284" w:hanging="284"/>
        <w:rPr>
          <w:rFonts w:ascii="Georgia" w:hAnsi="Georgia"/>
          <w:sz w:val="20"/>
          <w:szCs w:val="20"/>
          <w:u w:val="single"/>
        </w:rPr>
      </w:pPr>
      <w:r w:rsidRPr="003E02F2">
        <w:rPr>
          <w:rFonts w:ascii="Georgia" w:hAnsi="Georgia"/>
          <w:sz w:val="20"/>
          <w:szCs w:val="20"/>
          <w:u w:val="single"/>
        </w:rPr>
        <w:t>Finanční zásoba – podíl krátkodobého finančního majetku a celkových závazků</w:t>
      </w:r>
    </w:p>
    <w:p w:rsidR="00FC65FD" w:rsidRPr="003E02F2" w:rsidRDefault="00FC65FD" w:rsidP="003E02F2">
      <w:pPr>
        <w:spacing w:line="312" w:lineRule="auto"/>
        <w:rPr>
          <w:rFonts w:ascii="Georgia" w:hAnsi="Georgia"/>
          <w:sz w:val="20"/>
          <w:szCs w:val="20"/>
        </w:rPr>
      </w:pPr>
    </w:p>
    <w:p w:rsidR="00FC65FD" w:rsidRDefault="00FC65FD" w:rsidP="003E02F2">
      <w:pPr>
        <w:spacing w:line="312" w:lineRule="auto"/>
        <w:rPr>
          <w:rFonts w:ascii="Georgia" w:hAnsi="Georgia"/>
          <w:sz w:val="20"/>
          <w:szCs w:val="20"/>
        </w:rPr>
      </w:pPr>
      <w:r w:rsidRPr="003E02F2">
        <w:rPr>
          <w:rFonts w:ascii="Georgia" w:hAnsi="Georgia"/>
          <w:sz w:val="20"/>
          <w:szCs w:val="20"/>
        </w:rPr>
        <w:t>Do kategorie ukazatelů likvidity lze na základě způsobu jeho konstrukce přiřadit i tento ukazatel, který vyjadřuje, do jaké míry obec dokáže hradit své celkové závazky (možno vyjádřit i pouze za dlouhodobé závazky) ze svého krátkodobého finančního majetku, tvořeného zejména prostředky na bankovních účtech a krátkodobými cennými papíry určenými k obchodování. Ukazatel je vhodný jak pro srovnání mezi obcemi, tak pro hodnocení finanční situace konkrétní obce.</w:t>
      </w:r>
    </w:p>
    <w:p w:rsidR="003E02F2" w:rsidRPr="003E02F2" w:rsidRDefault="003E02F2" w:rsidP="003E02F2">
      <w:pPr>
        <w:spacing w:line="312" w:lineRule="auto"/>
        <w:rPr>
          <w:rFonts w:ascii="Georgia" w:hAnsi="Georgia"/>
          <w:sz w:val="20"/>
          <w:szCs w:val="20"/>
          <w:u w:val="single"/>
        </w:rPr>
      </w:pPr>
    </w:p>
    <w:p w:rsidR="00FC65FD" w:rsidRPr="003E02F2" w:rsidRDefault="00FC65FD" w:rsidP="003E02F2">
      <w:pPr>
        <w:spacing w:line="312" w:lineRule="auto"/>
        <w:rPr>
          <w:rFonts w:ascii="Georgia" w:hAnsi="Georgia"/>
          <w:sz w:val="20"/>
          <w:szCs w:val="20"/>
        </w:rPr>
      </w:pPr>
    </w:p>
    <w:p w:rsidR="00FC65FD" w:rsidRPr="003E02F2" w:rsidRDefault="00FC65FD" w:rsidP="003E02F2">
      <w:pPr>
        <w:pStyle w:val="Nadpis3"/>
        <w:numPr>
          <w:ilvl w:val="0"/>
          <w:numId w:val="18"/>
        </w:numPr>
        <w:spacing w:line="312" w:lineRule="auto"/>
        <w:ind w:left="0" w:firstLine="0"/>
        <w:rPr>
          <w:rFonts w:ascii="Georgia" w:hAnsi="Georgia"/>
          <w:color w:val="244061" w:themeColor="accent1" w:themeShade="80"/>
          <w:sz w:val="20"/>
          <w:szCs w:val="20"/>
        </w:rPr>
      </w:pPr>
      <w:bookmarkStart w:id="12" w:name="_Toc331786365"/>
      <w:r w:rsidRPr="003E02F2">
        <w:rPr>
          <w:rFonts w:ascii="Georgia" w:hAnsi="Georgia"/>
          <w:color w:val="244061" w:themeColor="accent1" w:themeShade="80"/>
          <w:sz w:val="20"/>
          <w:szCs w:val="20"/>
        </w:rPr>
        <w:t>Ukazatele – ostatní</w:t>
      </w:r>
      <w:bookmarkEnd w:id="12"/>
    </w:p>
    <w:p w:rsidR="00FC65FD" w:rsidRPr="003E02F2" w:rsidRDefault="00FC65FD" w:rsidP="003E02F2">
      <w:pPr>
        <w:pStyle w:val="Odstavecseseznamem"/>
        <w:spacing w:line="312" w:lineRule="auto"/>
        <w:ind w:left="1424"/>
        <w:rPr>
          <w:rFonts w:ascii="Georgia" w:hAnsi="Georgia"/>
          <w:sz w:val="20"/>
          <w:szCs w:val="20"/>
          <w:lang w:eastAsia="cs-CZ"/>
        </w:rPr>
      </w:pPr>
    </w:p>
    <w:p w:rsidR="00FC65FD" w:rsidRPr="003E02F2" w:rsidRDefault="00FC65FD" w:rsidP="003E02F2">
      <w:pPr>
        <w:pStyle w:val="Odstavecseseznamem"/>
        <w:numPr>
          <w:ilvl w:val="0"/>
          <w:numId w:val="1"/>
        </w:numPr>
        <w:spacing w:line="312" w:lineRule="auto"/>
        <w:ind w:left="284" w:hanging="284"/>
        <w:rPr>
          <w:rFonts w:ascii="Georgia" w:hAnsi="Georgia"/>
          <w:sz w:val="20"/>
          <w:szCs w:val="20"/>
          <w:u w:val="single"/>
        </w:rPr>
      </w:pPr>
      <w:r w:rsidRPr="003E02F2">
        <w:rPr>
          <w:rFonts w:ascii="Georgia" w:hAnsi="Georgia"/>
          <w:sz w:val="20"/>
          <w:szCs w:val="20"/>
          <w:u w:val="single"/>
        </w:rPr>
        <w:t>Plnění příjmů rozpočtu</w:t>
      </w:r>
    </w:p>
    <w:p w:rsidR="00FC65FD" w:rsidRPr="003E02F2" w:rsidRDefault="00FC65FD" w:rsidP="003E02F2">
      <w:pPr>
        <w:pStyle w:val="Odstavecseseznamem"/>
        <w:numPr>
          <w:ilvl w:val="0"/>
          <w:numId w:val="5"/>
        </w:numPr>
        <w:spacing w:line="312" w:lineRule="auto"/>
        <w:ind w:left="709" w:hanging="425"/>
        <w:rPr>
          <w:rFonts w:ascii="Georgia" w:hAnsi="Georgia"/>
          <w:sz w:val="20"/>
          <w:szCs w:val="20"/>
        </w:rPr>
      </w:pPr>
      <w:r w:rsidRPr="003E02F2">
        <w:rPr>
          <w:rFonts w:ascii="Georgia" w:hAnsi="Georgia"/>
          <w:sz w:val="20"/>
          <w:szCs w:val="20"/>
        </w:rPr>
        <w:t>Skutečnost / schválený rozpočet</w:t>
      </w:r>
    </w:p>
    <w:p w:rsidR="00FC65FD" w:rsidRPr="003E02F2" w:rsidRDefault="00FC65FD" w:rsidP="003E02F2">
      <w:pPr>
        <w:pStyle w:val="Odstavecseseznamem"/>
        <w:numPr>
          <w:ilvl w:val="0"/>
          <w:numId w:val="5"/>
        </w:numPr>
        <w:spacing w:line="312" w:lineRule="auto"/>
        <w:ind w:left="709" w:hanging="425"/>
        <w:rPr>
          <w:rFonts w:ascii="Georgia" w:hAnsi="Georgia"/>
          <w:sz w:val="20"/>
          <w:szCs w:val="20"/>
        </w:rPr>
      </w:pPr>
      <w:r w:rsidRPr="003E02F2">
        <w:rPr>
          <w:rFonts w:ascii="Georgia" w:hAnsi="Georgia"/>
          <w:sz w:val="20"/>
          <w:szCs w:val="20"/>
        </w:rPr>
        <w:t>Skutečnost / upravený rozpočet</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 xml:space="preserve">Ukazatel vyjadřuje, jak dobře dokáže obec plánovat své příjmy. Interpretace v případě varianty (i) je omezena několika faktory. Obec nemůže do schváleného rozpočtu zahrnout dotace, které nemá smluvně podložené (v rámci schváleného rozpočtu tak obce většinou zahrnují pouze dotace ze státního rozpočtu ze souhrnného dotačního vztahu, které jsou nárokové na základě zákona o státním rozpočtu na příslušný rok); dále nemůže do rozpočtu zahrnout financování z cizích zdrojů, dokud tuto skutečnost nemá smluvně zaručenou. V případě varianty ukazatele (ii) je při interpretaci třeba vzít do úvahy skutečnost, že je velmi častou praxí obcí před koncem rozpočtového roku provádět úpravy rozpočtu tak, aby více odpovídal skutečnému plnění. </w:t>
      </w:r>
    </w:p>
    <w:p w:rsidR="00FC65FD" w:rsidRPr="003E02F2" w:rsidRDefault="00FC65FD" w:rsidP="003E02F2">
      <w:pPr>
        <w:spacing w:line="312" w:lineRule="auto"/>
        <w:rPr>
          <w:rFonts w:ascii="Georgia" w:hAnsi="Georgia"/>
          <w:sz w:val="20"/>
          <w:szCs w:val="20"/>
        </w:rPr>
      </w:pPr>
    </w:p>
    <w:p w:rsidR="00FC65FD" w:rsidRPr="003E02F2" w:rsidRDefault="00FC65FD" w:rsidP="003E02F2">
      <w:pPr>
        <w:pStyle w:val="Odstavecseseznamem"/>
        <w:numPr>
          <w:ilvl w:val="0"/>
          <w:numId w:val="1"/>
        </w:numPr>
        <w:spacing w:line="312" w:lineRule="auto"/>
        <w:ind w:left="284" w:hanging="284"/>
        <w:rPr>
          <w:rFonts w:ascii="Georgia" w:hAnsi="Georgia"/>
          <w:sz w:val="20"/>
          <w:szCs w:val="20"/>
          <w:u w:val="single"/>
        </w:rPr>
      </w:pPr>
      <w:r w:rsidRPr="003E02F2">
        <w:rPr>
          <w:rFonts w:ascii="Georgia" w:hAnsi="Georgia"/>
          <w:sz w:val="20"/>
          <w:szCs w:val="20"/>
          <w:u w:val="single"/>
        </w:rPr>
        <w:t>Plnění výdajů rozpočtu</w:t>
      </w:r>
    </w:p>
    <w:p w:rsidR="00FC65FD" w:rsidRPr="003E02F2" w:rsidRDefault="00FC65FD" w:rsidP="003E02F2">
      <w:pPr>
        <w:pStyle w:val="Odstavecseseznamem"/>
        <w:numPr>
          <w:ilvl w:val="0"/>
          <w:numId w:val="6"/>
        </w:numPr>
        <w:spacing w:line="312" w:lineRule="auto"/>
        <w:ind w:left="709" w:hanging="425"/>
        <w:rPr>
          <w:rFonts w:ascii="Georgia" w:hAnsi="Georgia"/>
          <w:sz w:val="20"/>
          <w:szCs w:val="20"/>
        </w:rPr>
      </w:pPr>
      <w:r w:rsidRPr="003E02F2">
        <w:rPr>
          <w:rFonts w:ascii="Georgia" w:hAnsi="Georgia"/>
          <w:sz w:val="20"/>
          <w:szCs w:val="20"/>
        </w:rPr>
        <w:t>Skutečnost / schválený rozpočet</w:t>
      </w:r>
    </w:p>
    <w:p w:rsidR="00FC65FD" w:rsidRPr="003E02F2" w:rsidRDefault="00FC65FD" w:rsidP="003E02F2">
      <w:pPr>
        <w:pStyle w:val="Odstavecseseznamem"/>
        <w:numPr>
          <w:ilvl w:val="0"/>
          <w:numId w:val="6"/>
        </w:numPr>
        <w:spacing w:line="312" w:lineRule="auto"/>
        <w:ind w:left="709" w:hanging="425"/>
        <w:rPr>
          <w:rFonts w:ascii="Georgia" w:hAnsi="Georgia"/>
          <w:sz w:val="20"/>
          <w:szCs w:val="20"/>
        </w:rPr>
      </w:pPr>
      <w:r w:rsidRPr="003E02F2">
        <w:rPr>
          <w:rFonts w:ascii="Georgia" w:hAnsi="Georgia"/>
          <w:sz w:val="20"/>
          <w:szCs w:val="20"/>
        </w:rPr>
        <w:lastRenderedPageBreak/>
        <w:t>Skutečnost / upravený rozpočet</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Ukazatel vyjadřuje, jak dobře dokáže obec plánovat své výdaje. Interpretace tohoto ukazatele je omezena obdobně jako v případě ukazatele plnění příjmů rozpočtu. Vzhledem k tomu, že obec nemůže do schváleného rozpočtu zahrnout dotace a úvěry či půjčky, které nemá smluvně podložené, nezahrnuje do rozpočtu ani výdaje, u kterých je předpoklad jejich krytí právě z těchto zdrojů; omezení interpretace v případě varianty (ii) je opět omezeno úpravami rozpočtu před koncem roku (v případě běžných výdajů se jedná o častější praxi než v případě příjmů).</w:t>
      </w:r>
    </w:p>
    <w:p w:rsidR="00FC65FD" w:rsidRPr="003E02F2" w:rsidRDefault="00FC65FD" w:rsidP="003E02F2">
      <w:pPr>
        <w:spacing w:line="312" w:lineRule="auto"/>
        <w:rPr>
          <w:rFonts w:ascii="Georgia" w:hAnsi="Georgia"/>
          <w:sz w:val="20"/>
          <w:szCs w:val="20"/>
        </w:rPr>
      </w:pPr>
    </w:p>
    <w:p w:rsidR="00FC65FD" w:rsidRPr="003E02F2" w:rsidRDefault="00FC65FD" w:rsidP="003E02F2">
      <w:pPr>
        <w:pStyle w:val="Odstavecseseznamem"/>
        <w:numPr>
          <w:ilvl w:val="0"/>
          <w:numId w:val="1"/>
        </w:numPr>
        <w:spacing w:line="312" w:lineRule="auto"/>
        <w:ind w:left="284" w:hanging="284"/>
        <w:rPr>
          <w:rFonts w:ascii="Georgia" w:hAnsi="Georgia"/>
          <w:sz w:val="20"/>
          <w:szCs w:val="20"/>
          <w:u w:val="single"/>
        </w:rPr>
      </w:pPr>
      <w:r w:rsidRPr="003E02F2">
        <w:rPr>
          <w:rFonts w:ascii="Georgia" w:hAnsi="Georgia"/>
          <w:sz w:val="20"/>
          <w:szCs w:val="20"/>
          <w:u w:val="single"/>
        </w:rPr>
        <w:t>Podíl závazků na celkových příjmech</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Tento ukazatel je využíván při přezkoumávání hospodaření obcí, vyjadřuje zatížení obce jejími závazky. Omezení interpretace ukazatele vyplývá ze z výběru účtů závazků zařazených do výpočtu. Ukazatel je vhodný zejména pro sledování vývoje dané oblasti hospodaření obce.</w:t>
      </w:r>
    </w:p>
    <w:p w:rsidR="00FC65FD" w:rsidRPr="003E02F2" w:rsidRDefault="00FC65FD" w:rsidP="003E02F2">
      <w:pPr>
        <w:spacing w:line="312" w:lineRule="auto"/>
        <w:rPr>
          <w:rFonts w:ascii="Georgia" w:hAnsi="Georgia"/>
          <w:sz w:val="20"/>
          <w:szCs w:val="20"/>
        </w:rPr>
      </w:pPr>
    </w:p>
    <w:p w:rsidR="00FC65FD" w:rsidRPr="003E02F2" w:rsidRDefault="00FC65FD" w:rsidP="003E02F2">
      <w:pPr>
        <w:pStyle w:val="Odstavecseseznamem"/>
        <w:numPr>
          <w:ilvl w:val="0"/>
          <w:numId w:val="1"/>
        </w:numPr>
        <w:spacing w:line="312" w:lineRule="auto"/>
        <w:ind w:left="284" w:hanging="284"/>
        <w:rPr>
          <w:rFonts w:ascii="Georgia" w:hAnsi="Georgia"/>
          <w:sz w:val="20"/>
          <w:szCs w:val="20"/>
          <w:u w:val="single"/>
        </w:rPr>
      </w:pPr>
      <w:r w:rsidRPr="003E02F2">
        <w:rPr>
          <w:rFonts w:ascii="Georgia" w:hAnsi="Georgia"/>
          <w:sz w:val="20"/>
          <w:szCs w:val="20"/>
          <w:u w:val="single"/>
        </w:rPr>
        <w:t>Podíl pohledávek na celkových příjmech</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I tento ukazatel je využíván při přezkoumávání hospodaření obcí, omezení interpretace viz předchozí ukazatel. Ukazatel je vhodný zejména pro sledování vývoje dané oblasti hospodaření obce.</w:t>
      </w:r>
    </w:p>
    <w:p w:rsidR="00FC65FD" w:rsidRPr="003E02F2" w:rsidRDefault="00FC65FD" w:rsidP="003E02F2">
      <w:pPr>
        <w:spacing w:line="312" w:lineRule="auto"/>
        <w:rPr>
          <w:rFonts w:ascii="Georgia" w:hAnsi="Georgia"/>
          <w:sz w:val="20"/>
          <w:szCs w:val="20"/>
        </w:rPr>
      </w:pPr>
    </w:p>
    <w:p w:rsidR="00FC65FD" w:rsidRPr="003E02F2" w:rsidRDefault="00FC65FD" w:rsidP="003E02F2">
      <w:pPr>
        <w:pStyle w:val="Odstavecseseznamem"/>
        <w:numPr>
          <w:ilvl w:val="0"/>
          <w:numId w:val="1"/>
        </w:numPr>
        <w:spacing w:line="312" w:lineRule="auto"/>
        <w:ind w:left="284" w:hanging="284"/>
        <w:rPr>
          <w:rFonts w:ascii="Georgia" w:hAnsi="Georgia"/>
          <w:sz w:val="20"/>
          <w:szCs w:val="20"/>
          <w:u w:val="single"/>
        </w:rPr>
      </w:pPr>
      <w:bookmarkStart w:id="13" w:name="_Toc325121964"/>
      <w:bookmarkStart w:id="14" w:name="_Toc325211176"/>
      <w:r w:rsidRPr="003E02F2">
        <w:rPr>
          <w:rFonts w:ascii="Georgia" w:hAnsi="Georgia"/>
          <w:sz w:val="20"/>
          <w:szCs w:val="20"/>
          <w:u w:val="single"/>
        </w:rPr>
        <w:t>Podíl zastaveného majetku na celkovém majetku</w:t>
      </w:r>
    </w:p>
    <w:p w:rsidR="00FC65FD" w:rsidRPr="003E02F2" w:rsidRDefault="00FC65FD" w:rsidP="003E02F2">
      <w:pPr>
        <w:spacing w:line="312" w:lineRule="auto"/>
        <w:rPr>
          <w:rFonts w:ascii="Georgia" w:hAnsi="Georgia"/>
          <w:sz w:val="20"/>
          <w:szCs w:val="20"/>
        </w:rPr>
      </w:pPr>
    </w:p>
    <w:p w:rsidR="00FC65FD" w:rsidRDefault="00FC65FD" w:rsidP="003E02F2">
      <w:pPr>
        <w:spacing w:line="312" w:lineRule="auto"/>
        <w:rPr>
          <w:rFonts w:ascii="Georgia" w:hAnsi="Georgia"/>
          <w:sz w:val="20"/>
          <w:szCs w:val="20"/>
        </w:rPr>
      </w:pPr>
      <w:r w:rsidRPr="003E02F2">
        <w:rPr>
          <w:rFonts w:ascii="Georgia" w:hAnsi="Georgia"/>
          <w:sz w:val="20"/>
          <w:szCs w:val="20"/>
        </w:rPr>
        <w:t>Ukazatel je využíván při přezkoumávání hospodaření obce. Omezení tohoto ukazatele je dáno zejména skutečností, že obce až do r. 2011 neúčtovaly o opotřebení majetku. Ukazatel nelze sestavit z veřejně přístupných výkazů obce. Ukazatel je vhodný zejména pro sledování vývoje dané oblasti hospodaření obce.</w:t>
      </w:r>
    </w:p>
    <w:p w:rsidR="003E02F2" w:rsidRPr="003E02F2" w:rsidRDefault="003E02F2"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rPr>
      </w:pPr>
    </w:p>
    <w:p w:rsidR="00FC65FD" w:rsidRPr="003E02F2" w:rsidRDefault="00FC65FD" w:rsidP="003E02F2">
      <w:pPr>
        <w:pStyle w:val="Nadpis3"/>
        <w:spacing w:line="312" w:lineRule="auto"/>
        <w:rPr>
          <w:rFonts w:ascii="Georgia" w:hAnsi="Georgia"/>
          <w:color w:val="244061" w:themeColor="accent1" w:themeShade="80"/>
          <w:sz w:val="20"/>
          <w:szCs w:val="20"/>
        </w:rPr>
      </w:pPr>
      <w:bookmarkStart w:id="15" w:name="_Toc331786366"/>
      <w:r w:rsidRPr="003E02F2">
        <w:rPr>
          <w:rFonts w:ascii="Georgia" w:hAnsi="Georgia"/>
          <w:color w:val="244061" w:themeColor="accent1" w:themeShade="80"/>
          <w:sz w:val="20"/>
          <w:szCs w:val="20"/>
        </w:rPr>
        <w:t>Ukazatele finanční pozice obce – souhrn</w:t>
      </w:r>
      <w:bookmarkEnd w:id="15"/>
    </w:p>
    <w:p w:rsidR="00FC65FD" w:rsidRPr="003E02F2" w:rsidRDefault="00FC65FD" w:rsidP="003E02F2">
      <w:pPr>
        <w:pStyle w:val="Odstavecseseznamem"/>
        <w:spacing w:line="312" w:lineRule="auto"/>
        <w:ind w:left="1424"/>
        <w:rPr>
          <w:rFonts w:ascii="Georgia" w:hAnsi="Georgia"/>
          <w:sz w:val="20"/>
          <w:szCs w:val="20"/>
          <w:lang w:eastAsia="cs-CZ"/>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V následující t</w:t>
      </w:r>
      <w:r w:rsidR="003E02F2" w:rsidRPr="003E02F2">
        <w:rPr>
          <w:rFonts w:ascii="Georgia" w:hAnsi="Georgia"/>
          <w:sz w:val="20"/>
          <w:szCs w:val="20"/>
        </w:rPr>
        <w:t xml:space="preserve">abulce </w:t>
      </w:r>
      <w:r w:rsidRPr="003E02F2">
        <w:rPr>
          <w:rFonts w:ascii="Georgia" w:hAnsi="Georgia"/>
          <w:sz w:val="20"/>
          <w:szCs w:val="20"/>
        </w:rPr>
        <w:t xml:space="preserve"> je uveden přehled výše zmíněných ukazatelů, je vyznačen způsob jejich výpočtu a zdroj dat, dále je ohodnocena významnost jednotlivých ukazatelů, omezení jejich vypovídací schopnosti a obtížnost sestavení: </w:t>
      </w:r>
    </w:p>
    <w:p w:rsidR="00FC65FD" w:rsidRPr="003E02F2" w:rsidRDefault="00FC65FD" w:rsidP="003E02F2">
      <w:pPr>
        <w:pStyle w:val="Odstavecseseznamem"/>
        <w:numPr>
          <w:ilvl w:val="0"/>
          <w:numId w:val="15"/>
        </w:numPr>
        <w:spacing w:line="312" w:lineRule="auto"/>
        <w:rPr>
          <w:rFonts w:ascii="Georgia" w:hAnsi="Georgia"/>
          <w:sz w:val="20"/>
          <w:szCs w:val="20"/>
        </w:rPr>
      </w:pPr>
      <w:r w:rsidRPr="003E02F2">
        <w:rPr>
          <w:rFonts w:ascii="Georgia" w:hAnsi="Georgia"/>
          <w:sz w:val="20"/>
          <w:szCs w:val="20"/>
        </w:rPr>
        <w:t xml:space="preserve">Významnost ukazatele: </w:t>
      </w:r>
      <w:r w:rsidRPr="003E02F2">
        <w:rPr>
          <w:rFonts w:ascii="Georgia" w:hAnsi="Georgia"/>
          <w:sz w:val="20"/>
          <w:szCs w:val="20"/>
        </w:rPr>
        <w:tab/>
      </w:r>
      <w:r w:rsidRPr="003E02F2">
        <w:rPr>
          <w:rFonts w:ascii="Georgia" w:hAnsi="Georgia"/>
          <w:sz w:val="20"/>
          <w:szCs w:val="20"/>
        </w:rPr>
        <w:tab/>
      </w:r>
      <w:r w:rsidR="003E02F2" w:rsidRPr="003E02F2">
        <w:rPr>
          <w:rFonts w:ascii="Georgia" w:hAnsi="Georgia"/>
          <w:sz w:val="20"/>
          <w:szCs w:val="20"/>
        </w:rPr>
        <w:tab/>
      </w:r>
      <w:r w:rsidRPr="003E02F2">
        <w:rPr>
          <w:rFonts w:ascii="Georgia" w:hAnsi="Georgia"/>
          <w:sz w:val="20"/>
          <w:szCs w:val="20"/>
        </w:rPr>
        <w:t>1 – 5 / velice významný – nevýznamný</w:t>
      </w:r>
    </w:p>
    <w:p w:rsidR="00FC65FD" w:rsidRPr="003E02F2" w:rsidRDefault="00FC65FD" w:rsidP="003E02F2">
      <w:pPr>
        <w:pStyle w:val="Odstavecseseznamem"/>
        <w:numPr>
          <w:ilvl w:val="0"/>
          <w:numId w:val="15"/>
        </w:numPr>
        <w:spacing w:line="312" w:lineRule="auto"/>
        <w:rPr>
          <w:rFonts w:ascii="Georgia" w:hAnsi="Georgia"/>
          <w:sz w:val="20"/>
          <w:szCs w:val="20"/>
        </w:rPr>
      </w:pPr>
      <w:r w:rsidRPr="003E02F2">
        <w:rPr>
          <w:rFonts w:ascii="Georgia" w:hAnsi="Georgia"/>
          <w:sz w:val="20"/>
          <w:szCs w:val="20"/>
        </w:rPr>
        <w:t>Omezení vypovídací schopnosti:</w:t>
      </w:r>
      <w:r w:rsidRPr="003E02F2">
        <w:rPr>
          <w:rFonts w:ascii="Georgia" w:hAnsi="Georgia"/>
          <w:sz w:val="20"/>
          <w:szCs w:val="20"/>
        </w:rPr>
        <w:tab/>
        <w:t>1 – 5 / téměř neomezena – naprosto omezena</w:t>
      </w:r>
    </w:p>
    <w:p w:rsidR="00FC65FD" w:rsidRPr="003E02F2" w:rsidRDefault="00FC65FD" w:rsidP="003E02F2">
      <w:pPr>
        <w:pStyle w:val="Odstavecseseznamem"/>
        <w:numPr>
          <w:ilvl w:val="0"/>
          <w:numId w:val="15"/>
        </w:numPr>
        <w:spacing w:line="312" w:lineRule="auto"/>
        <w:rPr>
          <w:rFonts w:ascii="Georgia" w:hAnsi="Georgia"/>
          <w:sz w:val="20"/>
          <w:szCs w:val="20"/>
        </w:rPr>
      </w:pPr>
      <w:r w:rsidRPr="003E02F2">
        <w:rPr>
          <w:rFonts w:ascii="Georgia" w:hAnsi="Georgia"/>
          <w:sz w:val="20"/>
          <w:szCs w:val="20"/>
        </w:rPr>
        <w:t>Obtížnost sestavení:</w:t>
      </w:r>
      <w:r w:rsidRPr="003E02F2">
        <w:rPr>
          <w:rFonts w:ascii="Georgia" w:hAnsi="Georgia"/>
          <w:sz w:val="20"/>
          <w:szCs w:val="20"/>
        </w:rPr>
        <w:tab/>
      </w:r>
      <w:r w:rsidRPr="003E02F2">
        <w:rPr>
          <w:rFonts w:ascii="Georgia" w:hAnsi="Georgia"/>
          <w:sz w:val="20"/>
          <w:szCs w:val="20"/>
        </w:rPr>
        <w:tab/>
      </w:r>
      <w:r w:rsidRPr="003E02F2">
        <w:rPr>
          <w:rFonts w:ascii="Georgia" w:hAnsi="Georgia"/>
          <w:sz w:val="20"/>
          <w:szCs w:val="20"/>
        </w:rPr>
        <w:tab/>
        <w:t>1 – 5 / velmi snadné – velmi složité</w:t>
      </w:r>
    </w:p>
    <w:p w:rsidR="00FC65FD" w:rsidRPr="003E02F2" w:rsidRDefault="00FC65FD" w:rsidP="003E02F2">
      <w:pPr>
        <w:pStyle w:val="Odstavecseseznamem"/>
        <w:numPr>
          <w:ilvl w:val="0"/>
          <w:numId w:val="15"/>
        </w:numPr>
        <w:spacing w:line="312" w:lineRule="auto"/>
        <w:rPr>
          <w:rFonts w:ascii="Georgia" w:hAnsi="Georgia"/>
          <w:sz w:val="20"/>
          <w:szCs w:val="20"/>
        </w:rPr>
      </w:pPr>
      <w:r w:rsidRPr="003E02F2">
        <w:rPr>
          <w:rFonts w:ascii="Georgia" w:hAnsi="Georgia"/>
          <w:sz w:val="20"/>
          <w:szCs w:val="20"/>
        </w:rPr>
        <w:t xml:space="preserve">Možnost ovlivnění ze strany obce: </w:t>
      </w:r>
      <w:r w:rsidRPr="003E02F2">
        <w:rPr>
          <w:rFonts w:ascii="Georgia" w:hAnsi="Georgia"/>
          <w:sz w:val="20"/>
          <w:szCs w:val="20"/>
        </w:rPr>
        <w:tab/>
        <w:t>1 – 5 / vysoce ovlivnitelné – neovlivnitelné</w:t>
      </w:r>
    </w:p>
    <w:p w:rsidR="00FC65FD" w:rsidRPr="003E02F2" w:rsidRDefault="00FC65FD" w:rsidP="003E02F2">
      <w:pPr>
        <w:pStyle w:val="Odstavecseseznamem"/>
        <w:numPr>
          <w:ilvl w:val="0"/>
          <w:numId w:val="15"/>
        </w:numPr>
        <w:tabs>
          <w:tab w:val="left" w:pos="709"/>
        </w:tabs>
        <w:spacing w:line="312" w:lineRule="auto"/>
        <w:rPr>
          <w:rFonts w:ascii="Georgia" w:hAnsi="Georgia"/>
          <w:sz w:val="20"/>
          <w:szCs w:val="20"/>
        </w:rPr>
      </w:pPr>
      <w:r w:rsidRPr="003E02F2">
        <w:rPr>
          <w:rFonts w:ascii="Georgia" w:hAnsi="Georgia"/>
          <w:sz w:val="20"/>
          <w:szCs w:val="20"/>
          <w:lang w:eastAsia="cs-CZ"/>
        </w:rPr>
        <w:t>Využitelnost ukazatele:</w:t>
      </w:r>
      <w:r w:rsidRPr="003E02F2">
        <w:rPr>
          <w:rFonts w:ascii="Georgia" w:hAnsi="Georgia"/>
          <w:sz w:val="20"/>
          <w:szCs w:val="20"/>
          <w:lang w:eastAsia="cs-CZ"/>
        </w:rPr>
        <w:tab/>
      </w:r>
      <w:r w:rsidR="003E02F2" w:rsidRPr="003E02F2">
        <w:rPr>
          <w:rFonts w:ascii="Georgia" w:hAnsi="Georgia"/>
          <w:sz w:val="20"/>
          <w:szCs w:val="20"/>
          <w:lang w:eastAsia="cs-CZ"/>
        </w:rPr>
        <w:tab/>
      </w:r>
      <w:r w:rsidR="003E02F2" w:rsidRPr="003E02F2">
        <w:rPr>
          <w:rFonts w:ascii="Georgia" w:hAnsi="Georgia"/>
          <w:sz w:val="20"/>
          <w:szCs w:val="20"/>
          <w:lang w:eastAsia="cs-CZ"/>
        </w:rPr>
        <w:tab/>
        <w:t>p</w:t>
      </w:r>
      <w:r w:rsidRPr="003E02F2">
        <w:rPr>
          <w:rFonts w:ascii="Georgia" w:hAnsi="Georgia"/>
          <w:sz w:val="20"/>
          <w:szCs w:val="20"/>
          <w:lang w:eastAsia="cs-CZ"/>
        </w:rPr>
        <w:t xml:space="preserve">ro komparaci, pro prosté srovnání, </w:t>
      </w:r>
    </w:p>
    <w:p w:rsidR="00FC65FD" w:rsidRPr="003E02F2" w:rsidRDefault="00FC65FD" w:rsidP="003E02F2">
      <w:pPr>
        <w:tabs>
          <w:tab w:val="left" w:pos="4253"/>
        </w:tabs>
        <w:spacing w:line="312" w:lineRule="auto"/>
        <w:ind w:left="3960"/>
        <w:rPr>
          <w:rFonts w:ascii="Georgia" w:hAnsi="Georgia"/>
          <w:sz w:val="20"/>
          <w:szCs w:val="20"/>
          <w:lang w:eastAsia="cs-CZ"/>
        </w:rPr>
      </w:pPr>
      <w:r w:rsidRPr="003E02F2">
        <w:rPr>
          <w:rFonts w:ascii="Georgia" w:hAnsi="Georgia"/>
          <w:sz w:val="20"/>
          <w:szCs w:val="20"/>
          <w:lang w:eastAsia="cs-CZ"/>
        </w:rPr>
        <w:tab/>
        <w:t>pro hodnocení vývoje, pro plánování.</w:t>
      </w:r>
    </w:p>
    <w:p w:rsidR="00FC65FD" w:rsidRPr="003E02F2" w:rsidRDefault="00FC65FD" w:rsidP="003E02F2">
      <w:pPr>
        <w:tabs>
          <w:tab w:val="left" w:pos="4253"/>
        </w:tabs>
        <w:spacing w:line="312" w:lineRule="auto"/>
        <w:ind w:left="3960"/>
        <w:rPr>
          <w:rFonts w:ascii="Georgia" w:hAnsi="Georgia"/>
          <w:sz w:val="20"/>
          <w:szCs w:val="20"/>
        </w:rPr>
      </w:pPr>
    </w:p>
    <w:p w:rsidR="00FC65FD" w:rsidRPr="003E02F2" w:rsidRDefault="00FC65FD" w:rsidP="003E02F2">
      <w:pPr>
        <w:spacing w:line="312" w:lineRule="auto"/>
        <w:rPr>
          <w:rFonts w:ascii="Georgia" w:hAnsi="Georgia"/>
          <w:sz w:val="20"/>
          <w:szCs w:val="20"/>
        </w:rPr>
      </w:pPr>
      <w:r w:rsidRPr="003E02F2">
        <w:rPr>
          <w:rFonts w:ascii="Georgia" w:hAnsi="Georgia"/>
          <w:sz w:val="20"/>
          <w:szCs w:val="20"/>
        </w:rPr>
        <w:t>Toto hodnocení je provedeno subjektivně, na základě autorčiny znalosti problematiky a s ohledem na zvolený důvod jejich konstrukce a povahu hodnotitele – tedy z pohledu externího hodnotitele, vycházejícího z veřejně dostupných zdrojů informací, provádějícího vzájemné zhodnocení finanční pozice zvolené skupiny obcí.</w:t>
      </w:r>
    </w:p>
    <w:p w:rsidR="00FC65FD" w:rsidRPr="003E02F2" w:rsidRDefault="00FC65FD" w:rsidP="003E02F2">
      <w:pPr>
        <w:spacing w:line="312" w:lineRule="auto"/>
        <w:rPr>
          <w:rFonts w:ascii="Georgia" w:hAnsi="Georgia"/>
          <w:sz w:val="20"/>
          <w:szCs w:val="20"/>
        </w:rPr>
      </w:pPr>
    </w:p>
    <w:p w:rsidR="00FC65FD" w:rsidRPr="003E02F2" w:rsidRDefault="00FC65FD" w:rsidP="003E02F2">
      <w:pPr>
        <w:spacing w:line="312" w:lineRule="auto"/>
        <w:rPr>
          <w:rFonts w:ascii="Georgia" w:hAnsi="Georgia"/>
          <w:sz w:val="20"/>
          <w:szCs w:val="20"/>
          <w:lang w:eastAsia="cs-CZ"/>
        </w:rPr>
      </w:pPr>
      <w:r w:rsidRPr="003E02F2">
        <w:rPr>
          <w:rFonts w:ascii="Georgia" w:hAnsi="Georgia"/>
          <w:sz w:val="20"/>
          <w:szCs w:val="20"/>
        </w:rPr>
        <w:lastRenderedPageBreak/>
        <w:t>Údaje</w:t>
      </w:r>
      <w:r w:rsidRPr="003E02F2">
        <w:rPr>
          <w:rFonts w:ascii="Georgia" w:hAnsi="Georgia"/>
          <w:sz w:val="20"/>
          <w:szCs w:val="20"/>
          <w:lang w:eastAsia="cs-CZ"/>
        </w:rPr>
        <w:t xml:space="preserve"> ze způsobu výpočtu pracují s kategoriemi tříd, položek a paragrafů – ve smyslu tříd, položek a paragrafů rozpočtové skladby, a dále s kategoriemi položek a syntetických účtů obsažených v rozvaze obce. </w:t>
      </w:r>
      <w:r w:rsidR="003E02F2" w:rsidRPr="003E02F2">
        <w:rPr>
          <w:rFonts w:ascii="Georgia" w:hAnsi="Georgia"/>
          <w:sz w:val="20"/>
          <w:szCs w:val="20"/>
          <w:lang w:eastAsia="cs-CZ"/>
        </w:rPr>
        <w:t>V</w:t>
      </w:r>
      <w:r w:rsidRPr="003E02F2">
        <w:rPr>
          <w:rFonts w:ascii="Georgia" w:hAnsi="Georgia"/>
          <w:sz w:val="20"/>
          <w:szCs w:val="20"/>
          <w:lang w:eastAsia="cs-CZ"/>
        </w:rPr>
        <w:t> následující tabulce jsou dále využity následující položky či účty:</w:t>
      </w:r>
    </w:p>
    <w:p w:rsidR="00FC65FD" w:rsidRPr="003E02F2" w:rsidRDefault="00FC65FD" w:rsidP="00FC65FD">
      <w:pPr>
        <w:rPr>
          <w:rFonts w:ascii="Georgia" w:hAnsi="Georgia"/>
          <w:sz w:val="20"/>
          <w:szCs w:val="20"/>
          <w:lang w:eastAsia="cs-CZ"/>
        </w:rPr>
      </w:pPr>
    </w:p>
    <w:p w:rsidR="00FC65FD" w:rsidRPr="003E02F2" w:rsidRDefault="00FC65FD" w:rsidP="00FC65FD">
      <w:pPr>
        <w:spacing w:line="240" w:lineRule="auto"/>
        <w:rPr>
          <w:rFonts w:ascii="Georgia" w:hAnsi="Georgia"/>
          <w:sz w:val="20"/>
          <w:szCs w:val="20"/>
          <w:lang w:eastAsia="cs-CZ"/>
        </w:rPr>
      </w:pPr>
      <w:r w:rsidRPr="003E02F2">
        <w:rPr>
          <w:rFonts w:ascii="Georgia" w:hAnsi="Georgia"/>
          <w:sz w:val="20"/>
          <w:szCs w:val="20"/>
          <w:lang w:eastAsia="cs-CZ"/>
        </w:rPr>
        <w:t>- data z rozpočtu:</w:t>
      </w:r>
    </w:p>
    <w:p w:rsidR="00FC65FD" w:rsidRPr="003E02F2" w:rsidRDefault="00FC65FD" w:rsidP="00FC65FD">
      <w:pPr>
        <w:spacing w:line="240" w:lineRule="auto"/>
        <w:rPr>
          <w:rFonts w:ascii="Georgia" w:hAnsi="Georgia"/>
          <w:sz w:val="20"/>
          <w:szCs w:val="20"/>
          <w:lang w:eastAsia="cs-CZ"/>
        </w:rPr>
      </w:pPr>
      <w:r w:rsidRPr="003E02F2">
        <w:rPr>
          <w:rFonts w:ascii="Georgia" w:hAnsi="Georgia"/>
          <w:sz w:val="20"/>
          <w:szCs w:val="20"/>
          <w:lang w:eastAsia="cs-CZ"/>
        </w:rPr>
        <w:tab/>
        <w:t xml:space="preserve">položky 41xx </w:t>
      </w:r>
      <w:r w:rsidRPr="003E02F2">
        <w:rPr>
          <w:rFonts w:ascii="Georgia" w:hAnsi="Georgia"/>
          <w:sz w:val="20"/>
          <w:szCs w:val="20"/>
          <w:lang w:eastAsia="cs-CZ"/>
        </w:rPr>
        <w:tab/>
      </w:r>
      <w:r w:rsidRPr="003E02F2">
        <w:rPr>
          <w:rFonts w:ascii="Georgia" w:hAnsi="Georgia"/>
          <w:sz w:val="20"/>
          <w:szCs w:val="20"/>
          <w:lang w:eastAsia="cs-CZ"/>
        </w:rPr>
        <w:tab/>
        <w:t>-</w:t>
      </w:r>
      <w:r w:rsidRPr="003E02F2">
        <w:rPr>
          <w:rFonts w:ascii="Georgia" w:hAnsi="Georgia"/>
          <w:sz w:val="20"/>
          <w:szCs w:val="20"/>
          <w:lang w:eastAsia="cs-CZ"/>
        </w:rPr>
        <w:tab/>
        <w:t>neinvestiční transfery</w:t>
      </w:r>
    </w:p>
    <w:p w:rsidR="00FC65FD" w:rsidRPr="003E02F2" w:rsidRDefault="00FC65FD" w:rsidP="00FC65FD">
      <w:pPr>
        <w:spacing w:line="240" w:lineRule="auto"/>
        <w:rPr>
          <w:rFonts w:ascii="Georgia" w:hAnsi="Georgia"/>
          <w:sz w:val="20"/>
          <w:szCs w:val="20"/>
          <w:lang w:eastAsia="cs-CZ"/>
        </w:rPr>
      </w:pPr>
      <w:r w:rsidRPr="003E02F2">
        <w:rPr>
          <w:rFonts w:ascii="Georgia" w:hAnsi="Georgia"/>
          <w:sz w:val="20"/>
          <w:szCs w:val="20"/>
          <w:lang w:eastAsia="cs-CZ"/>
        </w:rPr>
        <w:tab/>
        <w:t>položky 42xx</w:t>
      </w:r>
      <w:r w:rsidRPr="003E02F2">
        <w:rPr>
          <w:rFonts w:ascii="Georgia" w:hAnsi="Georgia"/>
          <w:sz w:val="20"/>
          <w:szCs w:val="20"/>
          <w:lang w:eastAsia="cs-CZ"/>
        </w:rPr>
        <w:tab/>
      </w:r>
      <w:r w:rsidRPr="003E02F2">
        <w:rPr>
          <w:rFonts w:ascii="Georgia" w:hAnsi="Georgia"/>
          <w:sz w:val="20"/>
          <w:szCs w:val="20"/>
          <w:lang w:eastAsia="cs-CZ"/>
        </w:rPr>
        <w:tab/>
        <w:t>-</w:t>
      </w:r>
      <w:r w:rsidRPr="003E02F2">
        <w:rPr>
          <w:rFonts w:ascii="Georgia" w:hAnsi="Georgia"/>
          <w:sz w:val="20"/>
          <w:szCs w:val="20"/>
          <w:lang w:eastAsia="cs-CZ"/>
        </w:rPr>
        <w:tab/>
        <w:t>investiční transfery</w:t>
      </w:r>
    </w:p>
    <w:p w:rsidR="00FC65FD" w:rsidRPr="003E02F2" w:rsidRDefault="00FC65FD" w:rsidP="00FC65FD">
      <w:pPr>
        <w:spacing w:line="240" w:lineRule="auto"/>
        <w:rPr>
          <w:rFonts w:ascii="Georgia" w:hAnsi="Georgia"/>
          <w:sz w:val="20"/>
          <w:szCs w:val="20"/>
          <w:lang w:eastAsia="cs-CZ"/>
        </w:rPr>
      </w:pPr>
      <w:r w:rsidRPr="003E02F2">
        <w:rPr>
          <w:rFonts w:ascii="Georgia" w:hAnsi="Georgia"/>
          <w:sz w:val="20"/>
          <w:szCs w:val="20"/>
          <w:lang w:eastAsia="cs-CZ"/>
        </w:rPr>
        <w:tab/>
        <w:t>položka 5141</w:t>
      </w:r>
      <w:r w:rsidRPr="003E02F2">
        <w:rPr>
          <w:rFonts w:ascii="Georgia" w:hAnsi="Georgia"/>
          <w:sz w:val="20"/>
          <w:szCs w:val="20"/>
          <w:lang w:eastAsia="cs-CZ"/>
        </w:rPr>
        <w:tab/>
      </w:r>
      <w:r w:rsidRPr="003E02F2">
        <w:rPr>
          <w:rFonts w:ascii="Georgia" w:hAnsi="Georgia"/>
          <w:sz w:val="20"/>
          <w:szCs w:val="20"/>
          <w:lang w:eastAsia="cs-CZ"/>
        </w:rPr>
        <w:tab/>
        <w:t>-</w:t>
      </w:r>
      <w:r w:rsidRPr="003E02F2">
        <w:rPr>
          <w:rFonts w:ascii="Georgia" w:hAnsi="Georgia"/>
          <w:sz w:val="20"/>
          <w:szCs w:val="20"/>
          <w:lang w:eastAsia="cs-CZ"/>
        </w:rPr>
        <w:tab/>
        <w:t>úroky vlastní</w:t>
      </w:r>
    </w:p>
    <w:p w:rsidR="00FC65FD" w:rsidRPr="003E02F2" w:rsidRDefault="00FC65FD" w:rsidP="00FC65FD">
      <w:pPr>
        <w:spacing w:line="240" w:lineRule="auto"/>
        <w:rPr>
          <w:rFonts w:ascii="Georgia" w:hAnsi="Georgia"/>
          <w:sz w:val="20"/>
          <w:szCs w:val="20"/>
          <w:lang w:eastAsia="cs-CZ"/>
        </w:rPr>
      </w:pPr>
      <w:r w:rsidRPr="003E02F2">
        <w:rPr>
          <w:rFonts w:ascii="Georgia" w:hAnsi="Georgia"/>
          <w:sz w:val="20"/>
          <w:szCs w:val="20"/>
          <w:lang w:eastAsia="cs-CZ"/>
        </w:rPr>
        <w:tab/>
        <w:t>položka 5178</w:t>
      </w:r>
      <w:r w:rsidRPr="003E02F2">
        <w:rPr>
          <w:rFonts w:ascii="Georgia" w:hAnsi="Georgia"/>
          <w:sz w:val="20"/>
          <w:szCs w:val="20"/>
          <w:lang w:eastAsia="cs-CZ"/>
        </w:rPr>
        <w:tab/>
      </w:r>
      <w:r w:rsidRPr="003E02F2">
        <w:rPr>
          <w:rFonts w:ascii="Georgia" w:hAnsi="Georgia"/>
          <w:sz w:val="20"/>
          <w:szCs w:val="20"/>
          <w:lang w:eastAsia="cs-CZ"/>
        </w:rPr>
        <w:tab/>
        <w:t>-</w:t>
      </w:r>
      <w:r w:rsidRPr="003E02F2">
        <w:rPr>
          <w:rFonts w:ascii="Georgia" w:hAnsi="Georgia"/>
          <w:sz w:val="20"/>
          <w:szCs w:val="20"/>
          <w:lang w:eastAsia="cs-CZ"/>
        </w:rPr>
        <w:tab/>
        <w:t>nájemné za nájem s právem koupě</w:t>
      </w:r>
    </w:p>
    <w:p w:rsidR="00FC65FD" w:rsidRPr="003E02F2" w:rsidRDefault="00FC65FD" w:rsidP="00FC65FD">
      <w:pPr>
        <w:spacing w:line="240" w:lineRule="auto"/>
        <w:rPr>
          <w:rFonts w:ascii="Georgia" w:hAnsi="Georgia"/>
          <w:sz w:val="20"/>
          <w:szCs w:val="20"/>
          <w:lang w:eastAsia="cs-CZ"/>
        </w:rPr>
      </w:pPr>
      <w:r w:rsidRPr="003E02F2">
        <w:rPr>
          <w:rFonts w:ascii="Georgia" w:hAnsi="Georgia"/>
          <w:sz w:val="20"/>
          <w:szCs w:val="20"/>
          <w:lang w:eastAsia="cs-CZ"/>
        </w:rPr>
        <w:tab/>
        <w:t>položky 8xx2</w:t>
      </w:r>
      <w:r w:rsidRPr="003E02F2">
        <w:rPr>
          <w:rFonts w:ascii="Georgia" w:hAnsi="Georgia"/>
          <w:sz w:val="20"/>
          <w:szCs w:val="20"/>
          <w:lang w:eastAsia="cs-CZ"/>
        </w:rPr>
        <w:tab/>
      </w:r>
      <w:r w:rsidRPr="003E02F2">
        <w:rPr>
          <w:rFonts w:ascii="Georgia" w:hAnsi="Georgia"/>
          <w:sz w:val="20"/>
          <w:szCs w:val="20"/>
          <w:lang w:eastAsia="cs-CZ"/>
        </w:rPr>
        <w:tab/>
        <w:t>-</w:t>
      </w:r>
      <w:r w:rsidRPr="003E02F2">
        <w:rPr>
          <w:rFonts w:ascii="Georgia" w:hAnsi="Georgia"/>
          <w:sz w:val="20"/>
          <w:szCs w:val="20"/>
          <w:lang w:eastAsia="cs-CZ"/>
        </w:rPr>
        <w:tab/>
        <w:t>uhrazené splátky vydaných dluhopisů</w:t>
      </w:r>
    </w:p>
    <w:p w:rsidR="00FC65FD" w:rsidRPr="003E02F2" w:rsidRDefault="00FC65FD" w:rsidP="00FC65FD">
      <w:pPr>
        <w:spacing w:line="240" w:lineRule="auto"/>
        <w:rPr>
          <w:rFonts w:ascii="Georgia" w:hAnsi="Georgia"/>
          <w:sz w:val="20"/>
          <w:szCs w:val="20"/>
          <w:lang w:eastAsia="cs-CZ"/>
        </w:rPr>
      </w:pPr>
      <w:r w:rsidRPr="003E02F2">
        <w:rPr>
          <w:rFonts w:ascii="Georgia" w:hAnsi="Georgia"/>
          <w:sz w:val="20"/>
          <w:szCs w:val="20"/>
          <w:lang w:eastAsia="cs-CZ"/>
        </w:rPr>
        <w:tab/>
        <w:t>položky 8xx4</w:t>
      </w:r>
      <w:r w:rsidRPr="003E02F2">
        <w:rPr>
          <w:rFonts w:ascii="Georgia" w:hAnsi="Georgia"/>
          <w:sz w:val="20"/>
          <w:szCs w:val="20"/>
          <w:lang w:eastAsia="cs-CZ"/>
        </w:rPr>
        <w:tab/>
      </w:r>
      <w:r w:rsidRPr="003E02F2">
        <w:rPr>
          <w:rFonts w:ascii="Georgia" w:hAnsi="Georgia"/>
          <w:sz w:val="20"/>
          <w:szCs w:val="20"/>
          <w:lang w:eastAsia="cs-CZ"/>
        </w:rPr>
        <w:tab/>
        <w:t>-</w:t>
      </w:r>
      <w:r w:rsidRPr="003E02F2">
        <w:rPr>
          <w:rFonts w:ascii="Georgia" w:hAnsi="Georgia"/>
          <w:sz w:val="20"/>
          <w:szCs w:val="20"/>
          <w:lang w:eastAsia="cs-CZ"/>
        </w:rPr>
        <w:tab/>
        <w:t>uhrazené splátky přijatých půjčených prostředků</w:t>
      </w:r>
    </w:p>
    <w:p w:rsidR="00FC65FD" w:rsidRPr="003E02F2" w:rsidRDefault="00FC65FD" w:rsidP="00FC65FD">
      <w:pPr>
        <w:spacing w:line="240" w:lineRule="auto"/>
        <w:rPr>
          <w:rFonts w:ascii="Georgia" w:hAnsi="Georgia"/>
          <w:sz w:val="20"/>
          <w:szCs w:val="20"/>
          <w:lang w:eastAsia="cs-CZ"/>
        </w:rPr>
      </w:pPr>
    </w:p>
    <w:p w:rsidR="00FC65FD" w:rsidRPr="003E02F2" w:rsidRDefault="00FC65FD" w:rsidP="00FC65FD">
      <w:pPr>
        <w:spacing w:line="240" w:lineRule="auto"/>
        <w:rPr>
          <w:rFonts w:ascii="Georgia" w:hAnsi="Georgia"/>
          <w:sz w:val="20"/>
          <w:szCs w:val="20"/>
          <w:lang w:eastAsia="cs-CZ"/>
        </w:rPr>
      </w:pPr>
      <w:r w:rsidRPr="003E02F2">
        <w:rPr>
          <w:rFonts w:ascii="Georgia" w:hAnsi="Georgia"/>
          <w:sz w:val="20"/>
          <w:szCs w:val="20"/>
          <w:lang w:eastAsia="cs-CZ"/>
        </w:rPr>
        <w:t>- data z rozvahy:</w:t>
      </w:r>
    </w:p>
    <w:p w:rsidR="00FC65FD" w:rsidRPr="003E02F2" w:rsidRDefault="00FC65FD" w:rsidP="00FC65FD">
      <w:pPr>
        <w:spacing w:line="240" w:lineRule="auto"/>
        <w:rPr>
          <w:rFonts w:ascii="Georgia" w:hAnsi="Georgia"/>
          <w:sz w:val="20"/>
          <w:szCs w:val="20"/>
          <w:lang w:eastAsia="cs-CZ"/>
        </w:rPr>
      </w:pPr>
      <w:r w:rsidRPr="003E02F2">
        <w:rPr>
          <w:rFonts w:ascii="Georgia" w:hAnsi="Georgia"/>
          <w:sz w:val="20"/>
          <w:szCs w:val="20"/>
          <w:lang w:eastAsia="cs-CZ"/>
        </w:rPr>
        <w:tab/>
        <w:t>Účty:</w:t>
      </w:r>
    </w:p>
    <w:p w:rsidR="00FC65FD" w:rsidRPr="003E02F2" w:rsidRDefault="00FC65FD" w:rsidP="00FC65FD">
      <w:pPr>
        <w:spacing w:line="240" w:lineRule="auto"/>
        <w:rPr>
          <w:rFonts w:ascii="Georgia" w:hAnsi="Georgia"/>
          <w:sz w:val="20"/>
          <w:szCs w:val="20"/>
          <w:lang w:eastAsia="cs-CZ"/>
        </w:rPr>
      </w:pPr>
      <w:r w:rsidRPr="003E02F2">
        <w:rPr>
          <w:rFonts w:ascii="Georgia" w:hAnsi="Georgia"/>
          <w:sz w:val="20"/>
          <w:szCs w:val="20"/>
          <w:lang w:eastAsia="cs-CZ"/>
        </w:rPr>
        <w:tab/>
        <w:t>281</w:t>
      </w:r>
      <w:r w:rsidRPr="003E02F2">
        <w:rPr>
          <w:rFonts w:ascii="Georgia" w:hAnsi="Georgia"/>
          <w:sz w:val="20"/>
          <w:szCs w:val="20"/>
          <w:lang w:eastAsia="cs-CZ"/>
        </w:rPr>
        <w:tab/>
      </w:r>
      <w:r w:rsidRPr="003E02F2">
        <w:rPr>
          <w:rFonts w:ascii="Georgia" w:hAnsi="Georgia"/>
          <w:sz w:val="20"/>
          <w:szCs w:val="20"/>
          <w:lang w:eastAsia="cs-CZ"/>
        </w:rPr>
        <w:tab/>
      </w:r>
      <w:r w:rsidRPr="003E02F2">
        <w:rPr>
          <w:rFonts w:ascii="Georgia" w:hAnsi="Georgia"/>
          <w:sz w:val="20"/>
          <w:szCs w:val="20"/>
          <w:lang w:eastAsia="cs-CZ"/>
        </w:rPr>
        <w:tab/>
        <w:t>-</w:t>
      </w:r>
      <w:r w:rsidRPr="003E02F2">
        <w:rPr>
          <w:rFonts w:ascii="Georgia" w:hAnsi="Georgia"/>
          <w:sz w:val="20"/>
          <w:szCs w:val="20"/>
          <w:lang w:eastAsia="cs-CZ"/>
        </w:rPr>
        <w:tab/>
        <w:t>krátkodobé úvěry</w:t>
      </w:r>
    </w:p>
    <w:p w:rsidR="00FC65FD" w:rsidRPr="003E02F2" w:rsidRDefault="00FC65FD" w:rsidP="00FC65FD">
      <w:pPr>
        <w:spacing w:line="240" w:lineRule="auto"/>
        <w:rPr>
          <w:rFonts w:ascii="Georgia" w:hAnsi="Georgia"/>
          <w:sz w:val="20"/>
          <w:szCs w:val="20"/>
          <w:lang w:eastAsia="cs-CZ"/>
        </w:rPr>
      </w:pPr>
      <w:r w:rsidRPr="003E02F2">
        <w:rPr>
          <w:rFonts w:ascii="Georgia" w:hAnsi="Georgia"/>
          <w:sz w:val="20"/>
          <w:szCs w:val="20"/>
          <w:lang w:eastAsia="cs-CZ"/>
        </w:rPr>
        <w:tab/>
        <w:t>282</w:t>
      </w:r>
      <w:r w:rsidRPr="003E02F2">
        <w:rPr>
          <w:rFonts w:ascii="Georgia" w:hAnsi="Georgia"/>
          <w:sz w:val="20"/>
          <w:szCs w:val="20"/>
          <w:lang w:eastAsia="cs-CZ"/>
        </w:rPr>
        <w:tab/>
      </w:r>
      <w:r w:rsidRPr="003E02F2">
        <w:rPr>
          <w:rFonts w:ascii="Georgia" w:hAnsi="Georgia"/>
          <w:sz w:val="20"/>
          <w:szCs w:val="20"/>
          <w:lang w:eastAsia="cs-CZ"/>
        </w:rPr>
        <w:tab/>
      </w:r>
      <w:r w:rsidRPr="003E02F2">
        <w:rPr>
          <w:rFonts w:ascii="Georgia" w:hAnsi="Georgia"/>
          <w:sz w:val="20"/>
          <w:szCs w:val="20"/>
          <w:lang w:eastAsia="cs-CZ"/>
        </w:rPr>
        <w:tab/>
        <w:t>-</w:t>
      </w:r>
      <w:r w:rsidRPr="003E02F2">
        <w:rPr>
          <w:rFonts w:ascii="Georgia" w:hAnsi="Georgia"/>
          <w:sz w:val="20"/>
          <w:szCs w:val="20"/>
          <w:lang w:eastAsia="cs-CZ"/>
        </w:rPr>
        <w:tab/>
        <w:t>eskontované krátkodobé dluhopisy (směnky)</w:t>
      </w:r>
    </w:p>
    <w:p w:rsidR="00FC65FD" w:rsidRPr="003E02F2" w:rsidRDefault="00FC65FD" w:rsidP="00FC65FD">
      <w:pPr>
        <w:spacing w:line="240" w:lineRule="auto"/>
        <w:rPr>
          <w:rFonts w:ascii="Georgia" w:hAnsi="Georgia"/>
          <w:sz w:val="20"/>
          <w:szCs w:val="20"/>
          <w:lang w:eastAsia="cs-CZ"/>
        </w:rPr>
      </w:pPr>
      <w:r w:rsidRPr="003E02F2">
        <w:rPr>
          <w:rFonts w:ascii="Georgia" w:hAnsi="Georgia"/>
          <w:sz w:val="20"/>
          <w:szCs w:val="20"/>
          <w:lang w:eastAsia="cs-CZ"/>
        </w:rPr>
        <w:tab/>
        <w:t>283</w:t>
      </w:r>
      <w:r w:rsidRPr="003E02F2">
        <w:rPr>
          <w:rFonts w:ascii="Georgia" w:hAnsi="Georgia"/>
          <w:sz w:val="20"/>
          <w:szCs w:val="20"/>
          <w:lang w:eastAsia="cs-CZ"/>
        </w:rPr>
        <w:tab/>
      </w:r>
      <w:r w:rsidRPr="003E02F2">
        <w:rPr>
          <w:rFonts w:ascii="Georgia" w:hAnsi="Georgia"/>
          <w:sz w:val="20"/>
          <w:szCs w:val="20"/>
          <w:lang w:eastAsia="cs-CZ"/>
        </w:rPr>
        <w:tab/>
      </w:r>
      <w:r w:rsidRPr="003E02F2">
        <w:rPr>
          <w:rFonts w:ascii="Georgia" w:hAnsi="Georgia"/>
          <w:sz w:val="20"/>
          <w:szCs w:val="20"/>
          <w:lang w:eastAsia="cs-CZ"/>
        </w:rPr>
        <w:tab/>
        <w:t>-</w:t>
      </w:r>
      <w:r w:rsidRPr="003E02F2">
        <w:rPr>
          <w:rFonts w:ascii="Georgia" w:hAnsi="Georgia"/>
          <w:sz w:val="20"/>
          <w:szCs w:val="20"/>
          <w:lang w:eastAsia="cs-CZ"/>
        </w:rPr>
        <w:tab/>
        <w:t>krátkodobé závazky z vydaných dluhopisů</w:t>
      </w:r>
    </w:p>
    <w:p w:rsidR="00FC65FD" w:rsidRPr="003E02F2" w:rsidRDefault="00FC65FD" w:rsidP="00FC65FD">
      <w:pPr>
        <w:spacing w:line="240" w:lineRule="auto"/>
        <w:rPr>
          <w:rFonts w:ascii="Georgia" w:hAnsi="Georgia"/>
          <w:sz w:val="20"/>
          <w:szCs w:val="20"/>
          <w:lang w:eastAsia="cs-CZ"/>
        </w:rPr>
      </w:pPr>
      <w:r w:rsidRPr="003E02F2">
        <w:rPr>
          <w:rFonts w:ascii="Georgia" w:hAnsi="Georgia"/>
          <w:sz w:val="20"/>
          <w:szCs w:val="20"/>
          <w:lang w:eastAsia="cs-CZ"/>
        </w:rPr>
        <w:tab/>
        <w:t>289</w:t>
      </w:r>
      <w:r w:rsidRPr="003E02F2">
        <w:rPr>
          <w:rFonts w:ascii="Georgia" w:hAnsi="Georgia"/>
          <w:sz w:val="20"/>
          <w:szCs w:val="20"/>
          <w:lang w:eastAsia="cs-CZ"/>
        </w:rPr>
        <w:tab/>
      </w:r>
      <w:r w:rsidRPr="003E02F2">
        <w:rPr>
          <w:rFonts w:ascii="Georgia" w:hAnsi="Georgia"/>
          <w:sz w:val="20"/>
          <w:szCs w:val="20"/>
          <w:lang w:eastAsia="cs-CZ"/>
        </w:rPr>
        <w:tab/>
      </w:r>
      <w:r w:rsidRPr="003E02F2">
        <w:rPr>
          <w:rFonts w:ascii="Georgia" w:hAnsi="Georgia"/>
          <w:sz w:val="20"/>
          <w:szCs w:val="20"/>
          <w:lang w:eastAsia="cs-CZ"/>
        </w:rPr>
        <w:tab/>
        <w:t>-</w:t>
      </w:r>
      <w:r w:rsidRPr="003E02F2">
        <w:rPr>
          <w:rFonts w:ascii="Georgia" w:hAnsi="Georgia"/>
          <w:sz w:val="20"/>
          <w:szCs w:val="20"/>
          <w:lang w:eastAsia="cs-CZ"/>
        </w:rPr>
        <w:tab/>
        <w:t>jiné krátkodobé půjčky</w:t>
      </w:r>
    </w:p>
    <w:p w:rsidR="00FC65FD" w:rsidRPr="003E02F2" w:rsidRDefault="00FC65FD" w:rsidP="00FC65FD">
      <w:pPr>
        <w:spacing w:line="240" w:lineRule="auto"/>
        <w:rPr>
          <w:rFonts w:ascii="Georgia" w:hAnsi="Georgia"/>
          <w:sz w:val="20"/>
          <w:szCs w:val="20"/>
          <w:lang w:eastAsia="cs-CZ"/>
        </w:rPr>
      </w:pPr>
      <w:r w:rsidRPr="003E02F2">
        <w:rPr>
          <w:rFonts w:ascii="Georgia" w:hAnsi="Georgia"/>
          <w:sz w:val="20"/>
          <w:szCs w:val="20"/>
          <w:lang w:eastAsia="cs-CZ"/>
        </w:rPr>
        <w:tab/>
        <w:t>322</w:t>
      </w:r>
      <w:r w:rsidRPr="003E02F2">
        <w:rPr>
          <w:rFonts w:ascii="Georgia" w:hAnsi="Georgia"/>
          <w:sz w:val="20"/>
          <w:szCs w:val="20"/>
          <w:lang w:eastAsia="cs-CZ"/>
        </w:rPr>
        <w:tab/>
      </w:r>
      <w:r w:rsidRPr="003E02F2">
        <w:rPr>
          <w:rFonts w:ascii="Georgia" w:hAnsi="Georgia"/>
          <w:sz w:val="20"/>
          <w:szCs w:val="20"/>
          <w:lang w:eastAsia="cs-CZ"/>
        </w:rPr>
        <w:tab/>
      </w:r>
      <w:r w:rsidRPr="003E02F2">
        <w:rPr>
          <w:rFonts w:ascii="Georgia" w:hAnsi="Georgia"/>
          <w:sz w:val="20"/>
          <w:szCs w:val="20"/>
          <w:lang w:eastAsia="cs-CZ"/>
        </w:rPr>
        <w:tab/>
        <w:t>-</w:t>
      </w:r>
      <w:r w:rsidRPr="003E02F2">
        <w:rPr>
          <w:rFonts w:ascii="Georgia" w:hAnsi="Georgia"/>
          <w:sz w:val="20"/>
          <w:szCs w:val="20"/>
          <w:lang w:eastAsia="cs-CZ"/>
        </w:rPr>
        <w:tab/>
        <w:t>směnky k úhradě</w:t>
      </w:r>
    </w:p>
    <w:p w:rsidR="00FC65FD" w:rsidRPr="003E02F2" w:rsidRDefault="00FC65FD" w:rsidP="00FC65FD">
      <w:pPr>
        <w:spacing w:line="240" w:lineRule="auto"/>
        <w:rPr>
          <w:rFonts w:ascii="Georgia" w:hAnsi="Georgia"/>
          <w:sz w:val="20"/>
          <w:szCs w:val="20"/>
          <w:lang w:eastAsia="cs-CZ"/>
        </w:rPr>
      </w:pPr>
      <w:r w:rsidRPr="003E02F2">
        <w:rPr>
          <w:rFonts w:ascii="Georgia" w:hAnsi="Georgia"/>
          <w:sz w:val="20"/>
          <w:szCs w:val="20"/>
          <w:lang w:eastAsia="cs-CZ"/>
        </w:rPr>
        <w:tab/>
        <w:t>326</w:t>
      </w:r>
      <w:r w:rsidRPr="003E02F2">
        <w:rPr>
          <w:rFonts w:ascii="Georgia" w:hAnsi="Georgia"/>
          <w:sz w:val="20"/>
          <w:szCs w:val="20"/>
          <w:lang w:eastAsia="cs-CZ"/>
        </w:rPr>
        <w:tab/>
      </w:r>
      <w:r w:rsidRPr="003E02F2">
        <w:rPr>
          <w:rFonts w:ascii="Georgia" w:hAnsi="Georgia"/>
          <w:sz w:val="20"/>
          <w:szCs w:val="20"/>
          <w:lang w:eastAsia="cs-CZ"/>
        </w:rPr>
        <w:tab/>
      </w:r>
      <w:r w:rsidRPr="003E02F2">
        <w:rPr>
          <w:rFonts w:ascii="Georgia" w:hAnsi="Georgia"/>
          <w:sz w:val="20"/>
          <w:szCs w:val="20"/>
          <w:lang w:eastAsia="cs-CZ"/>
        </w:rPr>
        <w:tab/>
        <w:t>-</w:t>
      </w:r>
      <w:r w:rsidRPr="003E02F2">
        <w:rPr>
          <w:rFonts w:ascii="Georgia" w:hAnsi="Georgia"/>
          <w:sz w:val="20"/>
          <w:szCs w:val="20"/>
          <w:lang w:eastAsia="cs-CZ"/>
        </w:rPr>
        <w:tab/>
        <w:t>přijaté návratné finanční výpomoci krátkodobé</w:t>
      </w:r>
    </w:p>
    <w:p w:rsidR="00FC65FD" w:rsidRPr="003E02F2" w:rsidRDefault="00FC65FD" w:rsidP="00FC65FD">
      <w:pPr>
        <w:spacing w:line="240" w:lineRule="auto"/>
        <w:rPr>
          <w:rFonts w:ascii="Georgia" w:hAnsi="Georgia"/>
          <w:sz w:val="20"/>
          <w:szCs w:val="20"/>
          <w:lang w:eastAsia="cs-CZ"/>
        </w:rPr>
      </w:pPr>
      <w:r w:rsidRPr="003E02F2">
        <w:rPr>
          <w:rFonts w:ascii="Georgia" w:hAnsi="Georgia"/>
          <w:sz w:val="20"/>
          <w:szCs w:val="20"/>
          <w:lang w:eastAsia="cs-CZ"/>
        </w:rPr>
        <w:tab/>
        <w:t>451</w:t>
      </w:r>
      <w:r w:rsidRPr="003E02F2">
        <w:rPr>
          <w:rFonts w:ascii="Georgia" w:hAnsi="Georgia"/>
          <w:sz w:val="20"/>
          <w:szCs w:val="20"/>
          <w:lang w:eastAsia="cs-CZ"/>
        </w:rPr>
        <w:tab/>
      </w:r>
      <w:r w:rsidRPr="003E02F2">
        <w:rPr>
          <w:rFonts w:ascii="Georgia" w:hAnsi="Georgia"/>
          <w:sz w:val="20"/>
          <w:szCs w:val="20"/>
          <w:lang w:eastAsia="cs-CZ"/>
        </w:rPr>
        <w:tab/>
      </w:r>
      <w:r w:rsidRPr="003E02F2">
        <w:rPr>
          <w:rFonts w:ascii="Georgia" w:hAnsi="Georgia"/>
          <w:sz w:val="20"/>
          <w:szCs w:val="20"/>
          <w:lang w:eastAsia="cs-CZ"/>
        </w:rPr>
        <w:tab/>
        <w:t>-</w:t>
      </w:r>
      <w:r w:rsidRPr="003E02F2">
        <w:rPr>
          <w:rFonts w:ascii="Georgia" w:hAnsi="Georgia"/>
          <w:sz w:val="20"/>
          <w:szCs w:val="20"/>
          <w:lang w:eastAsia="cs-CZ"/>
        </w:rPr>
        <w:tab/>
        <w:t>dlouhodobé úvěry</w:t>
      </w:r>
    </w:p>
    <w:p w:rsidR="00FC65FD" w:rsidRPr="003E02F2" w:rsidRDefault="00FC65FD" w:rsidP="00FC65FD">
      <w:pPr>
        <w:spacing w:line="240" w:lineRule="auto"/>
        <w:rPr>
          <w:rFonts w:ascii="Georgia" w:hAnsi="Georgia"/>
          <w:sz w:val="20"/>
          <w:szCs w:val="20"/>
          <w:lang w:eastAsia="cs-CZ"/>
        </w:rPr>
      </w:pPr>
      <w:r w:rsidRPr="003E02F2">
        <w:rPr>
          <w:rFonts w:ascii="Georgia" w:hAnsi="Georgia"/>
          <w:sz w:val="20"/>
          <w:szCs w:val="20"/>
          <w:lang w:eastAsia="cs-CZ"/>
        </w:rPr>
        <w:tab/>
        <w:t>452</w:t>
      </w:r>
      <w:r w:rsidRPr="003E02F2">
        <w:rPr>
          <w:rFonts w:ascii="Georgia" w:hAnsi="Georgia"/>
          <w:sz w:val="20"/>
          <w:szCs w:val="20"/>
          <w:lang w:eastAsia="cs-CZ"/>
        </w:rPr>
        <w:tab/>
      </w:r>
      <w:r w:rsidRPr="003E02F2">
        <w:rPr>
          <w:rFonts w:ascii="Georgia" w:hAnsi="Georgia"/>
          <w:sz w:val="20"/>
          <w:szCs w:val="20"/>
          <w:lang w:eastAsia="cs-CZ"/>
        </w:rPr>
        <w:tab/>
      </w:r>
      <w:r w:rsidRPr="003E02F2">
        <w:rPr>
          <w:rFonts w:ascii="Georgia" w:hAnsi="Georgia"/>
          <w:sz w:val="20"/>
          <w:szCs w:val="20"/>
          <w:lang w:eastAsia="cs-CZ"/>
        </w:rPr>
        <w:tab/>
        <w:t>-</w:t>
      </w:r>
      <w:r w:rsidRPr="003E02F2">
        <w:rPr>
          <w:rFonts w:ascii="Georgia" w:hAnsi="Georgia"/>
          <w:sz w:val="20"/>
          <w:szCs w:val="20"/>
          <w:lang w:eastAsia="cs-CZ"/>
        </w:rPr>
        <w:tab/>
        <w:t>přijaté návratné finanční výpomoci dlouhodobé</w:t>
      </w:r>
    </w:p>
    <w:p w:rsidR="00FC65FD" w:rsidRPr="003E02F2" w:rsidRDefault="00FC65FD" w:rsidP="00FC65FD">
      <w:pPr>
        <w:spacing w:line="240" w:lineRule="auto"/>
        <w:rPr>
          <w:rFonts w:ascii="Georgia" w:hAnsi="Georgia"/>
          <w:sz w:val="20"/>
          <w:szCs w:val="20"/>
          <w:lang w:eastAsia="cs-CZ"/>
        </w:rPr>
      </w:pPr>
      <w:r w:rsidRPr="003E02F2">
        <w:rPr>
          <w:rFonts w:ascii="Georgia" w:hAnsi="Georgia"/>
          <w:sz w:val="20"/>
          <w:szCs w:val="20"/>
          <w:lang w:eastAsia="cs-CZ"/>
        </w:rPr>
        <w:tab/>
        <w:t>453</w:t>
      </w:r>
      <w:r w:rsidRPr="003E02F2">
        <w:rPr>
          <w:rFonts w:ascii="Georgia" w:hAnsi="Georgia"/>
          <w:sz w:val="20"/>
          <w:szCs w:val="20"/>
          <w:lang w:eastAsia="cs-CZ"/>
        </w:rPr>
        <w:tab/>
      </w:r>
      <w:r w:rsidRPr="003E02F2">
        <w:rPr>
          <w:rFonts w:ascii="Georgia" w:hAnsi="Georgia"/>
          <w:sz w:val="20"/>
          <w:szCs w:val="20"/>
          <w:lang w:eastAsia="cs-CZ"/>
        </w:rPr>
        <w:tab/>
      </w:r>
      <w:r w:rsidRPr="003E02F2">
        <w:rPr>
          <w:rFonts w:ascii="Georgia" w:hAnsi="Georgia"/>
          <w:sz w:val="20"/>
          <w:szCs w:val="20"/>
          <w:lang w:eastAsia="cs-CZ"/>
        </w:rPr>
        <w:tab/>
        <w:t>-</w:t>
      </w:r>
      <w:r w:rsidRPr="003E02F2">
        <w:rPr>
          <w:rFonts w:ascii="Georgia" w:hAnsi="Georgia"/>
          <w:sz w:val="20"/>
          <w:szCs w:val="20"/>
          <w:lang w:eastAsia="cs-CZ"/>
        </w:rPr>
        <w:tab/>
        <w:t>dlouhodobé závazky z vydaných dluhopisů</w:t>
      </w:r>
    </w:p>
    <w:p w:rsidR="00FC65FD" w:rsidRPr="003E02F2" w:rsidRDefault="00FC65FD" w:rsidP="00FC65FD">
      <w:pPr>
        <w:spacing w:line="240" w:lineRule="auto"/>
        <w:rPr>
          <w:rFonts w:ascii="Georgia" w:hAnsi="Georgia"/>
          <w:sz w:val="20"/>
          <w:szCs w:val="20"/>
          <w:lang w:eastAsia="cs-CZ"/>
        </w:rPr>
      </w:pPr>
      <w:r w:rsidRPr="003E02F2">
        <w:rPr>
          <w:rFonts w:ascii="Georgia" w:hAnsi="Georgia"/>
          <w:sz w:val="20"/>
          <w:szCs w:val="20"/>
          <w:lang w:eastAsia="cs-CZ"/>
        </w:rPr>
        <w:tab/>
        <w:t>459</w:t>
      </w:r>
      <w:r w:rsidRPr="003E02F2">
        <w:rPr>
          <w:rFonts w:ascii="Georgia" w:hAnsi="Georgia"/>
          <w:sz w:val="20"/>
          <w:szCs w:val="20"/>
          <w:lang w:eastAsia="cs-CZ"/>
        </w:rPr>
        <w:tab/>
      </w:r>
      <w:r w:rsidRPr="003E02F2">
        <w:rPr>
          <w:rFonts w:ascii="Georgia" w:hAnsi="Georgia"/>
          <w:sz w:val="20"/>
          <w:szCs w:val="20"/>
          <w:lang w:eastAsia="cs-CZ"/>
        </w:rPr>
        <w:tab/>
      </w:r>
      <w:r w:rsidRPr="003E02F2">
        <w:rPr>
          <w:rFonts w:ascii="Georgia" w:hAnsi="Georgia"/>
          <w:sz w:val="20"/>
          <w:szCs w:val="20"/>
          <w:lang w:eastAsia="cs-CZ"/>
        </w:rPr>
        <w:tab/>
        <w:t>-</w:t>
      </w:r>
      <w:r w:rsidRPr="003E02F2">
        <w:rPr>
          <w:rFonts w:ascii="Georgia" w:hAnsi="Georgia"/>
          <w:sz w:val="20"/>
          <w:szCs w:val="20"/>
          <w:lang w:eastAsia="cs-CZ"/>
        </w:rPr>
        <w:tab/>
        <w:t>ostatní dlouhodobé závazky</w:t>
      </w:r>
    </w:p>
    <w:p w:rsidR="00FC65FD" w:rsidRPr="003E02F2" w:rsidRDefault="00FC65FD" w:rsidP="00FC65FD">
      <w:pPr>
        <w:spacing w:line="240" w:lineRule="auto"/>
        <w:rPr>
          <w:rFonts w:ascii="Georgia" w:hAnsi="Georgia"/>
          <w:sz w:val="20"/>
          <w:szCs w:val="20"/>
          <w:lang w:eastAsia="cs-CZ"/>
        </w:rPr>
      </w:pPr>
    </w:p>
    <w:p w:rsidR="00FC65FD" w:rsidRPr="003E02F2" w:rsidRDefault="00FC65FD" w:rsidP="00FC65FD">
      <w:pPr>
        <w:spacing w:line="240" w:lineRule="auto"/>
        <w:rPr>
          <w:rFonts w:ascii="Georgia" w:hAnsi="Georgia"/>
          <w:sz w:val="20"/>
          <w:szCs w:val="20"/>
          <w:lang w:eastAsia="cs-CZ"/>
        </w:rPr>
      </w:pPr>
      <w:r w:rsidRPr="003E02F2">
        <w:rPr>
          <w:rFonts w:ascii="Georgia" w:hAnsi="Georgia"/>
          <w:sz w:val="20"/>
          <w:szCs w:val="20"/>
          <w:lang w:eastAsia="cs-CZ"/>
        </w:rPr>
        <w:tab/>
        <w:t>Položky:</w:t>
      </w:r>
    </w:p>
    <w:p w:rsidR="00FC65FD" w:rsidRPr="003E02F2" w:rsidRDefault="00FC65FD" w:rsidP="00FC65FD">
      <w:pPr>
        <w:spacing w:line="240" w:lineRule="auto"/>
        <w:rPr>
          <w:rFonts w:ascii="Georgia" w:hAnsi="Georgia"/>
          <w:sz w:val="20"/>
          <w:szCs w:val="20"/>
          <w:lang w:eastAsia="cs-CZ"/>
        </w:rPr>
      </w:pPr>
      <w:r w:rsidRPr="003E02F2">
        <w:rPr>
          <w:rFonts w:ascii="Georgia" w:hAnsi="Georgia"/>
          <w:sz w:val="20"/>
          <w:szCs w:val="20"/>
          <w:lang w:eastAsia="cs-CZ"/>
        </w:rPr>
        <w:tab/>
        <w:t>A.</w:t>
      </w:r>
      <w:r w:rsidRPr="003E02F2">
        <w:rPr>
          <w:rFonts w:ascii="Georgia" w:hAnsi="Georgia"/>
          <w:sz w:val="20"/>
          <w:szCs w:val="20"/>
          <w:lang w:eastAsia="cs-CZ"/>
        </w:rPr>
        <w:tab/>
      </w:r>
      <w:r w:rsidRPr="003E02F2">
        <w:rPr>
          <w:rFonts w:ascii="Georgia" w:hAnsi="Georgia"/>
          <w:sz w:val="20"/>
          <w:szCs w:val="20"/>
          <w:lang w:eastAsia="cs-CZ"/>
        </w:rPr>
        <w:tab/>
      </w:r>
      <w:r w:rsidRPr="003E02F2">
        <w:rPr>
          <w:rFonts w:ascii="Georgia" w:hAnsi="Georgia"/>
          <w:sz w:val="20"/>
          <w:szCs w:val="20"/>
          <w:lang w:eastAsia="cs-CZ"/>
        </w:rPr>
        <w:tab/>
        <w:t>-</w:t>
      </w:r>
      <w:r w:rsidRPr="003E02F2">
        <w:rPr>
          <w:rFonts w:ascii="Georgia" w:hAnsi="Georgia"/>
          <w:sz w:val="20"/>
          <w:szCs w:val="20"/>
          <w:lang w:eastAsia="cs-CZ"/>
        </w:rPr>
        <w:tab/>
        <w:t>stálá aktiva</w:t>
      </w:r>
    </w:p>
    <w:p w:rsidR="00FC65FD" w:rsidRPr="003E02F2" w:rsidRDefault="00FC65FD" w:rsidP="00FC65FD">
      <w:pPr>
        <w:spacing w:line="240" w:lineRule="auto"/>
        <w:ind w:firstLine="708"/>
        <w:rPr>
          <w:rFonts w:ascii="Georgia" w:hAnsi="Georgia"/>
          <w:sz w:val="20"/>
          <w:szCs w:val="20"/>
          <w:lang w:eastAsia="cs-CZ"/>
        </w:rPr>
      </w:pPr>
      <w:r w:rsidRPr="003E02F2">
        <w:rPr>
          <w:rFonts w:ascii="Georgia" w:hAnsi="Georgia"/>
          <w:sz w:val="20"/>
          <w:szCs w:val="20"/>
          <w:lang w:eastAsia="cs-CZ"/>
        </w:rPr>
        <w:t>A IV.</w:t>
      </w:r>
      <w:r w:rsidRPr="003E02F2">
        <w:rPr>
          <w:rFonts w:ascii="Georgia" w:hAnsi="Georgia"/>
          <w:sz w:val="20"/>
          <w:szCs w:val="20"/>
          <w:lang w:eastAsia="cs-CZ"/>
        </w:rPr>
        <w:tab/>
      </w:r>
      <w:r w:rsidRPr="003E02F2">
        <w:rPr>
          <w:rFonts w:ascii="Georgia" w:hAnsi="Georgia"/>
          <w:sz w:val="20"/>
          <w:szCs w:val="20"/>
          <w:lang w:eastAsia="cs-CZ"/>
        </w:rPr>
        <w:tab/>
      </w:r>
      <w:r w:rsidRPr="003E02F2">
        <w:rPr>
          <w:rFonts w:ascii="Georgia" w:hAnsi="Georgia"/>
          <w:sz w:val="20"/>
          <w:szCs w:val="20"/>
          <w:lang w:eastAsia="cs-CZ"/>
        </w:rPr>
        <w:tab/>
        <w:t>-</w:t>
      </w:r>
      <w:r w:rsidRPr="003E02F2">
        <w:rPr>
          <w:rFonts w:ascii="Georgia" w:hAnsi="Georgia"/>
          <w:sz w:val="20"/>
          <w:szCs w:val="20"/>
          <w:lang w:eastAsia="cs-CZ"/>
        </w:rPr>
        <w:tab/>
        <w:t>dlouhodobé pohledávky</w:t>
      </w:r>
    </w:p>
    <w:p w:rsidR="00FC65FD" w:rsidRPr="003E02F2" w:rsidRDefault="00FC65FD" w:rsidP="00FC65FD">
      <w:pPr>
        <w:spacing w:line="240" w:lineRule="auto"/>
        <w:rPr>
          <w:rFonts w:ascii="Georgia" w:hAnsi="Georgia"/>
          <w:sz w:val="20"/>
          <w:szCs w:val="20"/>
          <w:lang w:eastAsia="cs-CZ"/>
        </w:rPr>
      </w:pPr>
      <w:r w:rsidRPr="003E02F2">
        <w:rPr>
          <w:rFonts w:ascii="Georgia" w:hAnsi="Georgia"/>
          <w:sz w:val="20"/>
          <w:szCs w:val="20"/>
          <w:lang w:eastAsia="cs-CZ"/>
        </w:rPr>
        <w:tab/>
        <w:t>B.</w:t>
      </w:r>
      <w:r w:rsidRPr="003E02F2">
        <w:rPr>
          <w:rFonts w:ascii="Georgia" w:hAnsi="Georgia"/>
          <w:sz w:val="20"/>
          <w:szCs w:val="20"/>
          <w:lang w:eastAsia="cs-CZ"/>
        </w:rPr>
        <w:tab/>
      </w:r>
      <w:r w:rsidRPr="003E02F2">
        <w:rPr>
          <w:rFonts w:ascii="Georgia" w:hAnsi="Georgia"/>
          <w:sz w:val="20"/>
          <w:szCs w:val="20"/>
          <w:lang w:eastAsia="cs-CZ"/>
        </w:rPr>
        <w:tab/>
      </w:r>
      <w:r w:rsidRPr="003E02F2">
        <w:rPr>
          <w:rFonts w:ascii="Georgia" w:hAnsi="Georgia"/>
          <w:sz w:val="20"/>
          <w:szCs w:val="20"/>
          <w:lang w:eastAsia="cs-CZ"/>
        </w:rPr>
        <w:tab/>
        <w:t>-</w:t>
      </w:r>
      <w:r w:rsidRPr="003E02F2">
        <w:rPr>
          <w:rFonts w:ascii="Georgia" w:hAnsi="Georgia"/>
          <w:sz w:val="20"/>
          <w:szCs w:val="20"/>
          <w:lang w:eastAsia="cs-CZ"/>
        </w:rPr>
        <w:tab/>
        <w:t>oběžná aktiva</w:t>
      </w:r>
    </w:p>
    <w:p w:rsidR="00FC65FD" w:rsidRPr="003E02F2" w:rsidRDefault="00FC65FD" w:rsidP="00FC65FD">
      <w:pPr>
        <w:spacing w:line="240" w:lineRule="auto"/>
        <w:rPr>
          <w:rFonts w:ascii="Georgia" w:hAnsi="Georgia"/>
          <w:sz w:val="20"/>
          <w:szCs w:val="20"/>
          <w:lang w:eastAsia="cs-CZ"/>
        </w:rPr>
      </w:pPr>
      <w:r w:rsidRPr="003E02F2">
        <w:rPr>
          <w:rFonts w:ascii="Georgia" w:hAnsi="Georgia"/>
          <w:sz w:val="20"/>
          <w:szCs w:val="20"/>
          <w:lang w:eastAsia="cs-CZ"/>
        </w:rPr>
        <w:tab/>
        <w:t>B II.</w:t>
      </w:r>
      <w:r w:rsidRPr="003E02F2">
        <w:rPr>
          <w:rFonts w:ascii="Georgia" w:hAnsi="Georgia"/>
          <w:sz w:val="20"/>
          <w:szCs w:val="20"/>
          <w:lang w:eastAsia="cs-CZ"/>
        </w:rPr>
        <w:tab/>
      </w:r>
      <w:r w:rsidRPr="003E02F2">
        <w:rPr>
          <w:rFonts w:ascii="Georgia" w:hAnsi="Georgia"/>
          <w:sz w:val="20"/>
          <w:szCs w:val="20"/>
          <w:lang w:eastAsia="cs-CZ"/>
        </w:rPr>
        <w:tab/>
      </w:r>
      <w:r w:rsidRPr="003E02F2">
        <w:rPr>
          <w:rFonts w:ascii="Georgia" w:hAnsi="Georgia"/>
          <w:sz w:val="20"/>
          <w:szCs w:val="20"/>
          <w:lang w:eastAsia="cs-CZ"/>
        </w:rPr>
        <w:tab/>
        <w:t>-</w:t>
      </w:r>
      <w:r w:rsidRPr="003E02F2">
        <w:rPr>
          <w:rFonts w:ascii="Georgia" w:hAnsi="Georgia"/>
          <w:sz w:val="20"/>
          <w:szCs w:val="20"/>
          <w:lang w:eastAsia="cs-CZ"/>
        </w:rPr>
        <w:tab/>
        <w:t xml:space="preserve">krátkodobé pohledávky </w:t>
      </w:r>
    </w:p>
    <w:p w:rsidR="00FC65FD" w:rsidRPr="003E02F2" w:rsidRDefault="00FC65FD" w:rsidP="00FC65FD">
      <w:pPr>
        <w:spacing w:line="240" w:lineRule="auto"/>
        <w:rPr>
          <w:rFonts w:ascii="Georgia" w:hAnsi="Georgia"/>
          <w:sz w:val="20"/>
          <w:szCs w:val="20"/>
          <w:lang w:eastAsia="cs-CZ"/>
        </w:rPr>
      </w:pPr>
      <w:r w:rsidRPr="003E02F2">
        <w:rPr>
          <w:rFonts w:ascii="Georgia" w:hAnsi="Georgia"/>
          <w:sz w:val="20"/>
          <w:szCs w:val="20"/>
          <w:lang w:eastAsia="cs-CZ"/>
        </w:rPr>
        <w:tab/>
        <w:t>B III.</w:t>
      </w:r>
      <w:r w:rsidRPr="003E02F2">
        <w:rPr>
          <w:rFonts w:ascii="Georgia" w:hAnsi="Georgia"/>
          <w:sz w:val="20"/>
          <w:szCs w:val="20"/>
          <w:lang w:eastAsia="cs-CZ"/>
        </w:rPr>
        <w:tab/>
      </w:r>
      <w:r w:rsidRPr="003E02F2">
        <w:rPr>
          <w:rFonts w:ascii="Georgia" w:hAnsi="Georgia"/>
          <w:sz w:val="20"/>
          <w:szCs w:val="20"/>
          <w:lang w:eastAsia="cs-CZ"/>
        </w:rPr>
        <w:tab/>
      </w:r>
      <w:r w:rsidRPr="003E02F2">
        <w:rPr>
          <w:rFonts w:ascii="Georgia" w:hAnsi="Georgia"/>
          <w:sz w:val="20"/>
          <w:szCs w:val="20"/>
          <w:lang w:eastAsia="cs-CZ"/>
        </w:rPr>
        <w:tab/>
        <w:t>-</w:t>
      </w:r>
      <w:r w:rsidRPr="003E02F2">
        <w:rPr>
          <w:rFonts w:ascii="Georgia" w:hAnsi="Georgia"/>
          <w:sz w:val="20"/>
          <w:szCs w:val="20"/>
          <w:lang w:eastAsia="cs-CZ"/>
        </w:rPr>
        <w:tab/>
        <w:t>krátkodobý finanční majetek</w:t>
      </w:r>
    </w:p>
    <w:p w:rsidR="00FC65FD" w:rsidRPr="003E02F2" w:rsidRDefault="00FC65FD" w:rsidP="00FC65FD">
      <w:pPr>
        <w:spacing w:line="240" w:lineRule="auto"/>
        <w:rPr>
          <w:rFonts w:ascii="Georgia" w:hAnsi="Georgia"/>
          <w:sz w:val="20"/>
          <w:szCs w:val="20"/>
          <w:lang w:eastAsia="cs-CZ"/>
        </w:rPr>
      </w:pPr>
      <w:r w:rsidRPr="003E02F2">
        <w:rPr>
          <w:rFonts w:ascii="Georgia" w:hAnsi="Georgia"/>
          <w:sz w:val="20"/>
          <w:szCs w:val="20"/>
          <w:lang w:eastAsia="cs-CZ"/>
        </w:rPr>
        <w:tab/>
        <w:t>D.</w:t>
      </w:r>
      <w:r w:rsidRPr="003E02F2">
        <w:rPr>
          <w:rFonts w:ascii="Georgia" w:hAnsi="Georgia"/>
          <w:sz w:val="20"/>
          <w:szCs w:val="20"/>
          <w:lang w:eastAsia="cs-CZ"/>
        </w:rPr>
        <w:tab/>
      </w:r>
      <w:r w:rsidRPr="003E02F2">
        <w:rPr>
          <w:rFonts w:ascii="Georgia" w:hAnsi="Georgia"/>
          <w:sz w:val="20"/>
          <w:szCs w:val="20"/>
          <w:lang w:eastAsia="cs-CZ"/>
        </w:rPr>
        <w:tab/>
      </w:r>
      <w:r w:rsidRPr="003E02F2">
        <w:rPr>
          <w:rFonts w:ascii="Georgia" w:hAnsi="Georgia"/>
          <w:sz w:val="20"/>
          <w:szCs w:val="20"/>
          <w:lang w:eastAsia="cs-CZ"/>
        </w:rPr>
        <w:tab/>
        <w:t>-</w:t>
      </w:r>
      <w:r w:rsidRPr="003E02F2">
        <w:rPr>
          <w:rFonts w:ascii="Georgia" w:hAnsi="Georgia"/>
          <w:sz w:val="20"/>
          <w:szCs w:val="20"/>
          <w:lang w:eastAsia="cs-CZ"/>
        </w:rPr>
        <w:tab/>
        <w:t>cizí zdroje</w:t>
      </w:r>
    </w:p>
    <w:p w:rsidR="00FC65FD" w:rsidRPr="003E02F2" w:rsidRDefault="00FC65FD" w:rsidP="00FC65FD">
      <w:pPr>
        <w:spacing w:line="240" w:lineRule="auto"/>
        <w:ind w:firstLine="708"/>
        <w:rPr>
          <w:rFonts w:ascii="Georgia" w:hAnsi="Georgia"/>
          <w:sz w:val="20"/>
          <w:szCs w:val="20"/>
          <w:lang w:eastAsia="cs-CZ"/>
        </w:rPr>
      </w:pPr>
      <w:r w:rsidRPr="003E02F2">
        <w:rPr>
          <w:rFonts w:ascii="Georgia" w:hAnsi="Georgia"/>
          <w:sz w:val="20"/>
          <w:szCs w:val="20"/>
          <w:lang w:eastAsia="cs-CZ"/>
        </w:rPr>
        <w:t>D II.</w:t>
      </w:r>
      <w:r w:rsidRPr="003E02F2">
        <w:rPr>
          <w:rFonts w:ascii="Georgia" w:hAnsi="Georgia"/>
          <w:sz w:val="20"/>
          <w:szCs w:val="20"/>
          <w:lang w:eastAsia="cs-CZ"/>
        </w:rPr>
        <w:tab/>
      </w:r>
      <w:r w:rsidRPr="003E02F2">
        <w:rPr>
          <w:rFonts w:ascii="Georgia" w:hAnsi="Georgia"/>
          <w:sz w:val="20"/>
          <w:szCs w:val="20"/>
          <w:lang w:eastAsia="cs-CZ"/>
        </w:rPr>
        <w:tab/>
      </w:r>
      <w:r w:rsidRPr="003E02F2">
        <w:rPr>
          <w:rFonts w:ascii="Georgia" w:hAnsi="Georgia"/>
          <w:sz w:val="20"/>
          <w:szCs w:val="20"/>
          <w:lang w:eastAsia="cs-CZ"/>
        </w:rPr>
        <w:tab/>
        <w:t>-</w:t>
      </w:r>
      <w:r w:rsidRPr="003E02F2">
        <w:rPr>
          <w:rFonts w:ascii="Georgia" w:hAnsi="Georgia"/>
          <w:sz w:val="20"/>
          <w:szCs w:val="20"/>
          <w:lang w:eastAsia="cs-CZ"/>
        </w:rPr>
        <w:tab/>
        <w:t>dlouhodobé závazky</w:t>
      </w:r>
      <w:r w:rsidRPr="003E02F2">
        <w:rPr>
          <w:rFonts w:ascii="Georgia" w:hAnsi="Georgia"/>
          <w:sz w:val="20"/>
          <w:szCs w:val="20"/>
          <w:lang w:eastAsia="cs-CZ"/>
        </w:rPr>
        <w:tab/>
      </w:r>
    </w:p>
    <w:p w:rsidR="00FC65FD" w:rsidRPr="003E02F2" w:rsidRDefault="00FC65FD" w:rsidP="00FC65FD">
      <w:pPr>
        <w:spacing w:line="240" w:lineRule="auto"/>
        <w:rPr>
          <w:rFonts w:ascii="Georgia" w:hAnsi="Georgia"/>
          <w:sz w:val="20"/>
          <w:szCs w:val="20"/>
          <w:lang w:eastAsia="cs-CZ"/>
        </w:rPr>
      </w:pPr>
      <w:r w:rsidRPr="003E02F2">
        <w:rPr>
          <w:rFonts w:ascii="Georgia" w:hAnsi="Georgia"/>
          <w:sz w:val="20"/>
          <w:szCs w:val="20"/>
          <w:lang w:eastAsia="cs-CZ"/>
        </w:rPr>
        <w:tab/>
        <w:t>D III.</w:t>
      </w:r>
      <w:r w:rsidRPr="003E02F2">
        <w:rPr>
          <w:rFonts w:ascii="Georgia" w:hAnsi="Georgia"/>
          <w:sz w:val="20"/>
          <w:szCs w:val="20"/>
          <w:lang w:eastAsia="cs-CZ"/>
        </w:rPr>
        <w:tab/>
      </w:r>
      <w:r w:rsidRPr="003E02F2">
        <w:rPr>
          <w:rFonts w:ascii="Georgia" w:hAnsi="Georgia"/>
          <w:sz w:val="20"/>
          <w:szCs w:val="20"/>
          <w:lang w:eastAsia="cs-CZ"/>
        </w:rPr>
        <w:tab/>
      </w:r>
      <w:r w:rsidRPr="003E02F2">
        <w:rPr>
          <w:rFonts w:ascii="Georgia" w:hAnsi="Georgia"/>
          <w:sz w:val="20"/>
          <w:szCs w:val="20"/>
          <w:lang w:eastAsia="cs-CZ"/>
        </w:rPr>
        <w:tab/>
        <w:t>-</w:t>
      </w:r>
      <w:r w:rsidRPr="003E02F2">
        <w:rPr>
          <w:rFonts w:ascii="Georgia" w:hAnsi="Georgia"/>
          <w:sz w:val="20"/>
          <w:szCs w:val="20"/>
          <w:lang w:eastAsia="cs-CZ"/>
        </w:rPr>
        <w:tab/>
        <w:t>krátkodobé závazky</w:t>
      </w:r>
    </w:p>
    <w:p w:rsidR="00FC65FD" w:rsidRPr="003E02F2" w:rsidRDefault="00FC65FD" w:rsidP="00FC65FD">
      <w:pPr>
        <w:rPr>
          <w:rFonts w:ascii="Georgia" w:hAnsi="Georgia"/>
          <w:lang w:eastAsia="cs-CZ"/>
        </w:rPr>
        <w:sectPr w:rsidR="00FC65FD" w:rsidRPr="003E02F2" w:rsidSect="003E02F2">
          <w:headerReference w:type="default" r:id="rId8"/>
          <w:footerReference w:type="even" r:id="rId9"/>
          <w:footerReference w:type="default" r:id="rId10"/>
          <w:pgSz w:w="11906" w:h="16838"/>
          <w:pgMar w:top="1417" w:right="1417" w:bottom="1417" w:left="1417" w:header="709" w:footer="459" w:gutter="0"/>
          <w:cols w:space="708"/>
          <w:docGrid w:linePitch="360"/>
        </w:sectPr>
      </w:pPr>
    </w:p>
    <w:p w:rsidR="00FC65FD" w:rsidRPr="003E02F2" w:rsidRDefault="00FC65FD" w:rsidP="00FC65FD">
      <w:pPr>
        <w:pStyle w:val="Nadpis5"/>
        <w:spacing w:line="240" w:lineRule="auto"/>
        <w:rPr>
          <w:rFonts w:ascii="Georgia" w:hAnsi="Georgia"/>
          <w:color w:val="244061" w:themeColor="accent1" w:themeShade="80"/>
          <w:sz w:val="20"/>
          <w:szCs w:val="20"/>
        </w:rPr>
      </w:pPr>
      <w:bookmarkStart w:id="16" w:name="_Toc331786088"/>
      <w:r w:rsidRPr="003E02F2">
        <w:rPr>
          <w:rFonts w:ascii="Georgia" w:hAnsi="Georgia"/>
          <w:color w:val="244061" w:themeColor="accent1" w:themeShade="80"/>
          <w:sz w:val="20"/>
          <w:szCs w:val="20"/>
        </w:rPr>
        <w:lastRenderedPageBreak/>
        <w:t>Tab</w:t>
      </w:r>
      <w:r w:rsidR="003E02F2" w:rsidRPr="003E02F2">
        <w:rPr>
          <w:rFonts w:ascii="Georgia" w:hAnsi="Georgia"/>
          <w:color w:val="244061" w:themeColor="accent1" w:themeShade="80"/>
          <w:sz w:val="20"/>
          <w:szCs w:val="20"/>
        </w:rPr>
        <w:t>ulka</w:t>
      </w:r>
      <w:r w:rsidRPr="003E02F2">
        <w:rPr>
          <w:rFonts w:ascii="Georgia" w:hAnsi="Georgia"/>
          <w:color w:val="244061" w:themeColor="accent1" w:themeShade="80"/>
          <w:sz w:val="20"/>
          <w:szCs w:val="20"/>
        </w:rPr>
        <w:t>: Přehled vybraných ukazatelů finanční pozice obce</w:t>
      </w:r>
      <w:bookmarkEnd w:id="16"/>
    </w:p>
    <w:tbl>
      <w:tblPr>
        <w:tblW w:w="14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5"/>
        <w:gridCol w:w="4536"/>
        <w:gridCol w:w="992"/>
        <w:gridCol w:w="1418"/>
        <w:gridCol w:w="1276"/>
        <w:gridCol w:w="1078"/>
        <w:gridCol w:w="1077"/>
        <w:gridCol w:w="1189"/>
      </w:tblGrid>
      <w:tr w:rsidR="00FC65FD" w:rsidRPr="003E02F2" w:rsidTr="003E02F2">
        <w:trPr>
          <w:trHeight w:val="642"/>
        </w:trPr>
        <w:tc>
          <w:tcPr>
            <w:tcW w:w="3085" w:type="dxa"/>
            <w:vAlign w:val="center"/>
          </w:tcPr>
          <w:p w:rsidR="00FC65FD" w:rsidRPr="003E02F2" w:rsidRDefault="00FC65FD" w:rsidP="003E02F2">
            <w:pPr>
              <w:spacing w:after="60" w:line="240" w:lineRule="auto"/>
              <w:jc w:val="left"/>
              <w:outlineLvl w:val="4"/>
              <w:rPr>
                <w:rFonts w:ascii="Georgia" w:hAnsi="Georgia"/>
                <w:color w:val="000000"/>
                <w:sz w:val="17"/>
                <w:szCs w:val="17"/>
                <w:lang w:eastAsia="cs-CZ"/>
              </w:rPr>
            </w:pPr>
          </w:p>
        </w:tc>
        <w:tc>
          <w:tcPr>
            <w:tcW w:w="4536" w:type="dxa"/>
            <w:vAlign w:val="center"/>
          </w:tcPr>
          <w:p w:rsidR="00FC65FD" w:rsidRPr="003E02F2" w:rsidRDefault="00FC65FD" w:rsidP="003E02F2">
            <w:pPr>
              <w:spacing w:line="240" w:lineRule="auto"/>
              <w:jc w:val="center"/>
              <w:rPr>
                <w:rFonts w:ascii="Georgia" w:hAnsi="Georgia"/>
                <w:b/>
                <w:bCs/>
                <w:color w:val="000000"/>
                <w:sz w:val="17"/>
                <w:szCs w:val="17"/>
                <w:lang w:eastAsia="cs-CZ"/>
              </w:rPr>
            </w:pPr>
            <w:r w:rsidRPr="003E02F2">
              <w:rPr>
                <w:rFonts w:ascii="Georgia" w:hAnsi="Georgia"/>
                <w:b/>
                <w:bCs/>
                <w:color w:val="000000"/>
                <w:sz w:val="17"/>
                <w:szCs w:val="17"/>
                <w:lang w:eastAsia="cs-CZ"/>
              </w:rPr>
              <w:t>Způsob výpočtu</w:t>
            </w:r>
          </w:p>
        </w:tc>
        <w:tc>
          <w:tcPr>
            <w:tcW w:w="992" w:type="dxa"/>
            <w:vAlign w:val="center"/>
          </w:tcPr>
          <w:p w:rsidR="00FC65FD" w:rsidRPr="003E02F2" w:rsidRDefault="00FC65FD" w:rsidP="003E02F2">
            <w:pPr>
              <w:spacing w:line="240" w:lineRule="auto"/>
              <w:jc w:val="center"/>
              <w:rPr>
                <w:rFonts w:ascii="Georgia" w:hAnsi="Georgia"/>
                <w:b/>
                <w:bCs/>
                <w:color w:val="000000"/>
                <w:sz w:val="17"/>
                <w:szCs w:val="17"/>
                <w:lang w:eastAsia="cs-CZ"/>
              </w:rPr>
            </w:pPr>
            <w:r w:rsidRPr="003E02F2">
              <w:rPr>
                <w:rFonts w:ascii="Georgia" w:hAnsi="Georgia"/>
                <w:b/>
                <w:bCs/>
                <w:color w:val="000000"/>
                <w:sz w:val="17"/>
                <w:szCs w:val="17"/>
                <w:lang w:eastAsia="cs-CZ"/>
              </w:rPr>
              <w:t>Zdroj dat</w:t>
            </w:r>
          </w:p>
        </w:tc>
        <w:tc>
          <w:tcPr>
            <w:tcW w:w="1418" w:type="dxa"/>
            <w:vAlign w:val="center"/>
          </w:tcPr>
          <w:p w:rsidR="00FC65FD" w:rsidRPr="003E02F2" w:rsidRDefault="00FC65FD" w:rsidP="003E02F2">
            <w:pPr>
              <w:spacing w:line="240" w:lineRule="auto"/>
              <w:jc w:val="center"/>
              <w:rPr>
                <w:rFonts w:ascii="Georgia" w:hAnsi="Georgia"/>
                <w:b/>
                <w:bCs/>
                <w:color w:val="000000"/>
                <w:sz w:val="17"/>
                <w:szCs w:val="17"/>
                <w:lang w:eastAsia="cs-CZ"/>
              </w:rPr>
            </w:pPr>
            <w:r w:rsidRPr="003E02F2">
              <w:rPr>
                <w:rFonts w:ascii="Georgia" w:hAnsi="Georgia"/>
                <w:b/>
                <w:bCs/>
                <w:color w:val="000000"/>
                <w:sz w:val="17"/>
                <w:szCs w:val="17"/>
                <w:lang w:eastAsia="cs-CZ"/>
              </w:rPr>
              <w:t>Významnost ukazatele</w:t>
            </w:r>
          </w:p>
        </w:tc>
        <w:tc>
          <w:tcPr>
            <w:tcW w:w="1276" w:type="dxa"/>
            <w:vAlign w:val="center"/>
          </w:tcPr>
          <w:p w:rsidR="00FC65FD" w:rsidRPr="003E02F2" w:rsidRDefault="00FC65FD" w:rsidP="003E02F2">
            <w:pPr>
              <w:spacing w:line="240" w:lineRule="auto"/>
              <w:jc w:val="center"/>
              <w:rPr>
                <w:rFonts w:ascii="Georgia" w:hAnsi="Georgia"/>
                <w:b/>
                <w:bCs/>
                <w:color w:val="000000"/>
                <w:sz w:val="16"/>
                <w:szCs w:val="16"/>
                <w:lang w:eastAsia="cs-CZ"/>
              </w:rPr>
            </w:pPr>
            <w:r w:rsidRPr="003E02F2">
              <w:rPr>
                <w:rFonts w:ascii="Georgia" w:hAnsi="Georgia"/>
                <w:b/>
                <w:bCs/>
                <w:color w:val="000000"/>
                <w:sz w:val="16"/>
                <w:szCs w:val="16"/>
                <w:lang w:eastAsia="cs-CZ"/>
              </w:rPr>
              <w:t>Omezení interpretace</w:t>
            </w:r>
          </w:p>
        </w:tc>
        <w:tc>
          <w:tcPr>
            <w:tcW w:w="1078" w:type="dxa"/>
            <w:vAlign w:val="center"/>
          </w:tcPr>
          <w:p w:rsidR="00FC65FD" w:rsidRPr="003E02F2" w:rsidRDefault="00FC65FD" w:rsidP="003E02F2">
            <w:pPr>
              <w:spacing w:line="240" w:lineRule="auto"/>
              <w:jc w:val="center"/>
              <w:rPr>
                <w:rFonts w:ascii="Georgia" w:hAnsi="Georgia"/>
                <w:b/>
                <w:bCs/>
                <w:color w:val="000000"/>
                <w:sz w:val="17"/>
                <w:szCs w:val="17"/>
                <w:lang w:eastAsia="cs-CZ"/>
              </w:rPr>
            </w:pPr>
            <w:r w:rsidRPr="003E02F2">
              <w:rPr>
                <w:rFonts w:ascii="Georgia" w:hAnsi="Georgia"/>
                <w:b/>
                <w:bCs/>
                <w:color w:val="000000"/>
                <w:sz w:val="17"/>
                <w:szCs w:val="17"/>
                <w:lang w:eastAsia="cs-CZ"/>
              </w:rPr>
              <w:t>Obtížnost sestavení</w:t>
            </w:r>
          </w:p>
        </w:tc>
        <w:tc>
          <w:tcPr>
            <w:tcW w:w="1077" w:type="dxa"/>
            <w:vAlign w:val="center"/>
          </w:tcPr>
          <w:p w:rsidR="00FC65FD" w:rsidRPr="003E02F2" w:rsidRDefault="00FC65FD" w:rsidP="003E02F2">
            <w:pPr>
              <w:spacing w:line="240" w:lineRule="auto"/>
              <w:jc w:val="center"/>
              <w:rPr>
                <w:rFonts w:ascii="Georgia" w:hAnsi="Georgia"/>
                <w:b/>
                <w:bCs/>
                <w:color w:val="000000"/>
                <w:sz w:val="17"/>
                <w:szCs w:val="17"/>
                <w:lang w:eastAsia="cs-CZ"/>
              </w:rPr>
            </w:pPr>
            <w:r w:rsidRPr="003E02F2">
              <w:rPr>
                <w:rFonts w:ascii="Georgia" w:hAnsi="Georgia"/>
                <w:b/>
                <w:bCs/>
                <w:color w:val="000000"/>
                <w:sz w:val="17"/>
                <w:szCs w:val="17"/>
                <w:lang w:eastAsia="cs-CZ"/>
              </w:rPr>
              <w:t>Možnost ovlivnit obcí</w:t>
            </w:r>
          </w:p>
        </w:tc>
        <w:tc>
          <w:tcPr>
            <w:tcW w:w="1189" w:type="dxa"/>
            <w:vAlign w:val="center"/>
          </w:tcPr>
          <w:p w:rsidR="00FC65FD" w:rsidRPr="003E02F2" w:rsidRDefault="00FC65FD" w:rsidP="003E02F2">
            <w:pPr>
              <w:spacing w:line="240" w:lineRule="auto"/>
              <w:jc w:val="center"/>
              <w:rPr>
                <w:rFonts w:ascii="Georgia" w:hAnsi="Georgia"/>
                <w:b/>
                <w:bCs/>
                <w:color w:val="000000"/>
                <w:sz w:val="17"/>
                <w:szCs w:val="17"/>
                <w:lang w:eastAsia="cs-CZ"/>
              </w:rPr>
            </w:pPr>
            <w:proofErr w:type="spellStart"/>
            <w:r w:rsidRPr="003E02F2">
              <w:rPr>
                <w:rFonts w:ascii="Georgia" w:hAnsi="Georgia"/>
                <w:b/>
                <w:bCs/>
                <w:color w:val="000000"/>
                <w:sz w:val="17"/>
                <w:szCs w:val="17"/>
                <w:lang w:eastAsia="cs-CZ"/>
              </w:rPr>
              <w:t>Využi</w:t>
            </w:r>
            <w:proofErr w:type="spellEnd"/>
            <w:r w:rsidRPr="003E02F2">
              <w:rPr>
                <w:rFonts w:ascii="Georgia" w:hAnsi="Georgia"/>
                <w:b/>
                <w:bCs/>
                <w:color w:val="000000"/>
                <w:sz w:val="17"/>
                <w:szCs w:val="17"/>
                <w:lang w:eastAsia="cs-CZ"/>
              </w:rPr>
              <w:t>-</w:t>
            </w:r>
            <w:proofErr w:type="spellStart"/>
            <w:r w:rsidRPr="003E02F2">
              <w:rPr>
                <w:rFonts w:ascii="Georgia" w:hAnsi="Georgia"/>
                <w:b/>
                <w:bCs/>
                <w:color w:val="000000"/>
                <w:sz w:val="17"/>
                <w:szCs w:val="17"/>
                <w:lang w:eastAsia="cs-CZ"/>
              </w:rPr>
              <w:t>telnost</w:t>
            </w:r>
            <w:proofErr w:type="spellEnd"/>
            <w:r w:rsidRPr="003E02F2">
              <w:rPr>
                <w:rFonts w:ascii="Georgia" w:hAnsi="Georgia"/>
                <w:i/>
                <w:color w:val="000000"/>
                <w:sz w:val="17"/>
                <w:szCs w:val="17"/>
                <w:lang w:eastAsia="cs-CZ"/>
              </w:rPr>
              <w:t>*</w:t>
            </w:r>
          </w:p>
        </w:tc>
      </w:tr>
      <w:tr w:rsidR="00FC65FD" w:rsidRPr="003E02F2" w:rsidTr="003E02F2">
        <w:trPr>
          <w:trHeight w:val="314"/>
        </w:trPr>
        <w:tc>
          <w:tcPr>
            <w:tcW w:w="3085" w:type="dxa"/>
            <w:vAlign w:val="center"/>
          </w:tcPr>
          <w:p w:rsidR="00FC65FD" w:rsidRPr="003E02F2" w:rsidRDefault="00FC65FD" w:rsidP="003E02F2">
            <w:pPr>
              <w:spacing w:before="20" w:line="312" w:lineRule="auto"/>
              <w:jc w:val="left"/>
              <w:rPr>
                <w:rFonts w:ascii="Georgia" w:hAnsi="Georgia"/>
                <w:b/>
                <w:bCs/>
                <w:color w:val="000000"/>
                <w:sz w:val="17"/>
                <w:szCs w:val="17"/>
                <w:lang w:eastAsia="cs-CZ"/>
              </w:rPr>
            </w:pPr>
            <w:r w:rsidRPr="003E02F2">
              <w:rPr>
                <w:rFonts w:ascii="Georgia" w:hAnsi="Georgia"/>
                <w:b/>
                <w:bCs/>
                <w:color w:val="000000"/>
                <w:sz w:val="17"/>
                <w:szCs w:val="17"/>
                <w:lang w:eastAsia="cs-CZ"/>
              </w:rPr>
              <w:t>Ukazatele příjmů a výdajů</w:t>
            </w:r>
          </w:p>
        </w:tc>
        <w:tc>
          <w:tcPr>
            <w:tcW w:w="4536" w:type="dxa"/>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p>
        </w:tc>
        <w:tc>
          <w:tcPr>
            <w:tcW w:w="992"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p>
        </w:tc>
        <w:tc>
          <w:tcPr>
            <w:tcW w:w="1418"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p>
        </w:tc>
        <w:tc>
          <w:tcPr>
            <w:tcW w:w="1276"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p>
        </w:tc>
        <w:tc>
          <w:tcPr>
            <w:tcW w:w="1078"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celkové příjmy na obyvatele</w:t>
            </w:r>
          </w:p>
        </w:tc>
        <w:tc>
          <w:tcPr>
            <w:tcW w:w="4536"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příjmy celkem po konsolidaci /</w:t>
            </w:r>
          </w:p>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počet obyvatel</w:t>
            </w:r>
          </w:p>
        </w:tc>
        <w:tc>
          <w:tcPr>
            <w:tcW w:w="992"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w:t>
            </w:r>
          </w:p>
        </w:tc>
        <w:tc>
          <w:tcPr>
            <w:tcW w:w="1418" w:type="dxa"/>
            <w:vAlign w:val="center"/>
          </w:tcPr>
          <w:p w:rsidR="00FC65FD" w:rsidRPr="003E02F2" w:rsidRDefault="00FC65FD" w:rsidP="003E02F2">
            <w:pPr>
              <w:spacing w:before="20" w:line="312" w:lineRule="auto"/>
              <w:jc w:val="center"/>
              <w:rPr>
                <w:rFonts w:ascii="Georgia" w:hAnsi="Georgia"/>
                <w:color w:val="000000"/>
                <w:sz w:val="17"/>
                <w:szCs w:val="17"/>
                <w:lang w:val="en-US" w:eastAsia="cs-CZ"/>
              </w:rPr>
            </w:pPr>
            <w:r w:rsidRPr="003E02F2">
              <w:rPr>
                <w:rFonts w:ascii="Georgia" w:hAnsi="Georgia"/>
                <w:color w:val="000000"/>
                <w:sz w:val="17"/>
                <w:szCs w:val="17"/>
                <w:lang w:val="en-US" w:eastAsia="cs-CZ"/>
              </w:rPr>
              <w:t>1</w:t>
            </w:r>
          </w:p>
        </w:tc>
        <w:tc>
          <w:tcPr>
            <w:tcW w:w="1276"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078"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S, H, P</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daňové příjmy na obyvatele</w:t>
            </w:r>
          </w:p>
        </w:tc>
        <w:tc>
          <w:tcPr>
            <w:tcW w:w="4536"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třída 1 /</w:t>
            </w:r>
          </w:p>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počet obyvatel</w:t>
            </w:r>
          </w:p>
        </w:tc>
        <w:tc>
          <w:tcPr>
            <w:tcW w:w="992"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w:t>
            </w:r>
          </w:p>
        </w:tc>
        <w:tc>
          <w:tcPr>
            <w:tcW w:w="1418"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276"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078"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S, H, P</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podíl daňových příjmů na celkových příjmech</w:t>
            </w:r>
          </w:p>
        </w:tc>
        <w:tc>
          <w:tcPr>
            <w:tcW w:w="4536"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třída 1 /</w:t>
            </w:r>
          </w:p>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příjmy celkem po konsolidaci</w:t>
            </w:r>
          </w:p>
        </w:tc>
        <w:tc>
          <w:tcPr>
            <w:tcW w:w="992"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w:t>
            </w:r>
          </w:p>
        </w:tc>
        <w:tc>
          <w:tcPr>
            <w:tcW w:w="1418"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276"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078"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S, H</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vlastní příjmy na obyvatele</w:t>
            </w:r>
          </w:p>
        </w:tc>
        <w:tc>
          <w:tcPr>
            <w:tcW w:w="4536"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(třída 1 + třída 2 + třída 3) /</w:t>
            </w:r>
          </w:p>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počet obyvatel</w:t>
            </w:r>
          </w:p>
        </w:tc>
        <w:tc>
          <w:tcPr>
            <w:tcW w:w="992"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w:t>
            </w:r>
          </w:p>
        </w:tc>
        <w:tc>
          <w:tcPr>
            <w:tcW w:w="1418"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276"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078"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S, H, P</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podíl vlastních příjmů na celkových příjmech</w:t>
            </w:r>
          </w:p>
        </w:tc>
        <w:tc>
          <w:tcPr>
            <w:tcW w:w="4536"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(třída 1 + třída 2 + třída 3) /</w:t>
            </w:r>
          </w:p>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příjmy celkem po konsolidaci</w:t>
            </w:r>
          </w:p>
        </w:tc>
        <w:tc>
          <w:tcPr>
            <w:tcW w:w="992"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w:t>
            </w:r>
          </w:p>
        </w:tc>
        <w:tc>
          <w:tcPr>
            <w:tcW w:w="1418"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276"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078"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S, H</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podíl vybraných vlastních příjmů na celkových příjmech</w:t>
            </w:r>
          </w:p>
        </w:tc>
        <w:tc>
          <w:tcPr>
            <w:tcW w:w="4536"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[(třída 1 – položky sdílených daní) + třída 2 + třída 3] / příjmy celkem po konsolidaci</w:t>
            </w:r>
          </w:p>
        </w:tc>
        <w:tc>
          <w:tcPr>
            <w:tcW w:w="992"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w:t>
            </w:r>
          </w:p>
        </w:tc>
        <w:tc>
          <w:tcPr>
            <w:tcW w:w="1418"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276"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078"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4</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K, H</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celkové výdaje na obyvatele</w:t>
            </w:r>
          </w:p>
        </w:tc>
        <w:tc>
          <w:tcPr>
            <w:tcW w:w="4536"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výdaje celkem po konsolidaci /</w:t>
            </w:r>
          </w:p>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počet obyvatel</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5</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 xml:space="preserve">S, P </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běžné výdaje na obyvatele</w:t>
            </w:r>
          </w:p>
        </w:tc>
        <w:tc>
          <w:tcPr>
            <w:tcW w:w="4536"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běžné výdaje po konsolidaci /</w:t>
            </w:r>
          </w:p>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počet obyvatel</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5</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K, P</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kapitálové výdaje na obyvatele</w:t>
            </w:r>
          </w:p>
        </w:tc>
        <w:tc>
          <w:tcPr>
            <w:tcW w:w="4536"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kapitálové výdaje po konsolidaci /</w:t>
            </w:r>
          </w:p>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počet obyvatel</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5</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5</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K, P</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každoročně se opakující výdaje na obyvatele</w:t>
            </w:r>
          </w:p>
        </w:tc>
        <w:tc>
          <w:tcPr>
            <w:tcW w:w="4536"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z položek rozpočtové skladby nelze jednoznačně určit</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4</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K, P</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podíl kapitálových výdajů na celkových výdajích</w:t>
            </w:r>
          </w:p>
        </w:tc>
        <w:tc>
          <w:tcPr>
            <w:tcW w:w="4536"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třída 6 / výdaje celkem po konsolidaci</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4</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S</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podíl běžných výdajů na celkových výdajích</w:t>
            </w:r>
          </w:p>
        </w:tc>
        <w:tc>
          <w:tcPr>
            <w:tcW w:w="4536"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běžné výdaje po konsolidaci /</w:t>
            </w:r>
          </w:p>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výdaje celkem po konsolidaci</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S</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podíl každoročně se opakujících výdajů na celkových výdajích</w:t>
            </w:r>
          </w:p>
        </w:tc>
        <w:tc>
          <w:tcPr>
            <w:tcW w:w="4536"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z položek rozpočtové skladby nelze jednoznačně určit</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4</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S</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podíl mandatorních výdajů na celkových výdajích</w:t>
            </w:r>
          </w:p>
        </w:tc>
        <w:tc>
          <w:tcPr>
            <w:tcW w:w="4536"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z položek rozpočtové skladby nelze jednoznačně určit</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5</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S</w:t>
            </w:r>
          </w:p>
        </w:tc>
      </w:tr>
      <w:tr w:rsidR="00FC65FD" w:rsidRPr="003E02F2" w:rsidTr="003E02F2">
        <w:trPr>
          <w:trHeight w:val="7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p>
        </w:tc>
        <w:tc>
          <w:tcPr>
            <w:tcW w:w="4536"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p>
        </w:tc>
      </w:tr>
      <w:tr w:rsidR="00FC65FD" w:rsidRPr="003E02F2" w:rsidTr="003E02F2">
        <w:trPr>
          <w:trHeight w:val="300"/>
        </w:trPr>
        <w:tc>
          <w:tcPr>
            <w:tcW w:w="3085" w:type="dxa"/>
            <w:vAlign w:val="center"/>
          </w:tcPr>
          <w:p w:rsidR="00FC65FD" w:rsidRPr="003E02F2" w:rsidRDefault="00FC65FD" w:rsidP="003E02F2">
            <w:pPr>
              <w:spacing w:line="240" w:lineRule="auto"/>
              <w:jc w:val="left"/>
              <w:rPr>
                <w:rFonts w:ascii="Georgia" w:hAnsi="Georgia"/>
                <w:color w:val="000000"/>
                <w:sz w:val="17"/>
                <w:szCs w:val="17"/>
                <w:lang w:eastAsia="cs-CZ"/>
              </w:rPr>
            </w:pPr>
          </w:p>
        </w:tc>
        <w:tc>
          <w:tcPr>
            <w:tcW w:w="4536" w:type="dxa"/>
            <w:vAlign w:val="center"/>
          </w:tcPr>
          <w:p w:rsidR="00FC65FD" w:rsidRPr="003E02F2" w:rsidRDefault="00FC65FD" w:rsidP="003E02F2">
            <w:pPr>
              <w:spacing w:line="240" w:lineRule="auto"/>
              <w:jc w:val="center"/>
              <w:rPr>
                <w:rFonts w:ascii="Georgia" w:hAnsi="Georgia"/>
                <w:color w:val="000000"/>
                <w:sz w:val="17"/>
                <w:szCs w:val="17"/>
                <w:lang w:eastAsia="cs-CZ"/>
              </w:rPr>
            </w:pPr>
            <w:r w:rsidRPr="003E02F2">
              <w:rPr>
                <w:rFonts w:ascii="Georgia" w:hAnsi="Georgia"/>
                <w:b/>
                <w:bCs/>
                <w:color w:val="000000"/>
                <w:sz w:val="17"/>
                <w:szCs w:val="17"/>
                <w:lang w:eastAsia="cs-CZ"/>
              </w:rPr>
              <w:t>Způsob výpočtu</w:t>
            </w:r>
          </w:p>
        </w:tc>
        <w:tc>
          <w:tcPr>
            <w:tcW w:w="992" w:type="dxa"/>
            <w:noWrap/>
            <w:vAlign w:val="center"/>
          </w:tcPr>
          <w:p w:rsidR="00FC65FD" w:rsidRPr="003E02F2" w:rsidRDefault="00FC65FD" w:rsidP="003E02F2">
            <w:pPr>
              <w:spacing w:line="240" w:lineRule="auto"/>
              <w:jc w:val="center"/>
              <w:rPr>
                <w:rFonts w:ascii="Georgia" w:hAnsi="Georgia"/>
                <w:color w:val="000000"/>
                <w:sz w:val="17"/>
                <w:szCs w:val="17"/>
                <w:lang w:eastAsia="cs-CZ"/>
              </w:rPr>
            </w:pPr>
            <w:r w:rsidRPr="003E02F2">
              <w:rPr>
                <w:rFonts w:ascii="Georgia" w:hAnsi="Georgia"/>
                <w:b/>
                <w:bCs/>
                <w:color w:val="000000"/>
                <w:sz w:val="17"/>
                <w:szCs w:val="17"/>
                <w:lang w:eastAsia="cs-CZ"/>
              </w:rPr>
              <w:t>Zdroj dat</w:t>
            </w:r>
          </w:p>
        </w:tc>
        <w:tc>
          <w:tcPr>
            <w:tcW w:w="1418" w:type="dxa"/>
            <w:noWrap/>
            <w:vAlign w:val="center"/>
          </w:tcPr>
          <w:p w:rsidR="00FC65FD" w:rsidRPr="003E02F2" w:rsidRDefault="00FC65FD" w:rsidP="003E02F2">
            <w:pPr>
              <w:spacing w:line="240" w:lineRule="auto"/>
              <w:jc w:val="center"/>
              <w:rPr>
                <w:rFonts w:ascii="Georgia" w:hAnsi="Georgia"/>
                <w:b/>
                <w:bCs/>
                <w:color w:val="000000"/>
                <w:sz w:val="17"/>
                <w:szCs w:val="17"/>
                <w:lang w:eastAsia="cs-CZ"/>
              </w:rPr>
            </w:pPr>
            <w:r w:rsidRPr="003E02F2">
              <w:rPr>
                <w:rFonts w:ascii="Georgia" w:hAnsi="Georgia"/>
                <w:b/>
                <w:bCs/>
                <w:color w:val="000000"/>
                <w:sz w:val="17"/>
                <w:szCs w:val="17"/>
                <w:lang w:eastAsia="cs-CZ"/>
              </w:rPr>
              <w:t>Významnost ukazatele</w:t>
            </w:r>
          </w:p>
        </w:tc>
        <w:tc>
          <w:tcPr>
            <w:tcW w:w="1276" w:type="dxa"/>
            <w:noWrap/>
            <w:vAlign w:val="center"/>
          </w:tcPr>
          <w:p w:rsidR="00FC65FD" w:rsidRPr="003E02F2" w:rsidRDefault="00FC65FD" w:rsidP="003E02F2">
            <w:pPr>
              <w:spacing w:line="240" w:lineRule="auto"/>
              <w:jc w:val="center"/>
              <w:rPr>
                <w:rFonts w:ascii="Georgia" w:hAnsi="Georgia"/>
                <w:b/>
                <w:bCs/>
                <w:color w:val="000000"/>
                <w:sz w:val="16"/>
                <w:szCs w:val="16"/>
                <w:lang w:eastAsia="cs-CZ"/>
              </w:rPr>
            </w:pPr>
            <w:r w:rsidRPr="003E02F2">
              <w:rPr>
                <w:rFonts w:ascii="Georgia" w:hAnsi="Georgia"/>
                <w:b/>
                <w:bCs/>
                <w:color w:val="000000"/>
                <w:sz w:val="16"/>
                <w:szCs w:val="16"/>
                <w:lang w:eastAsia="cs-CZ"/>
              </w:rPr>
              <w:t>Omezení interpretace</w:t>
            </w:r>
          </w:p>
        </w:tc>
        <w:tc>
          <w:tcPr>
            <w:tcW w:w="1078" w:type="dxa"/>
            <w:noWrap/>
            <w:vAlign w:val="center"/>
          </w:tcPr>
          <w:p w:rsidR="00FC65FD" w:rsidRPr="003E02F2" w:rsidRDefault="00FC65FD" w:rsidP="003E02F2">
            <w:pPr>
              <w:spacing w:line="240" w:lineRule="auto"/>
              <w:jc w:val="center"/>
              <w:rPr>
                <w:rFonts w:ascii="Georgia" w:hAnsi="Georgia"/>
                <w:b/>
                <w:bCs/>
                <w:color w:val="000000"/>
                <w:sz w:val="17"/>
                <w:szCs w:val="17"/>
                <w:lang w:eastAsia="cs-CZ"/>
              </w:rPr>
            </w:pPr>
            <w:r w:rsidRPr="003E02F2">
              <w:rPr>
                <w:rFonts w:ascii="Georgia" w:hAnsi="Georgia"/>
                <w:b/>
                <w:bCs/>
                <w:color w:val="000000"/>
                <w:sz w:val="17"/>
                <w:szCs w:val="17"/>
                <w:lang w:eastAsia="cs-CZ"/>
              </w:rPr>
              <w:t>Obtížnost sestavení</w:t>
            </w:r>
          </w:p>
        </w:tc>
        <w:tc>
          <w:tcPr>
            <w:tcW w:w="1077" w:type="dxa"/>
            <w:vAlign w:val="center"/>
          </w:tcPr>
          <w:p w:rsidR="00FC65FD" w:rsidRPr="003E02F2" w:rsidRDefault="00FC65FD" w:rsidP="003E02F2">
            <w:pPr>
              <w:spacing w:line="240" w:lineRule="auto"/>
              <w:jc w:val="center"/>
              <w:rPr>
                <w:rFonts w:ascii="Georgia" w:hAnsi="Georgia"/>
                <w:b/>
                <w:bCs/>
                <w:color w:val="000000"/>
                <w:sz w:val="17"/>
                <w:szCs w:val="17"/>
                <w:lang w:eastAsia="cs-CZ"/>
              </w:rPr>
            </w:pPr>
            <w:r w:rsidRPr="003E02F2">
              <w:rPr>
                <w:rFonts w:ascii="Georgia" w:hAnsi="Georgia"/>
                <w:b/>
                <w:bCs/>
                <w:color w:val="000000"/>
                <w:sz w:val="17"/>
                <w:szCs w:val="17"/>
                <w:lang w:eastAsia="cs-CZ"/>
              </w:rPr>
              <w:t>Možnost ovlivnit obcí</w:t>
            </w:r>
          </w:p>
        </w:tc>
        <w:tc>
          <w:tcPr>
            <w:tcW w:w="1189" w:type="dxa"/>
            <w:vAlign w:val="center"/>
          </w:tcPr>
          <w:p w:rsidR="00FC65FD" w:rsidRPr="003E02F2" w:rsidRDefault="00FC65FD" w:rsidP="003E02F2">
            <w:pPr>
              <w:spacing w:line="240" w:lineRule="auto"/>
              <w:jc w:val="center"/>
              <w:rPr>
                <w:rFonts w:ascii="Georgia" w:hAnsi="Georgia"/>
                <w:b/>
                <w:bCs/>
                <w:color w:val="000000"/>
                <w:sz w:val="17"/>
                <w:szCs w:val="17"/>
                <w:lang w:eastAsia="cs-CZ"/>
              </w:rPr>
            </w:pPr>
            <w:proofErr w:type="spellStart"/>
            <w:r w:rsidRPr="003E02F2">
              <w:rPr>
                <w:rFonts w:ascii="Georgia" w:hAnsi="Georgia"/>
                <w:b/>
                <w:bCs/>
                <w:color w:val="000000"/>
                <w:sz w:val="17"/>
                <w:szCs w:val="17"/>
                <w:lang w:eastAsia="cs-CZ"/>
              </w:rPr>
              <w:t>Využi</w:t>
            </w:r>
            <w:proofErr w:type="spellEnd"/>
            <w:r w:rsidRPr="003E02F2">
              <w:rPr>
                <w:rFonts w:ascii="Georgia" w:hAnsi="Georgia"/>
                <w:b/>
                <w:bCs/>
                <w:color w:val="000000"/>
                <w:sz w:val="17"/>
                <w:szCs w:val="17"/>
                <w:lang w:eastAsia="cs-CZ"/>
              </w:rPr>
              <w:t>-</w:t>
            </w:r>
            <w:proofErr w:type="spellStart"/>
            <w:r w:rsidRPr="003E02F2">
              <w:rPr>
                <w:rFonts w:ascii="Georgia" w:hAnsi="Georgia"/>
                <w:b/>
                <w:bCs/>
                <w:color w:val="000000"/>
                <w:sz w:val="17"/>
                <w:szCs w:val="17"/>
                <w:lang w:eastAsia="cs-CZ"/>
              </w:rPr>
              <w:t>telnost</w:t>
            </w:r>
            <w:proofErr w:type="spellEnd"/>
            <w:r w:rsidRPr="003E02F2">
              <w:rPr>
                <w:rFonts w:ascii="Georgia" w:hAnsi="Georgia"/>
                <w:i/>
                <w:color w:val="000000"/>
                <w:sz w:val="17"/>
                <w:szCs w:val="17"/>
                <w:lang w:eastAsia="cs-CZ"/>
              </w:rPr>
              <w:t>*</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podíl výdajů plynoucích do vybrané oblasti na celkových výdajích</w:t>
            </w:r>
          </w:p>
        </w:tc>
        <w:tc>
          <w:tcPr>
            <w:tcW w:w="4536"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Výdaje dle odvětvového členění rozpočtové skladby / zvolený druh výdajů celkem</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4</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5</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S, H, P</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podíl běžných výdajů na správu na celkových běžných výdajích</w:t>
            </w:r>
          </w:p>
        </w:tc>
        <w:tc>
          <w:tcPr>
            <w:tcW w:w="4536"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položky tř. 5 s § 6171 /</w:t>
            </w:r>
          </w:p>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běžné výdaje po konsolidaci</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4</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4</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S</w:t>
            </w:r>
          </w:p>
        </w:tc>
      </w:tr>
      <w:tr w:rsidR="00FC65FD" w:rsidRPr="003E02F2" w:rsidTr="003E02F2">
        <w:trPr>
          <w:trHeight w:val="305"/>
        </w:trPr>
        <w:tc>
          <w:tcPr>
            <w:tcW w:w="3085" w:type="dxa"/>
            <w:vAlign w:val="center"/>
          </w:tcPr>
          <w:p w:rsidR="00FC65FD" w:rsidRPr="003E02F2" w:rsidRDefault="00FC65FD" w:rsidP="003E02F2">
            <w:pPr>
              <w:spacing w:before="20" w:line="312" w:lineRule="auto"/>
              <w:jc w:val="left"/>
              <w:rPr>
                <w:rFonts w:ascii="Georgia" w:hAnsi="Georgia"/>
                <w:b/>
                <w:bCs/>
                <w:color w:val="000000"/>
                <w:sz w:val="17"/>
                <w:szCs w:val="17"/>
                <w:lang w:eastAsia="cs-CZ"/>
              </w:rPr>
            </w:pPr>
            <w:r w:rsidRPr="003E02F2">
              <w:rPr>
                <w:rFonts w:ascii="Georgia" w:hAnsi="Georgia"/>
                <w:b/>
                <w:bCs/>
                <w:color w:val="000000"/>
                <w:sz w:val="17"/>
                <w:szCs w:val="17"/>
                <w:lang w:eastAsia="cs-CZ"/>
              </w:rPr>
              <w:t>Ukazatele salda rozpočtu</w:t>
            </w:r>
          </w:p>
        </w:tc>
        <w:tc>
          <w:tcPr>
            <w:tcW w:w="4536" w:type="dxa"/>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p>
        </w:tc>
        <w:tc>
          <w:tcPr>
            <w:tcW w:w="992" w:type="dxa"/>
            <w:noWrap/>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p>
        </w:tc>
        <w:tc>
          <w:tcPr>
            <w:tcW w:w="1418" w:type="dxa"/>
            <w:noWrap/>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p>
        </w:tc>
        <w:tc>
          <w:tcPr>
            <w:tcW w:w="1276" w:type="dxa"/>
            <w:noWrap/>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p>
        </w:tc>
        <w:tc>
          <w:tcPr>
            <w:tcW w:w="1078" w:type="dxa"/>
            <w:noWrap/>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p>
        </w:tc>
        <w:tc>
          <w:tcPr>
            <w:tcW w:w="1077" w:type="dxa"/>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p>
        </w:tc>
        <w:tc>
          <w:tcPr>
            <w:tcW w:w="1189" w:type="dxa"/>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p>
        </w:tc>
      </w:tr>
      <w:tr w:rsidR="00FC65FD" w:rsidRPr="003E02F2" w:rsidTr="003E02F2">
        <w:trPr>
          <w:trHeight w:val="313"/>
        </w:trPr>
        <w:tc>
          <w:tcPr>
            <w:tcW w:w="3085" w:type="dxa"/>
            <w:vAlign w:val="center"/>
          </w:tcPr>
          <w:p w:rsidR="00FC65FD" w:rsidRPr="003E02F2" w:rsidRDefault="00FC65FD" w:rsidP="003E02F2">
            <w:pPr>
              <w:spacing w:before="20" w:line="312" w:lineRule="auto"/>
              <w:jc w:val="left"/>
              <w:rPr>
                <w:rFonts w:ascii="Georgia" w:hAnsi="Georgia"/>
                <w:b/>
                <w:bCs/>
                <w:color w:val="000000"/>
                <w:sz w:val="17"/>
                <w:szCs w:val="17"/>
                <w:lang w:eastAsia="cs-CZ"/>
              </w:rPr>
            </w:pPr>
            <w:r w:rsidRPr="003E02F2">
              <w:rPr>
                <w:rFonts w:ascii="Georgia" w:hAnsi="Georgia"/>
                <w:color w:val="000000"/>
                <w:sz w:val="17"/>
                <w:szCs w:val="17"/>
                <w:lang w:eastAsia="cs-CZ"/>
              </w:rPr>
              <w:t>saldo rozpočtu na obyvatele</w:t>
            </w:r>
          </w:p>
        </w:tc>
        <w:tc>
          <w:tcPr>
            <w:tcW w:w="4536" w:type="dxa"/>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r w:rsidRPr="003E02F2">
              <w:rPr>
                <w:rFonts w:ascii="Georgia" w:hAnsi="Georgia"/>
                <w:color w:val="000000"/>
                <w:sz w:val="17"/>
                <w:szCs w:val="17"/>
                <w:lang w:eastAsia="cs-CZ"/>
              </w:rPr>
              <w:t>(příjmy celkem – výdaje celkem) / počet obyvatel</w:t>
            </w:r>
          </w:p>
        </w:tc>
        <w:tc>
          <w:tcPr>
            <w:tcW w:w="992" w:type="dxa"/>
            <w:noWrap/>
            <w:vAlign w:val="center"/>
          </w:tcPr>
          <w:p w:rsidR="00FC65FD" w:rsidRPr="003E02F2" w:rsidRDefault="00FC65FD" w:rsidP="003E02F2">
            <w:pPr>
              <w:spacing w:before="20" w:line="312" w:lineRule="auto"/>
              <w:jc w:val="center"/>
              <w:rPr>
                <w:rFonts w:ascii="Georgia" w:hAnsi="Georgia"/>
                <w:bCs/>
                <w:color w:val="000000"/>
                <w:sz w:val="17"/>
                <w:szCs w:val="17"/>
                <w:lang w:eastAsia="cs-CZ"/>
              </w:rPr>
            </w:pPr>
            <w:r w:rsidRPr="003E02F2">
              <w:rPr>
                <w:rFonts w:ascii="Georgia" w:hAnsi="Georgia"/>
                <w:bCs/>
                <w:color w:val="000000"/>
                <w:sz w:val="17"/>
                <w:szCs w:val="17"/>
                <w:lang w:eastAsia="cs-CZ"/>
              </w:rPr>
              <w:t>rozpočet</w:t>
            </w:r>
          </w:p>
        </w:tc>
        <w:tc>
          <w:tcPr>
            <w:tcW w:w="1418" w:type="dxa"/>
            <w:noWrap/>
            <w:vAlign w:val="center"/>
          </w:tcPr>
          <w:p w:rsidR="00FC65FD" w:rsidRPr="003E02F2" w:rsidRDefault="00FC65FD" w:rsidP="003E02F2">
            <w:pPr>
              <w:spacing w:before="20" w:line="312" w:lineRule="auto"/>
              <w:jc w:val="center"/>
              <w:rPr>
                <w:rFonts w:ascii="Georgia" w:hAnsi="Georgia"/>
                <w:bCs/>
                <w:color w:val="000000"/>
                <w:sz w:val="17"/>
                <w:szCs w:val="17"/>
                <w:lang w:eastAsia="cs-CZ"/>
              </w:rPr>
            </w:pPr>
            <w:r w:rsidRPr="003E02F2">
              <w:rPr>
                <w:rFonts w:ascii="Georgia" w:hAnsi="Georgia"/>
                <w:bCs/>
                <w:color w:val="000000"/>
                <w:sz w:val="17"/>
                <w:szCs w:val="17"/>
                <w:lang w:eastAsia="cs-CZ"/>
              </w:rPr>
              <w:t>3</w:t>
            </w:r>
          </w:p>
        </w:tc>
        <w:tc>
          <w:tcPr>
            <w:tcW w:w="1276" w:type="dxa"/>
            <w:noWrap/>
            <w:vAlign w:val="center"/>
          </w:tcPr>
          <w:p w:rsidR="00FC65FD" w:rsidRPr="003E02F2" w:rsidRDefault="00FC65FD" w:rsidP="003E02F2">
            <w:pPr>
              <w:spacing w:before="20" w:line="312" w:lineRule="auto"/>
              <w:jc w:val="center"/>
              <w:rPr>
                <w:rFonts w:ascii="Georgia" w:hAnsi="Georgia"/>
                <w:bCs/>
                <w:color w:val="000000"/>
                <w:sz w:val="17"/>
                <w:szCs w:val="17"/>
                <w:lang w:eastAsia="cs-CZ"/>
              </w:rPr>
            </w:pPr>
            <w:r w:rsidRPr="003E02F2">
              <w:rPr>
                <w:rFonts w:ascii="Georgia" w:hAnsi="Georgia"/>
                <w:bCs/>
                <w:color w:val="000000"/>
                <w:sz w:val="17"/>
                <w:szCs w:val="17"/>
                <w:lang w:eastAsia="cs-CZ"/>
              </w:rPr>
              <w:t>5</w:t>
            </w:r>
          </w:p>
        </w:tc>
        <w:tc>
          <w:tcPr>
            <w:tcW w:w="1078" w:type="dxa"/>
            <w:noWrap/>
            <w:vAlign w:val="center"/>
          </w:tcPr>
          <w:p w:rsidR="00FC65FD" w:rsidRPr="003E02F2" w:rsidRDefault="00FC65FD" w:rsidP="003E02F2">
            <w:pPr>
              <w:spacing w:before="20" w:line="312" w:lineRule="auto"/>
              <w:jc w:val="center"/>
              <w:rPr>
                <w:rFonts w:ascii="Georgia" w:hAnsi="Georgia"/>
                <w:bCs/>
                <w:color w:val="000000"/>
                <w:sz w:val="17"/>
                <w:szCs w:val="17"/>
                <w:lang w:eastAsia="cs-CZ"/>
              </w:rPr>
            </w:pPr>
            <w:r w:rsidRPr="003E02F2">
              <w:rPr>
                <w:rFonts w:ascii="Georgia" w:hAnsi="Georgia"/>
                <w:bCs/>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bCs/>
                <w:color w:val="000000"/>
                <w:sz w:val="17"/>
                <w:szCs w:val="17"/>
                <w:lang w:eastAsia="cs-CZ"/>
              </w:rPr>
            </w:pPr>
            <w:r w:rsidRPr="003E02F2">
              <w:rPr>
                <w:rFonts w:ascii="Georgia" w:hAnsi="Georgia"/>
                <w:color w:val="000000"/>
                <w:sz w:val="17"/>
                <w:szCs w:val="17"/>
                <w:lang w:eastAsia="cs-CZ"/>
              </w:rPr>
              <w:t>4</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S, P</w:t>
            </w:r>
          </w:p>
        </w:tc>
      </w:tr>
      <w:tr w:rsidR="00FC65FD" w:rsidRPr="003E02F2" w:rsidTr="003E02F2">
        <w:trPr>
          <w:trHeight w:val="498"/>
        </w:trPr>
        <w:tc>
          <w:tcPr>
            <w:tcW w:w="3085" w:type="dxa"/>
            <w:vAlign w:val="center"/>
          </w:tcPr>
          <w:p w:rsidR="00FC65FD" w:rsidRPr="003E02F2" w:rsidRDefault="00FC65FD" w:rsidP="003E02F2">
            <w:pPr>
              <w:spacing w:before="20" w:line="312" w:lineRule="auto"/>
              <w:jc w:val="left"/>
              <w:rPr>
                <w:rFonts w:ascii="Georgia" w:hAnsi="Georgia"/>
                <w:b/>
                <w:color w:val="000000"/>
                <w:sz w:val="17"/>
                <w:szCs w:val="17"/>
                <w:lang w:eastAsia="cs-CZ"/>
              </w:rPr>
            </w:pPr>
            <w:r w:rsidRPr="003E02F2">
              <w:rPr>
                <w:rFonts w:ascii="Georgia" w:hAnsi="Georgia"/>
                <w:color w:val="000000"/>
                <w:sz w:val="17"/>
                <w:szCs w:val="17"/>
                <w:lang w:eastAsia="cs-CZ"/>
              </w:rPr>
              <w:t>podíl salda rozpočtu na celkových příjmech</w:t>
            </w:r>
          </w:p>
        </w:tc>
        <w:tc>
          <w:tcPr>
            <w:tcW w:w="4536" w:type="dxa"/>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r w:rsidRPr="003E02F2">
              <w:rPr>
                <w:rFonts w:ascii="Georgia" w:hAnsi="Georgia"/>
                <w:color w:val="000000"/>
                <w:sz w:val="17"/>
                <w:szCs w:val="17"/>
                <w:lang w:eastAsia="cs-CZ"/>
              </w:rPr>
              <w:t>(příjmy celkem – výdaje celkem) / příjmy celkem</w:t>
            </w:r>
          </w:p>
        </w:tc>
        <w:tc>
          <w:tcPr>
            <w:tcW w:w="992" w:type="dxa"/>
            <w:noWrap/>
            <w:vAlign w:val="center"/>
          </w:tcPr>
          <w:p w:rsidR="00FC65FD" w:rsidRPr="003E02F2" w:rsidRDefault="00FC65FD" w:rsidP="003E02F2">
            <w:pPr>
              <w:spacing w:before="20" w:line="312" w:lineRule="auto"/>
              <w:jc w:val="center"/>
              <w:rPr>
                <w:rFonts w:ascii="Georgia" w:hAnsi="Georgia"/>
                <w:bCs/>
                <w:color w:val="000000"/>
                <w:sz w:val="17"/>
                <w:szCs w:val="17"/>
                <w:lang w:eastAsia="cs-CZ"/>
              </w:rPr>
            </w:pPr>
            <w:r w:rsidRPr="003E02F2">
              <w:rPr>
                <w:rFonts w:ascii="Georgia" w:hAnsi="Georgia"/>
                <w:bCs/>
                <w:color w:val="000000"/>
                <w:sz w:val="17"/>
                <w:szCs w:val="17"/>
                <w:lang w:eastAsia="cs-CZ"/>
              </w:rPr>
              <w:t>rozpočet</w:t>
            </w:r>
          </w:p>
        </w:tc>
        <w:tc>
          <w:tcPr>
            <w:tcW w:w="1418" w:type="dxa"/>
            <w:noWrap/>
            <w:vAlign w:val="center"/>
          </w:tcPr>
          <w:p w:rsidR="00FC65FD" w:rsidRPr="003E02F2" w:rsidRDefault="00FC65FD" w:rsidP="003E02F2">
            <w:pPr>
              <w:spacing w:before="20" w:line="312" w:lineRule="auto"/>
              <w:jc w:val="center"/>
              <w:rPr>
                <w:rFonts w:ascii="Georgia" w:hAnsi="Georgia"/>
                <w:bCs/>
                <w:color w:val="000000"/>
                <w:sz w:val="17"/>
                <w:szCs w:val="17"/>
                <w:lang w:eastAsia="cs-CZ"/>
              </w:rPr>
            </w:pPr>
            <w:r w:rsidRPr="003E02F2">
              <w:rPr>
                <w:rFonts w:ascii="Georgia" w:hAnsi="Georgia"/>
                <w:bCs/>
                <w:color w:val="000000"/>
                <w:sz w:val="17"/>
                <w:szCs w:val="17"/>
                <w:lang w:eastAsia="cs-CZ"/>
              </w:rPr>
              <w:t>3</w:t>
            </w:r>
          </w:p>
        </w:tc>
        <w:tc>
          <w:tcPr>
            <w:tcW w:w="1276" w:type="dxa"/>
            <w:noWrap/>
            <w:vAlign w:val="center"/>
          </w:tcPr>
          <w:p w:rsidR="00FC65FD" w:rsidRPr="003E02F2" w:rsidRDefault="00FC65FD" w:rsidP="003E02F2">
            <w:pPr>
              <w:spacing w:before="20" w:line="312" w:lineRule="auto"/>
              <w:jc w:val="center"/>
              <w:rPr>
                <w:rFonts w:ascii="Georgia" w:hAnsi="Georgia"/>
                <w:bCs/>
                <w:color w:val="000000"/>
                <w:sz w:val="17"/>
                <w:szCs w:val="17"/>
                <w:lang w:eastAsia="cs-CZ"/>
              </w:rPr>
            </w:pPr>
            <w:r w:rsidRPr="003E02F2">
              <w:rPr>
                <w:rFonts w:ascii="Georgia" w:hAnsi="Georgia"/>
                <w:bCs/>
                <w:color w:val="000000"/>
                <w:sz w:val="17"/>
                <w:szCs w:val="17"/>
                <w:lang w:eastAsia="cs-CZ"/>
              </w:rPr>
              <w:t>5</w:t>
            </w:r>
          </w:p>
        </w:tc>
        <w:tc>
          <w:tcPr>
            <w:tcW w:w="1078" w:type="dxa"/>
            <w:noWrap/>
            <w:vAlign w:val="center"/>
          </w:tcPr>
          <w:p w:rsidR="00FC65FD" w:rsidRPr="003E02F2" w:rsidRDefault="00FC65FD" w:rsidP="003E02F2">
            <w:pPr>
              <w:spacing w:before="20" w:line="312" w:lineRule="auto"/>
              <w:jc w:val="center"/>
              <w:rPr>
                <w:rFonts w:ascii="Georgia" w:hAnsi="Georgia"/>
                <w:bCs/>
                <w:color w:val="000000"/>
                <w:sz w:val="17"/>
                <w:szCs w:val="17"/>
                <w:lang w:eastAsia="cs-CZ"/>
              </w:rPr>
            </w:pPr>
            <w:r w:rsidRPr="003E02F2">
              <w:rPr>
                <w:rFonts w:ascii="Georgia" w:hAnsi="Georgia"/>
                <w:bCs/>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bCs/>
                <w:color w:val="000000"/>
                <w:sz w:val="17"/>
                <w:szCs w:val="17"/>
                <w:lang w:eastAsia="cs-CZ"/>
              </w:rPr>
            </w:pPr>
            <w:r w:rsidRPr="003E02F2">
              <w:rPr>
                <w:rFonts w:ascii="Georgia" w:hAnsi="Georgia"/>
                <w:color w:val="000000"/>
                <w:sz w:val="17"/>
                <w:szCs w:val="17"/>
                <w:lang w:eastAsia="cs-CZ"/>
              </w:rPr>
              <w:t>4</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S, H, P</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saldo běžného rozpočtu na obyvatele</w:t>
            </w:r>
          </w:p>
        </w:tc>
        <w:tc>
          <w:tcPr>
            <w:tcW w:w="4536"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(třída 1 + třída 2 + položky 41xx - třída 5) / počet obyvatel</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K, H, P</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podíl salda běžného rozpočtu na běžných příjmech</w:t>
            </w:r>
          </w:p>
        </w:tc>
        <w:tc>
          <w:tcPr>
            <w:tcW w:w="4536"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bookmarkStart w:id="17" w:name="OLE_LINK1"/>
            <w:r w:rsidRPr="003E02F2">
              <w:rPr>
                <w:rFonts w:ascii="Georgia" w:hAnsi="Georgia"/>
                <w:color w:val="000000"/>
                <w:sz w:val="17"/>
                <w:szCs w:val="17"/>
                <w:lang w:eastAsia="cs-CZ"/>
              </w:rPr>
              <w:t>(třída 1 + třída 2 + položky 41xx - třída 5) / (třída 1 + třída 2 + položky 41xx po konsolidaci)</w:t>
            </w:r>
            <w:bookmarkEnd w:id="17"/>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K, H, P</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podíl běžných příjmů a běžných výdajů</w:t>
            </w:r>
          </w:p>
        </w:tc>
        <w:tc>
          <w:tcPr>
            <w:tcW w:w="4536"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(třída 1 + třída 2 + položky 41xx po konsolidaci) / třída 5 po konsolidaci</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K, H, P</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ukazatel samofinancování běžných výdajů vlastními příjmy</w:t>
            </w:r>
          </w:p>
        </w:tc>
        <w:tc>
          <w:tcPr>
            <w:tcW w:w="4536"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běžné výdaje po konsolidaci /</w:t>
            </w:r>
          </w:p>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(třída 1 + třída 2 + třída 3)</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5</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H, P</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ukazatel samofinancování kapitálových výdajů</w:t>
            </w:r>
          </w:p>
        </w:tc>
        <w:tc>
          <w:tcPr>
            <w:tcW w:w="4536"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 (třída 1 + třída 2 + položky 41xx - třída 5) + třída 3] / třída 6</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4</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4</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H, P</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podíl kapitálových výdajů a kapitálových příjmů</w:t>
            </w:r>
          </w:p>
        </w:tc>
        <w:tc>
          <w:tcPr>
            <w:tcW w:w="4536"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třída 3 / třída 6</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5</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5</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5</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H, P</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ukazatel krytí kapitálových výdajů investičními transfery</w:t>
            </w:r>
          </w:p>
        </w:tc>
        <w:tc>
          <w:tcPr>
            <w:tcW w:w="4536"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položky 42xx / třída 6</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nelze obecně určit</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H, P</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podíl kapitálových výdajů na saldu běžného rozpočtu</w:t>
            </w:r>
          </w:p>
        </w:tc>
        <w:tc>
          <w:tcPr>
            <w:tcW w:w="453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třída 6 / (třída 1 + třída 2 + položky 41xx - třída 5)</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5</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H, P</w:t>
            </w:r>
          </w:p>
        </w:tc>
      </w:tr>
      <w:tr w:rsidR="00FC65FD" w:rsidRPr="003E02F2" w:rsidTr="003E02F2">
        <w:trPr>
          <w:trHeight w:val="357"/>
        </w:trPr>
        <w:tc>
          <w:tcPr>
            <w:tcW w:w="3085" w:type="dxa"/>
            <w:vAlign w:val="center"/>
          </w:tcPr>
          <w:p w:rsidR="00FC65FD" w:rsidRPr="003E02F2" w:rsidRDefault="00FC65FD" w:rsidP="003E02F2">
            <w:pPr>
              <w:spacing w:before="20" w:line="312" w:lineRule="auto"/>
              <w:jc w:val="left"/>
              <w:rPr>
                <w:rFonts w:ascii="Georgia" w:hAnsi="Georgia"/>
                <w:b/>
                <w:bCs/>
                <w:color w:val="000000"/>
                <w:sz w:val="17"/>
                <w:szCs w:val="17"/>
                <w:lang w:eastAsia="cs-CZ"/>
              </w:rPr>
            </w:pPr>
            <w:r w:rsidRPr="003E02F2">
              <w:rPr>
                <w:rFonts w:ascii="Georgia" w:hAnsi="Georgia"/>
                <w:b/>
                <w:bCs/>
                <w:color w:val="000000"/>
                <w:sz w:val="17"/>
                <w:szCs w:val="17"/>
                <w:lang w:eastAsia="cs-CZ"/>
              </w:rPr>
              <w:t>Ukazatele zadluženosti</w:t>
            </w:r>
          </w:p>
        </w:tc>
        <w:tc>
          <w:tcPr>
            <w:tcW w:w="4536" w:type="dxa"/>
            <w:noWrap/>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p>
        </w:tc>
        <w:tc>
          <w:tcPr>
            <w:tcW w:w="992" w:type="dxa"/>
            <w:noWrap/>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p>
        </w:tc>
        <w:tc>
          <w:tcPr>
            <w:tcW w:w="1418" w:type="dxa"/>
            <w:noWrap/>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p>
        </w:tc>
        <w:tc>
          <w:tcPr>
            <w:tcW w:w="1276" w:type="dxa"/>
            <w:noWrap/>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p>
        </w:tc>
        <w:tc>
          <w:tcPr>
            <w:tcW w:w="1078" w:type="dxa"/>
            <w:noWrap/>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p>
        </w:tc>
        <w:tc>
          <w:tcPr>
            <w:tcW w:w="1077" w:type="dxa"/>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p>
        </w:tc>
        <w:tc>
          <w:tcPr>
            <w:tcW w:w="1189" w:type="dxa"/>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výše dluhu na obyvatele</w:t>
            </w:r>
          </w:p>
        </w:tc>
        <w:tc>
          <w:tcPr>
            <w:tcW w:w="453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(účty 281 + 282 + 283 + 289 + 322 + 326 + 451 + 452 + 453 + 459) / počet obyvatel</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rozvaha</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4</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5</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K</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výše dluhu k dlouhodobému majetku</w:t>
            </w:r>
          </w:p>
        </w:tc>
        <w:tc>
          <w:tcPr>
            <w:tcW w:w="453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(účty 281 + 282 + 283 + 289 + 322 + 326 + 451 + 452 + 453 + 459) /</w:t>
            </w:r>
          </w:p>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položka rozvahy A – stála aktiva</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rozvaha</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5</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K, H</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p>
        </w:tc>
        <w:tc>
          <w:tcPr>
            <w:tcW w:w="453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p>
        </w:tc>
        <w:tc>
          <w:tcPr>
            <w:tcW w:w="4536" w:type="dxa"/>
            <w:noWrap/>
            <w:vAlign w:val="center"/>
          </w:tcPr>
          <w:p w:rsidR="00FC65FD" w:rsidRPr="003E02F2" w:rsidRDefault="00FC65FD" w:rsidP="003E02F2">
            <w:pPr>
              <w:spacing w:line="240" w:lineRule="auto"/>
              <w:jc w:val="center"/>
              <w:rPr>
                <w:rFonts w:ascii="Georgia" w:hAnsi="Georgia"/>
                <w:color w:val="000000"/>
                <w:sz w:val="17"/>
                <w:szCs w:val="17"/>
                <w:lang w:eastAsia="cs-CZ"/>
              </w:rPr>
            </w:pPr>
            <w:r w:rsidRPr="003E02F2">
              <w:rPr>
                <w:rFonts w:ascii="Georgia" w:hAnsi="Georgia"/>
                <w:b/>
                <w:bCs/>
                <w:color w:val="000000"/>
                <w:sz w:val="17"/>
                <w:szCs w:val="17"/>
                <w:lang w:eastAsia="cs-CZ"/>
              </w:rPr>
              <w:t>Způsob výpočtu</w:t>
            </w:r>
          </w:p>
        </w:tc>
        <w:tc>
          <w:tcPr>
            <w:tcW w:w="992" w:type="dxa"/>
            <w:noWrap/>
            <w:vAlign w:val="center"/>
          </w:tcPr>
          <w:p w:rsidR="00FC65FD" w:rsidRPr="003E02F2" w:rsidRDefault="00FC65FD" w:rsidP="003E02F2">
            <w:pPr>
              <w:spacing w:line="240" w:lineRule="auto"/>
              <w:jc w:val="center"/>
              <w:rPr>
                <w:rFonts w:ascii="Georgia" w:hAnsi="Georgia"/>
                <w:color w:val="000000"/>
                <w:sz w:val="17"/>
                <w:szCs w:val="17"/>
                <w:lang w:eastAsia="cs-CZ"/>
              </w:rPr>
            </w:pPr>
            <w:r w:rsidRPr="003E02F2">
              <w:rPr>
                <w:rFonts w:ascii="Georgia" w:hAnsi="Georgia"/>
                <w:b/>
                <w:bCs/>
                <w:color w:val="000000"/>
                <w:sz w:val="17"/>
                <w:szCs w:val="17"/>
                <w:lang w:eastAsia="cs-CZ"/>
              </w:rPr>
              <w:t>Zdroj dat</w:t>
            </w:r>
          </w:p>
        </w:tc>
        <w:tc>
          <w:tcPr>
            <w:tcW w:w="1418" w:type="dxa"/>
            <w:noWrap/>
            <w:vAlign w:val="center"/>
          </w:tcPr>
          <w:p w:rsidR="00FC65FD" w:rsidRPr="003E02F2" w:rsidRDefault="00FC65FD" w:rsidP="003E02F2">
            <w:pPr>
              <w:spacing w:line="240" w:lineRule="auto"/>
              <w:jc w:val="center"/>
              <w:rPr>
                <w:rFonts w:ascii="Georgia" w:hAnsi="Georgia"/>
                <w:b/>
                <w:bCs/>
                <w:color w:val="000000"/>
                <w:sz w:val="17"/>
                <w:szCs w:val="17"/>
                <w:lang w:eastAsia="cs-CZ"/>
              </w:rPr>
            </w:pPr>
            <w:r w:rsidRPr="003E02F2">
              <w:rPr>
                <w:rFonts w:ascii="Georgia" w:hAnsi="Georgia"/>
                <w:b/>
                <w:bCs/>
                <w:color w:val="000000"/>
                <w:sz w:val="17"/>
                <w:szCs w:val="17"/>
                <w:lang w:eastAsia="cs-CZ"/>
              </w:rPr>
              <w:t>Významnost ukazatele</w:t>
            </w:r>
          </w:p>
        </w:tc>
        <w:tc>
          <w:tcPr>
            <w:tcW w:w="1276" w:type="dxa"/>
            <w:noWrap/>
            <w:vAlign w:val="center"/>
          </w:tcPr>
          <w:p w:rsidR="00FC65FD" w:rsidRPr="003E02F2" w:rsidRDefault="00FC65FD" w:rsidP="003E02F2">
            <w:pPr>
              <w:spacing w:line="240" w:lineRule="auto"/>
              <w:jc w:val="center"/>
              <w:rPr>
                <w:rFonts w:ascii="Georgia" w:hAnsi="Georgia"/>
                <w:b/>
                <w:bCs/>
                <w:color w:val="000000"/>
                <w:sz w:val="17"/>
                <w:szCs w:val="17"/>
                <w:lang w:eastAsia="cs-CZ"/>
              </w:rPr>
            </w:pPr>
            <w:r w:rsidRPr="003E02F2">
              <w:rPr>
                <w:rFonts w:ascii="Georgia" w:hAnsi="Georgia"/>
                <w:b/>
                <w:bCs/>
                <w:color w:val="000000"/>
                <w:sz w:val="16"/>
                <w:szCs w:val="16"/>
                <w:lang w:eastAsia="cs-CZ"/>
              </w:rPr>
              <w:t>Omezení interpretace</w:t>
            </w:r>
          </w:p>
        </w:tc>
        <w:tc>
          <w:tcPr>
            <w:tcW w:w="1078" w:type="dxa"/>
            <w:noWrap/>
            <w:vAlign w:val="center"/>
          </w:tcPr>
          <w:p w:rsidR="00FC65FD" w:rsidRPr="003E02F2" w:rsidRDefault="00FC65FD" w:rsidP="003E02F2">
            <w:pPr>
              <w:spacing w:line="240" w:lineRule="auto"/>
              <w:jc w:val="center"/>
              <w:rPr>
                <w:rFonts w:ascii="Georgia" w:hAnsi="Georgia"/>
                <w:b/>
                <w:bCs/>
                <w:color w:val="000000"/>
                <w:sz w:val="17"/>
                <w:szCs w:val="17"/>
                <w:lang w:eastAsia="cs-CZ"/>
              </w:rPr>
            </w:pPr>
            <w:r w:rsidRPr="003E02F2">
              <w:rPr>
                <w:rFonts w:ascii="Georgia" w:hAnsi="Georgia"/>
                <w:b/>
                <w:bCs/>
                <w:color w:val="000000"/>
                <w:sz w:val="17"/>
                <w:szCs w:val="17"/>
                <w:lang w:eastAsia="cs-CZ"/>
              </w:rPr>
              <w:t>Obtížnost sestavení</w:t>
            </w:r>
          </w:p>
        </w:tc>
        <w:tc>
          <w:tcPr>
            <w:tcW w:w="1077" w:type="dxa"/>
            <w:vAlign w:val="center"/>
          </w:tcPr>
          <w:p w:rsidR="00FC65FD" w:rsidRPr="003E02F2" w:rsidRDefault="00FC65FD" w:rsidP="003E02F2">
            <w:pPr>
              <w:spacing w:line="240" w:lineRule="auto"/>
              <w:jc w:val="center"/>
              <w:rPr>
                <w:rFonts w:ascii="Georgia" w:hAnsi="Georgia"/>
                <w:b/>
                <w:bCs/>
                <w:color w:val="000000"/>
                <w:sz w:val="17"/>
                <w:szCs w:val="17"/>
                <w:lang w:eastAsia="cs-CZ"/>
              </w:rPr>
            </w:pPr>
            <w:r w:rsidRPr="003E02F2">
              <w:rPr>
                <w:rFonts w:ascii="Georgia" w:hAnsi="Georgia"/>
                <w:b/>
                <w:bCs/>
                <w:color w:val="000000"/>
                <w:sz w:val="17"/>
                <w:szCs w:val="17"/>
                <w:lang w:eastAsia="cs-CZ"/>
              </w:rPr>
              <w:t>Možnost ovlivnit obcí</w:t>
            </w:r>
          </w:p>
        </w:tc>
        <w:tc>
          <w:tcPr>
            <w:tcW w:w="1189" w:type="dxa"/>
            <w:vAlign w:val="center"/>
          </w:tcPr>
          <w:p w:rsidR="00FC65FD" w:rsidRPr="003E02F2" w:rsidRDefault="00FC65FD" w:rsidP="003E02F2">
            <w:pPr>
              <w:spacing w:line="240" w:lineRule="auto"/>
              <w:jc w:val="center"/>
              <w:rPr>
                <w:rFonts w:ascii="Georgia" w:hAnsi="Georgia"/>
                <w:b/>
                <w:bCs/>
                <w:color w:val="000000"/>
                <w:sz w:val="17"/>
                <w:szCs w:val="17"/>
                <w:lang w:eastAsia="cs-CZ"/>
              </w:rPr>
            </w:pPr>
            <w:proofErr w:type="spellStart"/>
            <w:r w:rsidRPr="003E02F2">
              <w:rPr>
                <w:rFonts w:ascii="Georgia" w:hAnsi="Georgia"/>
                <w:b/>
                <w:bCs/>
                <w:color w:val="000000"/>
                <w:sz w:val="17"/>
                <w:szCs w:val="17"/>
                <w:lang w:eastAsia="cs-CZ"/>
              </w:rPr>
              <w:t>Využi</w:t>
            </w:r>
            <w:proofErr w:type="spellEnd"/>
            <w:r w:rsidRPr="003E02F2">
              <w:rPr>
                <w:rFonts w:ascii="Georgia" w:hAnsi="Georgia"/>
                <w:b/>
                <w:bCs/>
                <w:color w:val="000000"/>
                <w:sz w:val="17"/>
                <w:szCs w:val="17"/>
                <w:lang w:eastAsia="cs-CZ"/>
              </w:rPr>
              <w:t>-</w:t>
            </w:r>
            <w:proofErr w:type="spellStart"/>
            <w:r w:rsidRPr="003E02F2">
              <w:rPr>
                <w:rFonts w:ascii="Georgia" w:hAnsi="Georgia"/>
                <w:b/>
                <w:bCs/>
                <w:color w:val="000000"/>
                <w:sz w:val="17"/>
                <w:szCs w:val="17"/>
                <w:lang w:eastAsia="cs-CZ"/>
              </w:rPr>
              <w:t>telnost</w:t>
            </w:r>
            <w:proofErr w:type="spellEnd"/>
            <w:r w:rsidRPr="003E02F2">
              <w:rPr>
                <w:rFonts w:ascii="Georgia" w:hAnsi="Georgia"/>
                <w:i/>
                <w:color w:val="000000"/>
                <w:sz w:val="17"/>
                <w:szCs w:val="17"/>
                <w:lang w:eastAsia="cs-CZ"/>
              </w:rPr>
              <w:t>*</w:t>
            </w:r>
          </w:p>
        </w:tc>
      </w:tr>
      <w:tr w:rsidR="00FC65FD" w:rsidRPr="003E02F2" w:rsidTr="003E02F2">
        <w:tblPrEx>
          <w:tblCellMar>
            <w:left w:w="70" w:type="dxa"/>
            <w:right w:w="70" w:type="dxa"/>
          </w:tblCellMar>
        </w:tblPrEx>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podíl cizích zdrojů k celkovým aktivům</w:t>
            </w:r>
          </w:p>
        </w:tc>
        <w:tc>
          <w:tcPr>
            <w:tcW w:w="453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 xml:space="preserve">položka D. / </w:t>
            </w:r>
          </w:p>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aktiva celkem</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rozvaha</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5</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K, H, P</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výše dluhu k celkovým příjmům</w:t>
            </w:r>
          </w:p>
        </w:tc>
        <w:tc>
          <w:tcPr>
            <w:tcW w:w="453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(účty 281 + 282 + 283 + 289 + 322 + 326 + 451 + 452 + 453 + 459) /</w:t>
            </w:r>
          </w:p>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příjmy celkem po konsolidaci</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 rozvaha</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5</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K, H, P</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výše dluhu k saldu běžného rozpočtu</w:t>
            </w:r>
          </w:p>
        </w:tc>
        <w:tc>
          <w:tcPr>
            <w:tcW w:w="453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(účty 281 + 282 + 283 + 289 + 322 + 326 + 451 + 452 + 453 + 459) /</w:t>
            </w:r>
          </w:p>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(třída 1 + třída 2 + položky 41xx - třída 5)</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 rozvaha</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5</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K, H, P</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ukazatel dluhové služby</w:t>
            </w:r>
          </w:p>
        </w:tc>
        <w:tc>
          <w:tcPr>
            <w:tcW w:w="453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položky 8xx2 + 8xx4 + 5141 (příp. + 5178) /</w:t>
            </w:r>
          </w:p>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zvolená kategorie příjmů</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4</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K, H</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podíl splátek úroků a běžných příjmů</w:t>
            </w:r>
          </w:p>
        </w:tc>
        <w:tc>
          <w:tcPr>
            <w:tcW w:w="453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položky 5141 /</w:t>
            </w:r>
          </w:p>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(třída 1 + třída 2 + položky 41xx po konsolidaci)</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4</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K, H</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podíl dluhové služby a dluhové kapacity</w:t>
            </w:r>
          </w:p>
        </w:tc>
        <w:tc>
          <w:tcPr>
            <w:tcW w:w="453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položky 8xx2 + 8xx4 + 5141 (příp. + 5178) /</w:t>
            </w:r>
          </w:p>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(třída 1 + třída 2 + položky 41xx - třída 5 mimo položky 5141, příp. 5178)</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4</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K, H, P</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podíl splátek jistiny (a emitovaných dluhopisů) a dluhové kapacity</w:t>
            </w:r>
          </w:p>
        </w:tc>
        <w:tc>
          <w:tcPr>
            <w:tcW w:w="453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položky 8xx2 + 8xx4 /</w:t>
            </w:r>
          </w:p>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(třída 1 + třída 2 + položky 41xx - třída 5 mimo položky 5141, příp. 5178)</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4</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K, H, P</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podíl splátek úroků a dluhové kapacity</w:t>
            </w:r>
          </w:p>
        </w:tc>
        <w:tc>
          <w:tcPr>
            <w:tcW w:w="453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položky 5141  /</w:t>
            </w:r>
          </w:p>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(třída 1 + třída 2 + položky 41xx - třída 5 mimo položky 5141)</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4</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K, H, P</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podíl přijatých půjčených prostředků a kapitálových výdajů</w:t>
            </w:r>
          </w:p>
        </w:tc>
        <w:tc>
          <w:tcPr>
            <w:tcW w:w="453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(položky 8xx2 + 8xx4) /</w:t>
            </w:r>
          </w:p>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třída 6</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5</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H</w:t>
            </w:r>
          </w:p>
        </w:tc>
      </w:tr>
      <w:tr w:rsidR="00FC65FD" w:rsidRPr="003E02F2" w:rsidTr="003E02F2">
        <w:trPr>
          <w:trHeight w:val="227"/>
        </w:trPr>
        <w:tc>
          <w:tcPr>
            <w:tcW w:w="3085" w:type="dxa"/>
            <w:vAlign w:val="center"/>
          </w:tcPr>
          <w:p w:rsidR="00FC65FD" w:rsidRPr="003E02F2" w:rsidRDefault="00FC65FD" w:rsidP="003E02F2">
            <w:pPr>
              <w:spacing w:before="20" w:line="312" w:lineRule="auto"/>
              <w:jc w:val="left"/>
              <w:rPr>
                <w:rFonts w:ascii="Georgia" w:hAnsi="Georgia"/>
                <w:b/>
                <w:bCs/>
                <w:color w:val="000000"/>
                <w:sz w:val="17"/>
                <w:szCs w:val="17"/>
                <w:lang w:eastAsia="cs-CZ"/>
              </w:rPr>
            </w:pPr>
            <w:r w:rsidRPr="003E02F2">
              <w:rPr>
                <w:rFonts w:ascii="Georgia" w:hAnsi="Georgia"/>
                <w:b/>
                <w:bCs/>
                <w:color w:val="000000"/>
                <w:sz w:val="17"/>
                <w:szCs w:val="17"/>
                <w:lang w:eastAsia="cs-CZ"/>
              </w:rPr>
              <w:t>Ukazatele likvidity</w:t>
            </w:r>
          </w:p>
        </w:tc>
        <w:tc>
          <w:tcPr>
            <w:tcW w:w="4536" w:type="dxa"/>
            <w:noWrap/>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p>
        </w:tc>
        <w:tc>
          <w:tcPr>
            <w:tcW w:w="992" w:type="dxa"/>
            <w:noWrap/>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p>
        </w:tc>
        <w:tc>
          <w:tcPr>
            <w:tcW w:w="1418" w:type="dxa"/>
            <w:noWrap/>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p>
        </w:tc>
        <w:tc>
          <w:tcPr>
            <w:tcW w:w="1276" w:type="dxa"/>
            <w:noWrap/>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p>
        </w:tc>
        <w:tc>
          <w:tcPr>
            <w:tcW w:w="1078" w:type="dxa"/>
            <w:noWrap/>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p>
        </w:tc>
        <w:tc>
          <w:tcPr>
            <w:tcW w:w="1077" w:type="dxa"/>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p>
        </w:tc>
        <w:tc>
          <w:tcPr>
            <w:tcW w:w="1189" w:type="dxa"/>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běžná likvidita</w:t>
            </w:r>
          </w:p>
        </w:tc>
        <w:tc>
          <w:tcPr>
            <w:tcW w:w="453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položka B / položka D III.</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rozvaha</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jc w:val="center"/>
              <w:rPr>
                <w:rFonts w:ascii="Georgia" w:hAnsi="Georgia"/>
                <w:sz w:val="17"/>
                <w:szCs w:val="17"/>
              </w:rPr>
            </w:pPr>
            <w:r w:rsidRPr="003E02F2">
              <w:rPr>
                <w:rFonts w:ascii="Georgia" w:hAnsi="Georgia"/>
                <w:color w:val="000000"/>
                <w:sz w:val="17"/>
                <w:szCs w:val="17"/>
                <w:lang w:eastAsia="cs-CZ"/>
              </w:rPr>
              <w:t>5</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K, H, P</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okamžitá likvidita</w:t>
            </w:r>
          </w:p>
        </w:tc>
        <w:tc>
          <w:tcPr>
            <w:tcW w:w="453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položka B III. / položka D III.</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rozvaha</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jc w:val="center"/>
              <w:rPr>
                <w:rFonts w:ascii="Georgia" w:hAnsi="Georgia"/>
                <w:sz w:val="17"/>
                <w:szCs w:val="17"/>
              </w:rPr>
            </w:pPr>
            <w:r w:rsidRPr="003E02F2">
              <w:rPr>
                <w:rFonts w:ascii="Georgia" w:hAnsi="Georgia"/>
                <w:color w:val="000000"/>
                <w:sz w:val="17"/>
                <w:szCs w:val="17"/>
                <w:lang w:eastAsia="cs-CZ"/>
              </w:rPr>
              <w:t>5</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K, H, P</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finanční zásoba</w:t>
            </w:r>
          </w:p>
        </w:tc>
        <w:tc>
          <w:tcPr>
            <w:tcW w:w="453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 xml:space="preserve">položka B III. / (položka D II. + položka D III.) </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rozvaha</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jc w:val="center"/>
              <w:rPr>
                <w:rFonts w:ascii="Georgia" w:hAnsi="Georgia"/>
                <w:sz w:val="17"/>
                <w:szCs w:val="17"/>
              </w:rPr>
            </w:pPr>
            <w:r w:rsidRPr="003E02F2">
              <w:rPr>
                <w:rFonts w:ascii="Georgia" w:hAnsi="Georgia"/>
                <w:color w:val="000000"/>
                <w:sz w:val="17"/>
                <w:szCs w:val="17"/>
                <w:lang w:eastAsia="cs-CZ"/>
              </w:rPr>
              <w:t>5</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K, H, P</w:t>
            </w:r>
          </w:p>
        </w:tc>
      </w:tr>
      <w:tr w:rsidR="00FC65FD" w:rsidRPr="003E02F2" w:rsidTr="003E02F2">
        <w:trPr>
          <w:trHeight w:val="245"/>
        </w:trPr>
        <w:tc>
          <w:tcPr>
            <w:tcW w:w="3085" w:type="dxa"/>
            <w:vAlign w:val="center"/>
          </w:tcPr>
          <w:p w:rsidR="00FC65FD" w:rsidRPr="003E02F2" w:rsidRDefault="00FC65FD" w:rsidP="003E02F2">
            <w:pPr>
              <w:spacing w:before="20" w:line="312" w:lineRule="auto"/>
              <w:jc w:val="left"/>
              <w:rPr>
                <w:rFonts w:ascii="Georgia" w:hAnsi="Georgia"/>
                <w:b/>
                <w:bCs/>
                <w:color w:val="000000"/>
                <w:sz w:val="17"/>
                <w:szCs w:val="17"/>
                <w:lang w:eastAsia="cs-CZ"/>
              </w:rPr>
            </w:pPr>
            <w:r w:rsidRPr="003E02F2">
              <w:rPr>
                <w:rFonts w:ascii="Georgia" w:hAnsi="Georgia"/>
                <w:b/>
                <w:bCs/>
                <w:color w:val="000000"/>
                <w:sz w:val="17"/>
                <w:szCs w:val="17"/>
                <w:lang w:eastAsia="cs-CZ"/>
              </w:rPr>
              <w:t>Ukazatele - ostatní</w:t>
            </w:r>
          </w:p>
        </w:tc>
        <w:tc>
          <w:tcPr>
            <w:tcW w:w="4536" w:type="dxa"/>
            <w:noWrap/>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p>
        </w:tc>
        <w:tc>
          <w:tcPr>
            <w:tcW w:w="992" w:type="dxa"/>
            <w:noWrap/>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p>
        </w:tc>
        <w:tc>
          <w:tcPr>
            <w:tcW w:w="1418" w:type="dxa"/>
            <w:noWrap/>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p>
        </w:tc>
        <w:tc>
          <w:tcPr>
            <w:tcW w:w="1276" w:type="dxa"/>
            <w:noWrap/>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p>
        </w:tc>
        <w:tc>
          <w:tcPr>
            <w:tcW w:w="1078" w:type="dxa"/>
            <w:noWrap/>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p>
        </w:tc>
        <w:tc>
          <w:tcPr>
            <w:tcW w:w="1077" w:type="dxa"/>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p>
        </w:tc>
        <w:tc>
          <w:tcPr>
            <w:tcW w:w="1189" w:type="dxa"/>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plnění příjmů rozpočtu</w:t>
            </w:r>
          </w:p>
        </w:tc>
        <w:tc>
          <w:tcPr>
            <w:tcW w:w="453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Podíl skutečného plnění vybrané položky příjmů a položky ve schváleném (upraveném) rozpočtu</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4</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2-5*</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H, P</w:t>
            </w:r>
          </w:p>
        </w:tc>
      </w:tr>
      <w:tr w:rsidR="003E02F2" w:rsidRPr="003E02F2" w:rsidTr="003E02F2">
        <w:trPr>
          <w:trHeight w:val="300"/>
        </w:trPr>
        <w:tc>
          <w:tcPr>
            <w:tcW w:w="3085" w:type="dxa"/>
            <w:vAlign w:val="center"/>
          </w:tcPr>
          <w:p w:rsidR="003E02F2" w:rsidRPr="003E02F2" w:rsidRDefault="003E02F2" w:rsidP="003E02F2">
            <w:pPr>
              <w:spacing w:before="20" w:line="312" w:lineRule="auto"/>
              <w:jc w:val="left"/>
              <w:rPr>
                <w:rFonts w:ascii="Georgia" w:hAnsi="Georgia"/>
                <w:color w:val="000000"/>
                <w:sz w:val="17"/>
                <w:szCs w:val="17"/>
                <w:lang w:eastAsia="cs-CZ"/>
              </w:rPr>
            </w:pPr>
          </w:p>
        </w:tc>
        <w:tc>
          <w:tcPr>
            <w:tcW w:w="4536" w:type="dxa"/>
            <w:noWrap/>
            <w:vAlign w:val="center"/>
          </w:tcPr>
          <w:p w:rsidR="003E02F2" w:rsidRPr="003E02F2" w:rsidRDefault="003E02F2" w:rsidP="003E02F2">
            <w:pPr>
              <w:spacing w:before="20" w:line="312" w:lineRule="auto"/>
              <w:jc w:val="center"/>
              <w:rPr>
                <w:rFonts w:ascii="Georgia" w:hAnsi="Georgia"/>
                <w:color w:val="000000"/>
                <w:sz w:val="17"/>
                <w:szCs w:val="17"/>
                <w:lang w:eastAsia="cs-CZ"/>
              </w:rPr>
            </w:pPr>
          </w:p>
        </w:tc>
        <w:tc>
          <w:tcPr>
            <w:tcW w:w="992" w:type="dxa"/>
            <w:noWrap/>
            <w:vAlign w:val="center"/>
          </w:tcPr>
          <w:p w:rsidR="003E02F2" w:rsidRPr="003E02F2" w:rsidRDefault="003E02F2" w:rsidP="003E02F2">
            <w:pPr>
              <w:spacing w:before="20" w:line="312" w:lineRule="auto"/>
              <w:jc w:val="center"/>
              <w:rPr>
                <w:rFonts w:ascii="Georgia" w:hAnsi="Georgia"/>
                <w:color w:val="000000"/>
                <w:sz w:val="17"/>
                <w:szCs w:val="17"/>
                <w:lang w:eastAsia="cs-CZ"/>
              </w:rPr>
            </w:pPr>
          </w:p>
        </w:tc>
        <w:tc>
          <w:tcPr>
            <w:tcW w:w="1418" w:type="dxa"/>
            <w:noWrap/>
            <w:vAlign w:val="center"/>
          </w:tcPr>
          <w:p w:rsidR="003E02F2" w:rsidRPr="003E02F2" w:rsidRDefault="003E02F2" w:rsidP="003E02F2">
            <w:pPr>
              <w:spacing w:before="20" w:line="312" w:lineRule="auto"/>
              <w:jc w:val="center"/>
              <w:rPr>
                <w:rFonts w:ascii="Georgia" w:hAnsi="Georgia"/>
                <w:color w:val="000000"/>
                <w:sz w:val="17"/>
                <w:szCs w:val="17"/>
                <w:lang w:eastAsia="cs-CZ"/>
              </w:rPr>
            </w:pPr>
          </w:p>
        </w:tc>
        <w:tc>
          <w:tcPr>
            <w:tcW w:w="1276" w:type="dxa"/>
            <w:noWrap/>
            <w:vAlign w:val="center"/>
          </w:tcPr>
          <w:p w:rsidR="003E02F2" w:rsidRPr="003E02F2" w:rsidRDefault="003E02F2" w:rsidP="003E02F2">
            <w:pPr>
              <w:spacing w:before="20" w:line="312" w:lineRule="auto"/>
              <w:jc w:val="center"/>
              <w:rPr>
                <w:rFonts w:ascii="Georgia" w:hAnsi="Georgia"/>
                <w:color w:val="000000"/>
                <w:sz w:val="17"/>
                <w:szCs w:val="17"/>
                <w:lang w:eastAsia="cs-CZ"/>
              </w:rPr>
            </w:pPr>
          </w:p>
        </w:tc>
        <w:tc>
          <w:tcPr>
            <w:tcW w:w="1078" w:type="dxa"/>
            <w:noWrap/>
            <w:vAlign w:val="center"/>
          </w:tcPr>
          <w:p w:rsidR="003E02F2" w:rsidRPr="003E02F2" w:rsidRDefault="003E02F2" w:rsidP="003E02F2">
            <w:pPr>
              <w:spacing w:before="20" w:line="312" w:lineRule="auto"/>
              <w:jc w:val="center"/>
              <w:rPr>
                <w:rFonts w:ascii="Georgia" w:hAnsi="Georgia"/>
                <w:color w:val="000000"/>
                <w:sz w:val="17"/>
                <w:szCs w:val="17"/>
                <w:lang w:eastAsia="cs-CZ"/>
              </w:rPr>
            </w:pPr>
          </w:p>
        </w:tc>
        <w:tc>
          <w:tcPr>
            <w:tcW w:w="1077" w:type="dxa"/>
            <w:vAlign w:val="center"/>
          </w:tcPr>
          <w:p w:rsidR="003E02F2" w:rsidRPr="003E02F2" w:rsidRDefault="003E02F2" w:rsidP="003E02F2">
            <w:pPr>
              <w:spacing w:before="20" w:line="312" w:lineRule="auto"/>
              <w:jc w:val="center"/>
              <w:rPr>
                <w:rFonts w:ascii="Georgia" w:hAnsi="Georgia"/>
                <w:color w:val="000000"/>
                <w:sz w:val="17"/>
                <w:szCs w:val="17"/>
                <w:lang w:eastAsia="cs-CZ"/>
              </w:rPr>
            </w:pPr>
          </w:p>
        </w:tc>
        <w:tc>
          <w:tcPr>
            <w:tcW w:w="1189" w:type="dxa"/>
            <w:vAlign w:val="center"/>
          </w:tcPr>
          <w:p w:rsidR="003E02F2" w:rsidRPr="003E02F2" w:rsidRDefault="003E02F2" w:rsidP="003E02F2">
            <w:pPr>
              <w:spacing w:before="20" w:line="312" w:lineRule="auto"/>
              <w:jc w:val="center"/>
              <w:rPr>
                <w:rFonts w:ascii="Georgia" w:hAnsi="Georgia"/>
                <w:color w:val="000000"/>
                <w:sz w:val="17"/>
                <w:szCs w:val="17"/>
                <w:lang w:eastAsia="cs-CZ"/>
              </w:rPr>
            </w:pP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p>
        </w:tc>
        <w:tc>
          <w:tcPr>
            <w:tcW w:w="453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b/>
                <w:bCs/>
                <w:color w:val="000000"/>
                <w:sz w:val="17"/>
                <w:szCs w:val="17"/>
                <w:lang w:eastAsia="cs-CZ"/>
              </w:rPr>
              <w:t>Způsob výpočtu</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b/>
                <w:bCs/>
                <w:color w:val="000000"/>
                <w:sz w:val="17"/>
                <w:szCs w:val="17"/>
                <w:lang w:eastAsia="cs-CZ"/>
              </w:rPr>
              <w:t>Zdroj dat</w:t>
            </w:r>
          </w:p>
        </w:tc>
        <w:tc>
          <w:tcPr>
            <w:tcW w:w="1418" w:type="dxa"/>
            <w:noWrap/>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r w:rsidRPr="003E02F2">
              <w:rPr>
                <w:rFonts w:ascii="Georgia" w:hAnsi="Georgia"/>
                <w:b/>
                <w:bCs/>
                <w:color w:val="000000"/>
                <w:sz w:val="17"/>
                <w:szCs w:val="17"/>
                <w:lang w:eastAsia="cs-CZ"/>
              </w:rPr>
              <w:t>Významnost ukazatele</w:t>
            </w:r>
          </w:p>
        </w:tc>
        <w:tc>
          <w:tcPr>
            <w:tcW w:w="1276" w:type="dxa"/>
            <w:noWrap/>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r w:rsidRPr="003E02F2">
              <w:rPr>
                <w:rFonts w:ascii="Georgia" w:hAnsi="Georgia"/>
                <w:b/>
                <w:bCs/>
                <w:color w:val="000000"/>
                <w:sz w:val="16"/>
                <w:szCs w:val="16"/>
                <w:lang w:eastAsia="cs-CZ"/>
              </w:rPr>
              <w:t>Omezení interpretace</w:t>
            </w:r>
          </w:p>
        </w:tc>
        <w:tc>
          <w:tcPr>
            <w:tcW w:w="1078" w:type="dxa"/>
            <w:noWrap/>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r w:rsidRPr="003E02F2">
              <w:rPr>
                <w:rFonts w:ascii="Georgia" w:hAnsi="Georgia"/>
                <w:b/>
                <w:bCs/>
                <w:color w:val="000000"/>
                <w:sz w:val="17"/>
                <w:szCs w:val="17"/>
                <w:lang w:eastAsia="cs-CZ"/>
              </w:rPr>
              <w:t>Obtížnost sestavení</w:t>
            </w:r>
          </w:p>
        </w:tc>
        <w:tc>
          <w:tcPr>
            <w:tcW w:w="1077" w:type="dxa"/>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r w:rsidRPr="003E02F2">
              <w:rPr>
                <w:rFonts w:ascii="Georgia" w:hAnsi="Georgia"/>
                <w:b/>
                <w:bCs/>
                <w:color w:val="000000"/>
                <w:sz w:val="17"/>
                <w:szCs w:val="17"/>
                <w:lang w:eastAsia="cs-CZ"/>
              </w:rPr>
              <w:t>Možnost ovlivnit obcí</w:t>
            </w:r>
          </w:p>
        </w:tc>
        <w:tc>
          <w:tcPr>
            <w:tcW w:w="1189" w:type="dxa"/>
            <w:vAlign w:val="center"/>
          </w:tcPr>
          <w:p w:rsidR="00FC65FD" w:rsidRPr="003E02F2" w:rsidRDefault="00FC65FD" w:rsidP="003E02F2">
            <w:pPr>
              <w:spacing w:before="20" w:line="312" w:lineRule="auto"/>
              <w:jc w:val="center"/>
              <w:rPr>
                <w:rFonts w:ascii="Georgia" w:hAnsi="Georgia"/>
                <w:b/>
                <w:bCs/>
                <w:color w:val="000000"/>
                <w:sz w:val="17"/>
                <w:szCs w:val="17"/>
                <w:lang w:eastAsia="cs-CZ"/>
              </w:rPr>
            </w:pPr>
            <w:proofErr w:type="spellStart"/>
            <w:r w:rsidRPr="003E02F2">
              <w:rPr>
                <w:rFonts w:ascii="Georgia" w:hAnsi="Georgia"/>
                <w:b/>
                <w:bCs/>
                <w:color w:val="000000"/>
                <w:sz w:val="17"/>
                <w:szCs w:val="17"/>
                <w:lang w:eastAsia="cs-CZ"/>
              </w:rPr>
              <w:t>Využi</w:t>
            </w:r>
            <w:proofErr w:type="spellEnd"/>
            <w:r w:rsidRPr="003E02F2">
              <w:rPr>
                <w:rFonts w:ascii="Georgia" w:hAnsi="Georgia"/>
                <w:b/>
                <w:bCs/>
                <w:color w:val="000000"/>
                <w:sz w:val="17"/>
                <w:szCs w:val="17"/>
                <w:lang w:eastAsia="cs-CZ"/>
              </w:rPr>
              <w:t>-</w:t>
            </w:r>
            <w:proofErr w:type="spellStart"/>
            <w:r w:rsidRPr="003E02F2">
              <w:rPr>
                <w:rFonts w:ascii="Georgia" w:hAnsi="Georgia"/>
                <w:b/>
                <w:bCs/>
                <w:color w:val="000000"/>
                <w:sz w:val="17"/>
                <w:szCs w:val="17"/>
                <w:lang w:eastAsia="cs-CZ"/>
              </w:rPr>
              <w:t>telnost</w:t>
            </w:r>
            <w:proofErr w:type="spellEnd"/>
            <w:r w:rsidRPr="003E02F2">
              <w:rPr>
                <w:rFonts w:ascii="Georgia" w:hAnsi="Georgia"/>
                <w:i/>
                <w:color w:val="000000"/>
                <w:sz w:val="17"/>
                <w:szCs w:val="17"/>
                <w:lang w:eastAsia="cs-CZ"/>
              </w:rPr>
              <w:t>*</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plnění výdajů rozpočtu</w:t>
            </w:r>
          </w:p>
        </w:tc>
        <w:tc>
          <w:tcPr>
            <w:tcW w:w="453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Podíl skutečného plnění vybrané položky výdajů a položky ve schváleném (upraveném) rozpočtu</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4</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2-5*</w:t>
            </w:r>
            <w:r w:rsidRPr="003E02F2">
              <w:rPr>
                <w:rFonts w:ascii="Georgia" w:hAnsi="Georgia"/>
                <w:i/>
                <w:color w:val="000000"/>
                <w:sz w:val="17"/>
                <w:szCs w:val="17"/>
                <w:lang w:eastAsia="cs-CZ"/>
              </w:rPr>
              <w:t>*</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4</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H, P</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podíl závazků na celkových příjmech</w:t>
            </w:r>
          </w:p>
        </w:tc>
        <w:tc>
          <w:tcPr>
            <w:tcW w:w="453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(položka D II. + položka D III.) **</w:t>
            </w:r>
            <w:r w:rsidRPr="003E02F2">
              <w:rPr>
                <w:rFonts w:ascii="Georgia" w:hAnsi="Georgia"/>
                <w:i/>
                <w:color w:val="000000"/>
                <w:sz w:val="17"/>
                <w:szCs w:val="17"/>
                <w:lang w:eastAsia="cs-CZ"/>
              </w:rPr>
              <w:t xml:space="preserve">* </w:t>
            </w:r>
            <w:r w:rsidRPr="003E02F2">
              <w:rPr>
                <w:rFonts w:ascii="Georgia" w:hAnsi="Georgia"/>
                <w:color w:val="000000"/>
                <w:sz w:val="17"/>
                <w:szCs w:val="17"/>
                <w:lang w:eastAsia="cs-CZ"/>
              </w:rPr>
              <w:t xml:space="preserve"> / příjmy celkem po konsolidaci</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 rozvaha</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5</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H</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podíl pohledávek na celkových příjmech</w:t>
            </w:r>
          </w:p>
        </w:tc>
        <w:tc>
          <w:tcPr>
            <w:tcW w:w="453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 xml:space="preserve">(položka A IV. + položka B II.) ** </w:t>
            </w:r>
            <w:r w:rsidRPr="003E02F2">
              <w:rPr>
                <w:rFonts w:ascii="Georgia" w:hAnsi="Georgia"/>
                <w:i/>
                <w:color w:val="000000"/>
                <w:sz w:val="17"/>
                <w:szCs w:val="17"/>
                <w:lang w:eastAsia="cs-CZ"/>
              </w:rPr>
              <w:t xml:space="preserve">* </w:t>
            </w:r>
            <w:r w:rsidRPr="003E02F2">
              <w:rPr>
                <w:rFonts w:ascii="Georgia" w:hAnsi="Georgia"/>
                <w:color w:val="000000"/>
                <w:sz w:val="17"/>
                <w:szCs w:val="17"/>
                <w:lang w:eastAsia="cs-CZ"/>
              </w:rPr>
              <w:t>/ příjmy celkem po konsolidaci</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rozpočet, rozvaha</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4</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H</w:t>
            </w:r>
          </w:p>
        </w:tc>
      </w:tr>
      <w:tr w:rsidR="00FC65FD" w:rsidRPr="003E02F2" w:rsidTr="003E02F2">
        <w:trPr>
          <w:trHeight w:val="300"/>
        </w:trPr>
        <w:tc>
          <w:tcPr>
            <w:tcW w:w="3085" w:type="dxa"/>
            <w:vAlign w:val="center"/>
          </w:tcPr>
          <w:p w:rsidR="00FC65FD" w:rsidRPr="003E02F2" w:rsidRDefault="00FC65FD" w:rsidP="003E02F2">
            <w:pPr>
              <w:spacing w:before="20" w:line="312" w:lineRule="auto"/>
              <w:jc w:val="left"/>
              <w:rPr>
                <w:rFonts w:ascii="Georgia" w:hAnsi="Georgia"/>
                <w:color w:val="000000"/>
                <w:sz w:val="17"/>
                <w:szCs w:val="17"/>
                <w:lang w:eastAsia="cs-CZ"/>
              </w:rPr>
            </w:pPr>
            <w:r w:rsidRPr="003E02F2">
              <w:rPr>
                <w:rFonts w:ascii="Georgia" w:hAnsi="Georgia"/>
                <w:color w:val="000000"/>
                <w:sz w:val="17"/>
                <w:szCs w:val="17"/>
                <w:lang w:eastAsia="cs-CZ"/>
              </w:rPr>
              <w:t>podíl zastaveného DM na celkovém DM</w:t>
            </w:r>
          </w:p>
        </w:tc>
        <w:tc>
          <w:tcPr>
            <w:tcW w:w="453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Zastavený DM dle analytických účtů podrozvahové evidence / položka A. rozvahy</w:t>
            </w:r>
          </w:p>
        </w:tc>
        <w:tc>
          <w:tcPr>
            <w:tcW w:w="992"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pod-rozvahová evidence</w:t>
            </w:r>
          </w:p>
        </w:tc>
        <w:tc>
          <w:tcPr>
            <w:tcW w:w="141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2</w:t>
            </w:r>
          </w:p>
        </w:tc>
        <w:tc>
          <w:tcPr>
            <w:tcW w:w="1276"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3</w:t>
            </w:r>
          </w:p>
        </w:tc>
        <w:tc>
          <w:tcPr>
            <w:tcW w:w="1078" w:type="dxa"/>
            <w:noWrap/>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1/5***</w:t>
            </w:r>
            <w:r w:rsidRPr="003E02F2">
              <w:rPr>
                <w:rFonts w:ascii="Georgia" w:hAnsi="Georgia"/>
                <w:i/>
                <w:color w:val="000000"/>
                <w:sz w:val="17"/>
                <w:szCs w:val="17"/>
                <w:lang w:eastAsia="cs-CZ"/>
              </w:rPr>
              <w:t>*</w:t>
            </w:r>
          </w:p>
        </w:tc>
        <w:tc>
          <w:tcPr>
            <w:tcW w:w="1077"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5</w:t>
            </w:r>
          </w:p>
        </w:tc>
        <w:tc>
          <w:tcPr>
            <w:tcW w:w="1189" w:type="dxa"/>
            <w:vAlign w:val="center"/>
          </w:tcPr>
          <w:p w:rsidR="00FC65FD" w:rsidRPr="003E02F2" w:rsidRDefault="00FC65FD" w:rsidP="003E02F2">
            <w:pPr>
              <w:spacing w:before="20" w:line="312" w:lineRule="auto"/>
              <w:jc w:val="center"/>
              <w:rPr>
                <w:rFonts w:ascii="Georgia" w:hAnsi="Georgia"/>
                <w:color w:val="000000"/>
                <w:sz w:val="17"/>
                <w:szCs w:val="17"/>
                <w:lang w:eastAsia="cs-CZ"/>
              </w:rPr>
            </w:pPr>
            <w:r w:rsidRPr="003E02F2">
              <w:rPr>
                <w:rFonts w:ascii="Georgia" w:hAnsi="Georgia"/>
                <w:color w:val="000000"/>
                <w:sz w:val="17"/>
                <w:szCs w:val="17"/>
                <w:lang w:eastAsia="cs-CZ"/>
              </w:rPr>
              <w:t>H</w:t>
            </w:r>
          </w:p>
        </w:tc>
      </w:tr>
    </w:tbl>
    <w:p w:rsidR="00FC65FD" w:rsidRPr="003E02F2" w:rsidRDefault="00FC65FD" w:rsidP="00346049">
      <w:pPr>
        <w:numPr>
          <w:ilvl w:val="0"/>
          <w:numId w:val="14"/>
        </w:numPr>
        <w:ind w:left="142" w:hanging="142"/>
        <w:jc w:val="left"/>
        <w:rPr>
          <w:rFonts w:ascii="Georgia" w:hAnsi="Georgia"/>
          <w:i/>
          <w:color w:val="000000"/>
          <w:sz w:val="18"/>
          <w:szCs w:val="18"/>
          <w:lang w:eastAsia="cs-CZ"/>
        </w:rPr>
      </w:pPr>
      <w:r w:rsidRPr="003E02F2">
        <w:rPr>
          <w:rFonts w:ascii="Georgia" w:hAnsi="Georgia"/>
          <w:vanish/>
          <w:color w:val="000000"/>
          <w:sz w:val="20"/>
          <w:szCs w:val="20"/>
          <w:lang w:eastAsia="cs-CZ"/>
        </w:rPr>
        <w:t xml:space="preserve"> -ojektuývá ajetek obce byl rozdělen do odpisových skupin dle délky opotřebováníj majetek neodepisovaly a tedy do výpočtů </w:t>
      </w:r>
      <w:r w:rsidRPr="003E02F2">
        <w:rPr>
          <w:rFonts w:ascii="Georgia" w:hAnsi="Georgia"/>
          <w:i/>
          <w:color w:val="000000"/>
          <w:sz w:val="18"/>
          <w:szCs w:val="18"/>
          <w:lang w:eastAsia="cs-CZ"/>
        </w:rPr>
        <w:t>K – komparace včetně hodnocení, S – prosté srovnání s obdobnými subjekty, H – hodnocení vývoje hospodaření subjektu, P - plánování</w:t>
      </w:r>
    </w:p>
    <w:p w:rsidR="00FC65FD" w:rsidRPr="003E02F2" w:rsidRDefault="00FC65FD" w:rsidP="00346049">
      <w:pPr>
        <w:numPr>
          <w:ilvl w:val="0"/>
          <w:numId w:val="14"/>
        </w:numPr>
        <w:ind w:left="142" w:hanging="142"/>
        <w:jc w:val="left"/>
        <w:rPr>
          <w:rFonts w:ascii="Georgia" w:hAnsi="Georgia"/>
          <w:i/>
          <w:color w:val="000000"/>
          <w:sz w:val="18"/>
          <w:szCs w:val="18"/>
          <w:lang w:eastAsia="cs-CZ"/>
        </w:rPr>
      </w:pPr>
      <w:r w:rsidRPr="003E02F2">
        <w:rPr>
          <w:rFonts w:ascii="Georgia" w:hAnsi="Georgia"/>
          <w:i/>
          <w:color w:val="000000"/>
          <w:sz w:val="18"/>
          <w:szCs w:val="18"/>
          <w:lang w:eastAsia="cs-CZ"/>
        </w:rPr>
        <w:t>* omezení interpretace vplývá z volby schváleného či upraveného rozpočtu pro srovnání a z charakteru zvolené sledované položky příjmů či výdajů</w:t>
      </w:r>
    </w:p>
    <w:p w:rsidR="00FC65FD" w:rsidRPr="003E02F2" w:rsidRDefault="00FC65FD" w:rsidP="00346049">
      <w:pPr>
        <w:numPr>
          <w:ilvl w:val="0"/>
          <w:numId w:val="14"/>
        </w:numPr>
        <w:ind w:left="142" w:hanging="142"/>
        <w:jc w:val="left"/>
        <w:rPr>
          <w:rFonts w:ascii="Georgia" w:hAnsi="Georgia"/>
          <w:i/>
          <w:color w:val="000000"/>
          <w:sz w:val="18"/>
          <w:szCs w:val="18"/>
          <w:lang w:eastAsia="cs-CZ"/>
        </w:rPr>
      </w:pPr>
      <w:r w:rsidRPr="003E02F2">
        <w:rPr>
          <w:rFonts w:ascii="Georgia" w:hAnsi="Georgia"/>
          <w:i/>
          <w:color w:val="000000"/>
          <w:sz w:val="18"/>
          <w:szCs w:val="18"/>
          <w:lang w:eastAsia="cs-CZ"/>
        </w:rPr>
        <w:t>**  ukazatele využívané pro potřeby přezkoumání hospodaření nepočítají s celkovými závazky a pohledávkami obce, ale pouze s konkrétně vybranými účty</w:t>
      </w:r>
    </w:p>
    <w:p w:rsidR="00FC65FD" w:rsidRPr="003E02F2" w:rsidRDefault="00FC65FD" w:rsidP="00FC65FD">
      <w:pPr>
        <w:jc w:val="left"/>
        <w:rPr>
          <w:rFonts w:ascii="Georgia" w:hAnsi="Georgia"/>
          <w:i/>
          <w:sz w:val="18"/>
          <w:szCs w:val="18"/>
        </w:rPr>
      </w:pPr>
      <w:r w:rsidRPr="003E02F2">
        <w:rPr>
          <w:rFonts w:ascii="Georgia" w:hAnsi="Georgia"/>
          <w:i/>
          <w:color w:val="000000"/>
          <w:sz w:val="18"/>
          <w:szCs w:val="18"/>
          <w:lang w:eastAsia="cs-CZ"/>
        </w:rPr>
        <w:t>*</w:t>
      </w:r>
      <w:r w:rsidRPr="003E02F2">
        <w:rPr>
          <w:rFonts w:ascii="Georgia" w:hAnsi="Georgia"/>
          <w:i/>
          <w:sz w:val="18"/>
          <w:szCs w:val="18"/>
        </w:rPr>
        <w:t>*</w:t>
      </w:r>
      <w:r w:rsidRPr="003E02F2">
        <w:rPr>
          <w:rFonts w:ascii="Georgia" w:hAnsi="Georgia"/>
          <w:i/>
          <w:color w:val="000000"/>
          <w:sz w:val="18"/>
          <w:szCs w:val="18"/>
          <w:lang w:eastAsia="cs-CZ"/>
        </w:rPr>
        <w:t xml:space="preserve">** </w:t>
      </w:r>
      <w:r w:rsidRPr="003E02F2">
        <w:rPr>
          <w:rFonts w:ascii="Georgia" w:hAnsi="Georgia"/>
          <w:i/>
          <w:sz w:val="18"/>
          <w:szCs w:val="18"/>
        </w:rPr>
        <w:t>obtížnost sestavení vyplývá z dostupnosti interních dat subjektu</w:t>
      </w:r>
    </w:p>
    <w:p w:rsidR="00FC65FD" w:rsidRPr="003E02F2" w:rsidRDefault="00FC65FD" w:rsidP="00FC65FD">
      <w:pPr>
        <w:jc w:val="left"/>
        <w:rPr>
          <w:rFonts w:ascii="Georgia" w:hAnsi="Georgia"/>
          <w:i/>
          <w:sz w:val="18"/>
          <w:szCs w:val="18"/>
        </w:rPr>
      </w:pPr>
    </w:p>
    <w:p w:rsidR="00FC65FD" w:rsidRPr="003E02F2" w:rsidRDefault="00FC65FD" w:rsidP="00FC65FD">
      <w:pPr>
        <w:jc w:val="right"/>
        <w:rPr>
          <w:rFonts w:ascii="Georgia" w:hAnsi="Georgia"/>
          <w:i/>
          <w:sz w:val="18"/>
          <w:szCs w:val="18"/>
        </w:rPr>
      </w:pPr>
      <w:r w:rsidRPr="003E02F2">
        <w:rPr>
          <w:rFonts w:ascii="Georgia" w:hAnsi="Georgia"/>
          <w:i/>
          <w:sz w:val="18"/>
          <w:szCs w:val="18"/>
        </w:rPr>
        <w:t>Zdroj: Vlastní zpracování</w:t>
      </w:r>
    </w:p>
    <w:bookmarkEnd w:id="13"/>
    <w:bookmarkEnd w:id="14"/>
    <w:p w:rsidR="00CD091D" w:rsidRPr="003E02F2" w:rsidRDefault="00CD091D" w:rsidP="00FC65FD">
      <w:pPr>
        <w:rPr>
          <w:rFonts w:ascii="Georgia" w:hAnsi="Georgia"/>
        </w:rPr>
      </w:pPr>
    </w:p>
    <w:sectPr w:rsidR="00CD091D" w:rsidRPr="003E02F2" w:rsidSect="003E02F2">
      <w:headerReference w:type="default" r:id="rId11"/>
      <w:pgSz w:w="16838" w:h="11906" w:orient="landscape"/>
      <w:pgMar w:top="1418" w:right="1418"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1E2" w:rsidRDefault="00F031E2" w:rsidP="00FC65FD">
      <w:pPr>
        <w:spacing w:line="240" w:lineRule="auto"/>
      </w:pPr>
      <w:r>
        <w:separator/>
      </w:r>
    </w:p>
  </w:endnote>
  <w:endnote w:type="continuationSeparator" w:id="0">
    <w:p w:rsidR="00F031E2" w:rsidRDefault="00F031E2" w:rsidP="00FC65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B99" w:rsidRDefault="00876B99" w:rsidP="0061390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76B99" w:rsidRDefault="00876B99" w:rsidP="00876B99">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B99" w:rsidRPr="003E02F2" w:rsidRDefault="00876B99" w:rsidP="0061390E">
    <w:pPr>
      <w:pStyle w:val="Zpat"/>
      <w:framePr w:wrap="around" w:vAnchor="text" w:hAnchor="margin" w:xAlign="right" w:y="1"/>
      <w:rPr>
        <w:rStyle w:val="slostrnky"/>
        <w:rFonts w:asciiTheme="majorHAnsi" w:hAnsiTheme="majorHAnsi"/>
        <w:i/>
        <w:sz w:val="20"/>
        <w:szCs w:val="20"/>
      </w:rPr>
    </w:pPr>
    <w:r w:rsidRPr="003E02F2">
      <w:rPr>
        <w:rStyle w:val="slostrnky"/>
        <w:rFonts w:asciiTheme="majorHAnsi" w:hAnsiTheme="majorHAnsi"/>
        <w:i/>
        <w:sz w:val="20"/>
        <w:szCs w:val="20"/>
      </w:rPr>
      <w:fldChar w:fldCharType="begin"/>
    </w:r>
    <w:r w:rsidRPr="003E02F2">
      <w:rPr>
        <w:rStyle w:val="slostrnky"/>
        <w:rFonts w:asciiTheme="majorHAnsi" w:hAnsiTheme="majorHAnsi"/>
        <w:i/>
        <w:sz w:val="20"/>
        <w:szCs w:val="20"/>
      </w:rPr>
      <w:instrText xml:space="preserve">PAGE  </w:instrText>
    </w:r>
    <w:r w:rsidRPr="003E02F2">
      <w:rPr>
        <w:rStyle w:val="slostrnky"/>
        <w:rFonts w:asciiTheme="majorHAnsi" w:hAnsiTheme="majorHAnsi"/>
        <w:i/>
        <w:sz w:val="20"/>
        <w:szCs w:val="20"/>
      </w:rPr>
      <w:fldChar w:fldCharType="separate"/>
    </w:r>
    <w:r w:rsidR="003E02F2">
      <w:rPr>
        <w:rStyle w:val="slostrnky"/>
        <w:rFonts w:asciiTheme="majorHAnsi" w:hAnsiTheme="majorHAnsi"/>
        <w:i/>
        <w:noProof/>
        <w:sz w:val="20"/>
        <w:szCs w:val="20"/>
      </w:rPr>
      <w:t>15</w:t>
    </w:r>
    <w:r w:rsidRPr="003E02F2">
      <w:rPr>
        <w:rStyle w:val="slostrnky"/>
        <w:rFonts w:asciiTheme="majorHAnsi" w:hAnsiTheme="majorHAnsi"/>
        <w:i/>
        <w:sz w:val="20"/>
        <w:szCs w:val="20"/>
      </w:rPr>
      <w:fldChar w:fldCharType="end"/>
    </w:r>
  </w:p>
  <w:p w:rsidR="00876B99" w:rsidRDefault="00876B99" w:rsidP="00876B99">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1E2" w:rsidRDefault="00F031E2" w:rsidP="00FC65FD">
      <w:pPr>
        <w:spacing w:line="240" w:lineRule="auto"/>
      </w:pPr>
      <w:r>
        <w:separator/>
      </w:r>
    </w:p>
  </w:footnote>
  <w:footnote w:type="continuationSeparator" w:id="0">
    <w:p w:rsidR="00F031E2" w:rsidRDefault="00F031E2" w:rsidP="00FC65FD">
      <w:pPr>
        <w:spacing w:line="240" w:lineRule="auto"/>
      </w:pPr>
      <w:r>
        <w:continuationSeparator/>
      </w:r>
    </w:p>
  </w:footnote>
  <w:footnote w:id="1">
    <w:p w:rsidR="00FC65FD" w:rsidRDefault="00FC65FD" w:rsidP="00FC65FD">
      <w:pPr>
        <w:pStyle w:val="Textpoznpodarou"/>
      </w:pPr>
      <w:r>
        <w:rPr>
          <w:rStyle w:val="Znakapoznpodarou"/>
        </w:rPr>
        <w:footnoteRef/>
      </w:r>
      <w:r>
        <w:t xml:space="preserve"> vyjadřuje, jak podnik hodnotí investoři</w:t>
      </w:r>
    </w:p>
  </w:footnote>
  <w:footnote w:id="2">
    <w:p w:rsidR="00FC65FD" w:rsidRDefault="00FC65FD" w:rsidP="00FC65FD">
      <w:pPr>
        <w:pStyle w:val="Textpoznpodarou"/>
      </w:pPr>
      <w:r>
        <w:rPr>
          <w:rStyle w:val="Znakapoznpodarou"/>
        </w:rPr>
        <w:footnoteRef/>
      </w:r>
      <w:r>
        <w:t xml:space="preserve"> hodnocení schopnosti využívat vložené prostředky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2F2" w:rsidRPr="003E02F2" w:rsidRDefault="003E02F2" w:rsidP="003E02F2">
    <w:pPr>
      <w:pStyle w:val="Zhlav"/>
      <w:rPr>
        <w:rFonts w:ascii="Georgia" w:hAnsi="Georgia"/>
        <w:color w:val="244061" w:themeColor="accent1" w:themeShade="80"/>
        <w:sz w:val="20"/>
        <w:szCs w:val="20"/>
      </w:rPr>
    </w:pPr>
    <w:r w:rsidRPr="003E02F2">
      <w:rPr>
        <w:rFonts w:ascii="Georgia" w:hAnsi="Georgia"/>
        <w:color w:val="244061" w:themeColor="accent1" w:themeShade="80"/>
        <w:sz w:val="20"/>
        <w:szCs w:val="20"/>
      </w:rPr>
      <w:t>Systémy územních rozpočtů, jaro 2014</w:t>
    </w:r>
    <w:r w:rsidRPr="003E02F2">
      <w:rPr>
        <w:rFonts w:ascii="Georgia" w:hAnsi="Georgia"/>
        <w:color w:val="244061" w:themeColor="accent1" w:themeShade="80"/>
        <w:sz w:val="20"/>
        <w:szCs w:val="20"/>
      </w:rPr>
      <w:tab/>
    </w:r>
    <w:r w:rsidRPr="003E02F2">
      <w:rPr>
        <w:rFonts w:ascii="Georgia" w:hAnsi="Georgia"/>
        <w:color w:val="244061" w:themeColor="accent1" w:themeShade="80"/>
        <w:sz w:val="20"/>
        <w:szCs w:val="20"/>
      </w:rPr>
      <w:tab/>
      <w:t>Studijní podklady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2F2" w:rsidRPr="003E02F2" w:rsidRDefault="003E02F2" w:rsidP="003E02F2">
    <w:pPr>
      <w:pStyle w:val="Zhlav"/>
      <w:tabs>
        <w:tab w:val="clear" w:pos="9072"/>
        <w:tab w:val="right" w:pos="14601"/>
      </w:tabs>
      <w:rPr>
        <w:rFonts w:ascii="Georgia" w:hAnsi="Georgia"/>
        <w:color w:val="244061" w:themeColor="accent1" w:themeShade="80"/>
        <w:sz w:val="20"/>
        <w:szCs w:val="20"/>
      </w:rPr>
    </w:pPr>
    <w:r w:rsidRPr="003E02F2">
      <w:rPr>
        <w:rFonts w:ascii="Georgia" w:hAnsi="Georgia"/>
        <w:color w:val="244061" w:themeColor="accent1" w:themeShade="80"/>
        <w:sz w:val="20"/>
        <w:szCs w:val="20"/>
      </w:rPr>
      <w:t>Systémy územních rozpočtů, jaro 2014</w:t>
    </w:r>
    <w:r w:rsidRPr="003E02F2">
      <w:rPr>
        <w:rFonts w:ascii="Georgia" w:hAnsi="Georgia"/>
        <w:color w:val="244061" w:themeColor="accent1" w:themeShade="80"/>
        <w:sz w:val="20"/>
        <w:szCs w:val="20"/>
      </w:rPr>
      <w:tab/>
    </w:r>
    <w:r w:rsidRPr="003E02F2">
      <w:rPr>
        <w:rFonts w:ascii="Georgia" w:hAnsi="Georgia"/>
        <w:color w:val="244061" w:themeColor="accent1" w:themeShade="80"/>
        <w:sz w:val="20"/>
        <w:szCs w:val="20"/>
      </w:rPr>
      <w:tab/>
      <w:t>Studijní podklady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7FF3"/>
    <w:multiLevelType w:val="hybridMultilevel"/>
    <w:tmpl w:val="55643806"/>
    <w:lvl w:ilvl="0" w:tplc="E65E4472">
      <w:start w:val="1"/>
      <w:numFmt w:val="lowerRoman"/>
      <w:lvlText w:val="%1."/>
      <w:lvlJc w:val="left"/>
      <w:pPr>
        <w:ind w:left="1785" w:hanging="720"/>
      </w:pPr>
      <w:rPr>
        <w:rFonts w:cs="Times New Roman" w:hint="default"/>
      </w:rPr>
    </w:lvl>
    <w:lvl w:ilvl="1" w:tplc="04050019" w:tentative="1">
      <w:start w:val="1"/>
      <w:numFmt w:val="lowerLetter"/>
      <w:lvlText w:val="%2."/>
      <w:lvlJc w:val="left"/>
      <w:pPr>
        <w:ind w:left="2145" w:hanging="360"/>
      </w:pPr>
      <w:rPr>
        <w:rFonts w:cs="Times New Roman"/>
      </w:rPr>
    </w:lvl>
    <w:lvl w:ilvl="2" w:tplc="0405001B" w:tentative="1">
      <w:start w:val="1"/>
      <w:numFmt w:val="lowerRoman"/>
      <w:lvlText w:val="%3."/>
      <w:lvlJc w:val="right"/>
      <w:pPr>
        <w:ind w:left="2865" w:hanging="180"/>
      </w:pPr>
      <w:rPr>
        <w:rFonts w:cs="Times New Roman"/>
      </w:rPr>
    </w:lvl>
    <w:lvl w:ilvl="3" w:tplc="0405000F" w:tentative="1">
      <w:start w:val="1"/>
      <w:numFmt w:val="decimal"/>
      <w:lvlText w:val="%4."/>
      <w:lvlJc w:val="left"/>
      <w:pPr>
        <w:ind w:left="3585" w:hanging="360"/>
      </w:pPr>
      <w:rPr>
        <w:rFonts w:cs="Times New Roman"/>
      </w:rPr>
    </w:lvl>
    <w:lvl w:ilvl="4" w:tplc="04050019" w:tentative="1">
      <w:start w:val="1"/>
      <w:numFmt w:val="lowerLetter"/>
      <w:lvlText w:val="%5."/>
      <w:lvlJc w:val="left"/>
      <w:pPr>
        <w:ind w:left="4305" w:hanging="360"/>
      </w:pPr>
      <w:rPr>
        <w:rFonts w:cs="Times New Roman"/>
      </w:rPr>
    </w:lvl>
    <w:lvl w:ilvl="5" w:tplc="0405001B" w:tentative="1">
      <w:start w:val="1"/>
      <w:numFmt w:val="lowerRoman"/>
      <w:lvlText w:val="%6."/>
      <w:lvlJc w:val="right"/>
      <w:pPr>
        <w:ind w:left="5025" w:hanging="180"/>
      </w:pPr>
      <w:rPr>
        <w:rFonts w:cs="Times New Roman"/>
      </w:rPr>
    </w:lvl>
    <w:lvl w:ilvl="6" w:tplc="0405000F" w:tentative="1">
      <w:start w:val="1"/>
      <w:numFmt w:val="decimal"/>
      <w:lvlText w:val="%7."/>
      <w:lvlJc w:val="left"/>
      <w:pPr>
        <w:ind w:left="5745" w:hanging="360"/>
      </w:pPr>
      <w:rPr>
        <w:rFonts w:cs="Times New Roman"/>
      </w:rPr>
    </w:lvl>
    <w:lvl w:ilvl="7" w:tplc="04050019" w:tentative="1">
      <w:start w:val="1"/>
      <w:numFmt w:val="lowerLetter"/>
      <w:lvlText w:val="%8."/>
      <w:lvlJc w:val="left"/>
      <w:pPr>
        <w:ind w:left="6465" w:hanging="360"/>
      </w:pPr>
      <w:rPr>
        <w:rFonts w:cs="Times New Roman"/>
      </w:rPr>
    </w:lvl>
    <w:lvl w:ilvl="8" w:tplc="0405001B" w:tentative="1">
      <w:start w:val="1"/>
      <w:numFmt w:val="lowerRoman"/>
      <w:lvlText w:val="%9."/>
      <w:lvlJc w:val="right"/>
      <w:pPr>
        <w:ind w:left="7185" w:hanging="180"/>
      </w:pPr>
      <w:rPr>
        <w:rFonts w:cs="Times New Roman"/>
      </w:rPr>
    </w:lvl>
  </w:abstractNum>
  <w:abstractNum w:abstractNumId="1">
    <w:nsid w:val="0916551B"/>
    <w:multiLevelType w:val="hybridMultilevel"/>
    <w:tmpl w:val="F48EB442"/>
    <w:lvl w:ilvl="0" w:tplc="B03A2EE2">
      <w:start w:val="1"/>
      <w:numFmt w:val="lowerRoman"/>
      <w:lvlText w:val="(%1)"/>
      <w:lvlJc w:val="left"/>
      <w:pPr>
        <w:ind w:left="1364" w:hanging="720"/>
      </w:pPr>
      <w:rPr>
        <w:rFonts w:cs="Times New Roman" w:hint="default"/>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2">
    <w:nsid w:val="09203DB2"/>
    <w:multiLevelType w:val="hybridMultilevel"/>
    <w:tmpl w:val="DC66DDA8"/>
    <w:lvl w:ilvl="0" w:tplc="FD009912">
      <w:start w:val="1"/>
      <w:numFmt w:val="lowerRoman"/>
      <w:lvlText w:val="(%1.)"/>
      <w:lvlJc w:val="left"/>
      <w:pPr>
        <w:ind w:left="1724" w:hanging="720"/>
      </w:pPr>
      <w:rPr>
        <w:rFonts w:cs="Times New Roman" w:hint="default"/>
      </w:rPr>
    </w:lvl>
    <w:lvl w:ilvl="1" w:tplc="04050019" w:tentative="1">
      <w:start w:val="1"/>
      <w:numFmt w:val="lowerLetter"/>
      <w:lvlText w:val="%2."/>
      <w:lvlJc w:val="left"/>
      <w:pPr>
        <w:ind w:left="2084" w:hanging="360"/>
      </w:pPr>
      <w:rPr>
        <w:rFonts w:cs="Times New Roman"/>
      </w:rPr>
    </w:lvl>
    <w:lvl w:ilvl="2" w:tplc="0405001B" w:tentative="1">
      <w:start w:val="1"/>
      <w:numFmt w:val="lowerRoman"/>
      <w:lvlText w:val="%3."/>
      <w:lvlJc w:val="right"/>
      <w:pPr>
        <w:ind w:left="2804" w:hanging="180"/>
      </w:pPr>
      <w:rPr>
        <w:rFonts w:cs="Times New Roman"/>
      </w:rPr>
    </w:lvl>
    <w:lvl w:ilvl="3" w:tplc="0405000F" w:tentative="1">
      <w:start w:val="1"/>
      <w:numFmt w:val="decimal"/>
      <w:lvlText w:val="%4."/>
      <w:lvlJc w:val="left"/>
      <w:pPr>
        <w:ind w:left="3524" w:hanging="360"/>
      </w:pPr>
      <w:rPr>
        <w:rFonts w:cs="Times New Roman"/>
      </w:rPr>
    </w:lvl>
    <w:lvl w:ilvl="4" w:tplc="04050019" w:tentative="1">
      <w:start w:val="1"/>
      <w:numFmt w:val="lowerLetter"/>
      <w:lvlText w:val="%5."/>
      <w:lvlJc w:val="left"/>
      <w:pPr>
        <w:ind w:left="4244" w:hanging="360"/>
      </w:pPr>
      <w:rPr>
        <w:rFonts w:cs="Times New Roman"/>
      </w:rPr>
    </w:lvl>
    <w:lvl w:ilvl="5" w:tplc="0405001B" w:tentative="1">
      <w:start w:val="1"/>
      <w:numFmt w:val="lowerRoman"/>
      <w:lvlText w:val="%6."/>
      <w:lvlJc w:val="right"/>
      <w:pPr>
        <w:ind w:left="4964" w:hanging="180"/>
      </w:pPr>
      <w:rPr>
        <w:rFonts w:cs="Times New Roman"/>
      </w:rPr>
    </w:lvl>
    <w:lvl w:ilvl="6" w:tplc="0405000F" w:tentative="1">
      <w:start w:val="1"/>
      <w:numFmt w:val="decimal"/>
      <w:lvlText w:val="%7."/>
      <w:lvlJc w:val="left"/>
      <w:pPr>
        <w:ind w:left="5684" w:hanging="360"/>
      </w:pPr>
      <w:rPr>
        <w:rFonts w:cs="Times New Roman"/>
      </w:rPr>
    </w:lvl>
    <w:lvl w:ilvl="7" w:tplc="04050019" w:tentative="1">
      <w:start w:val="1"/>
      <w:numFmt w:val="lowerLetter"/>
      <w:lvlText w:val="%8."/>
      <w:lvlJc w:val="left"/>
      <w:pPr>
        <w:ind w:left="6404" w:hanging="360"/>
      </w:pPr>
      <w:rPr>
        <w:rFonts w:cs="Times New Roman"/>
      </w:rPr>
    </w:lvl>
    <w:lvl w:ilvl="8" w:tplc="0405001B" w:tentative="1">
      <w:start w:val="1"/>
      <w:numFmt w:val="lowerRoman"/>
      <w:lvlText w:val="%9."/>
      <w:lvlJc w:val="right"/>
      <w:pPr>
        <w:ind w:left="7124" w:hanging="180"/>
      </w:pPr>
      <w:rPr>
        <w:rFonts w:cs="Times New Roman"/>
      </w:rPr>
    </w:lvl>
  </w:abstractNum>
  <w:abstractNum w:abstractNumId="3">
    <w:nsid w:val="1EB830E5"/>
    <w:multiLevelType w:val="hybridMultilevel"/>
    <w:tmpl w:val="91F273B0"/>
    <w:lvl w:ilvl="0" w:tplc="A8C07100">
      <w:start w:val="1"/>
      <w:numFmt w:val="bullet"/>
      <w:lvlText w:val=""/>
      <w:lvlJc w:val="left"/>
      <w:pPr>
        <w:ind w:left="928" w:hanging="360"/>
      </w:pPr>
      <w:rPr>
        <w:rFonts w:ascii="Times New Roman" w:hAnsi="Times New Roman"/>
        <w:b w:val="0"/>
        <w:i w:val="0"/>
        <w:caps w:val="0"/>
        <w:smallCaps w:val="0"/>
        <w:strike w:val="0"/>
        <w:dstrike w:val="0"/>
        <w:outline w:val="0"/>
        <w:shadow w:val="0"/>
        <w:emboss w:val="0"/>
        <w:imprint w:val="0"/>
        <w:vanish w:val="0"/>
        <w:spacing w:val="0"/>
        <w:kern w:val="0"/>
        <w:position w:val="0"/>
        <w:u w:val="none"/>
        <w:vertAlign w:val="baseline"/>
      </w:rPr>
    </w:lvl>
    <w:lvl w:ilvl="1" w:tplc="04050003" w:tentative="1">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
    <w:nsid w:val="24DF30E4"/>
    <w:multiLevelType w:val="hybridMultilevel"/>
    <w:tmpl w:val="DC36B12A"/>
    <w:lvl w:ilvl="0" w:tplc="589CCFE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6CA3E6E"/>
    <w:multiLevelType w:val="hybridMultilevel"/>
    <w:tmpl w:val="7358550E"/>
    <w:lvl w:ilvl="0" w:tplc="12082846">
      <w:start w:val="1"/>
      <w:numFmt w:val="lowerRoman"/>
      <w:lvlText w:val="(%1)"/>
      <w:lvlJc w:val="left"/>
      <w:pPr>
        <w:ind w:left="1440" w:hanging="72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6">
    <w:nsid w:val="30723677"/>
    <w:multiLevelType w:val="hybridMultilevel"/>
    <w:tmpl w:val="63F42434"/>
    <w:lvl w:ilvl="0" w:tplc="29CAA4CA">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7">
    <w:nsid w:val="3B026C75"/>
    <w:multiLevelType w:val="hybridMultilevel"/>
    <w:tmpl w:val="C6A8D65E"/>
    <w:lvl w:ilvl="0" w:tplc="F88A6972">
      <w:start w:val="1"/>
      <w:numFmt w:val="lowerRoman"/>
      <w:lvlText w:val="(%1)"/>
      <w:lvlJc w:val="left"/>
      <w:pPr>
        <w:ind w:left="1440" w:hanging="72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8">
    <w:nsid w:val="40B21EDA"/>
    <w:multiLevelType w:val="multilevel"/>
    <w:tmpl w:val="A052E6FA"/>
    <w:lvl w:ilvl="0">
      <w:start w:val="1"/>
      <w:numFmt w:val="decimal"/>
      <w:lvlText w:val="%1"/>
      <w:lvlJc w:val="left"/>
      <w:pPr>
        <w:ind w:left="525" w:hanging="525"/>
      </w:pPr>
      <w:rPr>
        <w:rFonts w:cs="Times New Roman" w:hint="default"/>
      </w:rPr>
    </w:lvl>
    <w:lvl w:ilvl="1">
      <w:start w:val="6"/>
      <w:numFmt w:val="decimal"/>
      <w:lvlText w:val="%1.%2"/>
      <w:lvlJc w:val="left"/>
      <w:pPr>
        <w:ind w:left="877" w:hanging="525"/>
      </w:pPr>
      <w:rPr>
        <w:rFonts w:cs="Times New Roman" w:hint="default"/>
      </w:rPr>
    </w:lvl>
    <w:lvl w:ilvl="2">
      <w:start w:val="2"/>
      <w:numFmt w:val="decimal"/>
      <w:lvlText w:val="%1.%2.%3"/>
      <w:lvlJc w:val="left"/>
      <w:pPr>
        <w:ind w:left="1424" w:hanging="720"/>
      </w:pPr>
      <w:rPr>
        <w:rFonts w:cs="Times New Roman" w:hint="default"/>
      </w:rPr>
    </w:lvl>
    <w:lvl w:ilvl="3">
      <w:start w:val="1"/>
      <w:numFmt w:val="decimal"/>
      <w:lvlText w:val="%1.%2.%3.%4"/>
      <w:lvlJc w:val="left"/>
      <w:pPr>
        <w:ind w:left="2136" w:hanging="1080"/>
      </w:pPr>
      <w:rPr>
        <w:rFonts w:cs="Times New Roman" w:hint="default"/>
      </w:rPr>
    </w:lvl>
    <w:lvl w:ilvl="4">
      <w:start w:val="1"/>
      <w:numFmt w:val="decimal"/>
      <w:lvlText w:val="%1.%2.%3.%4.%5"/>
      <w:lvlJc w:val="left"/>
      <w:pPr>
        <w:ind w:left="2488" w:hanging="1080"/>
      </w:pPr>
      <w:rPr>
        <w:rFonts w:cs="Times New Roman" w:hint="default"/>
      </w:rPr>
    </w:lvl>
    <w:lvl w:ilvl="5">
      <w:start w:val="1"/>
      <w:numFmt w:val="decimal"/>
      <w:lvlText w:val="%1.%2.%3.%4.%5.%6"/>
      <w:lvlJc w:val="left"/>
      <w:pPr>
        <w:ind w:left="3200" w:hanging="1440"/>
      </w:pPr>
      <w:rPr>
        <w:rFonts w:cs="Times New Roman" w:hint="default"/>
      </w:rPr>
    </w:lvl>
    <w:lvl w:ilvl="6">
      <w:start w:val="1"/>
      <w:numFmt w:val="decimal"/>
      <w:lvlText w:val="%1.%2.%3.%4.%5.%6.%7"/>
      <w:lvlJc w:val="left"/>
      <w:pPr>
        <w:ind w:left="3552" w:hanging="1440"/>
      </w:pPr>
      <w:rPr>
        <w:rFonts w:cs="Times New Roman" w:hint="default"/>
      </w:rPr>
    </w:lvl>
    <w:lvl w:ilvl="7">
      <w:start w:val="1"/>
      <w:numFmt w:val="decimal"/>
      <w:lvlText w:val="%1.%2.%3.%4.%5.%6.%7.%8"/>
      <w:lvlJc w:val="left"/>
      <w:pPr>
        <w:ind w:left="4264" w:hanging="1800"/>
      </w:pPr>
      <w:rPr>
        <w:rFonts w:cs="Times New Roman" w:hint="default"/>
      </w:rPr>
    </w:lvl>
    <w:lvl w:ilvl="8">
      <w:start w:val="1"/>
      <w:numFmt w:val="decimal"/>
      <w:lvlText w:val="%1.%2.%3.%4.%5.%6.%7.%8.%9"/>
      <w:lvlJc w:val="left"/>
      <w:pPr>
        <w:ind w:left="4616" w:hanging="1800"/>
      </w:pPr>
      <w:rPr>
        <w:rFonts w:cs="Times New Roman" w:hint="default"/>
      </w:rPr>
    </w:lvl>
  </w:abstractNum>
  <w:abstractNum w:abstractNumId="9">
    <w:nsid w:val="421B3634"/>
    <w:multiLevelType w:val="hybridMultilevel"/>
    <w:tmpl w:val="F71A230E"/>
    <w:lvl w:ilvl="0" w:tplc="3FE45DF4">
      <w:start w:val="1"/>
      <w:numFmt w:val="lowerRoman"/>
      <w:lvlText w:val="%1."/>
      <w:lvlJc w:val="left"/>
      <w:pPr>
        <w:ind w:left="2505" w:hanging="720"/>
      </w:pPr>
      <w:rPr>
        <w:rFonts w:cs="Times New Roman" w:hint="default"/>
      </w:rPr>
    </w:lvl>
    <w:lvl w:ilvl="1" w:tplc="04050019" w:tentative="1">
      <w:start w:val="1"/>
      <w:numFmt w:val="lowerLetter"/>
      <w:lvlText w:val="%2."/>
      <w:lvlJc w:val="left"/>
      <w:pPr>
        <w:ind w:left="2865" w:hanging="360"/>
      </w:pPr>
      <w:rPr>
        <w:rFonts w:cs="Times New Roman"/>
      </w:rPr>
    </w:lvl>
    <w:lvl w:ilvl="2" w:tplc="0405001B" w:tentative="1">
      <w:start w:val="1"/>
      <w:numFmt w:val="lowerRoman"/>
      <w:lvlText w:val="%3."/>
      <w:lvlJc w:val="right"/>
      <w:pPr>
        <w:ind w:left="3585" w:hanging="180"/>
      </w:pPr>
      <w:rPr>
        <w:rFonts w:cs="Times New Roman"/>
      </w:rPr>
    </w:lvl>
    <w:lvl w:ilvl="3" w:tplc="0405000F" w:tentative="1">
      <w:start w:val="1"/>
      <w:numFmt w:val="decimal"/>
      <w:lvlText w:val="%4."/>
      <w:lvlJc w:val="left"/>
      <w:pPr>
        <w:ind w:left="4305" w:hanging="360"/>
      </w:pPr>
      <w:rPr>
        <w:rFonts w:cs="Times New Roman"/>
      </w:rPr>
    </w:lvl>
    <w:lvl w:ilvl="4" w:tplc="04050019" w:tentative="1">
      <w:start w:val="1"/>
      <w:numFmt w:val="lowerLetter"/>
      <w:lvlText w:val="%5."/>
      <w:lvlJc w:val="left"/>
      <w:pPr>
        <w:ind w:left="5025" w:hanging="360"/>
      </w:pPr>
      <w:rPr>
        <w:rFonts w:cs="Times New Roman"/>
      </w:rPr>
    </w:lvl>
    <w:lvl w:ilvl="5" w:tplc="0405001B" w:tentative="1">
      <w:start w:val="1"/>
      <w:numFmt w:val="lowerRoman"/>
      <w:lvlText w:val="%6."/>
      <w:lvlJc w:val="right"/>
      <w:pPr>
        <w:ind w:left="5745" w:hanging="180"/>
      </w:pPr>
      <w:rPr>
        <w:rFonts w:cs="Times New Roman"/>
      </w:rPr>
    </w:lvl>
    <w:lvl w:ilvl="6" w:tplc="0405000F" w:tentative="1">
      <w:start w:val="1"/>
      <w:numFmt w:val="decimal"/>
      <w:lvlText w:val="%7."/>
      <w:lvlJc w:val="left"/>
      <w:pPr>
        <w:ind w:left="6465" w:hanging="360"/>
      </w:pPr>
      <w:rPr>
        <w:rFonts w:cs="Times New Roman"/>
      </w:rPr>
    </w:lvl>
    <w:lvl w:ilvl="7" w:tplc="04050019" w:tentative="1">
      <w:start w:val="1"/>
      <w:numFmt w:val="lowerLetter"/>
      <w:lvlText w:val="%8."/>
      <w:lvlJc w:val="left"/>
      <w:pPr>
        <w:ind w:left="7185" w:hanging="360"/>
      </w:pPr>
      <w:rPr>
        <w:rFonts w:cs="Times New Roman"/>
      </w:rPr>
    </w:lvl>
    <w:lvl w:ilvl="8" w:tplc="0405001B" w:tentative="1">
      <w:start w:val="1"/>
      <w:numFmt w:val="lowerRoman"/>
      <w:lvlText w:val="%9."/>
      <w:lvlJc w:val="right"/>
      <w:pPr>
        <w:ind w:left="7905" w:hanging="180"/>
      </w:pPr>
      <w:rPr>
        <w:rFonts w:cs="Times New Roman"/>
      </w:rPr>
    </w:lvl>
  </w:abstractNum>
  <w:abstractNum w:abstractNumId="10">
    <w:nsid w:val="519D486C"/>
    <w:multiLevelType w:val="hybridMultilevel"/>
    <w:tmpl w:val="DE20F278"/>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AA7284C8">
      <w:start w:val="2"/>
      <w:numFmt w:val="lowerRoman"/>
      <w:lvlText w:val="(%3)"/>
      <w:lvlJc w:val="left"/>
      <w:pPr>
        <w:tabs>
          <w:tab w:val="num" w:pos="2700"/>
        </w:tabs>
        <w:ind w:left="2700" w:hanging="720"/>
      </w:pPr>
      <w:rPr>
        <w:rFonts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543A7FA2"/>
    <w:multiLevelType w:val="hybridMultilevel"/>
    <w:tmpl w:val="09901348"/>
    <w:lvl w:ilvl="0" w:tplc="2D6AC44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2D6AC44C">
      <w:start w:val="1"/>
      <w:numFmt w:val="bullet"/>
      <w:lvlText w:val=""/>
      <w:lvlJc w:val="left"/>
      <w:pPr>
        <w:ind w:left="3600" w:hanging="360"/>
      </w:pPr>
      <w:rPr>
        <w:rFonts w:ascii="Symbol" w:hAnsi="Symbol"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45474D1"/>
    <w:multiLevelType w:val="hybridMultilevel"/>
    <w:tmpl w:val="6D68BAFC"/>
    <w:lvl w:ilvl="0" w:tplc="7D92C830">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3">
    <w:nsid w:val="545B6BBE"/>
    <w:multiLevelType w:val="hybridMultilevel"/>
    <w:tmpl w:val="14567770"/>
    <w:lvl w:ilvl="0" w:tplc="429E30D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4">
    <w:nsid w:val="66464D7D"/>
    <w:multiLevelType w:val="hybridMultilevel"/>
    <w:tmpl w:val="E564D6FC"/>
    <w:lvl w:ilvl="0" w:tplc="7188CB4E">
      <w:start w:val="1"/>
      <w:numFmt w:val="lowerRoman"/>
      <w:lvlText w:val="(%1)"/>
      <w:lvlJc w:val="left"/>
      <w:pPr>
        <w:ind w:left="1364" w:hanging="720"/>
      </w:pPr>
      <w:rPr>
        <w:rFonts w:cs="Times New Roman" w:hint="default"/>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5">
    <w:nsid w:val="6D7B499B"/>
    <w:multiLevelType w:val="hybridMultilevel"/>
    <w:tmpl w:val="3C089086"/>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71ED67A8"/>
    <w:multiLevelType w:val="hybridMultilevel"/>
    <w:tmpl w:val="04D4989E"/>
    <w:lvl w:ilvl="0" w:tplc="BDACF5FA">
      <w:start w:val="3"/>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nsid w:val="79503BBD"/>
    <w:multiLevelType w:val="hybridMultilevel"/>
    <w:tmpl w:val="2648EC76"/>
    <w:lvl w:ilvl="0" w:tplc="04050001">
      <w:start w:val="1"/>
      <w:numFmt w:val="bullet"/>
      <w:lvlText w:val=""/>
      <w:lvlJc w:val="left"/>
      <w:pPr>
        <w:tabs>
          <w:tab w:val="num" w:pos="720"/>
        </w:tabs>
        <w:ind w:left="720" w:hanging="360"/>
      </w:pPr>
      <w:rPr>
        <w:rFonts w:ascii="Symbol" w:hAnsi="Symbol" w:hint="default"/>
      </w:rPr>
    </w:lvl>
    <w:lvl w:ilvl="1" w:tplc="58263D70">
      <w:numFmt w:val="bullet"/>
      <w:lvlText w:val="-"/>
      <w:lvlJc w:val="left"/>
      <w:pPr>
        <w:tabs>
          <w:tab w:val="num" w:pos="1440"/>
        </w:tabs>
        <w:ind w:left="1440" w:hanging="360"/>
      </w:pPr>
      <w:rPr>
        <w:rFonts w:ascii="Calibri" w:eastAsia="Times New Roman" w:hAnsi="Calibri" w:hint="default"/>
      </w:rPr>
    </w:lvl>
    <w:lvl w:ilvl="2" w:tplc="C81EC32C" w:tentative="1">
      <w:start w:val="1"/>
      <w:numFmt w:val="bullet"/>
      <w:lvlText w:val=""/>
      <w:lvlJc w:val="left"/>
      <w:pPr>
        <w:tabs>
          <w:tab w:val="num" w:pos="2160"/>
        </w:tabs>
        <w:ind w:left="2160" w:hanging="360"/>
      </w:pPr>
      <w:rPr>
        <w:rFonts w:ascii="Wingdings" w:hAnsi="Wingdings" w:hint="default"/>
      </w:rPr>
    </w:lvl>
    <w:lvl w:ilvl="3" w:tplc="F314CC44" w:tentative="1">
      <w:start w:val="1"/>
      <w:numFmt w:val="bullet"/>
      <w:lvlText w:val=""/>
      <w:lvlJc w:val="left"/>
      <w:pPr>
        <w:tabs>
          <w:tab w:val="num" w:pos="2880"/>
        </w:tabs>
        <w:ind w:left="2880" w:hanging="360"/>
      </w:pPr>
      <w:rPr>
        <w:rFonts w:ascii="Wingdings" w:hAnsi="Wingdings" w:hint="default"/>
      </w:rPr>
    </w:lvl>
    <w:lvl w:ilvl="4" w:tplc="FBF2265C" w:tentative="1">
      <w:start w:val="1"/>
      <w:numFmt w:val="bullet"/>
      <w:lvlText w:val=""/>
      <w:lvlJc w:val="left"/>
      <w:pPr>
        <w:tabs>
          <w:tab w:val="num" w:pos="3600"/>
        </w:tabs>
        <w:ind w:left="3600" w:hanging="360"/>
      </w:pPr>
      <w:rPr>
        <w:rFonts w:ascii="Wingdings" w:hAnsi="Wingdings" w:hint="default"/>
      </w:rPr>
    </w:lvl>
    <w:lvl w:ilvl="5" w:tplc="F4A04686" w:tentative="1">
      <w:start w:val="1"/>
      <w:numFmt w:val="bullet"/>
      <w:lvlText w:val=""/>
      <w:lvlJc w:val="left"/>
      <w:pPr>
        <w:tabs>
          <w:tab w:val="num" w:pos="4320"/>
        </w:tabs>
        <w:ind w:left="4320" w:hanging="360"/>
      </w:pPr>
      <w:rPr>
        <w:rFonts w:ascii="Wingdings" w:hAnsi="Wingdings" w:hint="default"/>
      </w:rPr>
    </w:lvl>
    <w:lvl w:ilvl="6" w:tplc="00843C70" w:tentative="1">
      <w:start w:val="1"/>
      <w:numFmt w:val="bullet"/>
      <w:lvlText w:val=""/>
      <w:lvlJc w:val="left"/>
      <w:pPr>
        <w:tabs>
          <w:tab w:val="num" w:pos="5040"/>
        </w:tabs>
        <w:ind w:left="5040" w:hanging="360"/>
      </w:pPr>
      <w:rPr>
        <w:rFonts w:ascii="Wingdings" w:hAnsi="Wingdings" w:hint="default"/>
      </w:rPr>
    </w:lvl>
    <w:lvl w:ilvl="7" w:tplc="20C0AD9C" w:tentative="1">
      <w:start w:val="1"/>
      <w:numFmt w:val="bullet"/>
      <w:lvlText w:val=""/>
      <w:lvlJc w:val="left"/>
      <w:pPr>
        <w:tabs>
          <w:tab w:val="num" w:pos="5760"/>
        </w:tabs>
        <w:ind w:left="5760" w:hanging="360"/>
      </w:pPr>
      <w:rPr>
        <w:rFonts w:ascii="Wingdings" w:hAnsi="Wingdings" w:hint="default"/>
      </w:rPr>
    </w:lvl>
    <w:lvl w:ilvl="8" w:tplc="B448C4DC"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5"/>
  </w:num>
  <w:num w:numId="3">
    <w:abstractNumId w:val="12"/>
  </w:num>
  <w:num w:numId="4">
    <w:abstractNumId w:val="13"/>
  </w:num>
  <w:num w:numId="5">
    <w:abstractNumId w:val="0"/>
  </w:num>
  <w:num w:numId="6">
    <w:abstractNumId w:val="9"/>
  </w:num>
  <w:num w:numId="7">
    <w:abstractNumId w:val="14"/>
  </w:num>
  <w:num w:numId="8">
    <w:abstractNumId w:val="7"/>
  </w:num>
  <w:num w:numId="9">
    <w:abstractNumId w:val="5"/>
  </w:num>
  <w:num w:numId="10">
    <w:abstractNumId w:val="1"/>
  </w:num>
  <w:num w:numId="11">
    <w:abstractNumId w:val="17"/>
  </w:num>
  <w:num w:numId="12">
    <w:abstractNumId w:val="10"/>
  </w:num>
  <w:num w:numId="13">
    <w:abstractNumId w:val="2"/>
  </w:num>
  <w:num w:numId="14">
    <w:abstractNumId w:val="4"/>
  </w:num>
  <w:num w:numId="15">
    <w:abstractNumId w:val="11"/>
  </w:num>
  <w:num w:numId="16">
    <w:abstractNumId w:val="8"/>
  </w:num>
  <w:num w:numId="17">
    <w:abstractNumId w:val="3"/>
  </w:num>
  <w:num w:numId="18">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C65FD"/>
    <w:rsid w:val="000054EA"/>
    <w:rsid w:val="00272B53"/>
    <w:rsid w:val="00346049"/>
    <w:rsid w:val="003E02F2"/>
    <w:rsid w:val="0061390E"/>
    <w:rsid w:val="00876B99"/>
    <w:rsid w:val="00CD091D"/>
    <w:rsid w:val="00F031E2"/>
    <w:rsid w:val="00FC65F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C65FD"/>
    <w:pPr>
      <w:spacing w:line="360" w:lineRule="auto"/>
      <w:jc w:val="both"/>
    </w:pPr>
    <w:rPr>
      <w:rFonts w:ascii="Times New Roman" w:eastAsia="Times New Roman" w:hAnsi="Times New Roman"/>
      <w:sz w:val="24"/>
      <w:szCs w:val="24"/>
      <w:lang w:eastAsia="en-US"/>
    </w:rPr>
  </w:style>
  <w:style w:type="paragraph" w:styleId="Nadpis1">
    <w:name w:val="heading 1"/>
    <w:basedOn w:val="Normln"/>
    <w:next w:val="Normln"/>
    <w:link w:val="Nadpis1Char"/>
    <w:uiPriority w:val="99"/>
    <w:qFormat/>
    <w:rsid w:val="00FC65FD"/>
    <w:pPr>
      <w:keepNext/>
      <w:keepLines/>
      <w:spacing w:before="480"/>
      <w:outlineLvl w:val="0"/>
    </w:pPr>
    <w:rPr>
      <w:b/>
      <w:bCs/>
      <w:caps/>
      <w:sz w:val="32"/>
      <w:szCs w:val="28"/>
    </w:rPr>
  </w:style>
  <w:style w:type="paragraph" w:styleId="Nadpis2">
    <w:name w:val="heading 2"/>
    <w:basedOn w:val="Nadpis1"/>
    <w:next w:val="Normln"/>
    <w:link w:val="Nadpis2Char"/>
    <w:uiPriority w:val="99"/>
    <w:qFormat/>
    <w:rsid w:val="00FC65FD"/>
    <w:pPr>
      <w:outlineLvl w:val="1"/>
    </w:pPr>
    <w:rPr>
      <w:sz w:val="28"/>
    </w:rPr>
  </w:style>
  <w:style w:type="paragraph" w:styleId="Nadpis3">
    <w:name w:val="heading 3"/>
    <w:basedOn w:val="Normln"/>
    <w:next w:val="Normln"/>
    <w:link w:val="Nadpis3Char"/>
    <w:uiPriority w:val="99"/>
    <w:qFormat/>
    <w:rsid w:val="00FC65FD"/>
    <w:pPr>
      <w:keepNext/>
      <w:spacing w:after="60" w:line="288" w:lineRule="auto"/>
      <w:outlineLvl w:val="2"/>
    </w:pPr>
    <w:rPr>
      <w:rFonts w:cs="Arial"/>
      <w:b/>
      <w:bCs/>
      <w:szCs w:val="26"/>
      <w:lang w:eastAsia="cs-CZ"/>
    </w:rPr>
  </w:style>
  <w:style w:type="paragraph" w:styleId="Nadpis4">
    <w:name w:val="heading 4"/>
    <w:basedOn w:val="Normln"/>
    <w:next w:val="Normln"/>
    <w:link w:val="Nadpis4Char"/>
    <w:uiPriority w:val="99"/>
    <w:qFormat/>
    <w:rsid w:val="00FC65FD"/>
    <w:pPr>
      <w:keepNext/>
      <w:spacing w:after="60"/>
      <w:outlineLvl w:val="3"/>
    </w:pPr>
    <w:rPr>
      <w:b/>
      <w:bCs/>
      <w:i/>
      <w:szCs w:val="28"/>
    </w:rPr>
  </w:style>
  <w:style w:type="paragraph" w:styleId="Nadpis5">
    <w:name w:val="heading 5"/>
    <w:basedOn w:val="Normln"/>
    <w:next w:val="Normln"/>
    <w:link w:val="Nadpis5Char"/>
    <w:uiPriority w:val="99"/>
    <w:qFormat/>
    <w:rsid w:val="00FC65FD"/>
    <w:pPr>
      <w:spacing w:after="60"/>
      <w:outlineLvl w:val="4"/>
    </w:pPr>
    <w:rPr>
      <w:b/>
      <w:bCs/>
      <w:i/>
      <w:iCs/>
      <w:szCs w:val="26"/>
    </w:rPr>
  </w:style>
  <w:style w:type="paragraph" w:styleId="Nadpis6">
    <w:name w:val="heading 6"/>
    <w:basedOn w:val="Normln"/>
    <w:next w:val="Normln"/>
    <w:link w:val="Nadpis6Char"/>
    <w:uiPriority w:val="99"/>
    <w:qFormat/>
    <w:rsid w:val="00FC65FD"/>
    <w:pPr>
      <w:keepNext/>
      <w:keepLines/>
      <w:spacing w:before="200"/>
      <w:outlineLvl w:val="5"/>
    </w:pPr>
    <w:rPr>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C65FD"/>
    <w:rPr>
      <w:rFonts w:ascii="Times New Roman" w:eastAsia="Times New Roman" w:hAnsi="Times New Roman" w:cs="Times New Roman"/>
      <w:b/>
      <w:bCs/>
      <w:caps/>
      <w:sz w:val="32"/>
      <w:szCs w:val="28"/>
    </w:rPr>
  </w:style>
  <w:style w:type="character" w:customStyle="1" w:styleId="Nadpis2Char">
    <w:name w:val="Nadpis 2 Char"/>
    <w:basedOn w:val="Standardnpsmoodstavce"/>
    <w:link w:val="Nadpis2"/>
    <w:uiPriority w:val="99"/>
    <w:rsid w:val="00FC65FD"/>
    <w:rPr>
      <w:rFonts w:ascii="Times New Roman" w:eastAsia="Times New Roman" w:hAnsi="Times New Roman" w:cs="Times New Roman"/>
      <w:b/>
      <w:bCs/>
      <w:caps/>
      <w:sz w:val="28"/>
      <w:szCs w:val="28"/>
    </w:rPr>
  </w:style>
  <w:style w:type="character" w:customStyle="1" w:styleId="Nadpis3Char">
    <w:name w:val="Nadpis 3 Char"/>
    <w:basedOn w:val="Standardnpsmoodstavce"/>
    <w:link w:val="Nadpis3"/>
    <w:uiPriority w:val="99"/>
    <w:rsid w:val="00FC65FD"/>
    <w:rPr>
      <w:rFonts w:ascii="Times New Roman" w:eastAsia="Times New Roman" w:hAnsi="Times New Roman" w:cs="Arial"/>
      <w:b/>
      <w:bCs/>
      <w:sz w:val="24"/>
      <w:szCs w:val="26"/>
      <w:lang w:eastAsia="cs-CZ"/>
    </w:rPr>
  </w:style>
  <w:style w:type="character" w:customStyle="1" w:styleId="Nadpis4Char">
    <w:name w:val="Nadpis 4 Char"/>
    <w:basedOn w:val="Standardnpsmoodstavce"/>
    <w:link w:val="Nadpis4"/>
    <w:uiPriority w:val="99"/>
    <w:rsid w:val="00FC65FD"/>
    <w:rPr>
      <w:rFonts w:ascii="Times New Roman" w:eastAsia="Times New Roman" w:hAnsi="Times New Roman" w:cs="Times New Roman"/>
      <w:b/>
      <w:bCs/>
      <w:i/>
      <w:sz w:val="24"/>
      <w:szCs w:val="28"/>
    </w:rPr>
  </w:style>
  <w:style w:type="character" w:customStyle="1" w:styleId="Nadpis5Char">
    <w:name w:val="Nadpis 5 Char"/>
    <w:basedOn w:val="Standardnpsmoodstavce"/>
    <w:link w:val="Nadpis5"/>
    <w:uiPriority w:val="99"/>
    <w:rsid w:val="00FC65FD"/>
    <w:rPr>
      <w:rFonts w:ascii="Times New Roman" w:eastAsia="Times New Roman" w:hAnsi="Times New Roman" w:cs="Times New Roman"/>
      <w:b/>
      <w:bCs/>
      <w:i/>
      <w:iCs/>
      <w:sz w:val="24"/>
      <w:szCs w:val="26"/>
    </w:rPr>
  </w:style>
  <w:style w:type="character" w:customStyle="1" w:styleId="Nadpis6Char">
    <w:name w:val="Nadpis 6 Char"/>
    <w:basedOn w:val="Standardnpsmoodstavce"/>
    <w:link w:val="Nadpis6"/>
    <w:uiPriority w:val="99"/>
    <w:rsid w:val="00FC65FD"/>
    <w:rPr>
      <w:rFonts w:ascii="Times New Roman" w:eastAsia="Times New Roman" w:hAnsi="Times New Roman" w:cs="Times New Roman"/>
      <w:i/>
      <w:iCs/>
      <w:color w:val="243F60"/>
      <w:sz w:val="24"/>
      <w:szCs w:val="24"/>
    </w:rPr>
  </w:style>
  <w:style w:type="paragraph" w:styleId="Textpoznpodarou">
    <w:name w:val="footnote text"/>
    <w:aliases w:val="Footnote text"/>
    <w:basedOn w:val="Normln"/>
    <w:link w:val="TextpoznpodarouChar"/>
    <w:uiPriority w:val="99"/>
    <w:rsid w:val="00FC65FD"/>
    <w:pPr>
      <w:spacing w:line="240" w:lineRule="auto"/>
    </w:pPr>
    <w:rPr>
      <w:sz w:val="20"/>
      <w:szCs w:val="20"/>
      <w:lang w:eastAsia="cs-CZ"/>
    </w:rPr>
  </w:style>
  <w:style w:type="character" w:customStyle="1" w:styleId="TextpoznpodarouChar">
    <w:name w:val="Text pozn. pod čarou Char"/>
    <w:aliases w:val="Footnote text Char"/>
    <w:basedOn w:val="Standardnpsmoodstavce"/>
    <w:link w:val="Textpoznpodarou"/>
    <w:uiPriority w:val="99"/>
    <w:rsid w:val="00FC65FD"/>
    <w:rPr>
      <w:rFonts w:ascii="Times New Roman" w:eastAsia="Times New Roman" w:hAnsi="Times New Roman" w:cs="Times New Roman"/>
      <w:sz w:val="20"/>
      <w:szCs w:val="20"/>
      <w:lang w:eastAsia="cs-CZ"/>
    </w:rPr>
  </w:style>
  <w:style w:type="character" w:styleId="Znakapoznpodarou">
    <w:name w:val="footnote reference"/>
    <w:aliases w:val="Footnote symbol,Footnote"/>
    <w:basedOn w:val="Standardnpsmoodstavce"/>
    <w:uiPriority w:val="99"/>
    <w:semiHidden/>
    <w:rsid w:val="00FC65FD"/>
    <w:rPr>
      <w:rFonts w:cs="Times New Roman"/>
      <w:vertAlign w:val="superscript"/>
    </w:rPr>
  </w:style>
  <w:style w:type="character" w:customStyle="1" w:styleId="TextbublinyChar">
    <w:name w:val="Text bubliny Char"/>
    <w:basedOn w:val="Standardnpsmoodstavce"/>
    <w:link w:val="Textbubliny"/>
    <w:uiPriority w:val="99"/>
    <w:semiHidden/>
    <w:rsid w:val="00FC65FD"/>
    <w:rPr>
      <w:rFonts w:ascii="Tahoma" w:eastAsia="Times New Roman" w:hAnsi="Tahoma" w:cs="Tahoma"/>
      <w:sz w:val="16"/>
      <w:szCs w:val="16"/>
    </w:rPr>
  </w:style>
  <w:style w:type="paragraph" w:styleId="Textbubliny">
    <w:name w:val="Balloon Text"/>
    <w:basedOn w:val="Normln"/>
    <w:link w:val="TextbublinyChar"/>
    <w:uiPriority w:val="99"/>
    <w:semiHidden/>
    <w:rsid w:val="00FC65FD"/>
    <w:pPr>
      <w:spacing w:line="240" w:lineRule="auto"/>
    </w:pPr>
    <w:rPr>
      <w:rFonts w:ascii="Tahoma" w:hAnsi="Tahoma" w:cs="Tahoma"/>
      <w:sz w:val="16"/>
      <w:szCs w:val="16"/>
    </w:rPr>
  </w:style>
  <w:style w:type="paragraph" w:styleId="Zhlav">
    <w:name w:val="header"/>
    <w:basedOn w:val="Normln"/>
    <w:link w:val="ZhlavChar"/>
    <w:uiPriority w:val="99"/>
    <w:semiHidden/>
    <w:rsid w:val="00FC65FD"/>
    <w:pPr>
      <w:tabs>
        <w:tab w:val="center" w:pos="4536"/>
        <w:tab w:val="right" w:pos="9072"/>
      </w:tabs>
      <w:spacing w:line="240" w:lineRule="auto"/>
    </w:pPr>
    <w:rPr>
      <w:rFonts w:eastAsia="Calibri"/>
    </w:rPr>
  </w:style>
  <w:style w:type="character" w:customStyle="1" w:styleId="ZhlavChar">
    <w:name w:val="Záhlaví Char"/>
    <w:basedOn w:val="Standardnpsmoodstavce"/>
    <w:link w:val="Zhlav"/>
    <w:uiPriority w:val="99"/>
    <w:semiHidden/>
    <w:rsid w:val="00FC65FD"/>
    <w:rPr>
      <w:rFonts w:ascii="Times New Roman" w:eastAsia="Calibri" w:hAnsi="Times New Roman" w:cs="Times New Roman"/>
      <w:sz w:val="24"/>
      <w:szCs w:val="24"/>
    </w:rPr>
  </w:style>
  <w:style w:type="paragraph" w:styleId="Zpat">
    <w:name w:val="footer"/>
    <w:basedOn w:val="Normln"/>
    <w:link w:val="ZpatChar"/>
    <w:uiPriority w:val="99"/>
    <w:rsid w:val="00FC65FD"/>
    <w:pPr>
      <w:tabs>
        <w:tab w:val="center" w:pos="4536"/>
        <w:tab w:val="right" w:pos="9072"/>
      </w:tabs>
      <w:spacing w:line="240" w:lineRule="auto"/>
    </w:pPr>
  </w:style>
  <w:style w:type="character" w:customStyle="1" w:styleId="ZpatChar">
    <w:name w:val="Zápatí Char"/>
    <w:basedOn w:val="Standardnpsmoodstavce"/>
    <w:link w:val="Zpat"/>
    <w:uiPriority w:val="99"/>
    <w:rsid w:val="00FC65FD"/>
    <w:rPr>
      <w:rFonts w:ascii="Times New Roman" w:eastAsia="Times New Roman" w:hAnsi="Times New Roman" w:cs="Times New Roman"/>
      <w:sz w:val="24"/>
      <w:szCs w:val="24"/>
    </w:rPr>
  </w:style>
  <w:style w:type="paragraph" w:styleId="Odstavecseseznamem">
    <w:name w:val="List Paragraph"/>
    <w:basedOn w:val="Normln"/>
    <w:uiPriority w:val="99"/>
    <w:qFormat/>
    <w:rsid w:val="00FC65FD"/>
    <w:pPr>
      <w:ind w:left="720"/>
      <w:contextualSpacing/>
    </w:pPr>
  </w:style>
  <w:style w:type="paragraph" w:styleId="Nadpisobsahu">
    <w:name w:val="TOC Heading"/>
    <w:basedOn w:val="Nadpis1"/>
    <w:next w:val="Normln"/>
    <w:uiPriority w:val="99"/>
    <w:qFormat/>
    <w:rsid w:val="00FC65FD"/>
    <w:pPr>
      <w:outlineLvl w:val="9"/>
    </w:pPr>
  </w:style>
  <w:style w:type="paragraph" w:styleId="Obsah1">
    <w:name w:val="toc 1"/>
    <w:basedOn w:val="Normln"/>
    <w:next w:val="Normln"/>
    <w:autoRedefine/>
    <w:uiPriority w:val="99"/>
    <w:rsid w:val="00FC65FD"/>
    <w:pPr>
      <w:tabs>
        <w:tab w:val="left" w:pos="1134"/>
        <w:tab w:val="right" w:leader="dot" w:pos="9060"/>
      </w:tabs>
      <w:ind w:left="993" w:hanging="993"/>
      <w:jc w:val="left"/>
    </w:pPr>
    <w:rPr>
      <w:b/>
      <w:smallCaps/>
      <w:noProof/>
    </w:rPr>
  </w:style>
  <w:style w:type="paragraph" w:styleId="Obsah2">
    <w:name w:val="toc 2"/>
    <w:basedOn w:val="Normln"/>
    <w:next w:val="Normln"/>
    <w:autoRedefine/>
    <w:uiPriority w:val="99"/>
    <w:rsid w:val="00FC65FD"/>
    <w:pPr>
      <w:tabs>
        <w:tab w:val="left" w:pos="993"/>
        <w:tab w:val="right" w:leader="dot" w:pos="9060"/>
      </w:tabs>
      <w:ind w:left="220"/>
    </w:pPr>
    <w:rPr>
      <w:smallCaps/>
      <w:noProof/>
    </w:rPr>
  </w:style>
  <w:style w:type="paragraph" w:styleId="Obsah3">
    <w:name w:val="toc 3"/>
    <w:basedOn w:val="Normln"/>
    <w:next w:val="Normln"/>
    <w:autoRedefine/>
    <w:uiPriority w:val="99"/>
    <w:rsid w:val="00FC65FD"/>
    <w:pPr>
      <w:ind w:left="440"/>
    </w:pPr>
  </w:style>
  <w:style w:type="character" w:styleId="Hypertextovodkaz">
    <w:name w:val="Hyperlink"/>
    <w:basedOn w:val="Standardnpsmoodstavce"/>
    <w:uiPriority w:val="99"/>
    <w:rsid w:val="00FC65FD"/>
    <w:rPr>
      <w:rFonts w:cs="Times New Roman"/>
      <w:color w:val="0000FF"/>
      <w:u w:val="single"/>
    </w:rPr>
  </w:style>
  <w:style w:type="paragraph" w:customStyle="1" w:styleId="Styl1">
    <w:name w:val="Styl1"/>
    <w:basedOn w:val="Normln"/>
    <w:next w:val="Normln"/>
    <w:uiPriority w:val="99"/>
    <w:rsid w:val="00FC65FD"/>
  </w:style>
  <w:style w:type="paragraph" w:styleId="Citace">
    <w:name w:val="Quote"/>
    <w:basedOn w:val="Normln"/>
    <w:next w:val="Normln"/>
    <w:link w:val="CitaceChar"/>
    <w:uiPriority w:val="99"/>
    <w:qFormat/>
    <w:rsid w:val="00FC65FD"/>
    <w:rPr>
      <w:i/>
      <w:iCs/>
      <w:color w:val="000000"/>
    </w:rPr>
  </w:style>
  <w:style w:type="character" w:customStyle="1" w:styleId="CitaceChar">
    <w:name w:val="Citace Char"/>
    <w:basedOn w:val="Standardnpsmoodstavce"/>
    <w:link w:val="Citace"/>
    <w:uiPriority w:val="99"/>
    <w:rsid w:val="00FC65FD"/>
    <w:rPr>
      <w:rFonts w:ascii="Times New Roman" w:eastAsia="Times New Roman" w:hAnsi="Times New Roman" w:cs="Times New Roman"/>
      <w:i/>
      <w:iCs/>
      <w:color w:val="000000"/>
      <w:sz w:val="24"/>
      <w:szCs w:val="24"/>
    </w:rPr>
  </w:style>
  <w:style w:type="paragraph" w:styleId="Bezmezer">
    <w:name w:val="No Spacing"/>
    <w:link w:val="BezmezerChar"/>
    <w:uiPriority w:val="99"/>
    <w:qFormat/>
    <w:rsid w:val="00FC65FD"/>
    <w:pPr>
      <w:jc w:val="both"/>
    </w:pPr>
    <w:rPr>
      <w:rFonts w:ascii="Times New Roman" w:eastAsia="Times New Roman" w:hAnsi="Times New Roman"/>
      <w:sz w:val="24"/>
      <w:szCs w:val="24"/>
      <w:lang w:eastAsia="en-US"/>
    </w:rPr>
  </w:style>
  <w:style w:type="character" w:customStyle="1" w:styleId="BezmezerChar">
    <w:name w:val="Bez mezer Char"/>
    <w:basedOn w:val="Standardnpsmoodstavce"/>
    <w:link w:val="Bezmezer"/>
    <w:uiPriority w:val="99"/>
    <w:locked/>
    <w:rsid w:val="00FC65FD"/>
    <w:rPr>
      <w:rFonts w:ascii="Times New Roman" w:eastAsia="Times New Roman" w:hAnsi="Times New Roman"/>
      <w:sz w:val="24"/>
      <w:szCs w:val="24"/>
      <w:lang w:val="cs-CZ" w:eastAsia="en-US" w:bidi="ar-SA"/>
    </w:rPr>
  </w:style>
  <w:style w:type="paragraph" w:customStyle="1" w:styleId="Zkladntext21">
    <w:name w:val="Základní text 21"/>
    <w:basedOn w:val="Normln"/>
    <w:uiPriority w:val="99"/>
    <w:rsid w:val="00FC65FD"/>
    <w:pPr>
      <w:spacing w:line="240" w:lineRule="auto"/>
    </w:pPr>
    <w:rPr>
      <w:rFonts w:ascii="Arial" w:hAnsi="Arial"/>
      <w:sz w:val="20"/>
      <w:szCs w:val="20"/>
      <w:lang w:eastAsia="cs-CZ"/>
    </w:rPr>
  </w:style>
  <w:style w:type="paragraph" w:styleId="Normlnweb">
    <w:name w:val="Normal (Web)"/>
    <w:basedOn w:val="Normln"/>
    <w:uiPriority w:val="99"/>
    <w:rsid w:val="00FC65FD"/>
    <w:pPr>
      <w:spacing w:before="100" w:beforeAutospacing="1" w:after="100" w:afterAutospacing="1" w:line="240" w:lineRule="auto"/>
      <w:jc w:val="left"/>
    </w:pPr>
    <w:rPr>
      <w:lang w:eastAsia="cs-CZ"/>
    </w:rPr>
  </w:style>
  <w:style w:type="paragraph" w:customStyle="1" w:styleId="xl24">
    <w:name w:val="xl24"/>
    <w:basedOn w:val="Normln"/>
    <w:uiPriority w:val="99"/>
    <w:rsid w:val="00FC65FD"/>
    <w:pPr>
      <w:spacing w:before="100" w:beforeAutospacing="1" w:after="100" w:afterAutospacing="1" w:line="240" w:lineRule="auto"/>
      <w:jc w:val="left"/>
    </w:pPr>
    <w:rPr>
      <w:rFonts w:ascii="Arial" w:eastAsia="Arial Unicode MS" w:hAnsi="Arial"/>
      <w:sz w:val="20"/>
      <w:lang w:eastAsia="cs-CZ"/>
    </w:rPr>
  </w:style>
  <w:style w:type="character" w:styleId="Siln">
    <w:name w:val="Strong"/>
    <w:basedOn w:val="Standardnpsmoodstavce"/>
    <w:uiPriority w:val="99"/>
    <w:qFormat/>
    <w:rsid w:val="00FC65FD"/>
    <w:rPr>
      <w:rFonts w:cs="Times New Roman"/>
      <w:b/>
      <w:bCs/>
    </w:rPr>
  </w:style>
  <w:style w:type="paragraph" w:styleId="Prosttext">
    <w:name w:val="Plain Text"/>
    <w:basedOn w:val="Normln"/>
    <w:link w:val="ProsttextChar"/>
    <w:uiPriority w:val="99"/>
    <w:rsid w:val="00FC65FD"/>
    <w:pPr>
      <w:spacing w:line="240" w:lineRule="auto"/>
      <w:jc w:val="left"/>
    </w:pPr>
    <w:rPr>
      <w:rFonts w:ascii="Courier New" w:hAnsi="Courier New" w:cs="Courier New"/>
      <w:sz w:val="20"/>
      <w:szCs w:val="20"/>
      <w:lang w:eastAsia="cs-CZ"/>
    </w:rPr>
  </w:style>
  <w:style w:type="character" w:customStyle="1" w:styleId="ProsttextChar">
    <w:name w:val="Prostý text Char"/>
    <w:basedOn w:val="Standardnpsmoodstavce"/>
    <w:link w:val="Prosttext"/>
    <w:uiPriority w:val="99"/>
    <w:rsid w:val="00FC65FD"/>
    <w:rPr>
      <w:rFonts w:ascii="Courier New" w:eastAsia="Times New Roman" w:hAnsi="Courier New" w:cs="Courier New"/>
      <w:sz w:val="20"/>
      <w:szCs w:val="20"/>
      <w:lang w:eastAsia="cs-CZ"/>
    </w:rPr>
  </w:style>
  <w:style w:type="character" w:styleId="Zvraznn">
    <w:name w:val="Emphasis"/>
    <w:basedOn w:val="Standardnpsmoodstavce"/>
    <w:uiPriority w:val="99"/>
    <w:qFormat/>
    <w:rsid w:val="00FC65FD"/>
    <w:rPr>
      <w:rFonts w:cs="Times New Roman"/>
      <w:i/>
      <w:iCs/>
    </w:rPr>
  </w:style>
  <w:style w:type="paragraph" w:styleId="Seznamobrzk">
    <w:name w:val="table of figures"/>
    <w:basedOn w:val="Normln"/>
    <w:next w:val="Normln"/>
    <w:uiPriority w:val="99"/>
    <w:rsid w:val="00FC65FD"/>
  </w:style>
  <w:style w:type="paragraph" w:customStyle="1" w:styleId="note2">
    <w:name w:val="note2"/>
    <w:basedOn w:val="Normln"/>
    <w:uiPriority w:val="99"/>
    <w:rsid w:val="00FC65FD"/>
    <w:pPr>
      <w:spacing w:before="75" w:after="225" w:line="240" w:lineRule="auto"/>
    </w:pPr>
    <w:rPr>
      <w:sz w:val="19"/>
      <w:szCs w:val="19"/>
      <w:lang w:eastAsia="cs-CZ"/>
    </w:rPr>
  </w:style>
  <w:style w:type="character" w:customStyle="1" w:styleId="googqs-tidbit-1">
    <w:name w:val="goog_qs-tidbit-1"/>
    <w:basedOn w:val="Standardnpsmoodstavce"/>
    <w:uiPriority w:val="99"/>
    <w:rsid w:val="00FC65FD"/>
    <w:rPr>
      <w:rFonts w:cs="Times New Roman"/>
    </w:rPr>
  </w:style>
  <w:style w:type="character" w:customStyle="1" w:styleId="ZkladntextChar">
    <w:name w:val="Základní text Char"/>
    <w:basedOn w:val="Standardnpsmoodstavce"/>
    <w:link w:val="Zkladntext"/>
    <w:uiPriority w:val="99"/>
    <w:semiHidden/>
    <w:rsid w:val="00FC65FD"/>
    <w:rPr>
      <w:rFonts w:ascii="Times New Roman" w:eastAsia="Times New Roman" w:hAnsi="Times New Roman" w:cs="Times New Roman"/>
      <w:sz w:val="24"/>
      <w:szCs w:val="20"/>
      <w:lang w:eastAsia="ar-SA"/>
    </w:rPr>
  </w:style>
  <w:style w:type="paragraph" w:styleId="Zkladntext">
    <w:name w:val="Body Text"/>
    <w:basedOn w:val="Normln"/>
    <w:link w:val="ZkladntextChar"/>
    <w:uiPriority w:val="99"/>
    <w:semiHidden/>
    <w:rsid w:val="00FC65FD"/>
    <w:pPr>
      <w:suppressAutoHyphens/>
      <w:spacing w:line="240" w:lineRule="auto"/>
    </w:pPr>
    <w:rPr>
      <w:szCs w:val="20"/>
      <w:lang w:eastAsia="ar-SA"/>
    </w:rPr>
  </w:style>
  <w:style w:type="paragraph" w:customStyle="1" w:styleId="Diplomka-textodstavce">
    <w:name w:val="Diplomka - text odstavce"/>
    <w:uiPriority w:val="99"/>
    <w:rsid w:val="00FC65FD"/>
    <w:pPr>
      <w:suppressAutoHyphens/>
      <w:spacing w:before="120" w:after="120" w:line="360" w:lineRule="auto"/>
      <w:jc w:val="both"/>
    </w:pPr>
    <w:rPr>
      <w:rFonts w:ascii="Times New Roman" w:hAnsi="Times New Roman"/>
      <w:sz w:val="24"/>
      <w:lang w:eastAsia="ar-SA"/>
    </w:rPr>
  </w:style>
  <w:style w:type="paragraph" w:customStyle="1" w:styleId="NadpisPloha">
    <w:name w:val="Nadpis Příloha"/>
    <w:basedOn w:val="Normln"/>
    <w:uiPriority w:val="99"/>
    <w:rsid w:val="00FC65FD"/>
    <w:pPr>
      <w:spacing w:after="200"/>
      <w:jc w:val="center"/>
    </w:pPr>
    <w:rPr>
      <w:b/>
      <w:szCs w:val="22"/>
    </w:rPr>
  </w:style>
  <w:style w:type="paragraph" w:customStyle="1" w:styleId="Default">
    <w:name w:val="Default"/>
    <w:uiPriority w:val="99"/>
    <w:rsid w:val="00FC65FD"/>
    <w:pPr>
      <w:autoSpaceDE w:val="0"/>
      <w:autoSpaceDN w:val="0"/>
      <w:adjustRightInd w:val="0"/>
    </w:pPr>
    <w:rPr>
      <w:rFonts w:ascii="Times New Roman" w:hAnsi="Times New Roman"/>
      <w:color w:val="000000"/>
      <w:sz w:val="24"/>
      <w:szCs w:val="24"/>
    </w:rPr>
  </w:style>
  <w:style w:type="paragraph" w:styleId="Nzev">
    <w:name w:val="Title"/>
    <w:basedOn w:val="Normln"/>
    <w:next w:val="Normln"/>
    <w:link w:val="NzevChar"/>
    <w:uiPriority w:val="99"/>
    <w:qFormat/>
    <w:rsid w:val="00FC65FD"/>
    <w:pPr>
      <w:pBdr>
        <w:bottom w:val="single" w:sz="8" w:space="4" w:color="4F81BD"/>
      </w:pBdr>
      <w:spacing w:after="300" w:line="240" w:lineRule="auto"/>
      <w:contextualSpacing/>
    </w:pPr>
    <w:rPr>
      <w:color w:val="17365D"/>
      <w:spacing w:val="5"/>
      <w:kern w:val="28"/>
      <w:sz w:val="52"/>
      <w:szCs w:val="52"/>
    </w:rPr>
  </w:style>
  <w:style w:type="character" w:customStyle="1" w:styleId="NzevChar">
    <w:name w:val="Název Char"/>
    <w:basedOn w:val="Standardnpsmoodstavce"/>
    <w:link w:val="Nzev"/>
    <w:uiPriority w:val="99"/>
    <w:rsid w:val="00FC65FD"/>
    <w:rPr>
      <w:rFonts w:ascii="Times New Roman" w:eastAsia="Times New Roman" w:hAnsi="Times New Roman" w:cs="Times New Roman"/>
      <w:color w:val="17365D"/>
      <w:spacing w:val="5"/>
      <w:kern w:val="28"/>
      <w:sz w:val="52"/>
      <w:szCs w:val="52"/>
    </w:rPr>
  </w:style>
  <w:style w:type="character" w:customStyle="1" w:styleId="full-999-body-value">
    <w:name w:val="full-999-body-value"/>
    <w:basedOn w:val="Standardnpsmoodstavce"/>
    <w:uiPriority w:val="99"/>
    <w:rsid w:val="00FC65FD"/>
    <w:rPr>
      <w:rFonts w:cs="Times New Roman"/>
    </w:rPr>
  </w:style>
  <w:style w:type="character" w:customStyle="1" w:styleId="z-ZatekformuleChar">
    <w:name w:val="z-Začátek formuláře Char"/>
    <w:basedOn w:val="Standardnpsmoodstavce"/>
    <w:link w:val="z-Zatekformule"/>
    <w:uiPriority w:val="99"/>
    <w:semiHidden/>
    <w:rsid w:val="00FC65FD"/>
    <w:rPr>
      <w:rFonts w:ascii="Arial" w:eastAsia="Times New Roman" w:hAnsi="Arial" w:cs="Arial"/>
      <w:vanish/>
      <w:sz w:val="16"/>
      <w:szCs w:val="16"/>
      <w:lang w:eastAsia="cs-CZ"/>
    </w:rPr>
  </w:style>
  <w:style w:type="paragraph" w:styleId="z-Zatekformule">
    <w:name w:val="HTML Top of Form"/>
    <w:basedOn w:val="Normln"/>
    <w:next w:val="Normln"/>
    <w:link w:val="z-ZatekformuleChar"/>
    <w:hidden/>
    <w:uiPriority w:val="99"/>
    <w:semiHidden/>
    <w:rsid w:val="00FC65FD"/>
    <w:pPr>
      <w:pBdr>
        <w:bottom w:val="single" w:sz="6" w:space="1" w:color="auto"/>
      </w:pBdr>
      <w:spacing w:line="240" w:lineRule="auto"/>
      <w:jc w:val="center"/>
    </w:pPr>
    <w:rPr>
      <w:rFonts w:ascii="Arial"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FC65FD"/>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rsid w:val="00FC65FD"/>
    <w:pPr>
      <w:pBdr>
        <w:top w:val="single" w:sz="6" w:space="1" w:color="auto"/>
      </w:pBdr>
      <w:spacing w:line="240" w:lineRule="auto"/>
      <w:jc w:val="center"/>
    </w:pPr>
    <w:rPr>
      <w:rFonts w:ascii="Arial" w:hAnsi="Arial" w:cs="Arial"/>
      <w:vanish/>
      <w:sz w:val="16"/>
      <w:szCs w:val="16"/>
      <w:lang w:eastAsia="cs-CZ"/>
    </w:rPr>
  </w:style>
  <w:style w:type="character" w:customStyle="1" w:styleId="ft">
    <w:name w:val="ft"/>
    <w:basedOn w:val="Standardnpsmoodstavce"/>
    <w:uiPriority w:val="99"/>
    <w:rsid w:val="00FC65FD"/>
    <w:rPr>
      <w:rFonts w:cs="Times New Roman"/>
    </w:rPr>
  </w:style>
  <w:style w:type="character" w:customStyle="1" w:styleId="obsahpole1">
    <w:name w:val="obsah_pole1"/>
    <w:basedOn w:val="Standardnpsmoodstavce"/>
    <w:uiPriority w:val="99"/>
    <w:rsid w:val="00FC65FD"/>
    <w:rPr>
      <w:rFonts w:ascii="Arial" w:hAnsi="Arial" w:cs="Arial"/>
      <w:color w:val="000000"/>
      <w:sz w:val="18"/>
      <w:szCs w:val="18"/>
    </w:rPr>
  </w:style>
  <w:style w:type="character" w:customStyle="1" w:styleId="TextvysvtlivekChar">
    <w:name w:val="Text vysvětlivek Char"/>
    <w:basedOn w:val="Standardnpsmoodstavce"/>
    <w:link w:val="Textvysvtlivek"/>
    <w:uiPriority w:val="99"/>
    <w:semiHidden/>
    <w:rsid w:val="00FC65FD"/>
    <w:rPr>
      <w:rFonts w:ascii="Times New Roman" w:eastAsia="Times New Roman" w:hAnsi="Times New Roman" w:cs="Times New Roman"/>
      <w:sz w:val="20"/>
      <w:szCs w:val="20"/>
    </w:rPr>
  </w:style>
  <w:style w:type="paragraph" w:styleId="Textvysvtlivek">
    <w:name w:val="endnote text"/>
    <w:basedOn w:val="Normln"/>
    <w:link w:val="TextvysvtlivekChar"/>
    <w:uiPriority w:val="99"/>
    <w:semiHidden/>
    <w:rsid w:val="00FC65FD"/>
    <w:pPr>
      <w:spacing w:line="240" w:lineRule="auto"/>
    </w:pPr>
    <w:rPr>
      <w:sz w:val="20"/>
      <w:szCs w:val="20"/>
    </w:rPr>
  </w:style>
  <w:style w:type="character" w:styleId="Zdraznnintenzivn">
    <w:name w:val="Intense Emphasis"/>
    <w:basedOn w:val="Standardnpsmoodstavce"/>
    <w:uiPriority w:val="99"/>
    <w:qFormat/>
    <w:rsid w:val="00FC65FD"/>
    <w:rPr>
      <w:rFonts w:cs="Times New Roman"/>
      <w:b/>
      <w:bCs/>
      <w:i/>
      <w:iCs/>
      <w:color w:val="4F81BD"/>
    </w:rPr>
  </w:style>
  <w:style w:type="paragraph" w:customStyle="1" w:styleId="Odrakastyl">
    <w:name w:val="Odražka styl"/>
    <w:basedOn w:val="Normln"/>
    <w:link w:val="OdrakastylChar"/>
    <w:uiPriority w:val="99"/>
    <w:rsid w:val="00FC65FD"/>
    <w:pPr>
      <w:numPr>
        <w:numId w:val="17"/>
      </w:numPr>
      <w:tabs>
        <w:tab w:val="left" w:pos="904"/>
      </w:tabs>
    </w:pPr>
    <w:rPr>
      <w:szCs w:val="22"/>
      <w:lang w:eastAsia="ar-SA"/>
    </w:rPr>
  </w:style>
  <w:style w:type="character" w:customStyle="1" w:styleId="OdrakastylChar">
    <w:name w:val="Odražka styl Char"/>
    <w:basedOn w:val="Standardnpsmoodstavce"/>
    <w:link w:val="Odrakastyl"/>
    <w:uiPriority w:val="99"/>
    <w:locked/>
    <w:rsid w:val="00FC65FD"/>
    <w:rPr>
      <w:rFonts w:ascii="Times New Roman" w:eastAsia="Times New Roman" w:hAnsi="Times New Roman"/>
      <w:sz w:val="24"/>
      <w:szCs w:val="22"/>
      <w:lang w:eastAsia="ar-SA"/>
    </w:rPr>
  </w:style>
  <w:style w:type="character" w:styleId="slostrnky">
    <w:name w:val="page number"/>
    <w:basedOn w:val="Standardnpsmoodstavce"/>
    <w:rsid w:val="00876B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858010-6626-461C-9B1C-10DAD9109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5446</Words>
  <Characters>32133</Characters>
  <Application>Microsoft Office Word</Application>
  <DocSecurity>0</DocSecurity>
  <Lines>267</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irenaO</dc:creator>
  <cp:lastModifiedBy>irenaO</cp:lastModifiedBy>
  <cp:revision>2</cp:revision>
  <cp:lastPrinted>2013-03-20T07:19:00Z</cp:lastPrinted>
  <dcterms:created xsi:type="dcterms:W3CDTF">2014-03-07T13:10:00Z</dcterms:created>
  <dcterms:modified xsi:type="dcterms:W3CDTF">2014-03-07T13:10:00Z</dcterms:modified>
</cp:coreProperties>
</file>