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FB9DD" w14:textId="18FA0507" w:rsidR="00A16AE9" w:rsidRDefault="005079D3" w:rsidP="00B506B0">
      <w:pPr>
        <w:jc w:val="center"/>
        <w:outlineLvl w:val="0"/>
        <w:rPr>
          <w:smallCaps/>
          <w:sz w:val="28"/>
          <w:szCs w:val="28"/>
        </w:rPr>
      </w:pPr>
      <w:bookmarkStart w:id="0" w:name="_GoBack"/>
      <w:bookmarkEnd w:id="0"/>
      <w:r>
        <w:rPr>
          <w:smallCaps/>
          <w:sz w:val="28"/>
          <w:szCs w:val="28"/>
        </w:rPr>
        <w:t xml:space="preserve"> </w:t>
      </w:r>
      <w:r w:rsidR="00A16AE9">
        <w:rPr>
          <w:smallCaps/>
          <w:sz w:val="28"/>
          <w:szCs w:val="28"/>
        </w:rPr>
        <w:t xml:space="preserve">Cost-Benefit Analysis and the </w:t>
      </w:r>
      <w:r w:rsidR="00B506B0">
        <w:rPr>
          <w:smallCaps/>
          <w:sz w:val="28"/>
          <w:szCs w:val="28"/>
        </w:rPr>
        <w:t>Precaution</w:t>
      </w:r>
      <w:r w:rsidR="00A16AE9">
        <w:rPr>
          <w:smallCaps/>
          <w:sz w:val="28"/>
          <w:szCs w:val="28"/>
        </w:rPr>
        <w:t xml:space="preserve">ary Principle:  </w:t>
      </w:r>
    </w:p>
    <w:p w14:paraId="4CF2CA7C" w14:textId="26752D45" w:rsidR="00B506B0" w:rsidRDefault="00A16AE9" w:rsidP="00B506B0">
      <w:pPr>
        <w:jc w:val="center"/>
        <w:outlineLvl w:val="0"/>
        <w:rPr>
          <w:smallCaps/>
          <w:sz w:val="28"/>
          <w:szCs w:val="28"/>
        </w:rPr>
      </w:pPr>
      <w:r>
        <w:rPr>
          <w:smallCaps/>
          <w:sz w:val="28"/>
          <w:szCs w:val="28"/>
        </w:rPr>
        <w:t>Can They be Reconciled?</w:t>
      </w:r>
    </w:p>
    <w:p w14:paraId="3B28C75E" w14:textId="77777777" w:rsidR="00A16AE9" w:rsidRDefault="00A16AE9" w:rsidP="00B506B0">
      <w:pPr>
        <w:jc w:val="center"/>
        <w:outlineLvl w:val="0"/>
        <w:rPr>
          <w:smallCaps/>
          <w:sz w:val="28"/>
          <w:szCs w:val="28"/>
        </w:rPr>
      </w:pPr>
    </w:p>
    <w:p w14:paraId="194ECD11" w14:textId="6F0304D9" w:rsidR="00B506B0" w:rsidRDefault="00B506B0" w:rsidP="00B506B0">
      <w:pPr>
        <w:jc w:val="center"/>
        <w:outlineLvl w:val="0"/>
        <w:rPr>
          <w:rFonts w:cs="Times New Roman"/>
          <w:i/>
        </w:rPr>
      </w:pPr>
      <w:r>
        <w:rPr>
          <w:rFonts w:cs="Times New Roman"/>
          <w:i/>
        </w:rPr>
        <w:t>David M. Driesen</w:t>
      </w:r>
      <w:r w:rsidR="00E76AFD" w:rsidRPr="00E76AFD">
        <w:rPr>
          <w:rStyle w:val="Znakapoznpodarou"/>
          <w:rFonts w:cs="Times New Roman"/>
          <w:i/>
        </w:rPr>
        <w:footnoteReference w:customMarkFollows="1" w:id="2"/>
        <w:sym w:font="Symbol" w:char="F02A"/>
      </w:r>
    </w:p>
    <w:p w14:paraId="7F1DCCBB" w14:textId="77777777" w:rsidR="00B506B0" w:rsidRDefault="00B506B0" w:rsidP="00B506B0">
      <w:pPr>
        <w:jc w:val="center"/>
        <w:rPr>
          <w:rFonts w:cs="Times New Roman"/>
          <w:i/>
        </w:rPr>
      </w:pPr>
    </w:p>
    <w:p w14:paraId="35440DAE" w14:textId="77777777" w:rsidR="00B506B0" w:rsidRDefault="00B506B0" w:rsidP="00B506B0">
      <w:pPr>
        <w:jc w:val="center"/>
        <w:outlineLvl w:val="0"/>
        <w:rPr>
          <w:rFonts w:cs="Times New Roman"/>
          <w:smallCaps/>
        </w:rPr>
      </w:pPr>
      <w:r>
        <w:rPr>
          <w:rFonts w:cs="Times New Roman"/>
        </w:rPr>
        <w:t xml:space="preserve">I.  </w:t>
      </w:r>
      <w:r>
        <w:rPr>
          <w:rFonts w:cs="Times New Roman"/>
          <w:smallCaps/>
        </w:rPr>
        <w:t>Introduction</w:t>
      </w:r>
    </w:p>
    <w:p w14:paraId="0ECDADD9" w14:textId="77777777" w:rsidR="00B506B0" w:rsidRDefault="00B506B0" w:rsidP="00B506B0">
      <w:pPr>
        <w:rPr>
          <w:b/>
        </w:rPr>
      </w:pPr>
    </w:p>
    <w:p w14:paraId="039304F3" w14:textId="5A7E9477" w:rsidR="00B506B0" w:rsidRDefault="00B506B0" w:rsidP="00B506B0">
      <w:pPr>
        <w:jc w:val="both"/>
      </w:pPr>
      <w:r>
        <w:rPr>
          <w:b/>
        </w:rPr>
        <w:tab/>
      </w:r>
      <w:r>
        <w:rPr>
          <w:b/>
        </w:rPr>
        <w:tab/>
      </w:r>
      <w:r>
        <w:t>Conventional wisdom teaches us that cost-benefit analysis (CBA) conflicts with the precautionary principle.</w:t>
      </w:r>
      <w:bookmarkStart w:id="1" w:name="_Ref221176033"/>
      <w:r>
        <w:rPr>
          <w:rStyle w:val="Znakapoznpodarou"/>
        </w:rPr>
        <w:footnoteReference w:id="3"/>
      </w:r>
      <w:bookmarkEnd w:id="1"/>
      <w:r>
        <w:t xml:space="preserve">  Proponents of the precautionary principle criticize CBA as an effort to defeat sensible precaution.</w:t>
      </w:r>
      <w:bookmarkStart w:id="2" w:name="_Ref319657139"/>
      <w:r>
        <w:rPr>
          <w:rStyle w:val="Znakapoznpodarou"/>
        </w:rPr>
        <w:footnoteReference w:id="4"/>
      </w:r>
      <w:bookmarkEnd w:id="2"/>
      <w:r>
        <w:t xml:space="preserve"> Proponents of CBA criticize precaution as a hopelessly incoherent threat to the enhanced rationality available through CBA.</w:t>
      </w:r>
      <w:bookmarkStart w:id="3" w:name="_Ref323812279"/>
      <w:r>
        <w:rPr>
          <w:rStyle w:val="Znakapoznpodarou"/>
        </w:rPr>
        <w:footnoteReference w:id="5"/>
      </w:r>
      <w:bookmarkEnd w:id="3"/>
      <w:r>
        <w:t xml:space="preserve">  The conventional wisdom associates the precautionary approach with environmental extremism</w:t>
      </w:r>
      <w:bookmarkStart w:id="4" w:name="_Ref319933114"/>
      <w:r w:rsidR="00110A52">
        <w:t xml:space="preserve"> and CBA with careful balancing.</w:t>
      </w:r>
      <w:r>
        <w:rPr>
          <w:rStyle w:val="Znakapoznpodarou"/>
        </w:rPr>
        <w:footnoteReference w:id="6"/>
      </w:r>
      <w:bookmarkEnd w:id="4"/>
      <w:r>
        <w:t xml:space="preserve">  CBA’s fans emphasize quantitative calculation whilst precaution’s advocates stress qualitative judgment.  CBA’s critics see CBA as an enemy of environmental progress; precaution’s detractors see the precautionary principle as a threat to our economy</w:t>
      </w:r>
      <w:bookmarkStart w:id="5" w:name="_Ref322956143"/>
      <w:r>
        <w:t>.</w:t>
      </w:r>
      <w:bookmarkStart w:id="6" w:name="_Ref214331791"/>
      <w:r>
        <w:rPr>
          <w:rStyle w:val="Znakapoznpodarou"/>
        </w:rPr>
        <w:footnoteReference w:id="7"/>
      </w:r>
      <w:bookmarkEnd w:id="5"/>
      <w:bookmarkEnd w:id="6"/>
      <w:r>
        <w:t xml:space="preserve"> </w:t>
      </w:r>
    </w:p>
    <w:p w14:paraId="3A318AB6" w14:textId="749D5DE5" w:rsidR="00B506B0" w:rsidRDefault="00B506B0" w:rsidP="00B506B0">
      <w:pPr>
        <w:jc w:val="both"/>
      </w:pPr>
      <w:r>
        <w:tab/>
      </w:r>
      <w:r>
        <w:tab/>
        <w:t>Recent experience seems to vindicate the conventional wisdom maintaining that the two ideas conflict.  The Obama administration has committed itself to CBA, through an executive order that generally reaffirms the centrality CBA has enjoyed since Ronald Reagan and the appointment of Cass Sunstein</w:t>
      </w:r>
      <w:r>
        <w:softHyphen/>
        <w:t>—a leading academic supporter of CBA—as the head of Office of Information and Regulatory Affairs (OIRA) at the Office of Management and Budget.</w:t>
      </w:r>
      <w:bookmarkStart w:id="7" w:name="_Ref322956541"/>
      <w:r>
        <w:rPr>
          <w:rStyle w:val="Znakapoznpodarou"/>
        </w:rPr>
        <w:footnoteReference w:id="8"/>
      </w:r>
      <w:bookmarkEnd w:id="7"/>
      <w:r>
        <w:t xml:space="preserve">  At the same time, the Obama administration has enacted standards designed to address global climate disruption.</w:t>
      </w:r>
      <w:r>
        <w:rPr>
          <w:rStyle w:val="Znakapoznpodarou"/>
        </w:rPr>
        <w:footnoteReference w:id="9"/>
      </w:r>
      <w:r>
        <w:t xml:space="preserve">  Recognizing that its ongoing </w:t>
      </w:r>
      <w:r>
        <w:lastRenderedPageBreak/>
        <w:t>rulemaking in this area would, in light of the executive order, repeatedly raise issues about how to value greenhouse gas abatement’s benefits, the Obama administration convened an interagency working group (IWG) to evaluate the “social cost of carbon”—the dollar value of the harms associated with a ton of carbon dioxide emissions.</w:t>
      </w:r>
      <w:bookmarkStart w:id="8" w:name="_Ref333400102"/>
      <w:r>
        <w:rPr>
          <w:rStyle w:val="Znakapoznpodarou"/>
        </w:rPr>
        <w:footnoteReference w:id="10"/>
      </w:r>
      <w:bookmarkEnd w:id="8"/>
      <w:r>
        <w:t xml:space="preserve">  The IWG, building on </w:t>
      </w:r>
      <w:r w:rsidR="008A091D">
        <w:t>economic analyses</w:t>
      </w:r>
      <w:r>
        <w:t xml:space="preserve"> that ignored or slighted many of climate disruption’s risks, provided a central estimate of the social cost of carbon as $21 per ton, a very small number.</w:t>
      </w:r>
      <w:r>
        <w:rPr>
          <w:rStyle w:val="Znakapoznpodarou"/>
        </w:rPr>
        <w:footnoteReference w:id="11"/>
      </w:r>
      <w:r>
        <w:t xml:space="preserve">  Predictably, environmental groups decried the estimate as too low and likely to lead to actions inconsistent with precaution.  </w:t>
      </w:r>
    </w:p>
    <w:p w14:paraId="19A336F2" w14:textId="77777777" w:rsidR="00B506B0" w:rsidRDefault="00B506B0" w:rsidP="00B506B0">
      <w:pPr>
        <w:jc w:val="both"/>
      </w:pPr>
      <w:r>
        <w:tab/>
      </w:r>
      <w:r>
        <w:tab/>
        <w:t xml:space="preserve">This Article uses a case study of climate disruption CBA, including the IWG’s recent work, to question the widely shared conventional wisdom.  CBA is impossible without either a precautionary or anti-precautionary approach to incompletely understood risk.  This means that precaution might prove possible </w:t>
      </w:r>
      <w:r>
        <w:rPr>
          <w:i/>
        </w:rPr>
        <w:t>within</w:t>
      </w:r>
      <w:r>
        <w:t xml:space="preserve"> </w:t>
      </w:r>
      <w:r>
        <w:rPr>
          <w:i/>
        </w:rPr>
        <w:t>the CBA framework.</w:t>
      </w:r>
      <w:r>
        <w:t xml:space="preserve">  </w:t>
      </w:r>
    </w:p>
    <w:p w14:paraId="257F98B0" w14:textId="5DC4B606" w:rsidR="00B506B0" w:rsidRDefault="00B506B0" w:rsidP="00B506B0">
      <w:pPr>
        <w:jc w:val="both"/>
      </w:pPr>
      <w:r>
        <w:tab/>
      </w:r>
      <w:r>
        <w:tab/>
      </w:r>
      <w:r w:rsidR="00CD48F5">
        <w:t>CBA can</w:t>
      </w:r>
      <w:r>
        <w:t xml:space="preserve"> justify very vigorous action to address climate disruption, or doing next to nothing.</w:t>
      </w:r>
      <w:bookmarkStart w:id="9" w:name="_Ref334598364"/>
      <w:r>
        <w:rPr>
          <w:rStyle w:val="Znakapoznpodarou"/>
        </w:rPr>
        <w:footnoteReference w:id="12"/>
      </w:r>
      <w:bookmarkEnd w:id="9"/>
      <w:r>
        <w:t xml:space="preserve">  It all depends on how analysts and policymakers approach the myriad assumptions needed to carry out a CBA.</w:t>
      </w:r>
      <w:bookmarkStart w:id="10" w:name="_Ref334598322"/>
      <w:r>
        <w:rPr>
          <w:rStyle w:val="Znakapoznpodarou"/>
        </w:rPr>
        <w:footnoteReference w:id="13"/>
      </w:r>
      <w:bookmarkEnd w:id="10"/>
      <w:r>
        <w:t xml:space="preserve">  Analysts employing conservative assumptions about damages and pessimistic assumptions about policy’s influence on technological progress come up with CBA “showing” that we should not do very much, whilst analysts using more pessimistic assumptions about damages and optimistic assumptions about costs “show” that we should act very vigorously.</w:t>
      </w:r>
      <w:r>
        <w:rPr>
          <w:rStyle w:val="Znakapoznpodarou"/>
        </w:rPr>
        <w:footnoteReference w:id="14"/>
      </w:r>
      <w:r>
        <w:t xml:space="preserve"> </w:t>
      </w:r>
    </w:p>
    <w:p w14:paraId="2B116950" w14:textId="44A54E23" w:rsidR="00B506B0" w:rsidRDefault="00B506B0" w:rsidP="00B506B0">
      <w:pPr>
        <w:jc w:val="both"/>
      </w:pPr>
      <w:r>
        <w:tab/>
      </w:r>
      <w:r>
        <w:tab/>
        <w:t>This new understanding that precaution and CBA might prove reconcilable has enormous implications for environmental policy.</w:t>
      </w:r>
      <w:r>
        <w:rPr>
          <w:rStyle w:val="Znakapoznpodarou"/>
        </w:rPr>
        <w:footnoteReference w:id="15"/>
      </w:r>
      <w:r>
        <w:t xml:space="preserve">  With respect to environmental policy generally, we need to recognize that CBA does not provide a means of mechanically calibrating appropriate standards.</w:t>
      </w:r>
      <w:bookmarkStart w:id="11" w:name="_Ref325619035"/>
      <w:r>
        <w:rPr>
          <w:rStyle w:val="Znakapoznpodarou"/>
        </w:rPr>
        <w:footnoteReference w:id="16"/>
      </w:r>
      <w:bookmarkEnd w:id="11"/>
      <w:r>
        <w:t xml:space="preserve"> This is not to say that CBA is meaningless.  But its </w:t>
      </w:r>
      <w:r>
        <w:lastRenderedPageBreak/>
        <w:t>meaning stems more from the underlying normative commitments reflected in the approach and its practitioners’ attitudes than from mechanical calculation of costs and benefits.  We also need to understand the precautionary principle in a more precise way, as indicating an attitude to uncertainty, not necessarily as a complete guide to set</w:t>
      </w:r>
      <w:r w:rsidR="00EC3286">
        <w:t>ting</w:t>
      </w:r>
      <w:r>
        <w:t xml:space="preserve"> abatement levels.  This Article sheds light on what </w:t>
      </w:r>
      <w:r w:rsidR="00B33D3B">
        <w:t>the precautionary principle</w:t>
      </w:r>
      <w:r>
        <w:t xml:space="preserve"> says, and just as importantly, what it does not say, about abatement levels. </w:t>
      </w:r>
      <w:r w:rsidR="00E4050B">
        <w:t xml:space="preserve"> Hence, the inquiry into whether CBA and precaution conflict illuminates both concepts.</w:t>
      </w:r>
    </w:p>
    <w:p w14:paraId="5601DF94" w14:textId="14B38077" w:rsidR="00B506B0" w:rsidRDefault="00B506B0" w:rsidP="00B506B0">
      <w:pPr>
        <w:jc w:val="both"/>
      </w:pPr>
      <w:r>
        <w:tab/>
      </w:r>
      <w:r>
        <w:tab/>
        <w:t xml:space="preserve">This understanding of CBA as providing a framework that generates results corresponding to its practitioners’ attitudes and that precaution primarily addresses uncertainty suggests a pathway for </w:t>
      </w:r>
      <w:r w:rsidR="00EC3286">
        <w:t xml:space="preserve">addressing precaution within CBA </w:t>
      </w:r>
      <w:r>
        <w:t>address</w:t>
      </w:r>
      <w:r w:rsidR="00EC3286">
        <w:t>ing</w:t>
      </w:r>
      <w:r>
        <w:t xml:space="preserve"> global climate disruption</w:t>
      </w:r>
      <w:r w:rsidR="00EC3286">
        <w:t xml:space="preserve"> and other crucial environmental issues</w:t>
      </w:r>
      <w:r>
        <w:t>.</w:t>
      </w:r>
      <w:r w:rsidR="00C07A23">
        <w:t xml:space="preserve">  Analysts can embrace precautionary assumptions to addressing uncertainties underlying CBA.</w:t>
      </w:r>
      <w:r>
        <w:t xml:space="preserve">  </w:t>
      </w:r>
      <w:r w:rsidR="00C07A23">
        <w:t>Q</w:t>
      </w:r>
      <w:r>
        <w:t>uestions about how to estimate the benefits</w:t>
      </w:r>
      <w:r w:rsidR="00272243">
        <w:t xml:space="preserve"> of ameliorating significant environmental problems like </w:t>
      </w:r>
      <w:r>
        <w:t>global climate disruption are both too political and too scientific to be left solely to economists.  This Article therefore develops a set of methodological and institutional recommendations designed to appropriately resolve these questions</w:t>
      </w:r>
      <w:r w:rsidR="00272243">
        <w:t xml:space="preserve"> in ways that minimize potential tension between precaution and CBA</w:t>
      </w:r>
      <w:r>
        <w:t>.  This approach takes into account the locus of appropriate expertise within the government and relevant international law.</w:t>
      </w:r>
    </w:p>
    <w:p w14:paraId="20EB0F7A" w14:textId="1B47FAC4" w:rsidR="00B506B0" w:rsidRDefault="00B506B0" w:rsidP="00B506B0">
      <w:pPr>
        <w:jc w:val="both"/>
      </w:pPr>
      <w:r>
        <w:tab/>
      </w:r>
      <w:r>
        <w:tab/>
        <w:t xml:space="preserve">These ideas about </w:t>
      </w:r>
      <w:r w:rsidR="00272243">
        <w:t xml:space="preserve">making </w:t>
      </w:r>
      <w:r>
        <w:t>CBA</w:t>
      </w:r>
      <w:r w:rsidR="00272243">
        <w:t xml:space="preserve"> precautionary</w:t>
      </w:r>
      <w:r>
        <w:t xml:space="preserve"> may have an immediate payoff.  Analysts with divergent views of climate policy and CBA have united in condemning the IWG’s effort to estimate carbon’s social cost.</w:t>
      </w:r>
      <w:bookmarkStart w:id="12" w:name="_Ref330973409"/>
      <w:r>
        <w:rPr>
          <w:rStyle w:val="Znakapoznpodarou"/>
        </w:rPr>
        <w:footnoteReference w:id="17"/>
      </w:r>
      <w:bookmarkEnd w:id="12"/>
      <w:r>
        <w:t xml:space="preserve">  The Obama administration has committed to updating the IWG’s work and could substantially improve its approach to uncertainty when it does.</w:t>
      </w:r>
      <w:bookmarkStart w:id="13" w:name="_Ref199486308"/>
      <w:r>
        <w:rPr>
          <w:rStyle w:val="Znakapoznpodarou"/>
        </w:rPr>
        <w:footnoteReference w:id="18"/>
      </w:r>
      <w:bookmarkEnd w:id="13"/>
      <w:r>
        <w:t xml:space="preserve">  The ideas set out here show how the United States could proceed, making a case for the new precautionary CBA as consistent with international law.  </w:t>
      </w:r>
      <w:r w:rsidR="00EC3286">
        <w:t>These ideas can also inform environmental policy in other contexts.</w:t>
      </w:r>
    </w:p>
    <w:p w14:paraId="74BD8592" w14:textId="77777777" w:rsidR="00B506B0" w:rsidRDefault="00B506B0" w:rsidP="00B506B0">
      <w:pPr>
        <w:jc w:val="both"/>
      </w:pPr>
      <w:r>
        <w:tab/>
      </w:r>
      <w:r>
        <w:tab/>
        <w:t>A word about this Article’s limits will help avoid confusion.  This Article does not attempt to assess the overall merits of CBA or the precautionary principle.  A substantial literature addresses these topics and I have contributed to this literature in the past.</w:t>
      </w:r>
      <w:bookmarkStart w:id="14" w:name="_Ref322954156"/>
      <w:r>
        <w:rPr>
          <w:rStyle w:val="Znakapoznpodarou"/>
        </w:rPr>
        <w:footnoteReference w:id="19"/>
      </w:r>
      <w:bookmarkEnd w:id="14"/>
      <w:r>
        <w:t xml:space="preserve">  My objective here is more limited:  to explore the possibility of precautionary </w:t>
      </w:r>
      <w:r>
        <w:lastRenderedPageBreak/>
        <w:t xml:space="preserve">CBA and that possibility’s implications.  Accordingly, this Article will assume that the “cost-benefit state” is here to stay and that the United States should also exercise precaution in light of its statutory and treaty commitments to that principle, which this Article describes. This Article will necessarily draw on the critical literature, but for the narrow purpose of establishing the conventional wisdom positing these two concepts as opposites and to clarify the nature of CBA and the precautionary principle.   </w:t>
      </w:r>
    </w:p>
    <w:p w14:paraId="25BA3278" w14:textId="475634D6" w:rsidR="00B506B0" w:rsidRDefault="00B506B0" w:rsidP="00B506B0">
      <w:pPr>
        <w:jc w:val="both"/>
      </w:pPr>
      <w:r>
        <w:tab/>
      </w:r>
      <w:r>
        <w:tab/>
        <w:t xml:space="preserve">Part two explains CBA, the precautionary principle, and the conventional wisdom setting them in opposition.  Part three analyzes the question of whether CBA and precaution must conflict using a critical case study of the IWG effort to estimate carbon’s social cost to help establish, by negative implication, the possibility of precautionary CBA.  Part four explores precautionary CBA’s implications for environmental policy generally and for climate disruption policy in particular.  It describes what precautionary CBA might look like </w:t>
      </w:r>
      <w:r w:rsidR="00796150">
        <w:t>methodologically</w:t>
      </w:r>
      <w:r>
        <w:t xml:space="preserve"> and institutionally.  </w:t>
      </w:r>
    </w:p>
    <w:p w14:paraId="732EE5F4" w14:textId="77777777" w:rsidR="00B506B0" w:rsidRDefault="00B506B0" w:rsidP="00B506B0">
      <w:pPr>
        <w:jc w:val="both"/>
      </w:pPr>
    </w:p>
    <w:p w14:paraId="6938C2F7" w14:textId="78E47B67" w:rsidR="00B506B0" w:rsidRDefault="00B506B0" w:rsidP="00B506B0">
      <w:pPr>
        <w:jc w:val="center"/>
        <w:outlineLvl w:val="0"/>
      </w:pPr>
      <w:r>
        <w:t xml:space="preserve">II. </w:t>
      </w:r>
      <w:r w:rsidR="006152E8">
        <w:rPr>
          <w:smallCaps/>
        </w:rPr>
        <w:t xml:space="preserve"> CBA,</w:t>
      </w:r>
      <w:r>
        <w:rPr>
          <w:smallCaps/>
        </w:rPr>
        <w:t xml:space="preserve"> Precaution</w:t>
      </w:r>
      <w:r w:rsidR="006152E8">
        <w:rPr>
          <w:smallCaps/>
        </w:rPr>
        <w:t>, and the Conventional Wisdom</w:t>
      </w:r>
    </w:p>
    <w:p w14:paraId="419C6B5A" w14:textId="77777777" w:rsidR="00B506B0" w:rsidRDefault="00B506B0" w:rsidP="00B506B0">
      <w:pPr>
        <w:jc w:val="both"/>
      </w:pPr>
    </w:p>
    <w:p w14:paraId="28CF2B92" w14:textId="77777777" w:rsidR="00B506B0" w:rsidRDefault="00B506B0" w:rsidP="00B506B0">
      <w:pPr>
        <w:jc w:val="both"/>
      </w:pPr>
      <w:r>
        <w:tab/>
      </w:r>
      <w:r>
        <w:tab/>
        <w:t xml:space="preserve">This part develops the background necessary to understand the view that precaution conflicts with CBA.  It begins with an account of CBA that emphasizes its dependence on quantitative risk assessment and its use to oppose environmental protection in practice.  It continues with some discussion of the precautionary principle, emphasizing its role in catalyzing action and its emphasis on qualitative risk assessment.  Finally, this part explains the conventional wisdom placing CBA and precaution at war.  </w:t>
      </w:r>
    </w:p>
    <w:p w14:paraId="2EC74BA5" w14:textId="77777777" w:rsidR="00B506B0" w:rsidRDefault="00B506B0" w:rsidP="00B506B0">
      <w:pPr>
        <w:jc w:val="both"/>
      </w:pPr>
    </w:p>
    <w:p w14:paraId="2EADB6FC" w14:textId="77777777" w:rsidR="00B506B0" w:rsidRDefault="00B506B0" w:rsidP="00B506B0">
      <w:pPr>
        <w:jc w:val="center"/>
        <w:outlineLvl w:val="0"/>
      </w:pPr>
      <w:r>
        <w:t xml:space="preserve">A.  </w:t>
      </w:r>
      <w:r>
        <w:rPr>
          <w:i/>
        </w:rPr>
        <w:t>CBA and its Dependence Upon Risk Assessment</w:t>
      </w:r>
      <w:r>
        <w:t>.</w:t>
      </w:r>
    </w:p>
    <w:p w14:paraId="5951A44F" w14:textId="77777777" w:rsidR="00B506B0" w:rsidRDefault="00B506B0" w:rsidP="00B506B0">
      <w:pPr>
        <w:jc w:val="both"/>
      </w:pPr>
    </w:p>
    <w:p w14:paraId="6E82AB45" w14:textId="77777777" w:rsidR="00DB4394" w:rsidRDefault="00B506B0" w:rsidP="00DB4394">
      <w:r>
        <w:tab/>
      </w:r>
      <w:r>
        <w:tab/>
        <w:t xml:space="preserve">A CBA compares a proposed action’s expected costs to its projected benefits.  In the context of proposals to abate carbon emissions, the relevant benefits involve avoided damage to the environment and public health.  </w:t>
      </w:r>
      <w:r w:rsidR="00DB4394">
        <w:t>These damages include deaths,</w:t>
      </w:r>
      <w:bookmarkStart w:id="15" w:name="_Ref334771984"/>
      <w:r w:rsidR="00DB4394">
        <w:rPr>
          <w:rStyle w:val="Znakapoznpodarou"/>
        </w:rPr>
        <w:footnoteReference w:id="20"/>
      </w:r>
      <w:bookmarkEnd w:id="15"/>
      <w:r w:rsidR="00DB4394">
        <w:t xml:space="preserve"> injuries and loss of land from predicted sea level rise;</w:t>
      </w:r>
      <w:bookmarkStart w:id="16" w:name="_Ref334771560"/>
      <w:r w:rsidR="00DB4394">
        <w:rPr>
          <w:rStyle w:val="Znakapoznpodarou"/>
        </w:rPr>
        <w:footnoteReference w:id="21"/>
      </w:r>
      <w:bookmarkEnd w:id="16"/>
      <w:r w:rsidR="00DB4394">
        <w:t xml:space="preserve"> illness and death from the spread of tropical diseases;</w:t>
      </w:r>
      <w:r w:rsidR="00DB4394">
        <w:rPr>
          <w:rStyle w:val="Znakapoznpodarou"/>
        </w:rPr>
        <w:footnoteReference w:id="22"/>
      </w:r>
      <w:r w:rsidR="00DB4394">
        <w:t xml:space="preserve"> damage to life and property from more violent weather events;</w:t>
      </w:r>
      <w:r w:rsidR="00DB4394">
        <w:rPr>
          <w:rStyle w:val="Znakapoznpodarou"/>
        </w:rPr>
        <w:footnoteReference w:id="23"/>
      </w:r>
      <w:r w:rsidR="00DB4394">
        <w:t xml:space="preserve"> </w:t>
      </w:r>
      <w:r w:rsidR="00DB4394">
        <w:lastRenderedPageBreak/>
        <w:t>hunger,</w:t>
      </w:r>
      <w:r w:rsidR="00DB4394">
        <w:rPr>
          <w:rStyle w:val="Znakapoznpodarou"/>
        </w:rPr>
        <w:footnoteReference w:id="24"/>
      </w:r>
      <w:r w:rsidR="00DB4394">
        <w:t xml:space="preserve"> crop loss,</w:t>
      </w:r>
      <w:r w:rsidR="00DB4394">
        <w:rPr>
          <w:rStyle w:val="Znakapoznpodarou"/>
        </w:rPr>
        <w:footnoteReference w:id="25"/>
      </w:r>
      <w:r w:rsidR="00DB4394">
        <w:t xml:space="preserve"> and harms to livestock from drought;</w:t>
      </w:r>
      <w:r w:rsidR="00DB4394">
        <w:rPr>
          <w:rStyle w:val="Znakapoznpodarou"/>
        </w:rPr>
        <w:footnoteReference w:id="26"/>
      </w:r>
      <w:r w:rsidR="00DB4394">
        <w:t xml:space="preserve"> and the loss of endangered species and their habitats.</w:t>
      </w:r>
      <w:r w:rsidR="00DB4394">
        <w:rPr>
          <w:rStyle w:val="Znakapoznpodarou"/>
        </w:rPr>
        <w:footnoteReference w:id="27"/>
      </w:r>
    </w:p>
    <w:p w14:paraId="2C193E78" w14:textId="48EA99AC" w:rsidR="00B506B0" w:rsidRDefault="00EC4F3D" w:rsidP="00B506B0">
      <w:pPr>
        <w:jc w:val="both"/>
      </w:pPr>
      <w:r>
        <w:tab/>
      </w:r>
      <w:r w:rsidR="00B506B0">
        <w:t>CBA proponents develop methodologies for converting as many of climate disruption’s consequences as possible into dollar terms.   Much of the angst that CBA engenders involves concerns about these monetization methodologies’ morality and technical merits.</w:t>
      </w:r>
      <w:bookmarkStart w:id="17" w:name="_Ref335380091"/>
      <w:r w:rsidR="00B506B0">
        <w:rPr>
          <w:rStyle w:val="Znakapoznpodarou"/>
        </w:rPr>
        <w:footnoteReference w:id="28"/>
      </w:r>
      <w:bookmarkEnd w:id="17"/>
      <w:r w:rsidR="00B506B0">
        <w:t xml:space="preserve">  For example, in the climate disruption context, some analysts use lifetime per capita income to estimate the value of a life saved </w:t>
      </w:r>
      <w:bookmarkStart w:id="18" w:name="_Ref196891465"/>
      <w:r w:rsidR="00B506B0">
        <w:t>from carbon abatement measures.</w:t>
      </w:r>
      <w:r w:rsidR="00B506B0">
        <w:rPr>
          <w:rStyle w:val="Znakapoznpodarou"/>
        </w:rPr>
        <w:footnoteReference w:id="29"/>
      </w:r>
      <w:bookmarkEnd w:id="18"/>
      <w:r w:rsidR="00B506B0">
        <w:t xml:space="preserve">  Since on average people living in developing countries have less per capita income than people living in developed countries, this approach treats human life in developing countries as less valuable in dollar terms than life in developed countries, which some</w:t>
      </w:r>
      <w:bookmarkStart w:id="19" w:name="_Ref197496129"/>
      <w:r w:rsidR="00B506B0">
        <w:t xml:space="preserve"> see as morally objectionable.</w:t>
      </w:r>
      <w:r w:rsidR="00B506B0">
        <w:rPr>
          <w:rStyle w:val="Znakapoznpodarou"/>
        </w:rPr>
        <w:footnoteReference w:id="30"/>
      </w:r>
      <w:bookmarkEnd w:id="19"/>
      <w:r w:rsidR="00B506B0">
        <w:t xml:space="preserve"> And, of course, many people object on principle to valuing human lives in dollar terms.</w:t>
      </w:r>
      <w:r w:rsidR="00B33D3B">
        <w:rPr>
          <w:rStyle w:val="Znakapoznpodarou"/>
        </w:rPr>
        <w:footnoteReference w:id="31"/>
      </w:r>
      <w:r w:rsidR="00B506B0">
        <w:t xml:space="preserve">    </w:t>
      </w:r>
    </w:p>
    <w:p w14:paraId="5F7E5E47" w14:textId="44460260" w:rsidR="00B506B0" w:rsidRDefault="00B506B0" w:rsidP="00B506B0">
      <w:pPr>
        <w:jc w:val="both"/>
      </w:pPr>
      <w:r>
        <w:tab/>
      </w:r>
      <w:r>
        <w:tab/>
        <w:t>This Article, however, focuses primarily on a prior step in the calculation of carbon abatement’s benefits—quantitative risk assessment.</w:t>
      </w:r>
      <w:r>
        <w:rPr>
          <w:rStyle w:val="Znakapoznpodarou"/>
        </w:rPr>
        <w:footnoteReference w:id="32"/>
      </w:r>
      <w:r>
        <w:t xml:space="preserve">  In order to determine the value of human lives saved through carbon abatement, an economist must multiply a dollar value for each human life by the number of deaths the carbon abatement measure will avoid.</w:t>
      </w:r>
      <w:bookmarkStart w:id="20" w:name="_Ref198100890"/>
      <w:r>
        <w:rPr>
          <w:rStyle w:val="Znakapoznpodarou"/>
        </w:rPr>
        <w:footnoteReference w:id="33"/>
      </w:r>
      <w:bookmarkEnd w:id="20"/>
      <w:r>
        <w:t xml:space="preserve">  That first step, figuring out the number of lives saved through carbon abatement, requires assessment of the risk that climate disruption poses to human life.</w:t>
      </w:r>
      <w:bookmarkStart w:id="21" w:name="_Ref209086725"/>
      <w:r w:rsidR="00E12576">
        <w:rPr>
          <w:rStyle w:val="Znakapoznpodarou"/>
        </w:rPr>
        <w:footnoteReference w:id="34"/>
      </w:r>
      <w:bookmarkEnd w:id="21"/>
      <w:r>
        <w:t xml:space="preserve"> In order to come up with an actual number, this risk assessment must be quantitative.  That is, it is not enough to understand that floods, droughts, more intense hurricanes, and </w:t>
      </w:r>
      <w:r>
        <w:lastRenderedPageBreak/>
        <w:t xml:space="preserve">more widespread infectious diseases will cause death.  Rather, one must estimate the number of deaths each of these rather capricious phenomena will produce. The point that CBA depends upon quantitative risk assessment applies not just to estimates of the value of lives saved through carbon abatement, but also to the estimation of </w:t>
      </w:r>
      <w:r w:rsidR="003E47FA">
        <w:t xml:space="preserve">the monetary value of any proposal’s </w:t>
      </w:r>
      <w:r>
        <w:t>health and environment</w:t>
      </w:r>
      <w:r w:rsidR="003E47FA">
        <w:t>al benefits</w:t>
      </w:r>
      <w:r>
        <w:t xml:space="preserve">.    </w:t>
      </w:r>
    </w:p>
    <w:p w14:paraId="0DF3BE16" w14:textId="5FD73736" w:rsidR="00B506B0" w:rsidRDefault="00B506B0" w:rsidP="00B506B0">
      <w:pPr>
        <w:jc w:val="both"/>
      </w:pPr>
      <w:r>
        <w:tab/>
      </w:r>
      <w:r>
        <w:tab/>
        <w:t>Quantitative risk assessment poses many problems for CBA.  Often, science does not generate data sufficient to support a responsible quantitative estimate of predictable and serious consequences, even qualitatively well-understood ones.</w:t>
      </w:r>
      <w:bookmarkStart w:id="22" w:name="_Ref330895119"/>
      <w:r>
        <w:rPr>
          <w:rStyle w:val="Znakapoznpodarou"/>
        </w:rPr>
        <w:footnoteReference w:id="35"/>
      </w:r>
      <w:bookmarkEnd w:id="22"/>
      <w:r>
        <w:t xml:space="preserve">  As a result of this frequent inability to quantify qualitatively </w:t>
      </w:r>
      <w:r w:rsidR="00D13DAC">
        <w:t>well-understood</w:t>
      </w:r>
      <w:r>
        <w:t xml:space="preserve"> impacts, the CBA calculations used to formulate </w:t>
      </w:r>
      <w:r w:rsidR="00272243">
        <w:t>environmental policies</w:t>
      </w:r>
      <w:r>
        <w:t xml:space="preserve"> simply leave out information about important abatement benefits.  CBA supporters recognize that important nonquantifiable benefits exist and say that policymakers should consider nonquantifiable benefits, but they have been silent about how policymakers should do this.</w:t>
      </w:r>
      <w:r>
        <w:rPr>
          <w:rStyle w:val="Znakapoznpodarou"/>
        </w:rPr>
        <w:footnoteReference w:id="36"/>
      </w:r>
      <w:r>
        <w:t xml:space="preserve">  And no evidence exists that OIRA, CBA’s principal advocate within the federal government, has followed academic advice to give weight to nonquantifiable benefits, even when the nonquantifiable benefits matter much more than the quantifiable ones.  </w:t>
      </w:r>
    </w:p>
    <w:p w14:paraId="5AD001DF" w14:textId="2285E299" w:rsidR="00B506B0" w:rsidRDefault="00B506B0" w:rsidP="00B506B0">
      <w:pPr>
        <w:jc w:val="both"/>
      </w:pPr>
      <w:r>
        <w:tab/>
      </w:r>
      <w:r>
        <w:tab/>
        <w:t>Moreover, significant uncertainties about future consequences’ magnitude make quantification problematic, even when some information exists that can permit quantitative risk assessment.</w:t>
      </w:r>
      <w:r>
        <w:rPr>
          <w:rStyle w:val="Znakapoznpodarou"/>
        </w:rPr>
        <w:footnoteReference w:id="37"/>
      </w:r>
      <w:r>
        <w:t xml:space="preserve"> In the case of climate, one key variable involves climate sensitivity—a measure of the amount of global warming a given quantity of greenhouse gas emissions will produce.  Scientists express confidence that greenhouse gas emissions have caused global climate disruption and that they will produce more of it in the future.</w:t>
      </w:r>
      <w:bookmarkStart w:id="23" w:name="_Ref209837414"/>
      <w:r w:rsidR="002578B8">
        <w:rPr>
          <w:rStyle w:val="Znakapoznpodarou"/>
        </w:rPr>
        <w:footnoteReference w:id="38"/>
      </w:r>
      <w:bookmarkEnd w:id="23"/>
      <w:r>
        <w:t xml:space="preserve">  But they express much less faith in their ability to accurately predict future temperature increases’ magnitude, and, in practice, employ a wide variety of models, which include varying estimates of climate sensitivity.</w:t>
      </w:r>
      <w:bookmarkStart w:id="24" w:name="_Ref340654074"/>
      <w:r w:rsidR="002578B8">
        <w:rPr>
          <w:rStyle w:val="Znakapoznpodarou"/>
        </w:rPr>
        <w:footnoteReference w:id="39"/>
      </w:r>
      <w:bookmarkEnd w:id="24"/>
      <w:r>
        <w:t xml:space="preserve">  Frank Ackerman and Elizabeth Stanton have shown that assumptions about climate sensitivity can have a huge influence on estimates of carbon abatement benefits.</w:t>
      </w:r>
      <w:r>
        <w:rPr>
          <w:rStyle w:val="Znakapoznpodarou"/>
        </w:rPr>
        <w:footnoteReference w:id="40"/>
      </w:r>
      <w:r>
        <w:t xml:space="preserve">  </w:t>
      </w:r>
    </w:p>
    <w:p w14:paraId="78E4A478" w14:textId="0F452D94" w:rsidR="00B506B0" w:rsidRDefault="00B506B0" w:rsidP="00B506B0">
      <w:pPr>
        <w:jc w:val="both"/>
      </w:pPr>
      <w:r>
        <w:tab/>
      </w:r>
      <w:r>
        <w:tab/>
        <w:t xml:space="preserve">Climate scientists have long warned policymakers not to place too much faith in their models, which good scientists tend to view as our best guesses about subjects whose </w:t>
      </w:r>
      <w:r>
        <w:lastRenderedPageBreak/>
        <w:t>complexity and intrinsic variability rules out reliable quantitative prediction.</w:t>
      </w:r>
      <w:r w:rsidR="005373D2">
        <w:rPr>
          <w:rStyle w:val="Znakapoznpodarou"/>
        </w:rPr>
        <w:footnoteReference w:id="41"/>
      </w:r>
      <w:r>
        <w:t xml:space="preserve">  IPCC </w:t>
      </w:r>
      <w:r w:rsidR="00B83101">
        <w:t>reports regularly admonish</w:t>
      </w:r>
      <w:r w:rsidR="002578B8">
        <w:t xml:space="preserve"> readers to expect “surprises.”</w:t>
      </w:r>
      <w:bookmarkStart w:id="25" w:name="_Ref340654456"/>
      <w:r>
        <w:rPr>
          <w:rStyle w:val="Znakapoznpodarou"/>
        </w:rPr>
        <w:footnoteReference w:id="42"/>
      </w:r>
      <w:bookmarkEnd w:id="25"/>
      <w:r>
        <w:t xml:space="preserve">  And surprises have materialized.  Current temperature measurements reflect more warming than the worst case models predicted.</w:t>
      </w:r>
      <w:r w:rsidR="002578B8" w:rsidRPr="002578B8">
        <w:rPr>
          <w:rStyle w:val="Znakapoznpodarou"/>
        </w:rPr>
        <w:t xml:space="preserve"> </w:t>
      </w:r>
      <w:r w:rsidR="002578B8">
        <w:rPr>
          <w:rStyle w:val="Znakapoznpodarou"/>
        </w:rPr>
        <w:footnoteReference w:id="43"/>
      </w:r>
      <w:r w:rsidR="002578B8">
        <w:t xml:space="preserve"> </w:t>
      </w:r>
      <w:r>
        <w:t xml:space="preserve">  Ice melting contributing to sea level rise has proceeded at a much quicker pace than many scientists expected.</w:t>
      </w:r>
      <w:r w:rsidR="00597799">
        <w:rPr>
          <w:rStyle w:val="Znakapoznpodarou"/>
        </w:rPr>
        <w:footnoteReference w:id="44"/>
      </w:r>
      <w:r w:rsidR="00597799">
        <w:t xml:space="preserve"> </w:t>
      </w:r>
      <w:r>
        <w:t xml:space="preserve">  And new research suggests a greater acceleration of the hydrological cycle than anticipated, which may lead to a higher potential for extreme weather than global climate models predict.</w:t>
      </w:r>
      <w:r>
        <w:rPr>
          <w:rStyle w:val="Znakapoznpodarou"/>
        </w:rPr>
        <w:footnoteReference w:id="45"/>
      </w:r>
    </w:p>
    <w:p w14:paraId="76869556" w14:textId="7645563B" w:rsidR="00B506B0" w:rsidRDefault="00B506B0" w:rsidP="00B506B0">
      <w:pPr>
        <w:jc w:val="both"/>
      </w:pPr>
      <w:r>
        <w:tab/>
      </w:r>
      <w:r>
        <w:tab/>
        <w:t>The relationship between temperature and actual damages suffers from even more uncertainty.  Climate models may predict more intense hurricanes and sea level rise, but that does not mean they can predict how much increased wind and flooding will occur or precisely in what place and at what time.</w:t>
      </w:r>
      <w:r>
        <w:rPr>
          <w:rStyle w:val="Znakapoznpodarou"/>
        </w:rPr>
        <w:footnoteReference w:id="46"/>
      </w:r>
      <w:r>
        <w:t xml:space="preserve"> Moreover, physical impacts do not translate directly into economic damages. A large increase in wind speed of a hurricane in a sparsely populated area could produce much less damage than a smaller increase in the wind speed of a hurricane hitting a heavily populated area at a time when a lot of people are out in the streets.  Furthermore, the amount of damages can depend heavily on how well governments plan to help people escape injury and death from hurricanes, an example of “adaptation” to climate disruption (measures taken that do not ameliorate warming, but reduce the damage it causes).</w:t>
      </w:r>
      <w:r w:rsidR="002B5EC6">
        <w:rPr>
          <w:rStyle w:val="Znakapoznpodarou"/>
        </w:rPr>
        <w:footnoteReference w:id="47"/>
      </w:r>
      <w:r>
        <w:t xml:space="preserve">   </w:t>
      </w:r>
    </w:p>
    <w:p w14:paraId="241C0D4A" w14:textId="6DBAC266" w:rsidR="00B506B0" w:rsidRDefault="00B506B0" w:rsidP="00B506B0">
      <w:pPr>
        <w:jc w:val="both"/>
      </w:pPr>
      <w:r>
        <w:tab/>
      </w:r>
      <w:r>
        <w:tab/>
        <w:t xml:space="preserve">One of the key uncertainties in the climate arena involves feedback loops.  For example, scientists have long warned that a warmer earth might start to melt permafrost </w:t>
      </w:r>
      <w:r>
        <w:lastRenderedPageBreak/>
        <w:t>in Siberia, which traps methane, a potent greenhouse gas.</w:t>
      </w:r>
      <w:r w:rsidR="00741AB1">
        <w:rPr>
          <w:rStyle w:val="Znakapoznpodarou"/>
        </w:rPr>
        <w:footnoteReference w:id="48"/>
      </w:r>
      <w:r>
        <w:t xml:space="preserve">  If this occurs, they explained, the released methane would produce more warming, melting yet more permafrost and releasing still more methane.</w:t>
      </w:r>
      <w:r w:rsidR="00741AB1" w:rsidRPr="00741AB1">
        <w:rPr>
          <w:rStyle w:val="Znakapoznpodarou"/>
        </w:rPr>
        <w:t xml:space="preserve"> </w:t>
      </w:r>
      <w:r w:rsidR="00741AB1">
        <w:rPr>
          <w:rStyle w:val="Znakapoznpodarou"/>
        </w:rPr>
        <w:footnoteReference w:id="49"/>
      </w:r>
      <w:r>
        <w:t xml:space="preserve">  Thus, scientists have understood qualitatively that a chain reaction creating runaway warming could occur.  They have never, however, built this possibility into models estimating warming’s magnitude, because they never had sufficient information to predict the probability of this nightmare scenario occurring or the effect’s magnitude.</w:t>
      </w:r>
      <w:r w:rsidR="00741AB1">
        <w:rPr>
          <w:rStyle w:val="Znakapoznpodarou"/>
        </w:rPr>
        <w:footnoteReference w:id="50"/>
      </w:r>
      <w:r>
        <w:t xml:space="preserve">  It has, however, begun to occur.</w:t>
      </w:r>
      <w:r w:rsidR="00741AB1">
        <w:rPr>
          <w:rStyle w:val="Znakapoznpodarou"/>
        </w:rPr>
        <w:footnoteReference w:id="51"/>
      </w:r>
      <w:r>
        <w:t xml:space="preserve">  We are now seeing methane escaping from beneath melted permafrost at rates that have astonished many scientists.</w:t>
      </w:r>
      <w:r w:rsidR="00053682">
        <w:rPr>
          <w:rStyle w:val="Znakapoznpodarou"/>
        </w:rPr>
        <w:footnoteReference w:id="52"/>
      </w:r>
      <w:r>
        <w:t xml:space="preserve">  Although we now know that the probability of some methane release is 100%, we still do not know how much methane the melting permafrost will release and how quickly the released methane will</w:t>
      </w:r>
      <w:r w:rsidR="007B0BCA">
        <w:t xml:space="preserve"> accelerate warming that</w:t>
      </w:r>
      <w:r>
        <w:t xml:space="preserve"> melt</w:t>
      </w:r>
      <w:r w:rsidR="007B0BCA">
        <w:t>s</w:t>
      </w:r>
      <w:r>
        <w:t xml:space="preserve"> more permafrost to release yet more methane.</w:t>
      </w:r>
      <w:r w:rsidR="00053682">
        <w:rPr>
          <w:rStyle w:val="Znakapoznpodarou"/>
        </w:rPr>
        <w:footnoteReference w:id="53"/>
      </w:r>
      <w:r>
        <w:t xml:space="preserve">    </w:t>
      </w:r>
    </w:p>
    <w:p w14:paraId="63368BE6" w14:textId="5E6E0508" w:rsidR="00B506B0" w:rsidRDefault="00B506B0" w:rsidP="00B506B0">
      <w:pPr>
        <w:jc w:val="both"/>
      </w:pPr>
      <w:r>
        <w:tab/>
      </w:r>
      <w:r>
        <w:tab/>
        <w:t xml:space="preserve">All of this </w:t>
      </w:r>
      <w:r w:rsidR="00D13DAC">
        <w:t xml:space="preserve">uncertainty </w:t>
      </w:r>
      <w:r>
        <w:t>means that the quantitative risk assessment at the base of an estimate of carbon abatement’s benefits involves an incomplete and unreliable estimate.  CBA analysts have some techniques for dealing with uncertainty, or more precisely, risk.</w:t>
      </w:r>
      <w:bookmarkStart w:id="26" w:name="_Ref326222605"/>
      <w:r>
        <w:rPr>
          <w:rStyle w:val="Znakapoznpodarou"/>
        </w:rPr>
        <w:footnoteReference w:id="54"/>
      </w:r>
      <w:bookmarkEnd w:id="26"/>
      <w:r>
        <w:t xml:space="preserve">  The simplest and most common </w:t>
      </w:r>
      <w:r w:rsidR="000A61DE">
        <w:t>involves</w:t>
      </w:r>
      <w:r>
        <w:t xml:space="preserve"> calculate</w:t>
      </w:r>
      <w:r w:rsidR="000A61DE">
        <w:t>s</w:t>
      </w:r>
      <w:r>
        <w:t xml:space="preserve"> the expected value of harm– </w:t>
      </w:r>
      <w:r w:rsidR="000A61DE">
        <w:t xml:space="preserve">by </w:t>
      </w:r>
      <w:r>
        <w:t>quantify</w:t>
      </w:r>
      <w:r w:rsidR="000A61DE">
        <w:t>ing</w:t>
      </w:r>
      <w:r>
        <w:t xml:space="preserve"> the value of a harm that might occur as best one can and then multiply</w:t>
      </w:r>
      <w:r w:rsidR="000A61DE">
        <w:t>ing</w:t>
      </w:r>
      <w:r>
        <w:t xml:space="preserve"> that value times the probability of its occurrence.  So, for example, if economists estimated the value of a climate catastrophe at $2 trillion and knew the probability of the catastrophe was 50%, they could multiple these two figures and estimate the expected value of the damages from catastrophic climate disruption at $1 trillion. Unfortunately, in this particular example, and in many other ones, scientists do not know how great the probability of the feared outcome would be, nor do they have a complete understanding of the harm’s magnitude should the worst occur.</w:t>
      </w:r>
      <w:r>
        <w:rPr>
          <w:rStyle w:val="Znakapoznpodarou"/>
        </w:rPr>
        <w:footnoteReference w:id="55"/>
      </w:r>
      <w:r>
        <w:t xml:space="preserve">   In practice, CBA tends to either leave </w:t>
      </w:r>
      <w:r>
        <w:lastRenderedPageBreak/>
        <w:t xml:space="preserve">out very important uncertain consequences or to deal with them using fairly arbitrary assumptions about unknowns like the magnitude of the effect and the probability of its occurrence.  </w:t>
      </w:r>
    </w:p>
    <w:p w14:paraId="3EA1E35A" w14:textId="77777777" w:rsidR="00B506B0" w:rsidRDefault="00B506B0" w:rsidP="00B506B0">
      <w:pPr>
        <w:widowControl w:val="0"/>
        <w:autoSpaceDE w:val="0"/>
        <w:autoSpaceDN w:val="0"/>
        <w:adjustRightInd w:val="0"/>
        <w:jc w:val="both"/>
        <w:rPr>
          <w:rFonts w:cs="Times New Roman"/>
        </w:rPr>
      </w:pPr>
      <w:r>
        <w:tab/>
      </w:r>
      <w:r>
        <w:tab/>
        <w:t>CBA practitioners, however, have developed elaborate, impressive-looking methods to generate arbitrary quantitative answers to questions bedeviled by true uncertainty (</w:t>
      </w:r>
      <w:r>
        <w:rPr>
          <w:i/>
        </w:rPr>
        <w:t>i.e.</w:t>
      </w:r>
      <w:r>
        <w:t xml:space="preserve"> where probabilities are unknown).  </w:t>
      </w:r>
      <w:r>
        <w:rPr>
          <w:rFonts w:cs="Times New Roman"/>
        </w:rPr>
        <w:t>One technique, called Monte Carlo, analysis, merely pushes the uncertainty one step farther back: it assumes that although the true values of key parameters are unknown, the probability distribution is known. Then the calculations can be performed repeatedly, drawing different values of uncertain parameters from their probability distributions. For example, if you roll two dice once, the sum of the resulting numbers is uncertain; if you roll them many times, the sum of the two numbers averages seven. Monte Carlo analysis is the appropriate technique in cases where, as with a roll of the dice, the specific outcome is uncertain but the probability distribution is known with certainty. Unfortunately, such cases are quite rare; more often, Monte Carlo analysis hides the arbitrary judgment below the surface of the analysis, in the selection of a probability distribution.</w:t>
      </w:r>
    </w:p>
    <w:p w14:paraId="639BC3A4" w14:textId="46483A01" w:rsidR="00B506B0" w:rsidRDefault="00B506B0" w:rsidP="00B506B0">
      <w:pPr>
        <w:jc w:val="both"/>
      </w:pPr>
      <w:r>
        <w:rPr>
          <w:rFonts w:cs="Times New Roman"/>
        </w:rPr>
        <w:tab/>
      </w:r>
      <w:r>
        <w:rPr>
          <w:rFonts w:cs="Times New Roman"/>
        </w:rPr>
        <w:tab/>
        <w:t>Another technique, called Bayesian probability, is, like Monte Carlo analysis, appropriate under narrowly defined circumstances, but vulnerable to abuse when used more broadly. Bayesian analysis begins with the important observation that the best available estimate of the probability of an uncertain event often depends on the extent of relevant prior knowledge, and goes on to develop methods for revising probability estimates as knowledge changes.</w:t>
      </w:r>
      <w:r>
        <w:rPr>
          <w:rStyle w:val="Znakapoznpodarou"/>
        </w:rPr>
        <w:t xml:space="preserve"> </w:t>
      </w:r>
      <w:r>
        <w:rPr>
          <w:rStyle w:val="Znakapoznpodarou"/>
        </w:rPr>
        <w:footnoteReference w:id="56"/>
      </w:r>
      <w:r>
        <w:rPr>
          <w:rFonts w:cs="Times New Roman"/>
        </w:rPr>
        <w:t xml:space="preserve"> In practice, however, it has often been used to incorporate ad hoc estimates from experts in the field.</w:t>
      </w:r>
      <w:bookmarkStart w:id="27" w:name="_Ref341971020"/>
      <w:r w:rsidR="00891D27">
        <w:rPr>
          <w:rStyle w:val="Znakapoznpodarou"/>
          <w:rFonts w:cs="Times New Roman"/>
        </w:rPr>
        <w:footnoteReference w:id="57"/>
      </w:r>
      <w:bookmarkEnd w:id="27"/>
      <w:r>
        <w:rPr>
          <w:rFonts w:cs="Times New Roman"/>
        </w:rPr>
        <w:t xml:space="preserve"> Here the potential for arbitrary judgment enters in the construction of what is called the "Bayesian prior."</w:t>
      </w:r>
      <w:r w:rsidR="00924E6C">
        <w:rPr>
          <w:rStyle w:val="Znakapoznpodarou"/>
          <w:rFonts w:cs="Times New Roman"/>
        </w:rPr>
        <w:footnoteReference w:id="58"/>
      </w:r>
      <w:r>
        <w:t xml:space="preserve"> At its best, this technique is part of a sophisticated statistical methodology; at its worst, it can amount to relabeling idle prejudice or uninformed guesses as “data.”</w:t>
      </w:r>
      <w:r>
        <w:rPr>
          <w:rStyle w:val="Znakapoznpodarou"/>
        </w:rPr>
        <w:t xml:space="preserve"> </w:t>
      </w:r>
      <w:r>
        <w:rPr>
          <w:rStyle w:val="Znakapoznpodarou"/>
        </w:rPr>
        <w:footnoteReference w:id="59"/>
      </w:r>
    </w:p>
    <w:p w14:paraId="69AD6383" w14:textId="7554B2C7" w:rsidR="00B506B0" w:rsidRDefault="00B506B0" w:rsidP="00B506B0">
      <w:pPr>
        <w:jc w:val="both"/>
      </w:pPr>
      <w:r>
        <w:tab/>
      </w:r>
      <w:r>
        <w:tab/>
        <w:t>This Article refers to many simple applications of the Bayesian approach as arbitrary for several reasons.  Absent good data or a solid basis for extrapolation from data, expert judgment is unlikely to be very good.</w:t>
      </w:r>
      <w:r>
        <w:rPr>
          <w:rStyle w:val="Znakapoznpodarou"/>
        </w:rPr>
        <w:footnoteReference w:id="60"/>
      </w:r>
      <w:r>
        <w:t xml:space="preserve"> Indeed, some economists and a mathematician have argued that for some important types of uncertainty, the Bayesian theory of </w:t>
      </w:r>
      <w:r w:rsidR="00D13DAC">
        <w:t>decisionmaking</w:t>
      </w:r>
      <w:r>
        <w:t xml:space="preserve"> may be neither realistic nor necessarily rational.</w:t>
      </w:r>
      <w:r>
        <w:rPr>
          <w:rStyle w:val="Znakapoznpodarou"/>
        </w:rPr>
        <w:footnoteReference w:id="61"/>
      </w:r>
      <w:r>
        <w:t xml:space="preserve"> All too often, </w:t>
      </w:r>
      <w:r>
        <w:lastRenderedPageBreak/>
        <w:t>the economists employing Bayesian techniques in regulatory analyses average the results of different experts’ uninformed judgments.  Averaging can generate a number that cannot possibly be right, because it conforms to none of the plausible but inconsistent underlying assumptions that generated the individual estimates.</w:t>
      </w:r>
      <w:bookmarkStart w:id="28" w:name="_Ref326227451"/>
      <w:r>
        <w:rPr>
          <w:rStyle w:val="Znakapoznpodarou"/>
        </w:rPr>
        <w:footnoteReference w:id="62"/>
      </w:r>
      <w:bookmarkEnd w:id="28"/>
      <w:r>
        <w:t xml:space="preserve">  These methods make uncertainty appear to disappear while potentially generating scientifically implausible predictions.       </w:t>
      </w:r>
    </w:p>
    <w:p w14:paraId="3BCF78E0" w14:textId="77777777" w:rsidR="00B506B0" w:rsidRDefault="00B506B0" w:rsidP="00B506B0">
      <w:pPr>
        <w:jc w:val="both"/>
      </w:pPr>
      <w:r>
        <w:tab/>
      </w:r>
      <w:r>
        <w:tab/>
        <w:t xml:space="preserve">Hence, quantitative estimates of the magnitude of health and environmental benefits are not facts.  They are guesses about the future highly dependent on the assumptions those constructing the estimates choose to employ.  </w:t>
      </w:r>
    </w:p>
    <w:p w14:paraId="215CEC83" w14:textId="77777777" w:rsidR="00B506B0" w:rsidRDefault="00B506B0" w:rsidP="00B506B0">
      <w:pPr>
        <w:jc w:val="both"/>
      </w:pPr>
      <w:r>
        <w:tab/>
      </w:r>
      <w:r>
        <w:tab/>
        <w:t>The entire process of quantifying benefits in dollar terms produces a number or, in a scientifically honest benefits estimate, a broad range of numbers.</w:t>
      </w:r>
      <w:bookmarkStart w:id="29" w:name="_Ref323735230"/>
      <w:r>
        <w:rPr>
          <w:rStyle w:val="Znakapoznpodarou"/>
        </w:rPr>
        <w:footnoteReference w:id="63"/>
      </w:r>
      <w:bookmarkEnd w:id="29"/>
      <w:r>
        <w:t xml:space="preserve">  Supporters of CBA demand the production of this dollar value in order to compare the benefits of greenhouse gas abatement to its costs.  </w:t>
      </w:r>
    </w:p>
    <w:p w14:paraId="04EA2DD8" w14:textId="1009C779" w:rsidR="00B506B0" w:rsidRDefault="00B506B0" w:rsidP="00B506B0">
      <w:pPr>
        <w:jc w:val="both"/>
      </w:pPr>
      <w:r>
        <w:tab/>
      </w:r>
      <w:r>
        <w:tab/>
        <w:t>Estimates of greenhouse gas abatement’s cost also vary widely with methodological assumptions.</w:t>
      </w:r>
      <w:bookmarkStart w:id="30" w:name="_Ref218151941"/>
      <w:r>
        <w:rPr>
          <w:rStyle w:val="Znakapoznpodarou"/>
        </w:rPr>
        <w:footnoteReference w:id="64"/>
      </w:r>
      <w:bookmarkEnd w:id="30"/>
      <w:r>
        <w:t xml:space="preserve">  Although this variation is troubling, this particular problem has less to do with risk assessment </w:t>
      </w:r>
      <w:r w:rsidR="000A61DE">
        <w:t xml:space="preserve">potentially implicating </w:t>
      </w:r>
      <w:r>
        <w:t>the precautionary principle than with the difficulty of forecasting the pace of cost saving innovation.</w:t>
      </w:r>
    </w:p>
    <w:p w14:paraId="26ED5930" w14:textId="77777777" w:rsidR="00B506B0" w:rsidRDefault="00B506B0" w:rsidP="00B506B0">
      <w:pPr>
        <w:jc w:val="both"/>
      </w:pPr>
      <w:r>
        <w:tab/>
      </w:r>
      <w:r>
        <w:tab/>
        <w:t xml:space="preserve">In principle, a completed CBA provides guidance on the question of how strictly to regulate.  In the environmental realm, OIRA typically demands a CBA when EPA sets a standard demanding a reduction in pollution.  The analysis, at least in principle, can inform judgments about whether to demand small or large amounts of pollution reductions.  </w:t>
      </w:r>
    </w:p>
    <w:p w14:paraId="7A83563C" w14:textId="1AC43D56" w:rsidR="00B506B0" w:rsidRDefault="00B506B0" w:rsidP="00B506B0">
      <w:pPr>
        <w:jc w:val="both"/>
      </w:pPr>
      <w:r>
        <w:tab/>
      </w:r>
      <w:r>
        <w:tab/>
        <w:t>The question of which pollutants to regulate at all (as opposed to how strictly to regulate chosen pollutants), however, typically gets made on the basis of science, not economics.</w:t>
      </w:r>
      <w:r>
        <w:rPr>
          <w:rStyle w:val="Znakapoznpodarou"/>
        </w:rPr>
        <w:footnoteReference w:id="65"/>
      </w:r>
      <w:r>
        <w:t xml:space="preserve">  This dichotomy between the triggers for regulation (science-based) and decisions about how strictly to regulate (often influenced by economics) stems from the need to choose which pollutants matter enough to warrant </w:t>
      </w:r>
      <w:r w:rsidR="00112989">
        <w:t>serious government attention</w:t>
      </w:r>
      <w:r>
        <w:t>.</w:t>
      </w:r>
      <w:r w:rsidR="007B0BCA">
        <w:rPr>
          <w:rStyle w:val="Znakapoznpodarou"/>
        </w:rPr>
        <w:footnoteReference w:id="66"/>
      </w:r>
      <w:r>
        <w:t xml:space="preserve">  Yet since CBA results vary with the stringency of the measures chosen, CBA </w:t>
      </w:r>
      <w:r w:rsidR="000A61DE">
        <w:t xml:space="preserve">generally does not </w:t>
      </w:r>
      <w:r>
        <w:t xml:space="preserve">provide a rational basis for deciding which pollutants to regulate, especially in </w:t>
      </w:r>
      <w:r>
        <w:lastRenderedPageBreak/>
        <w:t xml:space="preserve">the typical context of many different actors with </w:t>
      </w:r>
      <w:r w:rsidR="00FA6C33">
        <w:t>varied</w:t>
      </w:r>
      <w:r>
        <w:t xml:space="preserve"> abatement</w:t>
      </w:r>
      <w:r w:rsidR="00112989">
        <w:t xml:space="preserve"> technology possibilities and therefore </w:t>
      </w:r>
      <w:r w:rsidR="00FA6C33">
        <w:t xml:space="preserve">disparate </w:t>
      </w:r>
      <w:r>
        <w:t xml:space="preserve">costs emitting the same pollutant.  </w:t>
      </w:r>
    </w:p>
    <w:p w14:paraId="1B9026CC" w14:textId="203841E0" w:rsidR="00B506B0" w:rsidRDefault="00B506B0" w:rsidP="00B506B0">
      <w:pPr>
        <w:jc w:val="both"/>
      </w:pPr>
      <w:r>
        <w:tab/>
      </w:r>
      <w:r>
        <w:tab/>
        <w:t>OIRA, the principal advocate of CBA within the federal government, consistently acts as a one-way</w:t>
      </w:r>
      <w:r w:rsidR="000A61DE">
        <w:t xml:space="preserve"> ratchet</w:t>
      </w:r>
      <w:r>
        <w:t>, often working to weaken proposed standards, but almost never to strengthen them.</w:t>
      </w:r>
      <w:bookmarkStart w:id="31" w:name="_Ref340155049"/>
      <w:r w:rsidR="000657C6">
        <w:rPr>
          <w:rStyle w:val="Znakapoznpodarou"/>
        </w:rPr>
        <w:footnoteReference w:id="67"/>
      </w:r>
      <w:bookmarkEnd w:id="31"/>
      <w:r>
        <w:t xml:space="preserve">  This practice, however, reflects policy choices of CBA advocates within the government, and does not appear to be an inevitable result of CBA itself.</w:t>
      </w:r>
      <w:r>
        <w:rPr>
          <w:rStyle w:val="Znakapoznpodarou"/>
        </w:rPr>
        <w:t xml:space="preserve"> </w:t>
      </w:r>
      <w:bookmarkStart w:id="32" w:name="_Ref204822993"/>
      <w:r>
        <w:rPr>
          <w:rStyle w:val="Znakapoznpodarou"/>
        </w:rPr>
        <w:footnoteReference w:id="68"/>
      </w:r>
      <w:bookmarkEnd w:id="32"/>
      <w:r>
        <w:t xml:space="preserve">   The Reagan executive order</w:t>
      </w:r>
      <w:bookmarkStart w:id="33" w:name="_Ref200090106"/>
      <w:r w:rsidR="00E4050B">
        <w:rPr>
          <w:rStyle w:val="Znakapoznpodarou"/>
        </w:rPr>
        <w:footnoteReference w:id="69"/>
      </w:r>
      <w:bookmarkEnd w:id="33"/>
      <w:r>
        <w:t xml:space="preserve"> established the custom of using CBA in conjunction with environmental regulation </w:t>
      </w:r>
      <w:r w:rsidR="001355A1">
        <w:t xml:space="preserve">as </w:t>
      </w:r>
      <w:r>
        <w:t xml:space="preserve">a </w:t>
      </w:r>
      <w:r w:rsidR="00D13DAC">
        <w:t>one-way</w:t>
      </w:r>
      <w:r>
        <w:t xml:space="preserve"> ratchet by demanding that regulation’s costs not exceed its benefits</w:t>
      </w:r>
      <w:r w:rsidR="001355A1">
        <w:t>.</w:t>
      </w:r>
      <w:r>
        <w:t xml:space="preserve">  Accordingly, the terms of the order itself, in keeping with its stated purpose, aim</w:t>
      </w:r>
      <w:r w:rsidR="001355A1">
        <w:t>s</w:t>
      </w:r>
      <w:r>
        <w:t xml:space="preserve"> to </w:t>
      </w:r>
      <w:r w:rsidR="001355A1">
        <w:t>decrease regulation’s burdens</w:t>
      </w:r>
      <w:r>
        <w:t>.</w:t>
      </w:r>
      <w:r w:rsidR="00112989">
        <w:rPr>
          <w:rStyle w:val="Znakapoznpodarou"/>
        </w:rPr>
        <w:footnoteReference w:id="70"/>
      </w:r>
      <w:r>
        <w:t xml:space="preserve">  But the</w:t>
      </w:r>
      <w:r w:rsidR="001355A1">
        <w:t xml:space="preserve"> Reagan order and the similar order</w:t>
      </w:r>
      <w:r w:rsidR="004C0207">
        <w:t>s</w:t>
      </w:r>
      <w:r w:rsidR="001355A1">
        <w:t xml:space="preserve"> that President</w:t>
      </w:r>
      <w:r w:rsidR="004C0207">
        <w:t>s</w:t>
      </w:r>
      <w:r w:rsidR="001355A1">
        <w:t xml:space="preserve"> Clinton </w:t>
      </w:r>
      <w:r w:rsidR="004C0207">
        <w:t xml:space="preserve">and Obama </w:t>
      </w:r>
      <w:r>
        <w:t xml:space="preserve">put in place </w:t>
      </w:r>
      <w:r w:rsidR="001355A1">
        <w:t>also call</w:t>
      </w:r>
      <w:r w:rsidR="00F82F88">
        <w:t xml:space="preserve"> </w:t>
      </w:r>
      <w:r>
        <w:t>for maximization of net benefits.</w:t>
      </w:r>
      <w:r>
        <w:rPr>
          <w:rStyle w:val="Znakapoznpodarou"/>
        </w:rPr>
        <w:footnoteReference w:id="71"/>
      </w:r>
      <w:r>
        <w:t xml:space="preserve"> That criterion in principle would require strengthening of regulation when marginal benefits exceed marginal costs.</w:t>
      </w:r>
      <w:r>
        <w:rPr>
          <w:rStyle w:val="Znakapoznpodarou"/>
        </w:rPr>
        <w:footnoteReference w:id="72"/>
      </w:r>
      <w:r>
        <w:t xml:space="preserve">  Yet OIRA has never acted to strengthen regulation to maximize net benefits under the Clinton order.</w:t>
      </w:r>
      <w:r w:rsidR="00C3628A">
        <w:rPr>
          <w:rStyle w:val="Znakapoznpodarou"/>
        </w:rPr>
        <w:footnoteReference w:id="73"/>
      </w:r>
      <w:r>
        <w:t xml:space="preserve">  On the contrary, it has called for weakening regulation even when CBA indicates that a stricter regulation than the one proposed would maximize net benefits.</w:t>
      </w:r>
      <w:r w:rsidR="00C3628A">
        <w:rPr>
          <w:rStyle w:val="Znakapoznpodarou"/>
        </w:rPr>
        <w:footnoteReference w:id="74"/>
      </w:r>
      <w:r>
        <w:t xml:space="preserve">  And OIRA has often supported weaker regulation than EPA proposed when EPA could not carry out a CBA at all, presumably because it could not quantify any of the regulation’s benefits.</w:t>
      </w:r>
      <w:r w:rsidR="002B4BBF">
        <w:rPr>
          <w:rStyle w:val="Znakapoznpodarou"/>
        </w:rPr>
        <w:footnoteReference w:id="75"/>
      </w:r>
      <w:r>
        <w:t xml:space="preserve">  OIRA’s frequent opposition to strict regulation stems more often from its economists’ general policy views than from CBA itself.</w:t>
      </w:r>
      <w:r>
        <w:rPr>
          <w:rStyle w:val="Znakapoznpodarou"/>
        </w:rPr>
        <w:t xml:space="preserve"> </w:t>
      </w:r>
      <w:r>
        <w:rPr>
          <w:rStyle w:val="Znakapoznpodarou"/>
        </w:rPr>
        <w:footnoteReference w:id="76"/>
      </w:r>
      <w:r>
        <w:t xml:space="preserve">   Thus, CBA in practice often functions as a device legitimating anti-regulatory actions, rather than as a determinate guide to policy.  </w:t>
      </w:r>
    </w:p>
    <w:p w14:paraId="042D2246" w14:textId="1C653FEE" w:rsidR="00B506B0" w:rsidRDefault="00B506B0" w:rsidP="00B506B0">
      <w:pPr>
        <w:jc w:val="both"/>
      </w:pPr>
      <w:r>
        <w:tab/>
      </w:r>
      <w:r>
        <w:tab/>
        <w:t xml:space="preserve">This means that CBA could, in principle, play a different role than it has in the past.  But making it serve a different role requires something more than a shift in the political party controlling the executive branch.  OIRA has acted as a one-way ratchet </w:t>
      </w:r>
      <w:r>
        <w:lastRenderedPageBreak/>
        <w:t>regardless of the party in power.</w:t>
      </w:r>
      <w:r>
        <w:rPr>
          <w:rStyle w:val="Znakapoznpodarou"/>
        </w:rPr>
        <w:footnoteReference w:id="77"/>
      </w:r>
      <w:r>
        <w:t xml:space="preserve">  Although Democratic and Republican administrations frequently differ on environmental policy, OIRA’s general tendency to support weaker but not stronger regulation</w:t>
      </w:r>
      <w:r w:rsidR="001355A1">
        <w:t xml:space="preserve"> than EPA proposes</w:t>
      </w:r>
      <w:r>
        <w:t xml:space="preserve"> has been remarkably consistent over time.     </w:t>
      </w:r>
    </w:p>
    <w:p w14:paraId="528899D1" w14:textId="77777777" w:rsidR="00B506B0" w:rsidRDefault="00B506B0" w:rsidP="00B506B0">
      <w:pPr>
        <w:jc w:val="both"/>
      </w:pPr>
      <w:r>
        <w:t xml:space="preserve"> </w:t>
      </w:r>
    </w:p>
    <w:p w14:paraId="5D81BE37" w14:textId="77777777" w:rsidR="00B506B0" w:rsidRDefault="00B506B0" w:rsidP="00B506B0">
      <w:pPr>
        <w:jc w:val="both"/>
      </w:pPr>
      <w:r>
        <w:tab/>
      </w:r>
    </w:p>
    <w:p w14:paraId="556B3545" w14:textId="77777777" w:rsidR="00B506B0" w:rsidRDefault="00B506B0" w:rsidP="00B506B0">
      <w:pPr>
        <w:jc w:val="center"/>
        <w:outlineLvl w:val="0"/>
      </w:pPr>
      <w:r>
        <w:t xml:space="preserve">B.  </w:t>
      </w:r>
      <w:r>
        <w:rPr>
          <w:i/>
        </w:rPr>
        <w:t>The Precautionary Principle</w:t>
      </w:r>
    </w:p>
    <w:p w14:paraId="0CE78A7C" w14:textId="77777777" w:rsidR="00B506B0" w:rsidRDefault="00B506B0" w:rsidP="00B506B0">
      <w:pPr>
        <w:jc w:val="both"/>
      </w:pPr>
    </w:p>
    <w:p w14:paraId="29B87889" w14:textId="72E61A24" w:rsidR="00B506B0" w:rsidRDefault="00B506B0" w:rsidP="00B506B0">
      <w:pPr>
        <w:jc w:val="both"/>
      </w:pPr>
      <w:r>
        <w:tab/>
      </w:r>
      <w:r>
        <w:tab/>
        <w:t xml:space="preserve">Environmental scholars often trace the precautionary principle to </w:t>
      </w:r>
      <w:r>
        <w:rPr>
          <w:i/>
        </w:rPr>
        <w:t>Ethyl Corp. v. EPA,</w:t>
      </w:r>
      <w:r>
        <w:t xml:space="preserve"> an </w:t>
      </w:r>
      <w:r>
        <w:rPr>
          <w:i/>
        </w:rPr>
        <w:t>en banc</w:t>
      </w:r>
      <w:r>
        <w:t xml:space="preserve"> decision of the District of Columbia Circuit approving EPA’s first rule reducing lead concentrations in gasoline.</w:t>
      </w:r>
      <w:bookmarkStart w:id="34" w:name="_Ref200094667"/>
      <w:r>
        <w:rPr>
          <w:rStyle w:val="Znakapoznpodarou"/>
        </w:rPr>
        <w:footnoteReference w:id="78"/>
      </w:r>
      <w:bookmarkEnd w:id="34"/>
      <w:r>
        <w:t xml:space="preserve">  This case addressed the question of what sort of information acts as a sufficient </w:t>
      </w:r>
      <w:r>
        <w:rPr>
          <w:i/>
        </w:rPr>
        <w:t>trigger</w:t>
      </w:r>
      <w:r>
        <w:t xml:space="preserve"> to justify regulation of a substance, not the question of how strictly government should regulate a harmful substance.</w:t>
      </w:r>
      <w:r w:rsidR="00DC6DF8">
        <w:rPr>
          <w:rStyle w:val="Znakapoznpodarou"/>
        </w:rPr>
        <w:footnoteReference w:id="79"/>
      </w:r>
      <w:r>
        <w:t xml:space="preserve">  The panel decision that preceded the </w:t>
      </w:r>
      <w:r>
        <w:rPr>
          <w:i/>
        </w:rPr>
        <w:t xml:space="preserve">en banc </w:t>
      </w:r>
      <w:r>
        <w:t>ruling held that EPA had failed to show that lead</w:t>
      </w:r>
      <w:r w:rsidR="004C734C">
        <w:t xml:space="preserve"> in gasoline</w:t>
      </w:r>
      <w:r>
        <w:t xml:space="preserve"> “will endanger” public health, as the Clean Air Act (Act) requires, and therefore lacked authority to regulate lead in gasoline.</w:t>
      </w:r>
      <w:r w:rsidR="004C734C">
        <w:rPr>
          <w:rStyle w:val="Znakapoznpodarou"/>
        </w:rPr>
        <w:footnoteReference w:id="80"/>
      </w:r>
      <w:r>
        <w:t xml:space="preserve"> This decision makes perfect sense if one understands the Act’s endangerment standard as requiring proof of harm.  At the time, EPA did not know how much of the lead burden in bodies came from gasoline related emissions, so it had no hard proof that gasoline emissions harmed human health.</w:t>
      </w:r>
      <w:r w:rsidR="00DC6DF8">
        <w:rPr>
          <w:rStyle w:val="Znakapoznpodarou"/>
        </w:rPr>
        <w:footnoteReference w:id="81"/>
      </w:r>
      <w:r>
        <w:t xml:space="preserve">  Nevertheless, the </w:t>
      </w:r>
      <w:r>
        <w:rPr>
          <w:i/>
        </w:rPr>
        <w:t xml:space="preserve">en banc </w:t>
      </w:r>
      <w:r>
        <w:t>court reversed, interpreting endangerment as “precautionary.”</w:t>
      </w:r>
      <w:r w:rsidR="00DC6DF8">
        <w:rPr>
          <w:rStyle w:val="Znakapoznpodarou"/>
        </w:rPr>
        <w:footnoteReference w:id="82"/>
      </w:r>
      <w:r>
        <w:t xml:space="preserve"> The court allowed EPA to regulate based on a “significant risk” of harm.</w:t>
      </w:r>
      <w:r w:rsidR="00BF1DD4">
        <w:rPr>
          <w:rStyle w:val="Znakapoznpodarou"/>
        </w:rPr>
        <w:footnoteReference w:id="83"/>
      </w:r>
      <w:r>
        <w:t xml:space="preserve">  Furthermore, it allowed EPA to use a </w:t>
      </w:r>
      <w:r>
        <w:rPr>
          <w:i/>
        </w:rPr>
        <w:t>qualitative</w:t>
      </w:r>
      <w:r>
        <w:t xml:space="preserve"> risk assessment as the basis for finding a significant risk.</w:t>
      </w:r>
      <w:r w:rsidR="00AE51AF">
        <w:rPr>
          <w:rStyle w:val="Znakapoznpodarou"/>
        </w:rPr>
        <w:footnoteReference w:id="84"/>
      </w:r>
      <w:r>
        <w:t xml:space="preserve">  More specifically, it allowed EPA to infer significant risk from evidence that lead was known to be very harmful at higher doses than gasoline was known to provide.</w:t>
      </w:r>
      <w:r w:rsidR="00BC3272">
        <w:rPr>
          <w:rStyle w:val="Znakapoznpodarou"/>
        </w:rPr>
        <w:footnoteReference w:id="85"/>
      </w:r>
      <w:r>
        <w:t xml:space="preserve">  The court did not require a quantitative estimate of the number of illnesses lead in gasoline would cause as a basis for finding endangerment.</w:t>
      </w:r>
      <w:r w:rsidR="00BC3272">
        <w:rPr>
          <w:rStyle w:val="Znakapoznpodarou"/>
        </w:rPr>
        <w:footnoteReference w:id="86"/>
      </w:r>
      <w:r>
        <w:t xml:space="preserve">  Nor did it engage in any </w:t>
      </w:r>
      <w:r>
        <w:lastRenderedPageBreak/>
        <w:t>review of the level of reduction EPA had demanded.</w:t>
      </w:r>
      <w:r w:rsidR="00BC3272">
        <w:rPr>
          <w:rStyle w:val="Znakapoznpodarou"/>
        </w:rPr>
        <w:footnoteReference w:id="87"/>
      </w:r>
      <w:r>
        <w:t xml:space="preserve">  Thus, </w:t>
      </w:r>
      <w:r>
        <w:rPr>
          <w:i/>
        </w:rPr>
        <w:t xml:space="preserve">Ethyl </w:t>
      </w:r>
      <w:r>
        <w:t xml:space="preserve">allowed a qualitative, rather than a quantitative, risk assessment to serve as the trigger for regulation.  </w:t>
      </w:r>
    </w:p>
    <w:p w14:paraId="24F4F02B" w14:textId="31695E40" w:rsidR="00B506B0" w:rsidRDefault="00B506B0" w:rsidP="00B506B0">
      <w:pPr>
        <w:jc w:val="both"/>
      </w:pPr>
      <w:r>
        <w:tab/>
      </w:r>
      <w:r>
        <w:tab/>
        <w:t xml:space="preserve">This same endangerment standard, by the way, governs the question of whether EPA must regulate greenhouse gases under the Act.  Accordingly, when the Supreme Court demanded that EPA make a decision about whether to regulate greenhouse gas emissions by making a finding about endangerment, rather than through a </w:t>
      </w:r>
      <w:r w:rsidR="00D13DAC">
        <w:t>freewheeling</w:t>
      </w:r>
      <w:r>
        <w:t xml:space="preserve"> political judgment, EPA felt obliged to list greenhouse gases for regulation under </w:t>
      </w:r>
      <w:r>
        <w:rPr>
          <w:i/>
        </w:rPr>
        <w:t>Ethyl’s</w:t>
      </w:r>
      <w:r>
        <w:t xml:space="preserve"> precautionary approach.</w:t>
      </w:r>
      <w:r>
        <w:rPr>
          <w:rStyle w:val="Znakapoznpodarou"/>
        </w:rPr>
        <w:footnoteReference w:id="88"/>
      </w:r>
      <w:r>
        <w:t xml:space="preserve"> Thus, under current law, EPA must regulate greenhouse gas emissions, but the agency has only just begun to grapple with the question of how strict those regulations must be.</w:t>
      </w:r>
      <w:r w:rsidR="00F53982">
        <w:rPr>
          <w:rStyle w:val="Znakapoznpodarou"/>
        </w:rPr>
        <w:footnoteReference w:id="89"/>
      </w:r>
      <w:r>
        <w:t xml:space="preserve">   </w:t>
      </w:r>
    </w:p>
    <w:p w14:paraId="63AE77A3" w14:textId="77777777" w:rsidR="00B506B0" w:rsidRDefault="00B506B0" w:rsidP="00B506B0">
      <w:pPr>
        <w:jc w:val="both"/>
      </w:pPr>
      <w:r>
        <w:tab/>
      </w:r>
      <w:r>
        <w:tab/>
        <w:t xml:space="preserve">In the years since </w:t>
      </w:r>
      <w:r>
        <w:rPr>
          <w:i/>
        </w:rPr>
        <w:t xml:space="preserve">Ethyl, </w:t>
      </w:r>
      <w:r>
        <w:t>the world’s nations have affirmed the precautionary principle through state practice and frequent mention in international legal instruments, leading many experts to characterize precaution as a customary principle of international law.</w:t>
      </w:r>
      <w:bookmarkStart w:id="35" w:name="_Ref323719730"/>
      <w:r>
        <w:rPr>
          <w:rStyle w:val="Znakapoznpodarou"/>
        </w:rPr>
        <w:footnoteReference w:id="90"/>
      </w:r>
      <w:bookmarkEnd w:id="35"/>
      <w:r>
        <w:t xml:space="preserve">  International law’s articulations of the precautionary principle, however, vary in some respects.</w:t>
      </w:r>
      <w:bookmarkStart w:id="36" w:name="_Ref326054367"/>
      <w:r>
        <w:rPr>
          <w:rStyle w:val="Znakapoznpodarou"/>
        </w:rPr>
        <w:footnoteReference w:id="91"/>
      </w:r>
      <w:bookmarkEnd w:id="36"/>
      <w:r>
        <w:t xml:space="preserve">  </w:t>
      </w:r>
    </w:p>
    <w:p w14:paraId="37309623" w14:textId="4539435E" w:rsidR="00B506B0" w:rsidRDefault="00B506B0" w:rsidP="00B506B0">
      <w:pPr>
        <w:jc w:val="both"/>
      </w:pPr>
      <w:r>
        <w:tab/>
      </w:r>
      <w:r>
        <w:tab/>
        <w:t>The core of the international legal principle addresses this question of triggers for regulatory action.</w:t>
      </w:r>
      <w:r>
        <w:rPr>
          <w:rStyle w:val="Znakapoznpodarou"/>
        </w:rPr>
        <w:footnoteReference w:id="92"/>
      </w:r>
      <w:r>
        <w:t xml:space="preserve">  The most widely cited version of the principle comes from the Rio Declaration on Environment a</w:t>
      </w:r>
      <w:r w:rsidR="00CE78E4">
        <w:t>nd Development (Rio Declaration)</w:t>
      </w:r>
      <w:r>
        <w:rPr>
          <w:rStyle w:val="Znakapoznpodarou"/>
        </w:rPr>
        <w:footnoteReference w:id="93"/>
      </w:r>
      <w:r>
        <w:t xml:space="preserve"> a statement of principles agreed to by 165 nations in 1992.  It states:</w:t>
      </w:r>
    </w:p>
    <w:p w14:paraId="5DFC8219" w14:textId="77777777" w:rsidR="00B506B0" w:rsidRDefault="00B506B0" w:rsidP="00B506B0">
      <w:pPr>
        <w:jc w:val="both"/>
      </w:pPr>
    </w:p>
    <w:p w14:paraId="3B17DA90" w14:textId="77777777" w:rsidR="00B506B0" w:rsidRDefault="00B506B0" w:rsidP="00B506B0">
      <w:pPr>
        <w:ind w:left="720" w:right="720"/>
        <w:jc w:val="both"/>
      </w:pPr>
      <w:r>
        <w:t xml:space="preserve">In order to protect the environment, the precautionary approach should be widely </w:t>
      </w:r>
      <w:r>
        <w:tab/>
        <w:t>applied by States according to their capabilities.  Where there are threats of serious or irreversible damage, lack of full scientific certainty shall not be used as a reason for postponing cost-effective measures to prevent environmental degradation.</w:t>
      </w:r>
      <w:r>
        <w:rPr>
          <w:rStyle w:val="Znakapoznpodarou"/>
        </w:rPr>
        <w:footnoteReference w:id="94"/>
      </w:r>
    </w:p>
    <w:p w14:paraId="1D28AC38" w14:textId="77777777" w:rsidR="00B506B0" w:rsidRDefault="00B506B0" w:rsidP="00B506B0">
      <w:pPr>
        <w:ind w:left="720"/>
        <w:jc w:val="both"/>
      </w:pPr>
    </w:p>
    <w:p w14:paraId="3C639505" w14:textId="77777777" w:rsidR="00B506B0" w:rsidRDefault="00B506B0" w:rsidP="00B506B0">
      <w:pPr>
        <w:jc w:val="both"/>
      </w:pPr>
      <w:r>
        <w:tab/>
      </w:r>
      <w:r>
        <w:tab/>
        <w:t xml:space="preserve">The statement that “scientific uncertainty shall not be used as a reason for postponing” prevention simply takes away scientific uncertainty as an excuse for inaction, in a manner congruent with </w:t>
      </w:r>
      <w:r>
        <w:rPr>
          <w:i/>
        </w:rPr>
        <w:t xml:space="preserve">Ethyl Industries’ </w:t>
      </w:r>
      <w:r>
        <w:t>acceptance of lead abatement without firm proof of harm.</w:t>
      </w:r>
      <w:r>
        <w:rPr>
          <w:rStyle w:val="Znakapoznpodarou"/>
        </w:rPr>
        <w:footnoteReference w:id="95"/>
      </w:r>
      <w:r>
        <w:t xml:space="preserve">  And it only takes away this excuse when a qualitative risk assessment indicates a “threat [] of serious or irreversible damage,” leaving open the possibility of letting scientific uncertainty defeat regulation to diminish minor reversible damage.</w:t>
      </w:r>
      <w:r>
        <w:rPr>
          <w:rStyle w:val="Znakapoznpodarou"/>
        </w:rPr>
        <w:footnoteReference w:id="96"/>
      </w:r>
      <w:r>
        <w:t xml:space="preserve">  Since a number of international agreements contain very similar language and this version comes from a very general and widely accepted listing of international legal principles, leading scholars of the precautionary principle identify this lowering of the burden of proof attached to regulatory triggers as the core meaning of the precautionary principle.</w:t>
      </w:r>
      <w:bookmarkStart w:id="37" w:name="_Ref198099550"/>
      <w:r>
        <w:rPr>
          <w:rStyle w:val="Znakapoznpodarou"/>
        </w:rPr>
        <w:footnoteReference w:id="97"/>
      </w:r>
      <w:bookmarkEnd w:id="37"/>
    </w:p>
    <w:p w14:paraId="5358AEE4" w14:textId="77777777" w:rsidR="00B506B0" w:rsidRDefault="00B506B0" w:rsidP="00B506B0">
      <w:pPr>
        <w:jc w:val="both"/>
      </w:pPr>
      <w:r>
        <w:tab/>
      </w:r>
      <w:r>
        <w:tab/>
        <w:t xml:space="preserve">The principle also addresses measures’ </w:t>
      </w:r>
      <w:r>
        <w:rPr>
          <w:i/>
        </w:rPr>
        <w:t>timing</w:t>
      </w:r>
      <w:r>
        <w:t>.</w:t>
      </w:r>
      <w:r>
        <w:rPr>
          <w:rStyle w:val="Znakapoznpodarou"/>
        </w:rPr>
        <w:footnoteReference w:id="98"/>
      </w:r>
      <w:r>
        <w:t xml:space="preserve">  As the Rio Declaration’s admonition against “postponement” suggests, the precautionary principle supports action in advance of full scientific certainty regarding regulated substances’ environmental effects.</w:t>
      </w:r>
      <w:r>
        <w:rPr>
          <w:rStyle w:val="Znakapoznpodarou"/>
        </w:rPr>
        <w:footnoteReference w:id="99"/>
      </w:r>
      <w:r>
        <w:t xml:space="preserve">  </w:t>
      </w:r>
    </w:p>
    <w:p w14:paraId="0C3A4503" w14:textId="41F6E350" w:rsidR="00B506B0" w:rsidRDefault="00B506B0" w:rsidP="00B506B0">
      <w:pPr>
        <w:jc w:val="both"/>
      </w:pPr>
      <w:r>
        <w:tab/>
      </w:r>
      <w:r>
        <w:tab/>
        <w:t>The precautionary principle, at least as stated in this leading articulation of it, does not provide an answer to the question of how to set appropriate regulatory levels.  It does not appear to take a position on whether society should establish safe levels regardless of cost, employ all feasible technology to reduce emissions (a cost sensitive criterion), or balance costs and benefits at the margin.</w:t>
      </w:r>
      <w:bookmarkStart w:id="38" w:name="_Ref334598518"/>
      <w:r>
        <w:rPr>
          <w:rStyle w:val="Znakapoznpodarou"/>
        </w:rPr>
        <w:footnoteReference w:id="100"/>
      </w:r>
      <w:bookmarkEnd w:id="38"/>
      <w:r>
        <w:t xml:space="preserve">  By only taking scientific </w:t>
      </w:r>
      <w:r>
        <w:lastRenderedPageBreak/>
        <w:t>uncertainty off the table, it leaves open questions about whether and how to consider costs.</w:t>
      </w:r>
      <w:bookmarkStart w:id="39" w:name="_Ref208917353"/>
      <w:r w:rsidR="000E536A">
        <w:rPr>
          <w:rStyle w:val="Znakapoznpodarou"/>
        </w:rPr>
        <w:footnoteReference w:id="101"/>
      </w:r>
      <w:bookmarkEnd w:id="39"/>
      <w:r>
        <w:t xml:space="preserve">  </w:t>
      </w:r>
    </w:p>
    <w:p w14:paraId="327631F2" w14:textId="4CBC19AD" w:rsidR="00B506B0" w:rsidRDefault="00B506B0" w:rsidP="00B506B0">
      <w:pPr>
        <w:jc w:val="both"/>
      </w:pPr>
      <w:r>
        <w:tab/>
      </w:r>
      <w:r>
        <w:tab/>
        <w:t>Yet, the idea that precaution has something to say about levels of regulation enjoys a strong following among scholars.</w:t>
      </w:r>
      <w:r w:rsidR="00AA6C00">
        <w:rPr>
          <w:rStyle w:val="Znakapoznpodarou"/>
        </w:rPr>
        <w:footnoteReference w:id="102"/>
      </w:r>
      <w:r>
        <w:t xml:space="preserve">  And the idea that scientific uncertainty should not justify rejection of </w:t>
      </w:r>
      <w:r>
        <w:rPr>
          <w:i/>
        </w:rPr>
        <w:t>measures</w:t>
      </w:r>
      <w:r>
        <w:t xml:space="preserve"> protecting us from environmental harms does suggest something about how a precautionary approach should influence decisions about abatement levels.  This wording suggests not just that governments eschew the use of scientific uncertainty as a basis for rejecting listing of a pollutant for regulation, but also that scientific uncertainty play no role in rejecting any particular proposed measure to ameliorate an environmental harm.  </w:t>
      </w:r>
    </w:p>
    <w:p w14:paraId="7B66F10B" w14:textId="0CB9EEDC" w:rsidR="00B506B0" w:rsidRDefault="00B506B0" w:rsidP="00B506B0">
      <w:pPr>
        <w:jc w:val="both"/>
      </w:pPr>
      <w:r>
        <w:tab/>
      </w:r>
      <w:r>
        <w:tab/>
        <w:t xml:space="preserve">For example, if a government rejected a proposal to reduce a pollutant by 90% because of scientific uncertainty, this arguably violates the precautionary principle, even if the same government simultaneously demanded a 70% reduction of this pollutant. This reasoning would supply the missing link between precaution’s proponents’ tendency to characterize the principle in the narrow terms of a trigger, and </w:t>
      </w:r>
      <w:r w:rsidR="0055090A">
        <w:t xml:space="preserve">the </w:t>
      </w:r>
      <w:r w:rsidR="00B83101">
        <w:t>common assumption</w:t>
      </w:r>
      <w:r>
        <w:t xml:space="preserve"> that it does have something to say about abatement levels.</w:t>
      </w:r>
      <w:r>
        <w:rPr>
          <w:rStyle w:val="Znakapoznpodarou"/>
        </w:rPr>
        <w:footnoteReference w:id="103"/>
      </w:r>
    </w:p>
    <w:p w14:paraId="373A34EC" w14:textId="77777777" w:rsidR="00B506B0" w:rsidRDefault="00B506B0" w:rsidP="00B506B0">
      <w:pPr>
        <w:jc w:val="both"/>
      </w:pPr>
      <w:r>
        <w:tab/>
      </w:r>
      <w:r>
        <w:tab/>
        <w:t>If one goes beyond this core meaning of the principle, one can find other language that, at first glance, appears to implicate this question of stringency, but this language varies from statement to statement.  (By contrast, all statements of the principle share a core meaning of taking scientific uncertainty off the table as a basis for inaction for serious and irreversible harms).</w:t>
      </w:r>
      <w:r>
        <w:rPr>
          <w:rStyle w:val="Znakapoznpodarou"/>
        </w:rPr>
        <w:footnoteReference w:id="104"/>
      </w:r>
      <w:r>
        <w:t xml:space="preserve">  </w:t>
      </w:r>
    </w:p>
    <w:p w14:paraId="4F0D1A60" w14:textId="77777777" w:rsidR="00B506B0" w:rsidRDefault="00B506B0" w:rsidP="00B506B0">
      <w:pPr>
        <w:jc w:val="both"/>
      </w:pPr>
      <w:r>
        <w:tab/>
      </w:r>
      <w:r>
        <w:tab/>
        <w:t xml:space="preserve">The Rio Declaration’s statement of the precautionary principle goes beyond triggers and timing in its language calling for cost effective regulation.  This statement on </w:t>
      </w:r>
      <w:r>
        <w:lastRenderedPageBreak/>
        <w:t>its face, however, still says nothing about abatement levels.  It just suggests that countries should try to achieve whatever abatement level they choose as cheaply as possible.</w:t>
      </w:r>
      <w:r>
        <w:rPr>
          <w:rStyle w:val="Znakapoznpodarou"/>
        </w:rPr>
        <w:footnoteReference w:id="105"/>
      </w:r>
      <w:r>
        <w:t xml:space="preserve"> </w:t>
      </w:r>
    </w:p>
    <w:p w14:paraId="44B9AA25" w14:textId="0B39D265" w:rsidR="00B506B0" w:rsidRDefault="00B506B0" w:rsidP="00B506B0">
      <w:pPr>
        <w:jc w:val="both"/>
      </w:pPr>
      <w:r>
        <w:t xml:space="preserve">  </w:t>
      </w:r>
      <w:r>
        <w:tab/>
      </w:r>
      <w:r>
        <w:tab/>
        <w:t>This cost effectiveness principle does not demand a balance between costs and benefits.  If it did, the cost effectiveness principle would make CBA a mandatory element of the precautionary principle (or at least the leading version of the principle).</w:t>
      </w:r>
      <w:r>
        <w:rPr>
          <w:rStyle w:val="Znakapoznpodarou"/>
        </w:rPr>
        <w:footnoteReference w:id="106"/>
      </w:r>
      <w:r>
        <w:t xml:space="preserve">  The United National Framework Convention on Climate Change’s (Framework Convention’s)</w:t>
      </w:r>
      <w:bookmarkStart w:id="40" w:name="_Ref216517260"/>
      <w:r w:rsidR="0055090A">
        <w:rPr>
          <w:rStyle w:val="Znakapoznpodarou"/>
        </w:rPr>
        <w:footnoteReference w:id="107"/>
      </w:r>
      <w:bookmarkEnd w:id="40"/>
      <w:r>
        <w:t xml:space="preserve"> very similar statement of the precautionary principle </w:t>
      </w:r>
      <w:r w:rsidR="001B7D1A">
        <w:t xml:space="preserve">(adopted, like the Rio Declaration, at the 1992 “Earth Summit”) </w:t>
      </w:r>
      <w:r>
        <w:t>shows even more explicitly than the Rio Declaration that cost effectiveness has nothing to do with abatement levels.  Article 3 of the Framework Convention calls for “cost effective” measures “so as to ensure global benefits at the lowest possible cost.”</w:t>
      </w:r>
      <w:r w:rsidR="006712B5">
        <w:rPr>
          <w:rStyle w:val="Znakapoznpodarou"/>
        </w:rPr>
        <w:footnoteReference w:id="108"/>
      </w:r>
      <w:r>
        <w:t xml:space="preserve"> Furthermore, the overall goal of the Framework Convention, the avoidance of dangerous levels of climate disruption, implicitly rejects balancing, at least over the long-term on a global scale.</w:t>
      </w:r>
      <w:r w:rsidR="006712B5">
        <w:rPr>
          <w:rStyle w:val="Znakapoznpodarou"/>
        </w:rPr>
        <w:footnoteReference w:id="109"/>
      </w:r>
      <w:r>
        <w:t xml:space="preserve">  The Framework Convention’s cost effectiveness principle responds to the U.S. demand for international environmental benefit trading.  Later, in the Kyoto Protocol, this U.S. lobbying led to incorporation of no less than three environmental benefit trading programs into the climate disruption regime, foreshadowed by language in the Framework Convention authorizing “joint implementation” of reduction commitments.</w:t>
      </w:r>
      <w:r w:rsidR="006712B5">
        <w:rPr>
          <w:rStyle w:val="Znakapoznpodarou"/>
        </w:rPr>
        <w:footnoteReference w:id="110"/>
      </w:r>
      <w:r>
        <w:t xml:space="preserve">  In this context, the cost effectiveness principle demands, not a balance between costs and benefits, but an effort to minimize the costs of whatever abatement targets countries agree to adopt.  The principle tends to support global environmental benefit trading, as this approach minimizes the cost of meeting any given target, whether established by CBA or some other approach to specifying environmental goals.</w:t>
      </w:r>
    </w:p>
    <w:p w14:paraId="21C11C0B" w14:textId="77777777" w:rsidR="00B506B0" w:rsidRDefault="00B506B0" w:rsidP="00B506B0">
      <w:pPr>
        <w:jc w:val="both"/>
      </w:pPr>
      <w:r>
        <w:tab/>
      </w:r>
      <w:r>
        <w:tab/>
        <w:t xml:space="preserve">Properly understood, this cost effectiveness principle has nothing to say about abatement levels.  One can cost effectively achieve ambitious or unambitious reduction levels.  This principle addresses regulatory technique, not regulatory stringency.  </w:t>
      </w:r>
    </w:p>
    <w:p w14:paraId="085D9A3B" w14:textId="7FDD78FD" w:rsidR="00B506B0" w:rsidRDefault="00B506B0" w:rsidP="00B506B0">
      <w:pPr>
        <w:jc w:val="both"/>
      </w:pPr>
      <w:r>
        <w:tab/>
      </w:r>
      <w:r>
        <w:tab/>
        <w:t>The Framework Convention’s precautionary paragraph goes on to say a little more about how to regulate greenhouse gas emissions.</w:t>
      </w:r>
      <w:r>
        <w:rPr>
          <w:rStyle w:val="Znakapoznpodarou"/>
        </w:rPr>
        <w:footnoteReference w:id="111"/>
      </w:r>
      <w:r>
        <w:t xml:space="preserve">  It demands comprehensive </w:t>
      </w:r>
      <w:r>
        <w:lastRenderedPageBreak/>
        <w:t>regulation, covering all relevant economic sectors.</w:t>
      </w:r>
      <w:r w:rsidR="00521857">
        <w:rPr>
          <w:rStyle w:val="Znakapoznpodarou"/>
        </w:rPr>
        <w:footnoteReference w:id="112"/>
      </w:r>
      <w:r>
        <w:t xml:space="preserve">  This comprehensiveness phrase says nothing about how stringent governments should make their comprehensive regulations.  </w:t>
      </w:r>
    </w:p>
    <w:p w14:paraId="09F280CF" w14:textId="66F0D9BC" w:rsidR="00B506B0" w:rsidRDefault="00B506B0" w:rsidP="00B506B0">
      <w:pPr>
        <w:jc w:val="both"/>
      </w:pPr>
      <w:r>
        <w:tab/>
      </w:r>
      <w:r>
        <w:tab/>
        <w:t>Another statement in this paragraph addresses abatement levels, but does so quite obliquely.  It states that “policies and measures should take different socio-economic contexts into account.”</w:t>
      </w:r>
      <w:r w:rsidR="0031700E">
        <w:rPr>
          <w:rStyle w:val="Znakapoznpodarou"/>
        </w:rPr>
        <w:footnoteReference w:id="113"/>
      </w:r>
      <w:r>
        <w:t xml:space="preserve">  This statement certainly leaves room for the consideration of cost.  Its core meaning, however, seems directed at the idea that developing countries, because of their socio-economic context, may regulate less strictly than developed countries, thereby reinforcing the Framework Convention’s principle of “common but differentiated responsibilities.”</w:t>
      </w:r>
      <w:r w:rsidR="0031700E">
        <w:rPr>
          <w:rStyle w:val="Znakapoznpodarou"/>
        </w:rPr>
        <w:footnoteReference w:id="114"/>
      </w:r>
      <w:r>
        <w:t xml:space="preserve">  It also embraces an idea later ac</w:t>
      </w:r>
      <w:r w:rsidR="005B1B85">
        <w:t xml:space="preserve">tualized in the Kyoto Protocol, </w:t>
      </w:r>
      <w:r>
        <w:t xml:space="preserve">that the level of reductions might vary among different </w:t>
      </w:r>
      <w:r>
        <w:rPr>
          <w:i/>
        </w:rPr>
        <w:t>developed</w:t>
      </w:r>
      <w:r>
        <w:t xml:space="preserve"> countries, since every country has varying social and economic situations to consider.</w:t>
      </w:r>
      <w:r w:rsidR="005B1B85">
        <w:rPr>
          <w:rStyle w:val="Znakapoznpodarou"/>
        </w:rPr>
        <w:footnoteReference w:id="115"/>
      </w:r>
      <w:r>
        <w:t xml:space="preserve">  </w:t>
      </w:r>
    </w:p>
    <w:p w14:paraId="37444198" w14:textId="2AB78648" w:rsidR="00B506B0" w:rsidRDefault="00B506B0" w:rsidP="00B506B0">
      <w:pPr>
        <w:jc w:val="both"/>
      </w:pPr>
      <w:r>
        <w:tab/>
      </w:r>
      <w:r>
        <w:tab/>
        <w:t xml:space="preserve">In short, the Framework Convention and Rio Declaration’s statements going beyond the principle’s core say almost nothing about regulation’s stringency, and what they do say addresses the topic at a very high level of generality.  Far from stating that countries must ignore costs in order to regulate as strictly as possible, the Framework Convention at least potentially leaves the door open to CBA in the </w:t>
      </w:r>
      <w:r w:rsidR="00FA6C33">
        <w:t>short run at the national level</w:t>
      </w:r>
      <w:r>
        <w:t xml:space="preserve"> by indicating that countries should take economic context into account in addressing climate disruption.  Furthermore, other international agreements embracing precaution provide language treating cost considerations as relevant information, further reinforcing the impression that the precautionary principle does not close the door on CBA.</w:t>
      </w:r>
      <w:bookmarkStart w:id="41" w:name="_Ref327350303"/>
      <w:r>
        <w:rPr>
          <w:rStyle w:val="Znakapoznpodarou"/>
        </w:rPr>
        <w:footnoteReference w:id="116"/>
      </w:r>
      <w:bookmarkEnd w:id="41"/>
      <w:r w:rsidR="007C56ED">
        <w:t xml:space="preserve">  Finally, many commentators and government statements about the precautionary principle embrace the concept of proportionality, usually interpreted to require some CBA, but not a strict equalization of costs and benefits at the margin.</w:t>
      </w:r>
      <w:bookmarkStart w:id="42" w:name="_Ref340828207"/>
      <w:r w:rsidR="007C56ED">
        <w:rPr>
          <w:rStyle w:val="Znakapoznpodarou"/>
        </w:rPr>
        <w:footnoteReference w:id="117"/>
      </w:r>
      <w:bookmarkEnd w:id="42"/>
    </w:p>
    <w:p w14:paraId="50952721" w14:textId="0B9DADDC" w:rsidR="00B506B0" w:rsidRDefault="00B506B0" w:rsidP="00B506B0">
      <w:pPr>
        <w:jc w:val="both"/>
      </w:pPr>
      <w:r>
        <w:lastRenderedPageBreak/>
        <w:t xml:space="preserve">  </w:t>
      </w:r>
      <w:r>
        <w:tab/>
      </w:r>
      <w:r>
        <w:tab/>
        <w:t>To conclude, the precautionary principle’s agreed upon core addresses triggers and only addresses abatement levels, if at all, principally by withdrawing scientific uncertainty as a ground for a rejection of any proposed measure.  When the Framework Convention says more about regulatory response in the midst of a discussion of precaution, it says very little about abatement levels.  What little the Framework Convention’s precautionary paragraph does say does not rule out CBA’s use.</w:t>
      </w:r>
      <w:bookmarkStart w:id="43" w:name="_Ref208912720"/>
      <w:r w:rsidR="0095602A">
        <w:rPr>
          <w:rStyle w:val="Znakapoznpodarou"/>
        </w:rPr>
        <w:footnoteReference w:id="118"/>
      </w:r>
      <w:bookmarkEnd w:id="43"/>
      <w:r>
        <w:t xml:space="preserve">    </w:t>
      </w:r>
    </w:p>
    <w:p w14:paraId="050AFEB3" w14:textId="77777777" w:rsidR="00B506B0" w:rsidRDefault="00B506B0" w:rsidP="00B506B0"/>
    <w:p w14:paraId="11D9C71D" w14:textId="18A308F1" w:rsidR="00B506B0" w:rsidRDefault="00B506B0" w:rsidP="00B506B0">
      <w:pPr>
        <w:jc w:val="center"/>
        <w:outlineLvl w:val="0"/>
      </w:pPr>
      <w:r>
        <w:t xml:space="preserve">C.  </w:t>
      </w:r>
      <w:r>
        <w:rPr>
          <w:i/>
        </w:rPr>
        <w:t xml:space="preserve">The </w:t>
      </w:r>
      <w:r w:rsidR="00245AEF">
        <w:rPr>
          <w:i/>
        </w:rPr>
        <w:t>Conflict</w:t>
      </w:r>
      <w:r>
        <w:rPr>
          <w:i/>
        </w:rPr>
        <w:t xml:space="preserve"> Between CBA and Precaution</w:t>
      </w:r>
    </w:p>
    <w:p w14:paraId="6AB84BD8" w14:textId="77777777" w:rsidR="00B506B0" w:rsidRDefault="00B506B0" w:rsidP="00B506B0">
      <w:r>
        <w:tab/>
        <w:t xml:space="preserve"> </w:t>
      </w:r>
    </w:p>
    <w:p w14:paraId="3B429308" w14:textId="59528092" w:rsidR="00B506B0" w:rsidRDefault="00B506B0" w:rsidP="00B506B0">
      <w:pPr>
        <w:jc w:val="both"/>
      </w:pPr>
      <w:r>
        <w:tab/>
      </w:r>
      <w:r>
        <w:tab/>
        <w:t>Still, almost everybody seems to assume that CBA and precaution conflict.</w:t>
      </w:r>
      <w:r>
        <w:rPr>
          <w:rStyle w:val="Znakapoznpodarou"/>
        </w:rPr>
        <w:footnoteReference w:id="119"/>
      </w:r>
      <w:r>
        <w:t xml:space="preserve">  Indeed, David Weisbach, a CBA advocate, </w:t>
      </w:r>
      <w:r w:rsidR="0039663E">
        <w:t xml:space="preserve">partially </w:t>
      </w:r>
      <w:r>
        <w:t>defines the precautionary principle as a demand to reduce harm more than CBA requires.</w:t>
      </w:r>
      <w:bookmarkStart w:id="44" w:name="_Ref340746385"/>
      <w:r>
        <w:rPr>
          <w:rStyle w:val="Znakapoznpodarou"/>
        </w:rPr>
        <w:footnoteReference w:id="120"/>
      </w:r>
      <w:bookmarkEnd w:id="44"/>
      <w:r>
        <w:t xml:space="preserve">  This view may reflect his </w:t>
      </w:r>
      <w:r w:rsidR="00245AEF">
        <w:t xml:space="preserve">qualified </w:t>
      </w:r>
      <w:r>
        <w:t>acceptance of precautionary princip</w:t>
      </w:r>
      <w:r w:rsidR="00245AEF">
        <w:t>le advocates’ apparent position</w:t>
      </w:r>
      <w:r>
        <w:t>.</w:t>
      </w:r>
      <w:r>
        <w:rPr>
          <w:rStyle w:val="Znakapoznpodarou"/>
        </w:rPr>
        <w:footnoteReference w:id="121"/>
      </w:r>
      <w:r>
        <w:t xml:space="preserve">  Richard Stewart takes an even more radical stance, treating the principle as simply prohibiting potentially harmful activities altogether.</w:t>
      </w:r>
      <w:r>
        <w:rPr>
          <w:rStyle w:val="Znakapoznpodarou"/>
        </w:rPr>
        <w:footnoteReference w:id="122"/>
      </w:r>
      <w:r>
        <w:t xml:space="preserve">  If all harmful activities must cease, clearly no room exists for any consideration of costs and therefore no room exists for CBA.  </w:t>
      </w:r>
    </w:p>
    <w:p w14:paraId="040F7386" w14:textId="764F6851" w:rsidR="00B506B0" w:rsidRDefault="00B506B0" w:rsidP="00B506B0">
      <w:pPr>
        <w:jc w:val="both"/>
      </w:pPr>
      <w:r>
        <w:tab/>
      </w:r>
      <w:r>
        <w:tab/>
        <w:t>Cass Sunstein wrote an entire book attacking the precautionary principle and urging CBA as an alternative.</w:t>
      </w:r>
      <w:bookmarkStart w:id="45" w:name="_Ref323733006"/>
      <w:r>
        <w:rPr>
          <w:rStyle w:val="Znakapoznpodarou"/>
        </w:rPr>
        <w:footnoteReference w:id="123"/>
      </w:r>
      <w:bookmarkEnd w:id="45"/>
      <w:r>
        <w:t xml:space="preserve">  Sunstein’s main argument portrays CBA as a rational alternative to the precautionary principle’s “incoherence.”</w:t>
      </w:r>
      <w:r w:rsidR="00521857">
        <w:rPr>
          <w:rStyle w:val="Znakapoznpodarou"/>
        </w:rPr>
        <w:footnoteReference w:id="124"/>
      </w:r>
      <w:r>
        <w:t xml:space="preserve">  He sees the precautionary principle, or at least strong versions of the principle, as providing no useful guidance.</w:t>
      </w:r>
      <w:r>
        <w:rPr>
          <w:rStyle w:val="Znakapoznpodarou"/>
        </w:rPr>
        <w:footnoteReference w:id="125"/>
      </w:r>
      <w:r>
        <w:t xml:space="preserve">  He sees the principle as leading to paralysis, because, in Sunstein’s view “risks are on all sides”—meaning that actions taken to comply with regulations always create risks that a </w:t>
      </w:r>
      <w:r>
        <w:lastRenderedPageBreak/>
        <w:t>precautionary approach might want to avoid.</w:t>
      </w:r>
      <w:r>
        <w:rPr>
          <w:rStyle w:val="Znakapoznpodarou"/>
        </w:rPr>
        <w:footnoteReference w:id="126"/>
      </w:r>
      <w:r>
        <w:t xml:space="preserve">  He notes CBA “is often urged as an alternative to the precautionary principle” and then proceeds to defend CBA.</w:t>
      </w:r>
      <w:r>
        <w:rPr>
          <w:rStyle w:val="Znakapoznpodarou"/>
        </w:rPr>
        <w:footnoteReference w:id="127"/>
      </w:r>
    </w:p>
    <w:p w14:paraId="5FCF9872" w14:textId="2CB3C440" w:rsidR="00B506B0" w:rsidRDefault="00B506B0" w:rsidP="00B506B0">
      <w:pPr>
        <w:jc w:val="both"/>
      </w:pPr>
      <w:r>
        <w:tab/>
      </w:r>
      <w:r>
        <w:tab/>
        <w:t>John Applegate, likewise, views precaution as an “alternative” to an “approach predicated on cost-benefit analysis.”</w:t>
      </w:r>
      <w:r>
        <w:rPr>
          <w:rStyle w:val="Znakapoznpodarou"/>
        </w:rPr>
        <w:footnoteReference w:id="128"/>
      </w:r>
      <w:r>
        <w:t xml:space="preserve">  And he is not alone among advocates of precaution in viewing it that way. </w:t>
      </w:r>
      <w:r w:rsidR="003F67D1">
        <w:t xml:space="preserve"> </w:t>
      </w:r>
      <w:r>
        <w:t>Douglas Kysar places CBA in opposition to precaution when he suggests that the precautionary principle requires avoidance of a catastrophe regardless of cost.</w:t>
      </w:r>
      <w:r>
        <w:rPr>
          <w:rStyle w:val="Znakapoznpodarou"/>
        </w:rPr>
        <w:footnoteReference w:id="129"/>
      </w:r>
      <w:r>
        <w:t xml:space="preserve">  And a group of activists defines it, in part, as a challenge to “the hegemony of cost-benefit analysis.”</w:t>
      </w:r>
      <w:r>
        <w:rPr>
          <w:rStyle w:val="Znakapoznpodarou"/>
        </w:rPr>
        <w:footnoteReference w:id="130"/>
      </w:r>
      <w:r>
        <w:t xml:space="preserve"> Hence, analysts with very diverse views see precaution and CBA as at war with each other. </w:t>
      </w:r>
    </w:p>
    <w:p w14:paraId="3A18332B" w14:textId="0F5CB182" w:rsidR="00B506B0" w:rsidRDefault="00B506B0" w:rsidP="00B506B0">
      <w:pPr>
        <w:jc w:val="both"/>
      </w:pPr>
      <w:r>
        <w:tab/>
      </w:r>
      <w:r>
        <w:tab/>
        <w:t>I have found only two scholars, Professors Mark Geistfeld and Daniel Cole, who clearly regard CBA and precaution as compatible.</w:t>
      </w:r>
      <w:bookmarkStart w:id="46" w:name="_Ref199208296"/>
      <w:r>
        <w:rPr>
          <w:rStyle w:val="Znakapoznpodarou"/>
        </w:rPr>
        <w:footnoteReference w:id="131"/>
      </w:r>
      <w:bookmarkEnd w:id="46"/>
      <w:r>
        <w:t xml:space="preserve">  Geistfeld reaches this conclusion on different grounds than those that this Article explores, finding an equitable principle embedded in precaution favoring pollution victims.</w:t>
      </w:r>
      <w:r>
        <w:rPr>
          <w:rStyle w:val="Znakapoznpodarou"/>
        </w:rPr>
        <w:footnoteReference w:id="132"/>
      </w:r>
      <w:r>
        <w:t xml:space="preserve">  In order to operationalize his view of precaution he ends up departing from the optimality goal that animates CBA.</w:t>
      </w:r>
      <w:r>
        <w:rPr>
          <w:rStyle w:val="Znakapoznpodarou"/>
        </w:rPr>
        <w:footnoteReference w:id="133"/>
      </w:r>
      <w:r>
        <w:t xml:space="preserve">   This Article’s approach focuses more on precaution’s simple insistence that governments not rely on uncertainty as a ground for rejecting measures addressing serious risks.</w:t>
      </w:r>
      <w:r>
        <w:rPr>
          <w:rStyle w:val="Znakapoznpodarou"/>
        </w:rPr>
        <w:footnoteReference w:id="134"/>
      </w:r>
      <w:r>
        <w:t xml:space="preserve">  Daniel Cole assumes compatibility without defending this assumption, focusing on technical suggestions for making CBA precautionary, which this Article draws upon.</w:t>
      </w:r>
      <w:r w:rsidR="0076556C">
        <w:rPr>
          <w:rStyle w:val="Znakapoznpodarou"/>
        </w:rPr>
        <w:footnoteReference w:id="135"/>
      </w:r>
      <w:r>
        <w:t xml:space="preserve">     </w:t>
      </w:r>
    </w:p>
    <w:p w14:paraId="4D6FC5B9" w14:textId="77777777" w:rsidR="00B506B0" w:rsidRDefault="00B506B0" w:rsidP="00B506B0">
      <w:pPr>
        <w:jc w:val="both"/>
      </w:pPr>
      <w:r>
        <w:lastRenderedPageBreak/>
        <w:tab/>
      </w:r>
      <w:r>
        <w:tab/>
        <w:t xml:space="preserve">Scholars almost universally view precaution and CBA as at war.  The next section questions that view.     </w:t>
      </w:r>
    </w:p>
    <w:p w14:paraId="54012086" w14:textId="77777777" w:rsidR="00B506B0" w:rsidRDefault="00B506B0" w:rsidP="00B506B0">
      <w:pPr>
        <w:jc w:val="both"/>
      </w:pPr>
    </w:p>
    <w:p w14:paraId="4A49981C" w14:textId="77777777" w:rsidR="00B506B0" w:rsidRDefault="00B506B0" w:rsidP="00B506B0">
      <w:pPr>
        <w:jc w:val="center"/>
        <w:outlineLvl w:val="0"/>
        <w:rPr>
          <w:rFonts w:cs="Times New Roman"/>
          <w:smallCaps/>
        </w:rPr>
      </w:pPr>
      <w:r>
        <w:t xml:space="preserve">III.  </w:t>
      </w:r>
      <w:r>
        <w:rPr>
          <w:rFonts w:cs="Times New Roman"/>
          <w:smallCaps/>
        </w:rPr>
        <w:t>Is CBA at War with Precaution?</w:t>
      </w:r>
    </w:p>
    <w:p w14:paraId="045D4570" w14:textId="77777777" w:rsidR="00B506B0" w:rsidRDefault="00B506B0" w:rsidP="00B506B0">
      <w:pPr>
        <w:jc w:val="center"/>
        <w:rPr>
          <w:rFonts w:cs="Times New Roman"/>
          <w:smallCaps/>
        </w:rPr>
      </w:pPr>
    </w:p>
    <w:p w14:paraId="093D964F" w14:textId="77777777" w:rsidR="00B506B0" w:rsidRDefault="00B506B0" w:rsidP="00B506B0">
      <w:pPr>
        <w:jc w:val="both"/>
      </w:pPr>
      <w:r>
        <w:rPr>
          <w:rFonts w:cs="Times New Roman"/>
          <w:smallCaps/>
        </w:rPr>
        <w:tab/>
      </w:r>
      <w:r>
        <w:rPr>
          <w:rFonts w:cs="Times New Roman"/>
          <w:smallCaps/>
        </w:rPr>
        <w:tab/>
      </w:r>
      <w:r>
        <w:t xml:space="preserve">The basis for this widespread belief in a conflict between CBA, understood merely as a comparison between costs and benefits, and mainstream precaution proves startlingly thin.  This section will argue that the most simple natural reading of mainstream contemporary statements of the principle points to the conclusion that the two ideas might not conflict because they primarily address different subjects.  It will then go on to point out that a reading of the precautionary principle as embracing radical precaution—the idea that all potentially harmful activity must cease outright—does create a conflict.  But, we shall see, the international community has generally rejected radical precaution, so that this conflict proves more apparent than real.  </w:t>
      </w:r>
    </w:p>
    <w:p w14:paraId="1ABC0628" w14:textId="7810C16A" w:rsidR="00B506B0" w:rsidRDefault="00B506B0" w:rsidP="00B506B0">
      <w:pPr>
        <w:jc w:val="both"/>
      </w:pPr>
      <w:r>
        <w:tab/>
      </w:r>
      <w:r>
        <w:tab/>
        <w:t>Next, I will argue that precaution, properly understood, does have some implications for how we approach levels of abatement</w:t>
      </w:r>
      <w:r>
        <w:rPr>
          <w:rFonts w:cs="Times New Roman"/>
        </w:rPr>
        <w:t>—</w:t>
      </w:r>
      <w:r>
        <w:t>by demanding a conservative approach to risk assessment in the face of uncertainty.</w:t>
      </w:r>
      <w:r w:rsidR="001A1248">
        <w:rPr>
          <w:rStyle w:val="Znakapoznpodarou"/>
        </w:rPr>
        <w:footnoteReference w:id="136"/>
      </w:r>
      <w:r>
        <w:t xml:space="preserve">  I will then argue that U.S. CBA practice, not necessarily the idea of CBA itself, conflicts with the precautionary principle, using a case study of the IWG’s effort to establish the social cost of carbon as an illustration.  This effort to separate contemporary U.S. practice from the basic idea of comparing costs and benefits will provide a predicate for envisioning precautionary CBA.</w:t>
      </w:r>
    </w:p>
    <w:p w14:paraId="3A44DB83" w14:textId="77777777" w:rsidR="00B506B0" w:rsidRDefault="00B506B0" w:rsidP="00B506B0"/>
    <w:p w14:paraId="7EA60628" w14:textId="77777777" w:rsidR="00B506B0" w:rsidRDefault="00B506B0" w:rsidP="00B506B0">
      <w:pPr>
        <w:jc w:val="center"/>
        <w:rPr>
          <w:i/>
        </w:rPr>
      </w:pPr>
      <w:r>
        <w:t xml:space="preserve">A.  </w:t>
      </w:r>
      <w:r>
        <w:rPr>
          <w:i/>
        </w:rPr>
        <w:t>Triggers and Levels:  Talking Past Each Other</w:t>
      </w:r>
    </w:p>
    <w:p w14:paraId="42471701" w14:textId="77777777" w:rsidR="00B506B0" w:rsidRDefault="00B506B0" w:rsidP="00B506B0">
      <w:pPr>
        <w:jc w:val="center"/>
        <w:rPr>
          <w:i/>
        </w:rPr>
      </w:pPr>
    </w:p>
    <w:p w14:paraId="3C4A5F8C" w14:textId="3EB0B0A0" w:rsidR="00B506B0" w:rsidRDefault="00B506B0" w:rsidP="00B506B0">
      <w:pPr>
        <w:jc w:val="both"/>
      </w:pPr>
      <w:r>
        <w:tab/>
      </w:r>
      <w:r>
        <w:tab/>
        <w:t xml:space="preserve">I have already suggested that leading statements of the precautionary principle, may have little or nothing to say about abatement levels, in which case, they may not conflict with CBA.  This point may need some elaboration.  If one understands the precautionary principle as only (or primarily) taking scientific uncertainty off the table as an excuse for inaction, then the core of the principle does not appear to conflict with CBA’s core. That is, if one </w:t>
      </w:r>
      <w:r>
        <w:rPr>
          <w:i/>
        </w:rPr>
        <w:t xml:space="preserve">only </w:t>
      </w:r>
      <w:r>
        <w:t>takes scientific uncertainty off the table as a basis for inaction, all other bases for inaction remain available.  It remains acceptable to decline to take an action if taking action would cost too much.</w:t>
      </w:r>
      <w:r w:rsidR="00C8210A">
        <w:rPr>
          <w:rStyle w:val="Znakapoznpodarou"/>
        </w:rPr>
        <w:footnoteReference w:id="137"/>
      </w:r>
      <w:r>
        <w:t xml:space="preserve">  It would follow that a society that chooses to decide which regulatory actions cost too much through CBA would be free to do so.  </w:t>
      </w:r>
    </w:p>
    <w:p w14:paraId="0C406411" w14:textId="77777777" w:rsidR="00B506B0" w:rsidRDefault="00B506B0" w:rsidP="00B506B0">
      <w:pPr>
        <w:jc w:val="both"/>
      </w:pPr>
      <w:r>
        <w:tab/>
      </w:r>
      <w:r>
        <w:tab/>
        <w:t xml:space="preserve">CBA advocates might object to this analysis on the grounds that the trigger for regulatory action, which, as pointed out previously, has traditionally been science-based, should be based on CBA.  That is, CBA could be viewed not only as an influence upon abatement levels, but as an influence upon, or even determining factor, in decisions about </w:t>
      </w:r>
      <w:r>
        <w:lastRenderedPageBreak/>
        <w:t xml:space="preserve">whether to regulate at all.  This, they might argue, would mean that CBA and the precautionary principle both address (or should address) triggers and so might conflict.  </w:t>
      </w:r>
    </w:p>
    <w:p w14:paraId="1D4B8A5D" w14:textId="77777777" w:rsidR="00B506B0" w:rsidRDefault="00B506B0" w:rsidP="00B506B0">
      <w:pPr>
        <w:jc w:val="both"/>
      </w:pPr>
      <w:r>
        <w:tab/>
      </w:r>
      <w:r>
        <w:tab/>
        <w:t xml:space="preserve">I have two responses to this.  First of all, in a world of limited resources, the triggers must be based on science.  Second, even if triggers can and should somehow be done through CBA, this would not create a conflict with the precautionary principle defined narrowly.  </w:t>
      </w:r>
    </w:p>
    <w:p w14:paraId="7607CF60" w14:textId="77777777" w:rsidR="00B506B0" w:rsidRDefault="00B506B0" w:rsidP="00B506B0">
      <w:pPr>
        <w:jc w:val="both"/>
      </w:pPr>
      <w:r>
        <w:tab/>
      </w:r>
      <w:r>
        <w:tab/>
        <w:t>To see these points, consider the process for setting primary National Ambient Air Quality Standards under the Clean Air Act and how one might modify it to conform better to CBA proponents’ desires.  The Act requires EPA to list pollutants that endanger public health, the triggering step to which the precautionary principle applies.</w:t>
      </w:r>
      <w:r>
        <w:rPr>
          <w:rStyle w:val="Znakapoznpodarou"/>
        </w:rPr>
        <w:footnoteReference w:id="138"/>
      </w:r>
      <w:r>
        <w:t xml:space="preserve">  One year later, EPA must publish a document linking various quantities of the listed pollutant to levels of health and environmental impacts, called a “criteria” document and a document discussing available technologies for controlling the pollutant.</w:t>
      </w:r>
      <w:r>
        <w:rPr>
          <w:rStyle w:val="Znakapoznpodarou"/>
        </w:rPr>
        <w:footnoteReference w:id="139"/>
      </w:r>
      <w:r>
        <w:t xml:space="preserve">  Finally, comes the step that dismays CBA proponents:  EPA must establish standards for the listed pollutant that protect public health and the environment with an adequate margin of safety.</w:t>
      </w:r>
      <w:r>
        <w:rPr>
          <w:rStyle w:val="Znakapoznpodarou"/>
        </w:rPr>
        <w:footnoteReference w:id="140"/>
      </w:r>
      <w:r>
        <w:t xml:space="preserve">       </w:t>
      </w:r>
    </w:p>
    <w:p w14:paraId="24AB7B8E" w14:textId="3B4187D8" w:rsidR="00B506B0" w:rsidRDefault="00B506B0" w:rsidP="00B506B0">
      <w:pPr>
        <w:jc w:val="both"/>
      </w:pPr>
      <w:r>
        <w:tab/>
      </w:r>
      <w:r>
        <w:tab/>
        <w:t>One must identify pollutants based on science in step one, regardless of whether the final step involves setting standards aimed at protecting public health and the environment (as under current law) or standards based on cost-benefit balancing.  Governments cannot analyze the costs and benefits of regulating a pollutant without identifying the pollutant first.  Unless governments conduct CBA on every single substance released into the environment, they must select pollutants based on some kind of dangerousness assessment as a predicate for analysis.  And no government possesses the resources or information that would permit CBA of every released substance, especially since the CBA would necessarily have to examine a variety of possible abatement levels for each pollutant, as costs</w:t>
      </w:r>
      <w:r w:rsidR="00392D83">
        <w:t xml:space="preserve"> and benefits</w:t>
      </w:r>
      <w:r>
        <w:t xml:space="preserve"> vary with the abatement level.  As long as one concedes that some assessment of dangerousness functions as a condition predicate to CBA, then it follows that a triggering step exists to which precaution can apply before one gets to the questions of levels.</w:t>
      </w:r>
    </w:p>
    <w:p w14:paraId="61AFBCCB" w14:textId="0FF0BD4D" w:rsidR="00B506B0" w:rsidRDefault="00B506B0" w:rsidP="00B506B0">
      <w:pPr>
        <w:jc w:val="both"/>
      </w:pPr>
      <w:r>
        <w:tab/>
      </w:r>
      <w:r>
        <w:tab/>
        <w:t>Second, even if one</w:t>
      </w:r>
      <w:r w:rsidR="00D13DAC">
        <w:t xml:space="preserve"> imagines a Herculean regulator</w:t>
      </w:r>
      <w:r>
        <w:t xml:space="preserve"> who somehow instantly performs CBA on every substance considering a variety of abatement levels and all the sources of the relevant pollution (and their varied abatement costs), this would not necessarily contradict the precautionary principle.  If the regulator decided not to list a substance because any and all regulation would cost too much, this would not violate the mainstream precautionary principle, as long as the </w:t>
      </w:r>
      <w:r w:rsidR="005A4A4D">
        <w:t>decisionmaker</w:t>
      </w:r>
      <w:r>
        <w:t xml:space="preserve"> did not rely on scientific uncertainty as a ground for the decision.</w:t>
      </w:r>
    </w:p>
    <w:p w14:paraId="2DEA9928" w14:textId="77777777" w:rsidR="00B506B0" w:rsidRDefault="00B506B0" w:rsidP="00B506B0">
      <w:r>
        <w:tab/>
      </w:r>
    </w:p>
    <w:p w14:paraId="1C024C1B" w14:textId="77777777" w:rsidR="00B506B0" w:rsidRDefault="00B506B0" w:rsidP="00B506B0">
      <w:pPr>
        <w:jc w:val="center"/>
        <w:rPr>
          <w:i/>
        </w:rPr>
      </w:pPr>
      <w:r>
        <w:t xml:space="preserve">B.  </w:t>
      </w:r>
      <w:r>
        <w:rPr>
          <w:i/>
        </w:rPr>
        <w:t>Radical Precaution</w:t>
      </w:r>
    </w:p>
    <w:p w14:paraId="1F2E609B" w14:textId="77777777" w:rsidR="00B506B0" w:rsidRDefault="00B506B0" w:rsidP="00B506B0">
      <w:r>
        <w:tab/>
      </w:r>
    </w:p>
    <w:p w14:paraId="513CE802" w14:textId="77777777" w:rsidR="00B506B0" w:rsidRDefault="00B506B0" w:rsidP="00B506B0">
      <w:pPr>
        <w:jc w:val="both"/>
      </w:pPr>
      <w:r>
        <w:tab/>
      </w:r>
      <w:r>
        <w:tab/>
        <w:t xml:space="preserve">If, however, one understands the precautionary principle much more broadly as demanding the cessation of all arguably environmental harmful activities, then precaution conflicts with the idea of taking CBA seriously.  But leading precautionary principle </w:t>
      </w:r>
      <w:r>
        <w:lastRenderedPageBreak/>
        <w:t>scholars reject this understanding of the principle,</w:t>
      </w:r>
      <w:r>
        <w:rPr>
          <w:rStyle w:val="Znakapoznpodarou"/>
        </w:rPr>
        <w:footnoteReference w:id="141"/>
      </w:r>
      <w:r>
        <w:t xml:space="preserve"> castigating precaution’s critics for focusing on a straw man by directing so much of their attention at radical precaution</w:t>
      </w:r>
      <w:bookmarkStart w:id="47" w:name="_Ref323559354"/>
      <w:r>
        <w:rPr>
          <w:rStyle w:val="Znakapoznpodarou"/>
        </w:rPr>
        <w:footnoteReference w:id="142"/>
      </w:r>
      <w:bookmarkEnd w:id="47"/>
      <w:r>
        <w:t>.</w:t>
      </w:r>
    </w:p>
    <w:p w14:paraId="289D7C6E" w14:textId="77777777" w:rsidR="00B506B0" w:rsidRDefault="00B506B0" w:rsidP="00B506B0">
      <w:pPr>
        <w:jc w:val="both"/>
      </w:pPr>
      <w:r>
        <w:tab/>
      </w:r>
      <w:r>
        <w:tab/>
        <w:t>Sometimes the precautionary principle’s supporters suggest that some statements of the principle seem to embrace radical precaution, although even that is debatable.</w:t>
      </w:r>
      <w:r>
        <w:rPr>
          <w:rStyle w:val="Znakapoznpodarou"/>
        </w:rPr>
        <w:footnoteReference w:id="143"/>
      </w:r>
      <w:r>
        <w:t xml:space="preserve">  But they point out that the more widely embraced and recently endorsed versions of the principle, such as those found in the Framework Convention, and above all, in the Rio Declaration, contain no such absolutes about levels.       </w:t>
      </w:r>
    </w:p>
    <w:p w14:paraId="3CBB4A6C" w14:textId="77777777" w:rsidR="00B506B0" w:rsidRDefault="00B506B0" w:rsidP="00B506B0">
      <w:pPr>
        <w:jc w:val="both"/>
      </w:pPr>
      <w:r>
        <w:tab/>
      </w:r>
      <w:r>
        <w:tab/>
        <w:t>Not all of those finding a conflict between precaution and CBA rely upon a distortion of the principle’s most widely accepted contemporary meaning.  David Weisbach relies upon a statement of the precautionary principle as a demand for action to avoid or diminish uncertain but morally unacceptable harm to bolster his contention that the two ideas must conflict.</w:t>
      </w:r>
      <w:r>
        <w:rPr>
          <w:rStyle w:val="Znakapoznpodarou"/>
        </w:rPr>
        <w:t xml:space="preserve"> </w:t>
      </w:r>
      <w:r>
        <w:rPr>
          <w:rStyle w:val="Znakapoznpodarou"/>
        </w:rPr>
        <w:footnoteReference w:id="144"/>
      </w:r>
      <w:r>
        <w:t xml:space="preserve">   Yet, the language “avoid or diminish” suggests that regulators need not wholly avoid even “morally unacceptable” harms; they may instead choose to</w:t>
      </w:r>
      <w:r>
        <w:rPr>
          <w:i/>
        </w:rPr>
        <w:t xml:space="preserve"> diminish</w:t>
      </w:r>
      <w:r>
        <w:t xml:space="preserve"> those harms.  Since actions to reduce serious harms likely generate some benefits, surely some action will usually be justifiable in cost-benefit terms.  Certainly, this is true in the climate disruption context, since energy efficiency measures often pay for themselves, even apart from their environmental and health benefits.</w:t>
      </w:r>
      <w:r>
        <w:rPr>
          <w:rStyle w:val="Znakapoznpodarou"/>
        </w:rPr>
        <w:footnoteReference w:id="145"/>
      </w:r>
      <w:r>
        <w:t xml:space="preserve">  This “avoid or diminish” statement functions more as a trigger for action than as a guide to calibration of abatement, except perhaps as it indicates a mood.</w:t>
      </w:r>
      <w:r>
        <w:rPr>
          <w:rStyle w:val="Znakapoznpodarou"/>
        </w:rPr>
        <w:footnoteReference w:id="146"/>
      </w:r>
    </w:p>
    <w:p w14:paraId="7822EF7E" w14:textId="77777777" w:rsidR="00B506B0" w:rsidRDefault="00B506B0" w:rsidP="00B506B0">
      <w:pPr>
        <w:jc w:val="both"/>
      </w:pPr>
      <w:r>
        <w:tab/>
      </w:r>
      <w:r>
        <w:tab/>
        <w:t xml:space="preserve">CBA proponents’ grounds for finding a conflict between precaution and CBA turn out to be baseless.   They rely too much upon a radical precautionary idea enjoying little if any support in international treaties or state practice and, like advocates of precaution, have no clear justification for even imagining that the principles speak to the same issue.      </w:t>
      </w:r>
    </w:p>
    <w:p w14:paraId="6F4AA1F1" w14:textId="77777777" w:rsidR="00B506B0" w:rsidRDefault="00B506B0" w:rsidP="00B506B0"/>
    <w:p w14:paraId="1D338D6B" w14:textId="77777777" w:rsidR="00B506B0" w:rsidRDefault="00B506B0" w:rsidP="00B506B0">
      <w:pPr>
        <w:jc w:val="center"/>
        <w:rPr>
          <w:i/>
        </w:rPr>
      </w:pPr>
      <w:r>
        <w:t xml:space="preserve">C.  </w:t>
      </w:r>
      <w:r>
        <w:rPr>
          <w:i/>
        </w:rPr>
        <w:t>Precautionary Risk Assessment and Abatement Levels</w:t>
      </w:r>
    </w:p>
    <w:p w14:paraId="5DC506E1" w14:textId="77777777" w:rsidR="00B506B0" w:rsidRDefault="00B506B0" w:rsidP="00B506B0">
      <w:pPr>
        <w:jc w:val="center"/>
        <w:rPr>
          <w:i/>
        </w:rPr>
      </w:pPr>
    </w:p>
    <w:p w14:paraId="6AA5CABD" w14:textId="77777777" w:rsidR="00B506B0" w:rsidRDefault="00B506B0" w:rsidP="00B506B0">
      <w:pPr>
        <w:jc w:val="both"/>
      </w:pPr>
      <w:r>
        <w:tab/>
      </w:r>
      <w:r>
        <w:tab/>
        <w:t xml:space="preserve">Yet, the idea that precaution has something meaningful to say about levels persists among commentators on both sides, in spite of the thin support for this idea in the </w:t>
      </w:r>
      <w:r>
        <w:lastRenderedPageBreak/>
        <w:t>leading statements of the principle.</w:t>
      </w:r>
      <w:r>
        <w:rPr>
          <w:rStyle w:val="Znakapoznpodarou"/>
        </w:rPr>
        <w:footnoteReference w:id="147"/>
      </w:r>
      <w:r>
        <w:t xml:space="preserve"> And surely the word “precaution” itself does suggest choosing abatement levels that reflect some caution about the dangers they aim to address.  I have already suggested that the language demanding that governments not rely on scientific uncertainty to reject specific measures supplies some justification for this belief.  It remains to spell out this language’s implications for efforts to establish levels and therefore, potentially for CBA.   Specifically, I will argue below the precautionary principle demands that policy-makers choosing abatement levels that take health and environmental impacts into account must base their benefits evaluation on conservative risk assessment assumptions.</w:t>
      </w:r>
      <w:r>
        <w:rPr>
          <w:rStyle w:val="Znakapoznpodarou"/>
        </w:rPr>
        <w:footnoteReference w:id="148"/>
      </w:r>
      <w:r>
        <w:t xml:space="preserve"> </w:t>
      </w:r>
    </w:p>
    <w:p w14:paraId="755FAF2A" w14:textId="27629FB2" w:rsidR="00B506B0" w:rsidRDefault="00B506B0" w:rsidP="00B506B0">
      <w:pPr>
        <w:jc w:val="both"/>
      </w:pPr>
      <w:r>
        <w:tab/>
      </w:r>
      <w:r>
        <w:tab/>
        <w:t xml:space="preserve">As </w:t>
      </w:r>
      <w:r w:rsidR="00392D83">
        <w:t>many commentators</w:t>
      </w:r>
      <w:r>
        <w:t xml:space="preserve"> have suggested, precaution can inform decisions designed to fully protect public health—including decisions about what abatement level to require.</w:t>
      </w:r>
      <w:r>
        <w:rPr>
          <w:rStyle w:val="Znakapoznpodarou"/>
        </w:rPr>
        <w:footnoteReference w:id="149"/>
      </w:r>
      <w:r w:rsidR="00392D83">
        <w:t xml:space="preserve">  Thus, many scholars describe</w:t>
      </w:r>
      <w:r>
        <w:t xml:space="preserve"> the requirement that standards designed to protect human health (or the environment) incorporate a “margin of safety” as precautionary.</w:t>
      </w:r>
      <w:r>
        <w:rPr>
          <w:rStyle w:val="Znakapoznpodarou"/>
        </w:rPr>
        <w:footnoteReference w:id="150"/>
      </w:r>
      <w:r>
        <w:t xml:space="preserve">  This idea of a margin of safety refers to the practice of setting levels of pollution below the levels where serious health effects are actually observed to take into account potential effects that we have not yet observed, but may well exist.  This accounts for a common situation where data exist only for </w:t>
      </w:r>
      <w:r w:rsidR="00D13DAC">
        <w:t>high-level</w:t>
      </w:r>
      <w:r>
        <w:t xml:space="preserve"> exposure, but that data show the existence of serious problems.  For lower levels of exposure that often typify environmental insults, insufficient data exist. This approach takes uncertainty into account by making some expert judgment about safe levels, even when nobody has produced data that would answer the question of exactly where this safe level lies.  Furthermore, the idea of an adequate margin of safety implies that in making this assessment of risks at levels for which we have inadequate data, regulators should err on the side of caution, rather than on the side of optimism.</w:t>
      </w:r>
      <w:r w:rsidR="007C56ED">
        <w:rPr>
          <w:rStyle w:val="Znakapoznpodarou"/>
        </w:rPr>
        <w:footnoteReference w:id="151"/>
      </w:r>
      <w:r>
        <w:t xml:space="preserve">  This approach implies an attitude of precaution in risk assessment.</w:t>
      </w:r>
      <w:bookmarkStart w:id="48" w:name="_Ref325372704"/>
      <w:r>
        <w:rPr>
          <w:rStyle w:val="Znakapoznpodarou"/>
        </w:rPr>
        <w:footnoteReference w:id="152"/>
      </w:r>
      <w:bookmarkEnd w:id="48"/>
    </w:p>
    <w:p w14:paraId="72CFDDC8" w14:textId="540D2C43" w:rsidR="00B506B0" w:rsidRDefault="00B506B0" w:rsidP="00B506B0">
      <w:pPr>
        <w:jc w:val="both"/>
      </w:pPr>
      <w:r>
        <w:lastRenderedPageBreak/>
        <w:tab/>
      </w:r>
      <w:r>
        <w:tab/>
        <w:t xml:space="preserve">Notice that </w:t>
      </w:r>
      <w:r w:rsidR="00392D83">
        <w:t>this</w:t>
      </w:r>
      <w:r>
        <w:t xml:space="preserve"> argument does not locate the precautionary principle in the health protection principle itself.</w:t>
      </w:r>
      <w:bookmarkStart w:id="49" w:name="_Ref202934220"/>
      <w:r>
        <w:rPr>
          <w:rStyle w:val="Znakapoznpodarou"/>
        </w:rPr>
        <w:footnoteReference w:id="153"/>
      </w:r>
      <w:bookmarkEnd w:id="49"/>
      <w:r>
        <w:t xml:space="preserve">  Rather, a decision to protect health regardless of cost involves a particular value choice that by itself says nothing about scientific uncertainty.  One could imagine a health protection principle that applies only to extremely well understood environmental risks.  This principle in isolation would violate the precautionary principle, as it would use scientific uncertainty as a basis for inaction.  </w:t>
      </w:r>
      <w:r w:rsidR="00392D83">
        <w:tab/>
      </w:r>
      <w:r>
        <w:t xml:space="preserve">Furthermore, </w:t>
      </w:r>
      <w:r w:rsidR="00392D83">
        <w:t>the literature</w:t>
      </w:r>
      <w:r>
        <w:t xml:space="preserve"> identifies precaution with a very different </w:t>
      </w:r>
      <w:r w:rsidR="00392D83">
        <w:t>principle</w:t>
      </w:r>
      <w:r>
        <w:t>, that of feasibility.  This principle, which animates technology-based rulemaking, does not directly</w:t>
      </w:r>
      <w:r w:rsidR="00392D83">
        <w:t xml:space="preserve"> take risk into account at all; yet m</w:t>
      </w:r>
      <w:r w:rsidR="007C56ED">
        <w:t>any countries consider a feasibility-based approach to be synonymous with the precautionary principle.</w:t>
      </w:r>
      <w:r w:rsidR="007C56ED">
        <w:rPr>
          <w:rStyle w:val="Znakapoznpodarou"/>
        </w:rPr>
        <w:footnoteReference w:id="154"/>
      </w:r>
      <w:r>
        <w:t xml:space="preserve">  </w:t>
      </w:r>
      <w:r w:rsidR="00392D83">
        <w:t xml:space="preserve">This approach conforms to the precautionary principle, because it does not use scientific uncertainty to postpone action.  This </w:t>
      </w:r>
      <w:r>
        <w:t xml:space="preserve">analysis suggests that precaution must influence risk assessment whenever levels of risk influence </w:t>
      </w:r>
      <w:r w:rsidR="00392D83">
        <w:t>actions</w:t>
      </w:r>
      <w:r>
        <w:t xml:space="preserve">.     </w:t>
      </w:r>
    </w:p>
    <w:p w14:paraId="2B7C47DB" w14:textId="77777777" w:rsidR="00B506B0" w:rsidRDefault="00B506B0" w:rsidP="00B506B0">
      <w:pPr>
        <w:jc w:val="both"/>
      </w:pPr>
      <w:r>
        <w:tab/>
      </w:r>
      <w:r>
        <w:tab/>
        <w:t xml:space="preserve">Yet, as we have seen, risk assessment underlies not just efforts to establish safe levels, but also efforts to quantify regulatory benefits for purposes of CBA.  And questions about “margins of safety” and other indicia of precaution enter into risk assessment to establish regulatory benefits.  For example, suppose that one wants to establish the benefits of a proposed regulation diminishing levels of a hazardous pollutant to 5 parts per million (ppm).  Assume that we have solid data showing that at 10 ppm the pollutant causes 10,000 deaths per year, but we have no data at all about the number of deaths below 10 ppm.  How many deaths should an analyst claim will occur at 5 ppm for purposes of CBA?  </w:t>
      </w:r>
    </w:p>
    <w:p w14:paraId="59DD5C52" w14:textId="050C353E" w:rsidR="00B506B0" w:rsidRDefault="00B506B0" w:rsidP="00B506B0">
      <w:pPr>
        <w:jc w:val="both"/>
      </w:pPr>
      <w:r>
        <w:tab/>
      </w:r>
      <w:r>
        <w:tab/>
        <w:t>One approach to this question goes under the name of “sound science” and is much in vogue among regulated companies and conservative think tanks.</w:t>
      </w:r>
      <w:r>
        <w:rPr>
          <w:rStyle w:val="Znakapoznpodarou"/>
        </w:rPr>
        <w:footnoteReference w:id="155"/>
      </w:r>
      <w:r>
        <w:t xml:space="preserve">  Under this approach, the regulator would assume that at 5 ppm, the regulation will avoid only 10,000 deaths, the number of deaths associated with a 10 ppm level, since no proof exists that levels below 10 ppm will kill anybody.</w:t>
      </w:r>
      <w:r w:rsidR="00B31FA5">
        <w:rPr>
          <w:rStyle w:val="Znakapoznpodarou"/>
        </w:rPr>
        <w:footnoteReference w:id="156"/>
      </w:r>
      <w:r>
        <w:t xml:space="preserve">  This approach, in spite of its technocratic sounding moniker, enjoys little support from scientists not receiving industry funding.  </w:t>
      </w:r>
    </w:p>
    <w:p w14:paraId="1C2BA5BC" w14:textId="77777777" w:rsidR="00B506B0" w:rsidRDefault="00B506B0" w:rsidP="00B506B0">
      <w:pPr>
        <w:jc w:val="both"/>
      </w:pPr>
      <w:r>
        <w:tab/>
      </w:r>
      <w:r>
        <w:tab/>
        <w:t xml:space="preserve">Typically, scientists, absent some contrary evidence, will assume that if levels of 10 ppm kill 10,000, then levels of 5 ppm will kill people as well, albeit at numbers less than 10,000.  Many scientists would be very uncomfortable with making claims about how many people will die at 5 ppm, because no data exist to answer that question scientifically.  Yet, techniques of quantitative risk assessment exist, which risk assessors </w:t>
      </w:r>
      <w:r>
        <w:lastRenderedPageBreak/>
        <w:t>can use to make guesses about how many people will die at a 5 ppm level, at least in some cases.</w:t>
      </w:r>
      <w:bookmarkStart w:id="50" w:name="_Ref326226863"/>
      <w:r>
        <w:rPr>
          <w:rStyle w:val="Znakapoznpodarou"/>
        </w:rPr>
        <w:footnoteReference w:id="157"/>
      </w:r>
      <w:bookmarkEnd w:id="50"/>
      <w:r>
        <w:t xml:space="preserve">         </w:t>
      </w:r>
      <w:r>
        <w:tab/>
      </w:r>
    </w:p>
    <w:p w14:paraId="5181DF02" w14:textId="77777777" w:rsidR="00B506B0" w:rsidRDefault="00B506B0" w:rsidP="00B506B0">
      <w:pPr>
        <w:jc w:val="both"/>
      </w:pPr>
      <w:r>
        <w:tab/>
      </w:r>
      <w:r>
        <w:tab/>
        <w:t>These extrapolation techniques, however, create controversy, since science often cannot identify the correct extrapolation technique.</w:t>
      </w:r>
      <w:r>
        <w:rPr>
          <w:rStyle w:val="Znakapoznpodarou"/>
        </w:rPr>
        <w:footnoteReference w:id="158"/>
      </w:r>
      <w:r>
        <w:t xml:space="preserve">  The fact that science often cannot tell us how to estimate risks in the absence of data has significant implications for CBA.  It means that human beings cannot discover correct answers about the magnitude of environmental and health benefits.</w:t>
      </w:r>
      <w:r>
        <w:rPr>
          <w:rStyle w:val="Znakapoznpodarou"/>
        </w:rPr>
        <w:footnoteReference w:id="159"/>
      </w:r>
      <w:r>
        <w:t xml:space="preserve">  In this case (i.e. just about every case), the answer given in a quantitative analysis will depend upon the analysts’ assumptions.</w:t>
      </w:r>
      <w:r>
        <w:rPr>
          <w:rStyle w:val="Znakapoznpodarou"/>
        </w:rPr>
        <w:footnoteReference w:id="160"/>
      </w:r>
      <w:r>
        <w:t xml:space="preserve"> </w:t>
      </w:r>
    </w:p>
    <w:p w14:paraId="7E553507" w14:textId="77777777" w:rsidR="00B506B0" w:rsidRDefault="00B506B0" w:rsidP="00B506B0">
      <w:pPr>
        <w:jc w:val="both"/>
      </w:pPr>
      <w:r>
        <w:tab/>
      </w:r>
      <w:r>
        <w:tab/>
        <w:t>The need for assumptions in risk assessment underlying CBA implies that analysts conducting CBA can choose precautionary assumptions in estimating the magnitude of consequences where the data tail off.  Or they can choose anti-precautionary assumptions—like the sound science assumption that no firm proof of harm with data implies no harm at all.</w:t>
      </w:r>
    </w:p>
    <w:p w14:paraId="25E03D90" w14:textId="77777777" w:rsidR="00B506B0" w:rsidRDefault="00B506B0" w:rsidP="00B506B0">
      <w:pPr>
        <w:jc w:val="both"/>
      </w:pPr>
      <w:r>
        <w:tab/>
      </w:r>
      <w:r>
        <w:tab/>
        <w:t xml:space="preserve">Use of antiprecautionary assumptions in the risk assessment underlying a CBA would violate the core of the precautionary principle.  To see how antiprecautionary CBA could offend even a modest view of precaution’s implications, a return to our “sound science” example will help.  Suppose that a regulatory agency rejects a proposal to regulate at 5 ppm on the grounds that the costs of doing so outweigh the benefits.  The agency calculates the benefits as 10,000 lives saved (based on the sound science assumption) and multiplies this number by $6 million (an estimated value for a life saved), thus reaching the conclusion that the 5 ppm regulation generates $60 billion worth of benefits.  It estimates the cost of compliance with a 5 ppm standard at $61 billion and declines to promulgate the regulation as unjustified in cost-benefit terms.    Its conclusion that the benefits outweighed the cost depended on assuming that scientifically uncertain benefits, </w:t>
      </w:r>
      <w:r>
        <w:rPr>
          <w:i/>
        </w:rPr>
        <w:t xml:space="preserve">i.e. </w:t>
      </w:r>
      <w:r>
        <w:t>those stemming from harms occurring at levels below 10 ppm, do not exist at all.  Accordingly, the agency has implicitly used scientific uncertainty to justify rejecting a measure protecting the environment, in violation of the precautionary principle.</w:t>
      </w:r>
    </w:p>
    <w:p w14:paraId="3151EF57" w14:textId="3C52F494" w:rsidR="00DF5594" w:rsidRDefault="00B506B0" w:rsidP="00B506B0">
      <w:pPr>
        <w:jc w:val="both"/>
      </w:pPr>
      <w:r>
        <w:tab/>
      </w:r>
      <w:r>
        <w:tab/>
        <w:t>According to Rena Steinzor, in practice OIRA uses CBA “to combat precaution.”</w:t>
      </w:r>
      <w:bookmarkStart w:id="51" w:name="_Ref196892180"/>
      <w:r>
        <w:rPr>
          <w:rStyle w:val="Znakapoznpodarou"/>
        </w:rPr>
        <w:footnoteReference w:id="161"/>
      </w:r>
      <w:bookmarkEnd w:id="51"/>
      <w:r>
        <w:t xml:space="preserve">  She cites an effort by OIRA economists to change the risk assessment guidelines that th</w:t>
      </w:r>
      <w:r w:rsidR="000074F6">
        <w:t>e National Academy of Sciences</w:t>
      </w:r>
      <w:r>
        <w:t xml:space="preserve"> has created to guide government agencies conducting quantitative risk assessments.  Although this effort failed, OIRA has </w:t>
      </w:r>
      <w:r>
        <w:lastRenderedPageBreak/>
        <w:t xml:space="preserve">long </w:t>
      </w:r>
      <w:r w:rsidR="00EA0FF4">
        <w:t>enjoyed a reputation for second-</w:t>
      </w:r>
      <w:r>
        <w:t>guessing precautionary assumptions embedded in agency CBA.</w:t>
      </w:r>
    </w:p>
    <w:p w14:paraId="26A68612" w14:textId="2AAF2315" w:rsidR="00B506B0" w:rsidRDefault="00DF5594" w:rsidP="00B506B0">
      <w:pPr>
        <w:jc w:val="both"/>
      </w:pPr>
      <w:r>
        <w:tab/>
      </w:r>
      <w:r>
        <w:tab/>
        <w:t>This gravitation toward anti-precaution may not be deliberate.  Generally, CBA practitioners see themselves as choosing middle-of-the-road assumptions.  But the middle of the road is not a fixed place.  It depends on ones view of where the edges of the road are, i.e. which worst and best cases one finds credible.  And one’s view of that may be influenced by one’s predilections.  Furthermore, knee jerk moderation is not necessarily more accurate than any other response in the face of true uncertainty.</w:t>
      </w:r>
      <w:r w:rsidR="00EA0FF4">
        <w:t xml:space="preserve">  True uncertainty makes reliable identification of the middle impossible.</w:t>
      </w:r>
    </w:p>
    <w:p w14:paraId="5D722253" w14:textId="6D525E50" w:rsidR="00B506B0" w:rsidRDefault="00B506B0" w:rsidP="00B506B0">
      <w:pPr>
        <w:jc w:val="both"/>
      </w:pPr>
      <w:r>
        <w:tab/>
      </w:r>
      <w:r>
        <w:tab/>
        <w:t>One finds this same tendency of CBA supporters to resist precautionary assumptions in risk assessment among commentators.  In a notable example, Robert Hahn, who has made a career of promoting CBA, sought</w:t>
      </w:r>
      <w:r w:rsidR="00D32D0F">
        <w:t xml:space="preserve"> (with a coauthor)</w:t>
      </w:r>
      <w:r>
        <w:t xml:space="preserve"> to downplay the risks arsenic posed in drinking water by challenging the assumptions EPA and the National Academy of Science</w:t>
      </w:r>
      <w:r w:rsidR="000074F6">
        <w:t>s</w:t>
      </w:r>
      <w:r>
        <w:t xml:space="preserve"> had used in assessing that risk.</w:t>
      </w:r>
      <w:r w:rsidR="00D32D0F">
        <w:rPr>
          <w:rStyle w:val="Znakapoznpodarou"/>
        </w:rPr>
        <w:footnoteReference w:id="162"/>
      </w:r>
      <w:r>
        <w:t xml:space="preserve">  Tom McGarity’s rebuttal showed that Hahn’s assumptions lacked scientific justification.</w:t>
      </w:r>
      <w:bookmarkStart w:id="52" w:name="_Ref340752106"/>
      <w:r w:rsidR="00D32D0F">
        <w:rPr>
          <w:rStyle w:val="Znakapoznpodarou"/>
        </w:rPr>
        <w:footnoteReference w:id="163"/>
      </w:r>
      <w:bookmarkEnd w:id="52"/>
      <w:r>
        <w:t xml:space="preserve">  Perhaps more tellingly, he pointed out that Hahn, as an economist, lacked adequate credentials for making scientific judgments.</w:t>
      </w:r>
      <w:r w:rsidR="009B7309">
        <w:rPr>
          <w:rStyle w:val="Znakapoznpodarou"/>
        </w:rPr>
        <w:footnoteReference w:id="164"/>
      </w:r>
      <w:r>
        <w:t xml:space="preserve">  This point suggests something intriguing for the potential practice of precautionary CBA:  CBA of environmental measures requires scientific, not just economic, expertise.</w:t>
      </w:r>
      <w:r w:rsidR="00392D83">
        <w:rPr>
          <w:rStyle w:val="Znakapoznpodarou"/>
        </w:rPr>
        <w:footnoteReference w:id="165"/>
      </w:r>
      <w:r>
        <w:t xml:space="preserve">  </w:t>
      </w:r>
    </w:p>
    <w:p w14:paraId="7E9BB66C" w14:textId="72ED04A2" w:rsidR="00B506B0" w:rsidRDefault="00B506B0" w:rsidP="00B506B0">
      <w:pPr>
        <w:jc w:val="both"/>
      </w:pPr>
      <w:r>
        <w:tab/>
      </w:r>
      <w:r>
        <w:tab/>
        <w:t>Not all CBA supporters, however, use CBA as a pretext to undermine precautionary risk assessment.  Cass Sunstein responded to Hahn’s article by accurately noting that the science of arsenic supports a wide range of scientifically plausible estimates of the magnitude of the harms arsenic would cause.</w:t>
      </w:r>
      <w:r>
        <w:rPr>
          <w:rStyle w:val="Znakapoznpodarou"/>
        </w:rPr>
        <w:footnoteReference w:id="166"/>
      </w:r>
      <w:r>
        <w:t xml:space="preserve">  Accordingly, he recognized that a CBA based on the plausible benefits range would </w:t>
      </w:r>
      <w:r w:rsidR="0001155A">
        <w:t>not provide agency policymakers with clear guidance about what to do</w:t>
      </w:r>
      <w:r>
        <w:t>.</w:t>
      </w:r>
      <w:r w:rsidR="0001155A">
        <w:rPr>
          <w:rStyle w:val="Znakapoznpodarou"/>
        </w:rPr>
        <w:footnoteReference w:id="167"/>
      </w:r>
      <w:r>
        <w:t xml:space="preserve"> </w:t>
      </w:r>
    </w:p>
    <w:p w14:paraId="36B23922" w14:textId="77777777" w:rsidR="00B506B0" w:rsidRDefault="00B506B0" w:rsidP="00B506B0">
      <w:pPr>
        <w:jc w:val="both"/>
      </w:pPr>
      <w:r>
        <w:tab/>
      </w:r>
      <w:r>
        <w:tab/>
        <w:t xml:space="preserve">Whether or not today’s CBA proponents would accept precautionary risk assessment, it is an analytical possibility.  Therefore, it is possible to imagine a benefits assessment that estimates benefits using precautionary risk assessment assumptions.  I now move to a case study of anti-precautionary CBA, which will inform, by negative example, our understanding of what precautionary CBA might look like.   </w:t>
      </w:r>
    </w:p>
    <w:p w14:paraId="6E469667" w14:textId="77777777" w:rsidR="00B506B0" w:rsidRDefault="00B506B0" w:rsidP="00B506B0">
      <w:pPr>
        <w:jc w:val="both"/>
      </w:pPr>
    </w:p>
    <w:p w14:paraId="2504F172" w14:textId="77777777" w:rsidR="00B506B0" w:rsidRDefault="00B506B0" w:rsidP="00B506B0">
      <w:pPr>
        <w:jc w:val="center"/>
        <w:rPr>
          <w:i/>
        </w:rPr>
      </w:pPr>
      <w:r>
        <w:t xml:space="preserve">D.  </w:t>
      </w:r>
      <w:r>
        <w:rPr>
          <w:i/>
        </w:rPr>
        <w:t>The Social Cost of Carbon</w:t>
      </w:r>
    </w:p>
    <w:p w14:paraId="49AF57FD" w14:textId="77777777" w:rsidR="00B506B0" w:rsidRDefault="00B506B0" w:rsidP="00B506B0">
      <w:pPr>
        <w:jc w:val="center"/>
        <w:rPr>
          <w:i/>
        </w:rPr>
      </w:pPr>
    </w:p>
    <w:p w14:paraId="66CF59E0" w14:textId="05892854" w:rsidR="00B506B0" w:rsidRDefault="00B506B0" w:rsidP="00B506B0">
      <w:pPr>
        <w:jc w:val="both"/>
      </w:pPr>
      <w:r>
        <w:tab/>
      </w:r>
      <w:r>
        <w:tab/>
        <w:t>Recently, the Obama administration (an administration not particularly hostile to environmental protection) engaged in an effort to estimate carbon’s</w:t>
      </w:r>
      <w:r>
        <w:rPr>
          <w:i/>
        </w:rPr>
        <w:t xml:space="preserve"> </w:t>
      </w:r>
      <w:r>
        <w:t xml:space="preserve">social cost.  This </w:t>
      </w:r>
      <w:r>
        <w:lastRenderedPageBreak/>
        <w:t>estimate of the value of harms caused by carbon emissions is in effect an estimate of carbon abatement benefits, since the principal benefit of abatement is that it avoids a quantity of emissions and the consequent harms.  This exercise’s results have already been used in CBA of carbon abatement measures, and will presumably influence future standards.</w:t>
      </w:r>
      <w:r w:rsidR="0091742C">
        <w:rPr>
          <w:rStyle w:val="Znakapoznpodarou"/>
        </w:rPr>
        <w:footnoteReference w:id="168"/>
      </w:r>
    </w:p>
    <w:p w14:paraId="3BB7E5D4" w14:textId="77777777" w:rsidR="00B506B0" w:rsidRDefault="00B506B0" w:rsidP="00B506B0">
      <w:pPr>
        <w:jc w:val="both"/>
      </w:pPr>
      <w:r>
        <w:tab/>
      </w:r>
      <w:r>
        <w:tab/>
        <w:t>An understanding of this process will show that climate disruption CBA requires either precautionary or anti-precautionary assumptions.  The Obama Administration’s Interagency Working Group’s (IWG’s) conclusion pegging carbon’s social cost at $21 per ton (as its central estimate) was not inevitable. Indeed, economists’ estimates of the dollar value of a ton of greenhouse gas emission reduction vary from as little as $5.00 a ton to close to $3,000 a ton (although most estimates lie in the $5-$125 range).</w:t>
      </w:r>
      <w:bookmarkStart w:id="53" w:name="_Ref298330272"/>
      <w:r>
        <w:rPr>
          <w:rStyle w:val="Znakapoznpodarou"/>
        </w:rPr>
        <w:footnoteReference w:id="169"/>
      </w:r>
      <w:bookmarkEnd w:id="53"/>
      <w:r>
        <w:t xml:space="preserve">  The IWG’s conclusions reflect the anti-precautionary assumptions of the academic economists whose work it selected as the basis for its estimate.  Showing the anti-precautionary nature of existing practice provides a predicate for understanding the shape of a potential precautionary alternative.</w:t>
      </w:r>
    </w:p>
    <w:p w14:paraId="18F8CEBC" w14:textId="77777777" w:rsidR="00B506B0" w:rsidRDefault="00B506B0" w:rsidP="00B506B0"/>
    <w:p w14:paraId="1C1FB82C" w14:textId="77777777" w:rsidR="00B506B0" w:rsidRDefault="00B506B0" w:rsidP="00B506B0">
      <w:pPr>
        <w:jc w:val="both"/>
      </w:pPr>
      <w:r>
        <w:tab/>
      </w:r>
      <w:r>
        <w:tab/>
        <w:t xml:space="preserve">1.  </w:t>
      </w:r>
      <w:r>
        <w:rPr>
          <w:i/>
        </w:rPr>
        <w:t xml:space="preserve">Anti-Precautionary Damage Functions - </w:t>
      </w:r>
      <w:r>
        <w:t>The IWG arrived at its $21 number by averaging results from three commonly used integrated assessment models, FUND, PAGE, and DICE.</w:t>
      </w:r>
      <w:r>
        <w:rPr>
          <w:rStyle w:val="Znakapoznpodarou"/>
        </w:rPr>
        <w:footnoteReference w:id="170"/>
      </w:r>
      <w:r>
        <w:t xml:space="preserve">  All three of these models rely on inadequate representations of climate damages, failing to reflect current scientific understandings of likely climate impacts, let alone precautionary assumptions about the remaining uncertainties. </w:t>
      </w:r>
    </w:p>
    <w:p w14:paraId="07E93A78" w14:textId="77777777" w:rsidR="00B506B0" w:rsidRDefault="00B506B0" w:rsidP="00B506B0">
      <w:pPr>
        <w:jc w:val="both"/>
      </w:pPr>
      <w:r>
        <w:tab/>
      </w:r>
      <w:r>
        <w:tab/>
        <w:t>DICE calculates expected damages as a function of temperature increases. This “damage function” is calibrated to estimates of the value of a few categories of potential damages at 2.5</w:t>
      </w:r>
      <w:r>
        <w:rPr>
          <w:rFonts w:cs="Times New Roman"/>
        </w:rPr>
        <w:t>°</w:t>
      </w:r>
      <w:r>
        <w:t>C, partially offset by a large subjective benefit expected from warmer weather. In all, DICE projects losses of less than two percent of world GDP due to the first 2.5</w:t>
      </w:r>
      <w:r>
        <w:rPr>
          <w:rFonts w:cs="Times New Roman"/>
        </w:rPr>
        <w:t>°</w:t>
      </w:r>
      <w:r>
        <w:t>C of warming. That estimate is quite incomplete and conjectural; other analysts have estimated much larger damages at the same temperature.</w:t>
      </w:r>
      <w:r>
        <w:rPr>
          <w:rStyle w:val="Znakapoznpodarou"/>
        </w:rPr>
        <w:t xml:space="preserve"> </w:t>
      </w:r>
      <w:r>
        <w:rPr>
          <w:rStyle w:val="Znakapoznpodarou"/>
        </w:rPr>
        <w:footnoteReference w:id="171"/>
      </w:r>
      <w:r>
        <w:t xml:space="preserve">  Based on the 2.5</w:t>
      </w:r>
      <w:r>
        <w:rPr>
          <w:rFonts w:cs="Times New Roman"/>
        </w:rPr>
        <w:t>°</w:t>
      </w:r>
      <w:r>
        <w:t xml:space="preserve">C estimate, the DICE damage function is extended to other temperatures by assuming a simple, unproven algebraic formula (involving the square of the temperature increase). The DICE damage function implies that half of world output will not be lost to climate </w:t>
      </w:r>
      <w:r>
        <w:lastRenderedPageBreak/>
        <w:t>damages until the temperature has increased by almost 19</w:t>
      </w:r>
      <w:r>
        <w:rPr>
          <w:rFonts w:cs="Times New Roman"/>
        </w:rPr>
        <w:t>°</w:t>
      </w:r>
      <w:r>
        <w:t>C, far beyond the temperatures at which many observers anticipate catastrophic climate changes.</w:t>
      </w:r>
      <w:bookmarkStart w:id="54" w:name="_Ref340747601"/>
      <w:r>
        <w:rPr>
          <w:rStyle w:val="Znakapoznpodarou"/>
        </w:rPr>
        <w:footnoteReference w:id="172"/>
      </w:r>
      <w:bookmarkEnd w:id="54"/>
    </w:p>
    <w:p w14:paraId="1974AFD7" w14:textId="77777777" w:rsidR="00B506B0" w:rsidRDefault="00B506B0" w:rsidP="00B506B0">
      <w:pPr>
        <w:jc w:val="both"/>
      </w:pPr>
      <w:r>
        <w:tab/>
      </w:r>
      <w:r>
        <w:tab/>
        <w:t>PAGE uses a slightly more complex treatment of damages, separately estimating the costs of several major categories of climate impacts. The overall results are calibrated to roughly match other models such as DICE – and indeed, PAGE and DICE produce very similar estimates of the social cost of carbon under IWG assumptions ($30 and $28, respectively). PAGE assumes that developed nations will adapt to most impacts of climate disruption at near-zero cost.</w:t>
      </w:r>
      <w:bookmarkStart w:id="55" w:name="_Ref340747853"/>
      <w:r>
        <w:rPr>
          <w:rStyle w:val="Znakapoznpodarou"/>
        </w:rPr>
        <w:footnoteReference w:id="173"/>
      </w:r>
      <w:bookmarkEnd w:id="55"/>
      <w:r>
        <w:t xml:space="preserve">  This seems like wishful thinking, in light of our failure to protect the people of New Orleans from the widely anticipated threat of a major hurricane such as Katrina.</w:t>
      </w:r>
      <w:r>
        <w:rPr>
          <w:rStyle w:val="Znakapoznpodarou"/>
        </w:rPr>
        <w:footnoteReference w:id="174"/>
      </w:r>
      <w:r>
        <w:t xml:space="preserve"> The developer of the PAGE model has indicated that he is exploring alternatives to this assumption (along with other improvements) in the next version of the model; his preliminary results from that version suggest a much higher social cost of carbon.</w:t>
      </w:r>
      <w:r>
        <w:rPr>
          <w:rStyle w:val="Znakapoznpodarou"/>
        </w:rPr>
        <w:footnoteReference w:id="175"/>
      </w:r>
      <w:r>
        <w:t xml:space="preserve">   </w:t>
      </w:r>
      <w:r>
        <w:tab/>
      </w:r>
      <w:r>
        <w:tab/>
        <w:t xml:space="preserve"> </w:t>
      </w:r>
    </w:p>
    <w:p w14:paraId="2C8A7EF5" w14:textId="77777777" w:rsidR="00B506B0" w:rsidRDefault="00B506B0" w:rsidP="00B506B0">
      <w:pPr>
        <w:jc w:val="both"/>
      </w:pPr>
      <w:r>
        <w:tab/>
      </w:r>
      <w:r>
        <w:tab/>
        <w:t>The FUND model offers the lowest estimate of the social cost of carbon of the three models used by the IWG, a mere $6 per ton of carbon dioxide. (As a rule of thumb for interpreting such numbers, every $1 per ton of carbon dioxide is roughly equivalent to $0.01 per gallon of gasoline. Thus the IWG’s FUND results suggest that the climate damages caused by using a gallon of gasoline are worth about $0.06, compared to a larger but still modest $0.28 - $0.30 per gallon inferred from the DICE or PAGE results.)</w:t>
      </w:r>
    </w:p>
    <w:p w14:paraId="58354B27" w14:textId="4F0182E4" w:rsidR="00B506B0" w:rsidRDefault="00B506B0" w:rsidP="00B506B0">
      <w:pPr>
        <w:jc w:val="both"/>
      </w:pPr>
      <w:r>
        <w:tab/>
      </w:r>
      <w:r>
        <w:tab/>
        <w:t>A recent article analyzed the damage estimates in the FUND model.</w:t>
      </w:r>
      <w:r>
        <w:rPr>
          <w:rStyle w:val="Znakapoznpodarou"/>
        </w:rPr>
        <w:footnoteReference w:id="176"/>
      </w:r>
      <w:r>
        <w:t xml:space="preserve"> </w:t>
      </w:r>
      <w:r w:rsidR="00355900">
        <w:t xml:space="preserve">Although </w:t>
      </w:r>
      <w:r>
        <w:t>FUND distinguishes 15 different categories of damages, many of the category estimates are close to zero in practice. Cooling and heating costs, driven by the fact that a warmer world will lead to increases in air conditioning expenditures, are by far the largest category of climate impacts in FUND. The increased costs of air conditioning, combined with smaller climate disruption costs in other areas, are partially offset by a substantial projected benefit of climate change in agriculture. The supposed agricultural benefit is supported by citations to a handful of studies published in the mid-1990s, and rests on calculations that are both empirically and theoretically problematical.</w:t>
      </w:r>
      <w:r>
        <w:rPr>
          <w:rStyle w:val="Znakapoznpodarou"/>
        </w:rPr>
        <w:footnoteReference w:id="177"/>
      </w:r>
      <w:r>
        <w:t xml:space="preserve"> In the IWG’s FUND analysis, the world as a whole experiences net benefits from warming until about 3</w:t>
      </w:r>
      <w:r>
        <w:rPr>
          <w:rFonts w:cs="Times New Roman"/>
        </w:rPr>
        <w:t>°</w:t>
      </w:r>
      <w:r>
        <w:t>C.</w:t>
      </w:r>
      <w:r>
        <w:rPr>
          <w:rStyle w:val="Znakapoznpodarou"/>
        </w:rPr>
        <w:footnoteReference w:id="178"/>
      </w:r>
    </w:p>
    <w:p w14:paraId="0F910252" w14:textId="77777777" w:rsidR="00B506B0" w:rsidRDefault="00B506B0" w:rsidP="00B506B0">
      <w:pPr>
        <w:jc w:val="both"/>
      </w:pPr>
      <w:r>
        <w:tab/>
      </w:r>
      <w:r>
        <w:tab/>
        <w:t xml:space="preserve">In short, each of these models relies on assumptions about the extent of climate damages, and/or the ease of adaptation, which serve to minimize the threat of climate change. Climate science, meanwhile, has run far ahead of such economic analyses, </w:t>
      </w:r>
      <w:r>
        <w:lastRenderedPageBreak/>
        <w:t>identifying numerous threats to economies and ecosystems that are expected to occur at relatively low temperatures.</w:t>
      </w:r>
      <w:r>
        <w:rPr>
          <w:rStyle w:val="Znakapoznpodarou"/>
        </w:rPr>
        <w:footnoteReference w:id="179"/>
      </w:r>
      <w:r>
        <w:t xml:space="preserve"> Even worse are the “known unknowns” – crucial issues such as climate sensitivity, discussed above, for which scientific research has not resolved the fundamental uncertainty, and may not be able to do so (at least until it is too late to act on this information and prevent worst-case outcomes). </w:t>
      </w:r>
    </w:p>
    <w:p w14:paraId="4912AD86" w14:textId="5F14F29B" w:rsidR="00B506B0" w:rsidRDefault="00B506B0" w:rsidP="00B506B0">
      <w:pPr>
        <w:jc w:val="both"/>
      </w:pPr>
      <w:r>
        <w:tab/>
      </w:r>
      <w:r>
        <w:tab/>
        <w:t>Perhaps the biggest challenge to conventional CBA of climate change involves the problem of catastrophic risk mentioned earlier. The IWG analysis minimizes this problem. Of the three chosen models, PAGE includes a Monte Carlo analysis of assumed risks of a medium-sized catastrophe; DICE includes the expected value of the same size of event (i.e., DICE damage estimates include the value of catastrophic losses multiplied by the probability of occurrence); FUND simply omits catastrophic risk. Yet one of the key results in the economic theory of climate change is Martin Weitzman’s “dismal theorem.”</w:t>
      </w:r>
      <w:bookmarkStart w:id="56" w:name="_Ref335384505"/>
      <w:r>
        <w:rPr>
          <w:rStyle w:val="Znakapoznpodarou"/>
        </w:rPr>
        <w:footnoteReference w:id="180"/>
      </w:r>
      <w:bookmarkEnd w:id="56"/>
      <w:r>
        <w:t xml:space="preserve"> Weitzman demonstrates that because we know so little about the risks of disastrously high climate sensitivity, the marginal benefit of emission reduction, and hence the social cost of carbon, could literally be infinite. This</w:t>
      </w:r>
      <w:r w:rsidR="00E321AA">
        <w:t>, suggests</w:t>
      </w:r>
      <w:r w:rsidR="003668B7">
        <w:t xml:space="preserve"> Weitzman,</w:t>
      </w:r>
      <w:r>
        <w:t xml:space="preserve"> underscores the need for a precautionary response to climate change.</w:t>
      </w:r>
      <w:r w:rsidR="00E321AA">
        <w:rPr>
          <w:rStyle w:val="Znakapoznpodarou"/>
        </w:rPr>
        <w:footnoteReference w:id="181"/>
      </w:r>
      <w:r>
        <w:t xml:space="preserve">  The IWG recognized that the models it relied upon downplayed or ignored the potential for catastrophic risk, and identified it as an area for future research.  To the extent that CBA does not adequately address catastrophic risk it egregiously violates the precautionary principle.</w:t>
      </w:r>
    </w:p>
    <w:p w14:paraId="6C97CE2F" w14:textId="77777777" w:rsidR="00B506B0" w:rsidRDefault="00B506B0" w:rsidP="00B506B0">
      <w:pPr>
        <w:jc w:val="both"/>
      </w:pPr>
      <w:r>
        <w:t xml:space="preserve">2.  </w:t>
      </w:r>
      <w:r>
        <w:rPr>
          <w:i/>
        </w:rPr>
        <w:t>Zero Value for Nonquantifiables.</w:t>
      </w:r>
      <w:r>
        <w:t xml:space="preserve"> - The Stern Review, a widely discussed report on the costs and benefits of greenhouse gas abatement by a noted British economist, criticizes the studies the IWC relied upon for focusing exclusively on “a small subset of the most well understood, but least damaging, impacts.”</w:t>
      </w:r>
      <w:r>
        <w:rPr>
          <w:rStyle w:val="Znakapoznpodarou"/>
        </w:rPr>
        <w:footnoteReference w:id="182"/>
      </w:r>
      <w:r>
        <w:t xml:space="preserve"> This report lambastes earlier efforts at quantifying climate disruption’s social costs for ignoring the most damaging impacts because they are “surrounded by the greatest scientific uncertainty.” Analysts conducting CBA face a choice:  They can confine themselves to cases where good data exist to estimate benefits, or they can go beyond that and look at cases where data about the magnitude of an effect are sparse. Confining themselves to professionally relatively safe cases where good data exist leads to effective, albeit unintentional, use of the lack of scientific certainty to justify rejecting measures to abate serious harms—</w:t>
      </w:r>
      <w:r>
        <w:rPr>
          <w:i/>
        </w:rPr>
        <w:t xml:space="preserve">i.e. </w:t>
      </w:r>
      <w:r>
        <w:t xml:space="preserve">to a cold violation of the precautionary principle.       </w:t>
      </w:r>
    </w:p>
    <w:p w14:paraId="16CDDF7B" w14:textId="4580D138" w:rsidR="00B506B0" w:rsidRDefault="00B506B0" w:rsidP="00B506B0">
      <w:pPr>
        <w:jc w:val="both"/>
      </w:pPr>
      <w:r>
        <w:tab/>
      </w:r>
      <w:r>
        <w:tab/>
        <w:t>Even Nicholas Stern, however, has been unable to</w:t>
      </w:r>
      <w:r w:rsidR="007B0BCA">
        <w:t xml:space="preserve"> fully</w:t>
      </w:r>
      <w:r>
        <w:t xml:space="preserve"> quantify some of climate disruption’s most serious effects—such as the loss of endangered species.</w:t>
      </w:r>
      <w:r w:rsidR="006C5FB2">
        <w:rPr>
          <w:rStyle w:val="Znakapoznpodarou"/>
        </w:rPr>
        <w:footnoteReference w:id="183"/>
      </w:r>
      <w:r>
        <w:t xml:space="preserve"> </w:t>
      </w:r>
      <w:r w:rsidR="0001155A">
        <w:lastRenderedPageBreak/>
        <w:t>Unfortunately</w:t>
      </w:r>
      <w:r w:rsidR="00B83101">
        <w:t>, many</w:t>
      </w:r>
      <w:r w:rsidR="0001155A">
        <w:t xml:space="preserve"> of</w:t>
      </w:r>
      <w:r>
        <w:t xml:space="preserve"> the harms that cannot be quantified are likely to occur.  The Intergovernmental Panel on Climate Change, the primary source for peer reviewed consensus science on climate disruption, has a high degree of confidence that climate disruption will prod</w:t>
      </w:r>
      <w:r w:rsidR="004F683C">
        <w:t>uce widespread species loss.</w:t>
      </w:r>
      <w:r w:rsidR="004F683C">
        <w:rPr>
          <w:rStyle w:val="Znakapoznpodarou"/>
        </w:rPr>
        <w:footnoteReference w:id="184"/>
      </w:r>
      <w:r>
        <w:t xml:space="preserve">  The frequent coexistence of good qualitative evidence indicating a likely environmental or health effect with a dearth of good data about the effect’s magnitude, however, does pose a problem for the project of constructing precautionary CBA.  </w:t>
      </w:r>
    </w:p>
    <w:p w14:paraId="730335A4" w14:textId="77777777" w:rsidR="00B506B0" w:rsidRDefault="00B506B0" w:rsidP="00B506B0">
      <w:pPr>
        <w:jc w:val="both"/>
      </w:pPr>
      <w:r>
        <w:t xml:space="preserve"> </w:t>
      </w:r>
      <w:r>
        <w:tab/>
      </w:r>
      <w:r>
        <w:tab/>
        <w:t xml:space="preserve">3.  </w:t>
      </w:r>
      <w:r>
        <w:rPr>
          <w:i/>
        </w:rPr>
        <w:t xml:space="preserve">High Discount Rates. </w:t>
      </w:r>
      <w:r>
        <w:t xml:space="preserve">- Economists conducting CBA discount future costs to reflect the time value of money.  So, for example, if a regulator enacts a rule that requires a $1 million compliance expenditure three years from now, the regulator will calculate the cost of that regulation as being somewhat less than $1 million today, because a company could set aside less than $1 million today and earn sufficient interest on the balance to pay the $1 million cost three years hence.  The expected rate of interest determines the discount rate that would apply to future costs.  </w:t>
      </w:r>
    </w:p>
    <w:p w14:paraId="5D2DCB1D" w14:textId="5B39FCCD" w:rsidR="00B506B0" w:rsidRDefault="00B506B0" w:rsidP="00B506B0">
      <w:pPr>
        <w:jc w:val="both"/>
      </w:pPr>
      <w:r>
        <w:tab/>
      </w:r>
      <w:r>
        <w:tab/>
        <w:t>More controversially, economists generally discount future health and environmental benefits as well.</w:t>
      </w:r>
      <w:r w:rsidR="003668B7">
        <w:rPr>
          <w:rStyle w:val="Znakapoznpodarou"/>
        </w:rPr>
        <w:footnoteReference w:id="185"/>
      </w:r>
      <w:r>
        <w:t xml:space="preserve">  The IWG selected models using higher discount rates than the models generating far higher social cost of carbon numbers.  It applied a range of discount rates, but used 3% as a central estimate.  </w:t>
      </w:r>
    </w:p>
    <w:p w14:paraId="40D5FF29" w14:textId="0CC2968A" w:rsidR="00B506B0" w:rsidRDefault="00B506B0" w:rsidP="00B506B0">
      <w:pPr>
        <w:jc w:val="both"/>
      </w:pPr>
      <w:r>
        <w:tab/>
      </w:r>
      <w:r>
        <w:tab/>
        <w:t>Selection of discount rates implicates the analyst’s policy judgment.</w:t>
      </w:r>
      <w:bookmarkStart w:id="57" w:name="_Ref196962137"/>
      <w:r>
        <w:rPr>
          <w:rStyle w:val="Znakapoznpodarou"/>
        </w:rPr>
        <w:footnoteReference w:id="186"/>
      </w:r>
      <w:bookmarkEnd w:id="57"/>
      <w:r>
        <w:t xml:space="preserve">  Scholars have made reasonable arguments for rejecting discounting of deaths and illness, especially when the discount rates apply to harms threatening future generations.</w:t>
      </w:r>
      <w:r>
        <w:rPr>
          <w:rStyle w:val="Znakapoznpodarou"/>
        </w:rPr>
        <w:footnoteReference w:id="187"/>
      </w:r>
      <w:r>
        <w:t xml:space="preserve">  Some economists, notably Nicholas Stern, accept arguments that this generation’s preferences should not determine the scope of allowable harms to future generations, and therefore use close to a zero discount rate for the rate of pure time preference, a component of the discount rate.</w:t>
      </w:r>
      <w:r w:rsidR="00E321AA">
        <w:rPr>
          <w:rStyle w:val="Znakapoznpodarou"/>
        </w:rPr>
        <w:footnoteReference w:id="188"/>
      </w:r>
      <w:r>
        <w:t xml:space="preserve">  Others, such as William Nordhaus, however, think that discount rates should reflect the current generation’s self-interested preferences and </w:t>
      </w:r>
      <w:r>
        <w:lastRenderedPageBreak/>
        <w:t>therefore come up with a much higher discount rate.  The question of whether this generation’s preferences should govern the valuation of benefits accruing to future generations is normative.</w:t>
      </w:r>
      <w:r w:rsidR="00744767">
        <w:rPr>
          <w:rStyle w:val="Znakapoznpodarou"/>
        </w:rPr>
        <w:footnoteReference w:id="189"/>
      </w:r>
      <w:r>
        <w:t xml:space="preserve">  A thorough review of the discounting debate will not serve this Article’s purpose. It brings up the policy judgments embedded in discount rates primarily to discuss discounting’s potential relationship to the precautionary principle.  </w:t>
      </w:r>
    </w:p>
    <w:p w14:paraId="6CAAA9C0" w14:textId="77777777" w:rsidR="00B506B0" w:rsidRDefault="00B506B0" w:rsidP="00B506B0">
      <w:pPr>
        <w:jc w:val="both"/>
      </w:pPr>
      <w:r>
        <w:tab/>
      </w:r>
      <w:r>
        <w:tab/>
        <w:t>The discount rate appears to implicate the precautionary principle insofar as it influences regulation’s timing.  Recall that the precautionary principle has an ambition of anticipating and preventing serious negative consequences before they occur, especially irreversible consequences.</w:t>
      </w:r>
      <w:r>
        <w:rPr>
          <w:rStyle w:val="Znakapoznpodarou"/>
        </w:rPr>
        <w:footnoteReference w:id="190"/>
      </w:r>
      <w:r>
        <w:t xml:space="preserve">  Greenhouse gases once emitted remain in the atmosphere for many decades, in some cases for centuries, so failing to act in advance of dangerous warming makes it impossible to address the problem effectively with carbon abatement.</w:t>
      </w:r>
      <w:r>
        <w:rPr>
          <w:rStyle w:val="Znakapoznpodarou"/>
        </w:rPr>
        <w:footnoteReference w:id="191"/>
      </w:r>
      <w:r>
        <w:t xml:space="preserve">  Our emissions today will influence the climate many decades hence, even if we cease emitting tomorrow. The very word precaution appears to prefer early rather than late action.  </w:t>
      </w:r>
    </w:p>
    <w:p w14:paraId="6A3F0D21" w14:textId="77777777" w:rsidR="00B506B0" w:rsidRDefault="00B506B0" w:rsidP="00B506B0">
      <w:pPr>
        <w:jc w:val="both"/>
      </w:pPr>
      <w:r>
        <w:tab/>
      </w:r>
      <w:r>
        <w:tab/>
        <w:t>Discounting of abatement benefits, however, favors delay over prompt action, because benefits often occur many years after companies pay out abatement costs.</w:t>
      </w:r>
      <w:r>
        <w:rPr>
          <w:rStyle w:val="Znakapoznpodarou"/>
        </w:rPr>
        <w:footnoteReference w:id="192"/>
      </w:r>
      <w:r>
        <w:t xml:space="preserve">  For climate disruption, many of the worst effects occur 100 years or more in the future, so that discount rates have an enormous effect.</w:t>
      </w:r>
      <w:bookmarkStart w:id="58" w:name="_Ref330976980"/>
      <w:r>
        <w:rPr>
          <w:rStyle w:val="Znakapoznpodarou"/>
        </w:rPr>
        <w:footnoteReference w:id="193"/>
      </w:r>
      <w:bookmarkEnd w:id="58"/>
      <w:r>
        <w:t xml:space="preserve">  An analysis applying a high discount rate to benefits occurring far in the future makes them dwindle to a fraction of their dollar value, thereby allowing the nearer term costs to greatly exceed them.</w:t>
      </w:r>
      <w:r>
        <w:rPr>
          <w:rStyle w:val="Znakapoznpodarou"/>
        </w:rPr>
        <w:footnoteReference w:id="194"/>
      </w:r>
      <w:r>
        <w:t xml:space="preserve">  By contrast, a decision not to discount future environmental and health benefits or to discount them only modestly makes the early timing favored by precaution appear more attractive in cost-benefit terms.  </w:t>
      </w:r>
    </w:p>
    <w:p w14:paraId="0FE797DD" w14:textId="77777777" w:rsidR="00B506B0" w:rsidRDefault="00B506B0" w:rsidP="00B506B0">
      <w:pPr>
        <w:jc w:val="both"/>
      </w:pPr>
      <w:r>
        <w:lastRenderedPageBreak/>
        <w:tab/>
      </w:r>
      <w:r>
        <w:tab/>
        <w:t>Economists have criticized the IWG for selection bias in choosing the models and data runs to employ in estimating carbon’s social cost.</w:t>
      </w:r>
      <w:r>
        <w:rPr>
          <w:rStyle w:val="Znakapoznpodarou"/>
        </w:rPr>
        <w:footnoteReference w:id="195"/>
      </w:r>
      <w:r>
        <w:t xml:space="preserve">  The analyses that the IWG chose to rely upon employed much higher discount rates than other analyses, such as the Stern Report, that generated much higher social cost of carbon numbers.</w:t>
      </w:r>
      <w:r>
        <w:rPr>
          <w:rStyle w:val="Znakapoznpodarou"/>
        </w:rPr>
        <w:footnoteReference w:id="196"/>
      </w:r>
      <w:r>
        <w:t xml:space="preserve">  A choice of high discount rates appears to exacerbate the tension between CBA and the precautionary principle.</w:t>
      </w:r>
    </w:p>
    <w:p w14:paraId="42B9A9D7" w14:textId="77777777" w:rsidR="00B506B0" w:rsidRDefault="00B506B0" w:rsidP="00B506B0">
      <w:pPr>
        <w:jc w:val="both"/>
      </w:pPr>
      <w:r>
        <w:tab/>
      </w:r>
      <w:r>
        <w:tab/>
        <w:t>Yet, selection of a high discount rate does not appear to contradict the Rio Declaration’s literal language.  It only rejects use of scientific uncertainty as a reason for postponement.  By its terms, it does not take delay motivated by a desire to make environmental policy mirror the current generation’s market preferences off the table.</w:t>
      </w:r>
    </w:p>
    <w:p w14:paraId="67B56B8E" w14:textId="7F098D62" w:rsidR="00B506B0" w:rsidRDefault="00B506B0" w:rsidP="00B506B0">
      <w:pPr>
        <w:jc w:val="both"/>
      </w:pPr>
      <w:r>
        <w:tab/>
      </w:r>
      <w:r>
        <w:tab/>
        <w:t xml:space="preserve">Yet, some arguments against high discount rates depend upon precaution.  Daniel Cole, relying on work by the economists Christian Gollier and Martin Weitzmann, has </w:t>
      </w:r>
      <w:r w:rsidR="002573FC">
        <w:t>argued</w:t>
      </w:r>
      <w:r>
        <w:t xml:space="preserve"> that at least one assumption common in constructing discount rates may literally violate the </w:t>
      </w:r>
      <w:r w:rsidR="002573FC">
        <w:t xml:space="preserve">precautionary </w:t>
      </w:r>
      <w:r>
        <w:t>principle. A frequently employed equation for generating a discount rate, the Ramsey equation, makes the discount rate depend, in part, on an estimate of the future economic growth rate, something economists have been notoriously bad at predicting.</w:t>
      </w:r>
      <w:bookmarkStart w:id="59" w:name="_Ref329009609"/>
      <w:r>
        <w:rPr>
          <w:rStyle w:val="Znakapoznpodarou"/>
        </w:rPr>
        <w:footnoteReference w:id="197"/>
      </w:r>
      <w:bookmarkEnd w:id="59"/>
      <w:r>
        <w:t xml:space="preserve">  Economists employing this equation in climate CBA have usually assumed that economic growth would remain positive and more or less as robust as it has been in the past.</w:t>
      </w:r>
      <w:r>
        <w:rPr>
          <w:rStyle w:val="Znakapoznpodarou"/>
        </w:rPr>
        <w:footnoteReference w:id="198"/>
      </w:r>
      <w:r>
        <w:t xml:space="preserve">    This assumption neglects the possibility that climate change or an oil shortage may disrupt the economy so severely that economic growth diminishes or even reverses.</w:t>
      </w:r>
      <w:r w:rsidR="00744767">
        <w:rPr>
          <w:rStyle w:val="Znakapoznpodarou"/>
        </w:rPr>
        <w:footnoteReference w:id="199"/>
      </w:r>
      <w:r>
        <w:t xml:space="preserve">  Cole, Gollier, and Weitzmann suggests that a precautionary approach to discounting would require consideration of discount rates based on assumptions of declining or negative economic growth.</w:t>
      </w:r>
      <w:r>
        <w:rPr>
          <w:rStyle w:val="Znakapoznpodarou"/>
        </w:rPr>
        <w:footnoteReference w:id="200"/>
      </w:r>
      <w:r>
        <w:t xml:space="preserve">  To the extent that calculations of discounting rates assume away scientific uncertainty about climate’s disruption of the economy and oil reserves, they implicitly generate results using scientific uncertainty to justify inaction (or less vigorous action).   </w:t>
      </w:r>
    </w:p>
    <w:p w14:paraId="35EC073F" w14:textId="77777777" w:rsidR="00B506B0" w:rsidRDefault="00B506B0" w:rsidP="00B506B0">
      <w:pPr>
        <w:jc w:val="both"/>
      </w:pPr>
      <w:r>
        <w:tab/>
      </w:r>
      <w:r>
        <w:tab/>
        <w:t xml:space="preserve">A high discount rate tends to produce results in tension with the idea of precaution generally, especially as it applies to irreversible problems like climate disruption.  And some aspects of current discounting practice directly contradict the principle.  </w:t>
      </w:r>
    </w:p>
    <w:p w14:paraId="3ADEBB80" w14:textId="77777777" w:rsidR="00B506B0" w:rsidRDefault="00B506B0" w:rsidP="00B506B0">
      <w:pPr>
        <w:jc w:val="both"/>
      </w:pPr>
    </w:p>
    <w:p w14:paraId="0DCBFF82" w14:textId="013156D9" w:rsidR="00B506B0" w:rsidRDefault="00B506B0" w:rsidP="00B506B0">
      <w:pPr>
        <w:jc w:val="center"/>
        <w:rPr>
          <w:i/>
        </w:rPr>
      </w:pPr>
      <w:r>
        <w:t xml:space="preserve">E.  </w:t>
      </w:r>
      <w:r>
        <w:rPr>
          <w:i/>
        </w:rPr>
        <w:t xml:space="preserve">Lessons about </w:t>
      </w:r>
      <w:r w:rsidR="00DC0869">
        <w:rPr>
          <w:i/>
        </w:rPr>
        <w:t>Prospects for Reconciliation</w:t>
      </w:r>
    </w:p>
    <w:p w14:paraId="6615E82E" w14:textId="77777777" w:rsidR="00B506B0" w:rsidRDefault="00B506B0" w:rsidP="00B506B0">
      <w:pPr>
        <w:jc w:val="both"/>
        <w:rPr>
          <w:i/>
        </w:rPr>
      </w:pPr>
    </w:p>
    <w:p w14:paraId="71791143" w14:textId="77777777" w:rsidR="00B506B0" w:rsidRDefault="00B506B0" w:rsidP="00B506B0">
      <w:pPr>
        <w:jc w:val="both"/>
      </w:pPr>
      <w:r>
        <w:tab/>
      </w:r>
      <w:r>
        <w:tab/>
        <w:t xml:space="preserve">Thus far, we have found that conceptually CBA and precaution need not be at war.  In doing so, we discovered some valuable things about environmental law.  The argument advanced here suggests that precaution by itself has relatively little to say about how to consider costs.  It has something to say, however, about how to treat uncertainty, not wanting it to be used as a reason for “postponing” measures addressing serious environmental harms.  But the social cost of carbon case study suggests that current U.S. CBA practice is deeply anti-precautionary, employing methods that effectively use uncertainty as a rationale for postponing measures that a different approach to benefits valuation would justify.  </w:t>
      </w:r>
    </w:p>
    <w:p w14:paraId="4C982E67" w14:textId="77777777" w:rsidR="00B506B0" w:rsidRDefault="00B506B0" w:rsidP="00B506B0">
      <w:pPr>
        <w:jc w:val="both"/>
      </w:pPr>
      <w:r>
        <w:tab/>
      </w:r>
      <w:r>
        <w:tab/>
        <w:t xml:space="preserve">Conversely, the mere idea of CBA has very little to say about normative judgment in addressing uncertainty.  Its practitioners, however, address uncertainty, both in coming up with quantitative estimates through analytical techniques (such as Monte Carlo analysis and Bayesian probabilities) and in leaving significant information out of their analysis.  And policymakers, to the extent that they employ antiprecautionary CBA as a guide to policy, will implicitly, and probably unwittingly, use scientific uncertainty to justify postponing measures addressing serious, and sometimes irreversible, environmental problems.     </w:t>
      </w:r>
    </w:p>
    <w:p w14:paraId="0538F106" w14:textId="194F540C" w:rsidR="00B506B0" w:rsidRDefault="00B506B0" w:rsidP="00B506B0">
      <w:pPr>
        <w:jc w:val="both"/>
      </w:pPr>
      <w:r>
        <w:tab/>
      </w:r>
      <w:r>
        <w:tab/>
        <w:t xml:space="preserve">The analysis of this anti-precautionary practice suggests that precautionary CBA will, at a minimum, have to employ conservative risk assessment assumptions and take nonquantifiable benefits into account.  The spirit of precaution, and in some contexts the letter, would also counsel against steeply discounting future benefits.   I will develop these principles into more concrete suggestions in the next part.  </w:t>
      </w:r>
      <w:r w:rsidR="00355900">
        <w:t>Although</w:t>
      </w:r>
      <w:r>
        <w:t xml:space="preserve"> these ideas are easily stated, many of them excite controversy and their implementation raises difficult issues.  </w:t>
      </w:r>
    </w:p>
    <w:p w14:paraId="74833138" w14:textId="77777777" w:rsidR="00B506B0" w:rsidRDefault="00B506B0" w:rsidP="00B506B0">
      <w:pPr>
        <w:jc w:val="both"/>
      </w:pPr>
    </w:p>
    <w:p w14:paraId="68041A77" w14:textId="77777777" w:rsidR="00B506B0" w:rsidRDefault="00B506B0" w:rsidP="00B506B0">
      <w:pPr>
        <w:jc w:val="center"/>
        <w:rPr>
          <w:rFonts w:cs="Times New Roman"/>
          <w:smallCaps/>
        </w:rPr>
      </w:pPr>
      <w:r>
        <w:t xml:space="preserve">IV.  </w:t>
      </w:r>
      <w:r>
        <w:rPr>
          <w:rFonts w:cs="Times New Roman"/>
          <w:smallCaps/>
        </w:rPr>
        <w:t>Toward Precautionary CBA</w:t>
      </w:r>
    </w:p>
    <w:p w14:paraId="00784171" w14:textId="77777777" w:rsidR="00B506B0" w:rsidRDefault="00B506B0" w:rsidP="00B506B0">
      <w:pPr>
        <w:jc w:val="center"/>
        <w:rPr>
          <w:rFonts w:cs="Times New Roman"/>
          <w:smallCaps/>
        </w:rPr>
      </w:pPr>
    </w:p>
    <w:p w14:paraId="20734958" w14:textId="77777777" w:rsidR="00B506B0" w:rsidRDefault="00B506B0" w:rsidP="00B506B0">
      <w:pPr>
        <w:jc w:val="both"/>
        <w:rPr>
          <w:rFonts w:cs="Times New Roman"/>
        </w:rPr>
      </w:pPr>
      <w:r>
        <w:rPr>
          <w:rFonts w:cs="Times New Roman"/>
          <w:smallCaps/>
        </w:rPr>
        <w:tab/>
      </w:r>
      <w:r>
        <w:rPr>
          <w:rFonts w:cs="Times New Roman"/>
          <w:smallCaps/>
        </w:rPr>
        <w:tab/>
      </w:r>
      <w:r>
        <w:rPr>
          <w:rFonts w:cs="Times New Roman"/>
        </w:rPr>
        <w:t xml:space="preserve">The previous section shows that an analytical possibility of precautionary CBA exists and provides a rudimentary picture of what precautionary CBA might look like.  I begin this section by motivating interest in implementing precautionary CBA, primarily by arguing that the executive order requires CBA and that our obligations under international law support precaution:  </w:t>
      </w:r>
      <w:r>
        <w:rPr>
          <w:rFonts w:cs="Times New Roman"/>
          <w:i/>
        </w:rPr>
        <w:t xml:space="preserve">i.e. </w:t>
      </w:r>
      <w:r>
        <w:rPr>
          <w:rFonts w:cs="Times New Roman"/>
        </w:rPr>
        <w:t xml:space="preserve">that existing law may require some sort of blending.  I will then develop a fuller picture of what precautionary CBA might look like, building on the core ideas mentioned in the Introduction and in Part III.  </w:t>
      </w:r>
    </w:p>
    <w:p w14:paraId="01D17EC7" w14:textId="77777777" w:rsidR="00B506B0" w:rsidRDefault="00B506B0" w:rsidP="00B506B0">
      <w:pPr>
        <w:rPr>
          <w:rFonts w:cs="Times New Roman"/>
        </w:rPr>
      </w:pPr>
      <w:r>
        <w:rPr>
          <w:rFonts w:cs="Times New Roman"/>
        </w:rPr>
        <w:tab/>
      </w:r>
    </w:p>
    <w:p w14:paraId="5CF9540C" w14:textId="77777777" w:rsidR="00B506B0" w:rsidRDefault="00B506B0" w:rsidP="00B506B0">
      <w:pPr>
        <w:jc w:val="center"/>
        <w:rPr>
          <w:rFonts w:cs="Times New Roman"/>
        </w:rPr>
      </w:pPr>
    </w:p>
    <w:p w14:paraId="641A37F3" w14:textId="77777777" w:rsidR="00B506B0" w:rsidRDefault="00B506B0" w:rsidP="00B506B0">
      <w:pPr>
        <w:jc w:val="center"/>
        <w:rPr>
          <w:rFonts w:cs="Times New Roman"/>
          <w:i/>
        </w:rPr>
      </w:pPr>
      <w:r>
        <w:rPr>
          <w:rFonts w:cs="Times New Roman"/>
        </w:rPr>
        <w:t xml:space="preserve">A.  </w:t>
      </w:r>
      <w:r>
        <w:rPr>
          <w:rFonts w:cs="Times New Roman"/>
          <w:i/>
        </w:rPr>
        <w:t>Why Precautionary CBA?</w:t>
      </w:r>
    </w:p>
    <w:p w14:paraId="5CE1476F" w14:textId="77777777" w:rsidR="00B506B0" w:rsidRDefault="00B506B0" w:rsidP="00B506B0">
      <w:pPr>
        <w:jc w:val="center"/>
        <w:rPr>
          <w:rFonts w:cs="Times New Roman"/>
          <w:i/>
        </w:rPr>
      </w:pPr>
    </w:p>
    <w:p w14:paraId="497E4537" w14:textId="77777777" w:rsidR="00B506B0" w:rsidRDefault="00B506B0" w:rsidP="00B506B0">
      <w:pPr>
        <w:jc w:val="both"/>
        <w:rPr>
          <w:rFonts w:cs="Times New Roman"/>
        </w:rPr>
      </w:pPr>
      <w:r>
        <w:rPr>
          <w:rFonts w:cs="Times New Roman"/>
          <w:i/>
        </w:rPr>
        <w:tab/>
      </w:r>
      <w:r>
        <w:rPr>
          <w:rFonts w:cs="Times New Roman"/>
          <w:i/>
        </w:rPr>
        <w:tab/>
      </w:r>
      <w:r>
        <w:rPr>
          <w:rFonts w:cs="Times New Roman"/>
        </w:rPr>
        <w:t xml:space="preserve">This exploration of precautionary CBA illuminates both the precautionary principle and CBA, and therefore proves worthwhile theoretically, even if nobody had any interest in adopting it.  And, in truth, a lot of analysts will oppose its adoption.  CBA proponents may well resist precautionary CBA, because they see little or no value in </w:t>
      </w:r>
      <w:r>
        <w:rPr>
          <w:rFonts w:cs="Times New Roman"/>
        </w:rPr>
        <w:lastRenderedPageBreak/>
        <w:t>precaution. Conversely, precaution’s advocates tend to find CBA wrongheaded and will see no value in continuing its use.</w:t>
      </w:r>
      <w:r>
        <w:rPr>
          <w:rStyle w:val="Znakapoznpodarou"/>
          <w:rFonts w:cs="Times New Roman"/>
        </w:rPr>
        <w:footnoteReference w:id="201"/>
      </w:r>
      <w:r>
        <w:rPr>
          <w:rFonts w:cs="Times New Roman"/>
        </w:rPr>
        <w:t xml:space="preserve">   </w:t>
      </w:r>
    </w:p>
    <w:p w14:paraId="0C322B4C" w14:textId="77777777" w:rsidR="00B506B0" w:rsidRDefault="00B506B0" w:rsidP="00B506B0">
      <w:pPr>
        <w:jc w:val="both"/>
        <w:rPr>
          <w:rFonts w:cs="Times New Roman"/>
        </w:rPr>
      </w:pPr>
      <w:r>
        <w:rPr>
          <w:rFonts w:cs="Times New Roman"/>
        </w:rPr>
        <w:tab/>
      </w:r>
      <w:r>
        <w:rPr>
          <w:rFonts w:cs="Times New Roman"/>
        </w:rPr>
        <w:tab/>
        <w:t xml:space="preserve">The law, however, suggests that we need precautionary CBA.  The United States, for better or worse, has operated under an executive order for some time that requires CBA of major rules.  On the other hand, international law, including treaties that the United States has ratified, supports implementation of the precautionary principle. </w:t>
      </w:r>
    </w:p>
    <w:p w14:paraId="7BB3ADB1" w14:textId="637BF499" w:rsidR="00B506B0" w:rsidRDefault="00B506B0" w:rsidP="00B506B0">
      <w:pPr>
        <w:jc w:val="both"/>
        <w:rPr>
          <w:rFonts w:cs="Times New Roman"/>
        </w:rPr>
      </w:pPr>
      <w:r>
        <w:rPr>
          <w:rFonts w:cs="Times New Roman"/>
        </w:rPr>
        <w:tab/>
      </w:r>
      <w:r>
        <w:rPr>
          <w:rFonts w:cs="Times New Roman"/>
        </w:rPr>
        <w:tab/>
        <w:t>Environmental advocates’ actions in recent years suggest that they do not see much opportunity for dislodging CBA in the near term.  Even at the outset of President Obama’s first term, no environmental group urged him to repeal the Clinton executive order requiring CBA of major rules to the extent required by law.  Accordingly, some environmental advocacy groups have begun to follow Richard Revesz and Michael Livermore’s advice: to become more active in seeking to shape CBA’s methodologies.</w:t>
      </w:r>
      <w:r w:rsidR="006B26EF">
        <w:rPr>
          <w:rStyle w:val="Znakapoznpodarou"/>
          <w:rFonts w:cs="Times New Roman"/>
        </w:rPr>
        <w:footnoteReference w:id="202"/>
      </w:r>
      <w:r>
        <w:rPr>
          <w:rFonts w:cs="Times New Roman"/>
        </w:rPr>
        <w:t xml:space="preserve">  Indeed, environmental groups filed comments seeking to influence the IWC’s approach to the social cost of carbon, and these comments, at least implicitly, addressed precautionary CBA.  </w:t>
      </w:r>
    </w:p>
    <w:p w14:paraId="371B4A26" w14:textId="77777777" w:rsidR="00B506B0" w:rsidRDefault="00B506B0" w:rsidP="00B506B0">
      <w:pPr>
        <w:jc w:val="both"/>
        <w:rPr>
          <w:rFonts w:cs="Times New Roman"/>
        </w:rPr>
      </w:pPr>
      <w:r>
        <w:rPr>
          <w:rFonts w:cs="Times New Roman"/>
        </w:rPr>
        <w:tab/>
      </w:r>
      <w:r>
        <w:rPr>
          <w:rFonts w:cs="Times New Roman"/>
        </w:rPr>
        <w:tab/>
        <w:t>On the other hand, international law supports the precautionary principle.  To the extent that the principle has become a part of customary international law, it binds us.  As a general matter, the idea that international law forms part of our law is well established.</w:t>
      </w:r>
      <w:r>
        <w:rPr>
          <w:rStyle w:val="Znakapoznpodarou"/>
          <w:rFonts w:cs="Times New Roman"/>
        </w:rPr>
        <w:footnoteReference w:id="203"/>
      </w:r>
      <w:r>
        <w:rPr>
          <w:rFonts w:cs="Times New Roman"/>
        </w:rPr>
        <w:t xml:space="preserve"> I put aside difficult issues about whether a U.S. duty to abide by the precautionary principle might be judicially enforceable, because even if it is not, the executive branch remains obligated to respect customary international law.</w:t>
      </w:r>
      <w:r>
        <w:rPr>
          <w:rStyle w:val="Znakapoznpodarou"/>
          <w:rFonts w:cs="Times New Roman"/>
        </w:rPr>
        <w:footnoteReference w:id="204"/>
      </w:r>
      <w:r>
        <w:rPr>
          <w:rFonts w:cs="Times New Roman"/>
        </w:rPr>
        <w:t xml:space="preserve"> </w:t>
      </w:r>
    </w:p>
    <w:p w14:paraId="2CF86E8B" w14:textId="77777777" w:rsidR="00B506B0" w:rsidRDefault="00B506B0" w:rsidP="00B506B0">
      <w:pPr>
        <w:jc w:val="both"/>
        <w:rPr>
          <w:rFonts w:cs="Times New Roman"/>
        </w:rPr>
      </w:pPr>
      <w:r>
        <w:rPr>
          <w:rFonts w:cs="Times New Roman"/>
        </w:rPr>
        <w:tab/>
      </w:r>
      <w:r>
        <w:rPr>
          <w:rFonts w:cs="Times New Roman"/>
        </w:rPr>
        <w:tab/>
        <w:t>Furthermore, the United States has ratified a number of treaties embodying the precautionary principle.</w:t>
      </w:r>
      <w:bookmarkStart w:id="60" w:name="_Ref216517111"/>
      <w:r>
        <w:rPr>
          <w:rStyle w:val="Znakapoznpodarou"/>
          <w:rFonts w:cs="Times New Roman"/>
        </w:rPr>
        <w:footnoteReference w:id="205"/>
      </w:r>
      <w:bookmarkEnd w:id="60"/>
      <w:r>
        <w:rPr>
          <w:rFonts w:cs="Times New Roman"/>
        </w:rPr>
        <w:t xml:space="preserve">  Most importantly for this Article, it has ratified the Framework Convention, which contains a leading statement of the principle echoing the </w:t>
      </w:r>
      <w:r>
        <w:rPr>
          <w:rFonts w:cs="Times New Roman"/>
        </w:rPr>
        <w:lastRenderedPageBreak/>
        <w:t>Rio Declaration (which we also signed).  Although the Framework Convention states that the parties “should” rather than “must” take a precautionary approach, other treaties that the U.S. has ratified contain mandatory language.</w:t>
      </w:r>
      <w:r>
        <w:rPr>
          <w:rStyle w:val="Znakapoznpodarou"/>
          <w:rFonts w:cs="Times New Roman"/>
        </w:rPr>
        <w:footnoteReference w:id="206"/>
      </w:r>
      <w:r>
        <w:rPr>
          <w:rFonts w:cs="Times New Roman"/>
        </w:rPr>
        <w:t xml:space="preserve">  The object and purpose of the Framework Convention treaty—to avoid dangerous climate change—suggests that the United States must take this admonition to employ the precautionary principle seriously, as treaties must be construed to advance their object and purpose.</w:t>
      </w:r>
      <w:r>
        <w:rPr>
          <w:rStyle w:val="Znakapoznpodarou"/>
          <w:rFonts w:cs="Times New Roman"/>
        </w:rPr>
        <w:footnoteReference w:id="207"/>
      </w:r>
      <w:r>
        <w:rPr>
          <w:rFonts w:cs="Times New Roman"/>
        </w:rPr>
        <w:t xml:space="preserve"> Together, the likelihood that the precautionary principle already imposes a legal obligation under customary international law together with the U.S. agreement that it should employ the approach suggest that the President of the United States should see to it that U.S. actions, and U.S. practices under the executive order, conform to the precautionary principle.  </w:t>
      </w:r>
    </w:p>
    <w:p w14:paraId="51B5A310" w14:textId="31AB5CE7" w:rsidR="00B506B0" w:rsidRDefault="00B506B0" w:rsidP="00B506B0">
      <w:pPr>
        <w:jc w:val="both"/>
        <w:rPr>
          <w:rFonts w:cs="Times New Roman"/>
        </w:rPr>
      </w:pPr>
      <w:r>
        <w:rPr>
          <w:rFonts w:cs="Times New Roman"/>
        </w:rPr>
        <w:tab/>
      </w:r>
      <w:r>
        <w:rPr>
          <w:rFonts w:cs="Times New Roman"/>
        </w:rPr>
        <w:tab/>
        <w:t xml:space="preserve"> The legal academy’s CBA advocates should, moreover, support precautionary CBA.  For they have urged CBA as a way of fully informing </w:t>
      </w:r>
      <w:r w:rsidR="005A4A4D">
        <w:rPr>
          <w:rFonts w:cs="Times New Roman"/>
        </w:rPr>
        <w:t>decisionma</w:t>
      </w:r>
      <w:r>
        <w:rPr>
          <w:rFonts w:cs="Times New Roman"/>
        </w:rPr>
        <w:t xml:space="preserve">kers about their actions’ consequences.  To the extent that CBA does not comprehensively present information about all of the benefits, because it leaves out information about nonquantifiable benefits, CBA systematically undervalues benefits and misleads </w:t>
      </w:r>
      <w:r w:rsidR="005A4A4D">
        <w:rPr>
          <w:rFonts w:cs="Times New Roman"/>
        </w:rPr>
        <w:t>decisionma</w:t>
      </w:r>
      <w:r>
        <w:rPr>
          <w:rFonts w:cs="Times New Roman"/>
        </w:rPr>
        <w:t xml:space="preserve">kers.  That is why CBA advocates have always said that </w:t>
      </w:r>
      <w:r w:rsidR="005A4A4D">
        <w:rPr>
          <w:rFonts w:cs="Times New Roman"/>
        </w:rPr>
        <w:t>decisionma</w:t>
      </w:r>
      <w:r>
        <w:rPr>
          <w:rFonts w:cs="Times New Roman"/>
        </w:rPr>
        <w:t>kers should take nonquantifiable benefits into account.</w:t>
      </w:r>
      <w:bookmarkStart w:id="61" w:name="_Ref214069971"/>
      <w:r>
        <w:rPr>
          <w:rStyle w:val="Znakapoznpodarou"/>
          <w:rFonts w:cs="Times New Roman"/>
        </w:rPr>
        <w:footnoteReference w:id="208"/>
      </w:r>
      <w:bookmarkEnd w:id="61"/>
      <w:r>
        <w:rPr>
          <w:rFonts w:cs="Times New Roman"/>
        </w:rPr>
        <w:t xml:space="preserve">  Similarly, when CBA obscures the possible consequences of action, by hiding uncertainty through obscure and often arbitrary uses of statistical techniques, it does not perform its mission of informing </w:t>
      </w:r>
      <w:r w:rsidR="005A4A4D">
        <w:rPr>
          <w:rFonts w:cs="Times New Roman"/>
        </w:rPr>
        <w:t>decisionma</w:t>
      </w:r>
      <w:r w:rsidR="00D13DAC">
        <w:rPr>
          <w:rFonts w:cs="Times New Roman"/>
        </w:rPr>
        <w:t>king</w:t>
      </w:r>
      <w:r>
        <w:rPr>
          <w:rFonts w:cs="Times New Roman"/>
        </w:rPr>
        <w:t>.   Scholars advocating CBA as a way of enhancing the rationality and transparency of government decisions should welcome the reforms proposed here.</w:t>
      </w:r>
      <w:r w:rsidR="000C30F2">
        <w:rPr>
          <w:rStyle w:val="Znakapoznpodarou"/>
          <w:rFonts w:cs="Times New Roman"/>
        </w:rPr>
        <w:footnoteReference w:id="209"/>
      </w:r>
      <w:r>
        <w:rPr>
          <w:rFonts w:cs="Times New Roman"/>
        </w:rPr>
        <w:t xml:space="preserve">  </w:t>
      </w:r>
    </w:p>
    <w:p w14:paraId="403D6B1D" w14:textId="77777777" w:rsidR="00B506B0" w:rsidRDefault="00B506B0" w:rsidP="00B506B0">
      <w:pPr>
        <w:jc w:val="both"/>
        <w:rPr>
          <w:rFonts w:cs="Times New Roman"/>
        </w:rPr>
      </w:pPr>
      <w:r>
        <w:rPr>
          <w:rFonts w:cs="Times New Roman"/>
        </w:rPr>
        <w:tab/>
      </w:r>
      <w:r>
        <w:rPr>
          <w:rFonts w:cs="Times New Roman"/>
        </w:rPr>
        <w:tab/>
        <w:t xml:space="preserve">Hence, both the law and the ideals of CBA’s most thoughtful advocates support precautionary CBA.  It remains to say a little more about how one might carry out precautionary CBA.  </w:t>
      </w:r>
    </w:p>
    <w:p w14:paraId="0F430A42" w14:textId="77777777" w:rsidR="00B506B0" w:rsidRDefault="00B506B0" w:rsidP="00B506B0">
      <w:pPr>
        <w:jc w:val="both"/>
        <w:rPr>
          <w:rFonts w:cs="Times New Roman"/>
        </w:rPr>
      </w:pPr>
    </w:p>
    <w:p w14:paraId="19ED4DD6" w14:textId="77777777" w:rsidR="00B506B0" w:rsidRDefault="00B506B0" w:rsidP="00B506B0">
      <w:pPr>
        <w:jc w:val="center"/>
        <w:rPr>
          <w:rFonts w:cs="Times New Roman"/>
          <w:i/>
        </w:rPr>
      </w:pPr>
      <w:r>
        <w:rPr>
          <w:rFonts w:cs="Times New Roman"/>
        </w:rPr>
        <w:t xml:space="preserve">B.  </w:t>
      </w:r>
      <w:r>
        <w:rPr>
          <w:rFonts w:cs="Times New Roman"/>
          <w:i/>
        </w:rPr>
        <w:t>On Precautionary Cost-Benefit Analysis</w:t>
      </w:r>
    </w:p>
    <w:p w14:paraId="3FCFC5A3" w14:textId="77777777" w:rsidR="00B506B0" w:rsidRDefault="00B506B0" w:rsidP="00B506B0">
      <w:pPr>
        <w:jc w:val="center"/>
        <w:rPr>
          <w:rFonts w:cs="Times New Roman"/>
          <w:i/>
        </w:rPr>
      </w:pPr>
    </w:p>
    <w:p w14:paraId="20DDCF37" w14:textId="2C81F1A6" w:rsidR="00B506B0" w:rsidRDefault="00B506B0" w:rsidP="00B506B0">
      <w:pPr>
        <w:jc w:val="both"/>
        <w:rPr>
          <w:rFonts w:cs="Times New Roman"/>
        </w:rPr>
      </w:pPr>
      <w:r>
        <w:rPr>
          <w:rFonts w:cs="Times New Roman"/>
        </w:rPr>
        <w:tab/>
      </w:r>
      <w:r>
        <w:rPr>
          <w:rFonts w:cs="Times New Roman"/>
        </w:rPr>
        <w:tab/>
        <w:t xml:space="preserve">This section develops and supports recommendations on how to carry out precautionary CBA.  I begin with some institutional points, building on an earlier </w:t>
      </w:r>
      <w:r>
        <w:rPr>
          <w:rFonts w:cs="Times New Roman"/>
        </w:rPr>
        <w:lastRenderedPageBreak/>
        <w:t xml:space="preserve">suggestion that CBA requires too much scientific and normative judgment to be left solely to economists.  I then take up the question of how to take into account nonquantifiables.  I flesh out a conservative approach to risk assessment that comports with the principle.  And finally, I discuss the precautionary principle’s potential implications for treatment of discount rates.  </w:t>
      </w:r>
    </w:p>
    <w:p w14:paraId="78633204" w14:textId="77777777" w:rsidR="00B506B0" w:rsidRDefault="00B506B0" w:rsidP="00B506B0">
      <w:pPr>
        <w:rPr>
          <w:rFonts w:cs="Times New Roman"/>
        </w:rPr>
      </w:pPr>
    </w:p>
    <w:p w14:paraId="1082B6C5" w14:textId="1D85E73E" w:rsidR="00B506B0" w:rsidRDefault="00B506B0" w:rsidP="00B506B0">
      <w:pPr>
        <w:jc w:val="both"/>
        <w:rPr>
          <w:rFonts w:cs="Times New Roman"/>
        </w:rPr>
      </w:pPr>
      <w:r>
        <w:rPr>
          <w:rFonts w:cs="Times New Roman"/>
        </w:rPr>
        <w:tab/>
        <w:t xml:space="preserve">1.  </w:t>
      </w:r>
      <w:r>
        <w:rPr>
          <w:rFonts w:cs="Times New Roman"/>
          <w:i/>
        </w:rPr>
        <w:t>Institutional Considerations</w:t>
      </w:r>
      <w:r>
        <w:rPr>
          <w:rFonts w:cs="Times New Roman"/>
        </w:rPr>
        <w:t>—I have already suggested that precautionary CBA may require scientific and normative judgments that ought not be left solely to economists.  The IWC did not open up the black box containing the anti-precautionary assumptions I highlighted in my discussion of the models it relied upon.  It simply averaged the model results it chose to consider.  The IWC consisted mostly of economists.  Although economists have expertise in monetization techniques, construction of risk assessments informing a model’s damage functions is essentially a scientific task.  For it requires assessment of scientific information to generate descriptions of climate disruption’s outcomes and estimates of their magnitude.  To be sure, the scientific data alone will rarely control such a damage functions.  For creation of damage functions requires science policy judgment in making inferences from the data.  Still, the people with the relevant expertise for these science policy judgments are scientists, not economists.</w:t>
      </w:r>
      <w:r>
        <w:rPr>
          <w:rStyle w:val="Znakapoznpodarou"/>
          <w:rFonts w:cs="Times New Roman"/>
        </w:rPr>
        <w:footnoteReference w:id="210"/>
      </w:r>
      <w:r>
        <w:rPr>
          <w:rFonts w:cs="Times New Roman"/>
        </w:rPr>
        <w:t xml:space="preserve">  And scientists should have the dominant role in constructing damage functions.</w:t>
      </w:r>
      <w:r>
        <w:rPr>
          <w:rStyle w:val="Znakapoznpodarou"/>
          <w:rFonts w:cs="Times New Roman"/>
        </w:rPr>
        <w:footnoteReference w:id="211"/>
      </w:r>
    </w:p>
    <w:p w14:paraId="01AA6C07" w14:textId="77777777" w:rsidR="00B506B0" w:rsidRDefault="00B506B0" w:rsidP="00B506B0">
      <w:pPr>
        <w:jc w:val="both"/>
        <w:rPr>
          <w:rFonts w:cs="Times New Roman"/>
        </w:rPr>
      </w:pPr>
      <w:r>
        <w:rPr>
          <w:rFonts w:cs="Times New Roman"/>
        </w:rPr>
        <w:tab/>
      </w:r>
      <w:r>
        <w:rPr>
          <w:rFonts w:cs="Times New Roman"/>
        </w:rPr>
        <w:tab/>
        <w:t xml:space="preserve">In the case of climate disruption CBA the principle that scientists should have a dominant role in constructing damage functions, suggests a need for scientific review of models’ damage functions.  This role will enable the government to avoid relying on scientifically outdated or naive models. This implies, at a minimum, that scientists must participate in any future IWG revisiting the social cost of carbon issue.  As a further safeguard, the National Academy of Sciences could review the IWC’s estimate and the studies it relies upon for scientific integrity and completeness.  Often climate disruption CBA has undergone peer review in the past, but peer review by economists does not suffice as a substitute for a current scientific review assessing the model’s validity under the most up-to-date scientific information.    </w:t>
      </w:r>
      <w:r>
        <w:rPr>
          <w:rFonts w:cs="Times New Roman"/>
        </w:rPr>
        <w:tab/>
      </w:r>
      <w:bookmarkStart w:id="62" w:name="discountassumptions"/>
      <w:bookmarkEnd w:id="62"/>
      <w:r>
        <w:rPr>
          <w:rFonts w:cs="Times New Roman"/>
        </w:rPr>
        <w:t xml:space="preserve"> </w:t>
      </w:r>
    </w:p>
    <w:p w14:paraId="01FEEE76" w14:textId="77777777" w:rsidR="00B506B0" w:rsidRDefault="00B506B0" w:rsidP="00B506B0">
      <w:pPr>
        <w:jc w:val="both"/>
        <w:rPr>
          <w:rFonts w:cs="Times New Roman"/>
        </w:rPr>
      </w:pPr>
      <w:r>
        <w:rPr>
          <w:rFonts w:cs="Times New Roman"/>
        </w:rPr>
        <w:tab/>
      </w:r>
      <w:r>
        <w:rPr>
          <w:rFonts w:cs="Times New Roman"/>
        </w:rPr>
        <w:tab/>
        <w:t xml:space="preserve">2. </w:t>
      </w:r>
      <w:r>
        <w:rPr>
          <w:rFonts w:cs="Times New Roman"/>
          <w:i/>
        </w:rPr>
        <w:t>Nonquantifiables—</w:t>
      </w:r>
      <w:r>
        <w:rPr>
          <w:rFonts w:cs="Times New Roman"/>
        </w:rPr>
        <w:t>Although the suggestion that nonquantifiables should count enjoys widespread support, the cost-benefit state has not been kind to information resisting quantification.  Basically, soft variables—those lacking hard numbers— tend to get short shrift in CBA</w:t>
      </w:r>
      <w:r>
        <w:rPr>
          <w:rStyle w:val="Znakapoznpodarou"/>
          <w:rFonts w:cs="Times New Roman"/>
        </w:rPr>
        <w:footnoteReference w:id="212"/>
      </w:r>
    </w:p>
    <w:p w14:paraId="2C0ED4E6" w14:textId="775913DF" w:rsidR="00B506B0" w:rsidRDefault="00B506B0" w:rsidP="00B506B0">
      <w:pPr>
        <w:jc w:val="both"/>
        <w:rPr>
          <w:rFonts w:cs="Times New Roman"/>
        </w:rPr>
      </w:pPr>
      <w:r>
        <w:rPr>
          <w:rFonts w:cs="Times New Roman"/>
        </w:rPr>
        <w:tab/>
      </w:r>
      <w:r>
        <w:rPr>
          <w:rFonts w:cs="Times New Roman"/>
        </w:rPr>
        <w:tab/>
        <w:t>Government regulatory impact analyses (RIAs)</w:t>
      </w:r>
      <w:r w:rsidR="0095565C">
        <w:rPr>
          <w:rFonts w:cs="Times New Roman"/>
        </w:rPr>
        <w:t xml:space="preserve"> </w:t>
      </w:r>
      <w:r>
        <w:rPr>
          <w:rFonts w:cs="Times New Roman"/>
        </w:rPr>
        <w:t>mention nonquantifiable benefits’ existence.</w:t>
      </w:r>
      <w:bookmarkStart w:id="63" w:name="_Ref199485618"/>
      <w:r>
        <w:rPr>
          <w:rStyle w:val="Znakapoznpodarou"/>
          <w:rFonts w:cs="Times New Roman"/>
        </w:rPr>
        <w:footnoteReference w:id="213"/>
      </w:r>
      <w:bookmarkEnd w:id="63"/>
      <w:r>
        <w:rPr>
          <w:rFonts w:cs="Times New Roman"/>
        </w:rPr>
        <w:t xml:space="preserve">  Furthermore, they often comprehensively list pollutants’ effects including </w:t>
      </w:r>
      <w:r>
        <w:rPr>
          <w:rFonts w:cs="Times New Roman"/>
        </w:rPr>
        <w:lastRenderedPageBreak/>
        <w:t>both quantifiable and nonquantifiable impacts (something called risk characterization in the risk assessment literature).</w:t>
      </w:r>
      <w:r>
        <w:rPr>
          <w:rStyle w:val="Znakapoznpodarou"/>
          <w:rFonts w:cs="Times New Roman"/>
        </w:rPr>
        <w:footnoteReference w:id="214"/>
      </w:r>
      <w:r>
        <w:rPr>
          <w:rFonts w:cs="Times New Roman"/>
        </w:rPr>
        <w:t xml:space="preserve">  Usually, however, these documents highlight </w:t>
      </w:r>
      <w:r w:rsidR="0095565C">
        <w:rPr>
          <w:rFonts w:cs="Times New Roman"/>
        </w:rPr>
        <w:t xml:space="preserve">CBA’s </w:t>
      </w:r>
      <w:r>
        <w:rPr>
          <w:rFonts w:cs="Times New Roman"/>
        </w:rPr>
        <w:t>quantitative conclusions and bury mention of nonquantifiable impacts deep in the documents, sometimes scattered about in different subsections.</w:t>
      </w:r>
      <w:r>
        <w:rPr>
          <w:rStyle w:val="Znakapoznpodarou"/>
          <w:rFonts w:cs="Times New Roman"/>
        </w:rPr>
        <w:footnoteReference w:id="215"/>
      </w:r>
      <w:r>
        <w:rPr>
          <w:rFonts w:cs="Times New Roman"/>
        </w:rPr>
        <w:t xml:space="preserve">  This makes it almost impossible for a busy policymaker to get a clear picture of the importance (or unimportance) of the benefits left out of the quantitative analysis.</w:t>
      </w:r>
      <w:r>
        <w:rPr>
          <w:rStyle w:val="Znakapoznpodarou"/>
          <w:rFonts w:cs="Times New Roman"/>
        </w:rPr>
        <w:footnoteReference w:id="216"/>
      </w:r>
      <w:r>
        <w:rPr>
          <w:rFonts w:cs="Times New Roman"/>
        </w:rPr>
        <w:t xml:space="preserve">  </w:t>
      </w:r>
    </w:p>
    <w:p w14:paraId="500A5696" w14:textId="685F720B" w:rsidR="00B506B0" w:rsidRDefault="00B506B0" w:rsidP="00B506B0">
      <w:pPr>
        <w:jc w:val="both"/>
        <w:rPr>
          <w:rFonts w:cs="Times New Roman"/>
        </w:rPr>
      </w:pPr>
      <w:r>
        <w:rPr>
          <w:rFonts w:cs="Times New Roman"/>
        </w:rPr>
        <w:tab/>
      </w:r>
      <w:r>
        <w:rPr>
          <w:rFonts w:cs="Times New Roman"/>
        </w:rPr>
        <w:tab/>
        <w:t>Government agencies should design RIAs to counteract the tendency to give soft variables short shrift.  They should emphasize what is important, not necessarily what is quantifiable.   The executive summary should include a list of significant benefits listed in order of importance, relying on the judgment of agency scientists.  This list should include an indication of which benefits were quantified and which were not.</w:t>
      </w:r>
      <w:r>
        <w:rPr>
          <w:rStyle w:val="Znakapoznpodarou"/>
          <w:rFonts w:cs="Times New Roman"/>
        </w:rPr>
        <w:footnoteReference w:id="217"/>
      </w:r>
      <w:r>
        <w:rPr>
          <w:rFonts w:cs="Times New Roman"/>
        </w:rPr>
        <w:t xml:space="preserve">  That way, a reader can easily see whether the quantitative portion of the CBA captured the most important benefits or not.  </w:t>
      </w:r>
      <w:r w:rsidR="00DE1A04">
        <w:rPr>
          <w:rFonts w:cs="Times New Roman"/>
        </w:rPr>
        <w:t>EPA guidance endorses a template that would likewise list benefits and indicate whether they were quantified or not.</w:t>
      </w:r>
      <w:r w:rsidR="00DE1A04">
        <w:rPr>
          <w:rStyle w:val="Znakapoznpodarou"/>
          <w:rFonts w:cs="Times New Roman"/>
        </w:rPr>
        <w:footnoteReference w:id="218"/>
      </w:r>
      <w:r w:rsidR="00DE1A04">
        <w:rPr>
          <w:rFonts w:cs="Times New Roman"/>
        </w:rPr>
        <w:t xml:space="preserve">  My recommendation builds on this suggestion by </w:t>
      </w:r>
      <w:r w:rsidR="00203CDD">
        <w:rPr>
          <w:rFonts w:cs="Times New Roman"/>
        </w:rPr>
        <w:t>endorsing</w:t>
      </w:r>
      <w:r w:rsidR="00DE1A04">
        <w:rPr>
          <w:rFonts w:cs="Times New Roman"/>
        </w:rPr>
        <w:t xml:space="preserve"> ordering information by importance and commending this approach for all agencies, not just EPA.</w:t>
      </w:r>
      <w:r w:rsidR="00DE1A04">
        <w:rPr>
          <w:rStyle w:val="Znakapoznpodarou"/>
          <w:rFonts w:cs="Times New Roman"/>
        </w:rPr>
        <w:footnoteReference w:id="219"/>
      </w:r>
    </w:p>
    <w:p w14:paraId="37A8A54A" w14:textId="3BA15AA1" w:rsidR="00B506B0" w:rsidRDefault="00B506B0" w:rsidP="00B506B0">
      <w:pPr>
        <w:jc w:val="both"/>
        <w:rPr>
          <w:rFonts w:cs="Times New Roman"/>
        </w:rPr>
      </w:pPr>
      <w:r>
        <w:rPr>
          <w:rFonts w:cs="Times New Roman"/>
        </w:rPr>
        <w:lastRenderedPageBreak/>
        <w:tab/>
      </w:r>
      <w:r>
        <w:rPr>
          <w:rFonts w:cs="Times New Roman"/>
        </w:rPr>
        <w:tab/>
        <w:t>This recommendation demands that agency scientists make some judgments that go beyond merely reporting data.  Moreover, these judgments will often prove difficult, for they require subjective judgments about the relative importance of very different types of impacts.  They also require assessment of the relative weight to be given one impact that can be quantified and another where data do not permit quantification.  In some cases, these judgments will prove easy.  For example, when EPA evaluated the benefits of regulating runoff from construction projects, its scientists had an abundance of qualitative data indicating that runoff was causing serious water quality problems.</w:t>
      </w:r>
      <w:r w:rsidR="008D54E5">
        <w:rPr>
          <w:rStyle w:val="Znakapoznpodarou"/>
          <w:rFonts w:cs="Times New Roman"/>
        </w:rPr>
        <w:footnoteReference w:id="220"/>
      </w:r>
      <w:r>
        <w:rPr>
          <w:rFonts w:cs="Times New Roman"/>
        </w:rPr>
        <w:t xml:space="preserve">  Only the relatively trivial benefit of saved water storage</w:t>
      </w:r>
      <w:r w:rsidR="0057447A">
        <w:rPr>
          <w:rFonts w:cs="Times New Roman"/>
        </w:rPr>
        <w:t xml:space="preserve"> and treatment</w:t>
      </w:r>
      <w:r>
        <w:rPr>
          <w:rFonts w:cs="Times New Roman"/>
        </w:rPr>
        <w:t xml:space="preserve"> costs</w:t>
      </w:r>
      <w:r w:rsidR="0057447A">
        <w:rPr>
          <w:rFonts w:cs="Times New Roman"/>
        </w:rPr>
        <w:t xml:space="preserve"> and avoided dredging</w:t>
      </w:r>
      <w:r>
        <w:rPr>
          <w:rFonts w:cs="Times New Roman"/>
        </w:rPr>
        <w:t>, however, produced sufficient quantitative data to justify a benefits number.</w:t>
      </w:r>
      <w:r w:rsidR="0057447A">
        <w:rPr>
          <w:rStyle w:val="Znakapoznpodarou"/>
          <w:rFonts w:cs="Times New Roman"/>
        </w:rPr>
        <w:footnoteReference w:id="221"/>
      </w:r>
      <w:r>
        <w:rPr>
          <w:rFonts w:cs="Times New Roman"/>
        </w:rPr>
        <w:t xml:space="preserve">  Even when it is hard, however, some sort of expert qualitative judgment must be made when important impacts resist quantification, lest policymakers assume, often quite wrongly, that only the quantifiable items are real and important.  If policymakers make that assumption, they will unintentionally end up using scientific uncertainty about the magnitude of effects, even with respect to qualitatively well understood effects, to justify inaction. </w:t>
      </w:r>
    </w:p>
    <w:p w14:paraId="5BD9D7D4" w14:textId="21BE25D4" w:rsidR="00B506B0" w:rsidRDefault="00B506B0" w:rsidP="00B506B0">
      <w:pPr>
        <w:jc w:val="both"/>
        <w:rPr>
          <w:rFonts w:cs="Times New Roman"/>
        </w:rPr>
      </w:pPr>
      <w:r>
        <w:rPr>
          <w:rFonts w:cs="Times New Roman"/>
        </w:rPr>
        <w:tab/>
      </w:r>
      <w:r>
        <w:rPr>
          <w:rFonts w:cs="Times New Roman"/>
        </w:rPr>
        <w:tab/>
        <w:t>Furthermore, where important impacts cannot be quantified, a team of communication experts and scientists should describe the most important ones in ways that will make their significance apparent to policymakers.</w:t>
      </w:r>
      <w:r w:rsidR="00793944">
        <w:rPr>
          <w:rStyle w:val="Znakapoznpodarou"/>
          <w:rFonts w:cs="Times New Roman"/>
        </w:rPr>
        <w:footnoteReference w:id="222"/>
      </w:r>
      <w:r>
        <w:rPr>
          <w:rFonts w:cs="Times New Roman"/>
        </w:rPr>
        <w:t xml:space="preserve">  And this description should precede any mention of numbers in the introduction and follow any mention of numbers in the conclusion, if the nonquantifiables are more important than the quantifiables.  The general principle is that the document should emphasize the important, whether the important is quantifiable or not.  </w:t>
      </w:r>
    </w:p>
    <w:p w14:paraId="4F39D8F3" w14:textId="77777777" w:rsidR="00B506B0" w:rsidRDefault="00B506B0" w:rsidP="00B506B0">
      <w:pPr>
        <w:jc w:val="both"/>
        <w:rPr>
          <w:rFonts w:cs="Times New Roman"/>
        </w:rPr>
      </w:pPr>
      <w:r>
        <w:rPr>
          <w:rFonts w:cs="Times New Roman"/>
        </w:rPr>
        <w:tab/>
      </w:r>
      <w:r>
        <w:rPr>
          <w:rFonts w:cs="Times New Roman"/>
        </w:rPr>
        <w:tab/>
        <w:t>RIA reform, however, makes a process that is already too time consuming and expensive even more so, even though much of the information needed to inform this judgment already appears in the RIA or is well known to the agency.</w:t>
      </w:r>
      <w:r>
        <w:rPr>
          <w:rStyle w:val="Znakapoznpodarou"/>
          <w:rFonts w:cs="Times New Roman"/>
        </w:rPr>
        <w:footnoteReference w:id="223"/>
      </w:r>
      <w:r>
        <w:rPr>
          <w:rFonts w:cs="Times New Roman"/>
        </w:rPr>
        <w:t xml:space="preserve">  But as long as CBA is retained, some sort of reform is required to avoid letting CBA remain anti-precautionary.  </w:t>
      </w:r>
    </w:p>
    <w:p w14:paraId="7944C28F" w14:textId="30A6F97F" w:rsidR="00B506B0" w:rsidRDefault="00B506B0" w:rsidP="00B506B0">
      <w:pPr>
        <w:jc w:val="both"/>
        <w:rPr>
          <w:rFonts w:cs="Times New Roman"/>
        </w:rPr>
      </w:pPr>
      <w:r>
        <w:rPr>
          <w:rFonts w:cs="Times New Roman"/>
        </w:rPr>
        <w:tab/>
      </w:r>
      <w:r>
        <w:rPr>
          <w:rFonts w:cs="Times New Roman"/>
        </w:rPr>
        <w:tab/>
        <w:t>This improvement of RIAs to emphasize the bottom line only when the bottom line reflects the most important information, however, may not suffice.</w:t>
      </w:r>
      <w:r w:rsidR="00616D67">
        <w:rPr>
          <w:rStyle w:val="Znakapoznpodarou"/>
          <w:rFonts w:cs="Times New Roman"/>
        </w:rPr>
        <w:footnoteReference w:id="224"/>
      </w:r>
      <w:r>
        <w:rPr>
          <w:rFonts w:cs="Times New Roman"/>
        </w:rPr>
        <w:t xml:space="preserve">  If OIRA’s career officials see only quantitative information as credible and lack sufficient humility to accept scientific judgments that industry will tend to contest, the tradition of giving nonquantifiable variables short shrift may continue.  This may then require changes in </w:t>
      </w:r>
      <w:r>
        <w:rPr>
          <w:rFonts w:cs="Times New Roman"/>
        </w:rPr>
        <w:lastRenderedPageBreak/>
        <w:t>OIRA’s management and personnel to become effective, or OIRA’s abolition.</w:t>
      </w:r>
      <w:r>
        <w:rPr>
          <w:rStyle w:val="Znakapoznpodarou"/>
          <w:rFonts w:cs="Times New Roman"/>
        </w:rPr>
        <w:footnoteReference w:id="225"/>
      </w:r>
      <w:r>
        <w:rPr>
          <w:rFonts w:cs="Times New Roman"/>
        </w:rPr>
        <w:t xml:space="preserve">  The President, by the way, could abolish OIRA without doing away with CBA.  Currently individual agencies, not OIRA, prepare RIAs.</w:t>
      </w:r>
      <w:r w:rsidR="0095565C">
        <w:rPr>
          <w:rStyle w:val="Znakapoznpodarou"/>
          <w:rFonts w:cs="Times New Roman"/>
        </w:rPr>
        <w:footnoteReference w:id="226"/>
      </w:r>
      <w:r>
        <w:rPr>
          <w:rFonts w:cs="Times New Roman"/>
        </w:rPr>
        <w:t xml:space="preserve">  OIRA reviews them.  If OIRA’s review continues to exhibit bias against nonquantifiable variables, and OIRA reform proves impossible, then its abolition would be important to making precautionary CBA real.  Abolition would also free up resources and reduce the time and expense involved in government standard setting.    </w:t>
      </w:r>
    </w:p>
    <w:p w14:paraId="5DE8D172" w14:textId="77777777" w:rsidR="00B506B0" w:rsidRDefault="00B506B0" w:rsidP="00B506B0">
      <w:pPr>
        <w:jc w:val="both"/>
        <w:rPr>
          <w:rFonts w:cs="Times New Roman"/>
        </w:rPr>
      </w:pPr>
      <w:r>
        <w:rPr>
          <w:rFonts w:cs="Times New Roman"/>
        </w:rPr>
        <w:tab/>
      </w:r>
      <w:r>
        <w:rPr>
          <w:rFonts w:cs="Times New Roman"/>
        </w:rPr>
        <w:tab/>
        <w:t xml:space="preserve">I do not claim that I have proven through this argument that precautionary CBA is possible.  It may be that the tendency of quantitative analysis to crowd out realistic weighing of crucial qualitative information would survive all of the reforms suggested here.  </w:t>
      </w:r>
    </w:p>
    <w:p w14:paraId="47B7F907" w14:textId="3B88F2F7" w:rsidR="00B506B0" w:rsidRDefault="00B506B0" w:rsidP="00B506B0">
      <w:pPr>
        <w:jc w:val="both"/>
        <w:rPr>
          <w:rFonts w:cs="Times New Roman"/>
        </w:rPr>
      </w:pPr>
      <w:r>
        <w:rPr>
          <w:rFonts w:cs="Times New Roman"/>
        </w:rPr>
        <w:tab/>
      </w:r>
      <w:r>
        <w:rPr>
          <w:rFonts w:cs="Times New Roman"/>
        </w:rPr>
        <w:tab/>
        <w:t>One reason to suspect this might be the case has to do with the difficulty of giving qualitative information any particular weight in an optimality framework.  It is not clear how one can reach conclusions about whether a qualitatively important environmental benefit outweighs a specific quantified cost.  The principle U.S. environmental statutes, however, do not authorize optimal regulation anyway.</w:t>
      </w:r>
      <w:r>
        <w:rPr>
          <w:rStyle w:val="Znakapoznpodarou"/>
          <w:rFonts w:cs="Times New Roman"/>
        </w:rPr>
        <w:footnoteReference w:id="227"/>
      </w:r>
      <w:r>
        <w:rPr>
          <w:rFonts w:cs="Times New Roman"/>
        </w:rPr>
        <w:t xml:space="preserve">  At times, they require protection of health, thereby making the consideration of CBA illegal.</w:t>
      </w:r>
      <w:r>
        <w:rPr>
          <w:rStyle w:val="Znakapoznpodarou"/>
          <w:rFonts w:cs="Times New Roman"/>
        </w:rPr>
        <w:footnoteReference w:id="228"/>
      </w:r>
      <w:r>
        <w:rPr>
          <w:rFonts w:cs="Times New Roman"/>
        </w:rPr>
        <w:t xml:space="preserve">  More often, they authorize maximizing feasible reductions.</w:t>
      </w:r>
      <w:r w:rsidR="00C91E68">
        <w:rPr>
          <w:rStyle w:val="Znakapoznpodarou"/>
          <w:rFonts w:cs="Times New Roman"/>
        </w:rPr>
        <w:footnoteReference w:id="229"/>
      </w:r>
      <w:r>
        <w:rPr>
          <w:rFonts w:cs="Times New Roman"/>
        </w:rPr>
        <w:t xml:space="preserve">  In the feasibility context, the Supreme Court has sometimes considered CBA potentially relevant and sometimes not.</w:t>
      </w:r>
      <w:r>
        <w:rPr>
          <w:rStyle w:val="Znakapoznpodarou"/>
          <w:rFonts w:cs="Times New Roman"/>
        </w:rPr>
        <w:footnoteReference w:id="230"/>
      </w:r>
      <w:r>
        <w:rPr>
          <w:rFonts w:cs="Times New Roman"/>
        </w:rPr>
        <w:t xml:space="preserve">  Even where the Court has found CBA potentially relevant, it has only approved it as a </w:t>
      </w:r>
      <w:r>
        <w:rPr>
          <w:rFonts w:cs="Times New Roman"/>
        </w:rPr>
        <w:lastRenderedPageBreak/>
        <w:t>somewhat marginal influence.</w:t>
      </w:r>
      <w:r>
        <w:rPr>
          <w:rStyle w:val="Znakapoznpodarou"/>
          <w:rFonts w:cs="Times New Roman"/>
        </w:rPr>
        <w:footnoteReference w:id="231"/>
      </w:r>
      <w:r>
        <w:rPr>
          <w:rFonts w:cs="Times New Roman"/>
        </w:rPr>
        <w:t xml:space="preserve">  Hence, the only legal role of CBA in many contexts involves motivating OIRA to advocate use of discretion to tilt results marginally in one direction or another based on cost-benefit considerations.</w:t>
      </w:r>
      <w:r w:rsidR="00C91E68">
        <w:rPr>
          <w:rStyle w:val="Znakapoznpodarou"/>
          <w:rFonts w:cs="Times New Roman"/>
        </w:rPr>
        <w:footnoteReference w:id="232"/>
      </w:r>
      <w:r>
        <w:rPr>
          <w:rFonts w:cs="Times New Roman"/>
        </w:rPr>
        <w:t xml:space="preserve">   One can imagine an ideal OIRA head asking EPA to temper regulatory action based on a CBA quantifying the most important variables and asking EPA to use its discretion to tighten regulations when an important nonquantifiable impact seems to indicate that vigorous action might be needed in spite of costs outweighing quantified, but qualitatively trivial, benefits.  </w:t>
      </w:r>
    </w:p>
    <w:p w14:paraId="77D9499F" w14:textId="77777777" w:rsidR="00B506B0" w:rsidRDefault="00B506B0" w:rsidP="00B506B0">
      <w:pPr>
        <w:jc w:val="both"/>
        <w:rPr>
          <w:rFonts w:cs="Times New Roman"/>
        </w:rPr>
      </w:pPr>
      <w:r>
        <w:rPr>
          <w:rFonts w:cs="Times New Roman"/>
        </w:rPr>
        <w:tab/>
      </w:r>
      <w:r>
        <w:rPr>
          <w:rFonts w:cs="Times New Roman"/>
        </w:rPr>
        <w:tab/>
        <w:t xml:space="preserve">Hence, precautionary CBA can only exist if government officials give weight to soft but important variables.  Happily, its proponents favor this approach in principle; it remains to see whether government officials can put it into practice.     </w:t>
      </w:r>
    </w:p>
    <w:p w14:paraId="65EA4EEC" w14:textId="77777777" w:rsidR="00B506B0" w:rsidRDefault="00B506B0" w:rsidP="00B506B0">
      <w:pPr>
        <w:jc w:val="both"/>
        <w:rPr>
          <w:rFonts w:cs="Times New Roman"/>
        </w:rPr>
      </w:pPr>
    </w:p>
    <w:p w14:paraId="68E29ECE" w14:textId="77777777" w:rsidR="00B506B0" w:rsidRDefault="00B506B0" w:rsidP="00B506B0">
      <w:pPr>
        <w:jc w:val="center"/>
        <w:rPr>
          <w:rFonts w:cs="Times New Roman"/>
          <w:i/>
        </w:rPr>
      </w:pPr>
      <w:r>
        <w:rPr>
          <w:rFonts w:cs="Times New Roman"/>
        </w:rPr>
        <w:t xml:space="preserve">C.  </w:t>
      </w:r>
      <w:r>
        <w:rPr>
          <w:rFonts w:cs="Times New Roman"/>
          <w:i/>
        </w:rPr>
        <w:t>Toward Precautionary Risk Assessment</w:t>
      </w:r>
    </w:p>
    <w:p w14:paraId="58F33454" w14:textId="77777777" w:rsidR="00B506B0" w:rsidRDefault="00B506B0" w:rsidP="00B506B0">
      <w:pPr>
        <w:jc w:val="center"/>
        <w:rPr>
          <w:rFonts w:cs="Times New Roman"/>
          <w:i/>
        </w:rPr>
      </w:pPr>
    </w:p>
    <w:p w14:paraId="052B5F26" w14:textId="77777777" w:rsidR="00B506B0" w:rsidRDefault="00B506B0" w:rsidP="00B506B0">
      <w:pPr>
        <w:jc w:val="both"/>
        <w:rPr>
          <w:rFonts w:cs="Times New Roman"/>
        </w:rPr>
      </w:pPr>
      <w:r>
        <w:rPr>
          <w:rFonts w:cs="Times New Roman"/>
        </w:rPr>
        <w:tab/>
      </w:r>
      <w:r>
        <w:rPr>
          <w:rFonts w:cs="Times New Roman"/>
        </w:rPr>
        <w:tab/>
        <w:t xml:space="preserve">The previous analysis also suggests a precautionary approach to estimation of risk where sufficient data exist to ground some sort of quantitative estimate.  Working out an approach to this issue and defending it thoroughly would require another Article.  But this section will sketch some elements of possible precautionary approaches to risk assessment and provide at least some normative justification for them. </w:t>
      </w:r>
    </w:p>
    <w:p w14:paraId="6BEDE61B" w14:textId="47982E78" w:rsidR="00B506B0" w:rsidRDefault="00B506B0" w:rsidP="00B506B0">
      <w:pPr>
        <w:jc w:val="both"/>
        <w:rPr>
          <w:rFonts w:cs="Times New Roman"/>
        </w:rPr>
      </w:pPr>
      <w:r>
        <w:rPr>
          <w:rFonts w:cs="Times New Roman"/>
        </w:rPr>
        <w:tab/>
      </w:r>
      <w:r>
        <w:rPr>
          <w:rFonts w:cs="Times New Roman"/>
        </w:rPr>
        <w:tab/>
        <w:t>The most obvious way to comply with the precautionary principle involves employing a worst case as the basis for the risk assessment underlying CBA.</w:t>
      </w:r>
      <w:r w:rsidR="003C5332">
        <w:rPr>
          <w:rStyle w:val="Znakapoznpodarou"/>
          <w:rFonts w:cs="Times New Roman"/>
        </w:rPr>
        <w:footnoteReference w:id="233"/>
      </w:r>
      <w:r>
        <w:rPr>
          <w:rFonts w:cs="Times New Roman"/>
        </w:rPr>
        <w:t xml:space="preserve">  Advocates of this approach typically do not demand the worst case imaginable, but rather a scientifically plausible worst case. </w:t>
      </w:r>
      <w:r w:rsidR="007B0BCA">
        <w:rPr>
          <w:rFonts w:cs="Times New Roman"/>
        </w:rPr>
        <w:t xml:space="preserve"> One might think of this as approximating a case at the 95</w:t>
      </w:r>
      <w:r w:rsidR="007B0BCA" w:rsidRPr="007B0BCA">
        <w:rPr>
          <w:rFonts w:cs="Times New Roman"/>
          <w:vertAlign w:val="superscript"/>
        </w:rPr>
        <w:t>th</w:t>
      </w:r>
      <w:r w:rsidR="007B0BCA">
        <w:rPr>
          <w:rFonts w:cs="Times New Roman"/>
        </w:rPr>
        <w:t xml:space="preserve"> percentile in a probability distribution.</w:t>
      </w:r>
      <w:r>
        <w:rPr>
          <w:rFonts w:cs="Times New Roman"/>
        </w:rPr>
        <w:t xml:space="preserve"> </w:t>
      </w:r>
    </w:p>
    <w:p w14:paraId="20A18795" w14:textId="34E950B4" w:rsidR="00B506B0" w:rsidRDefault="00B506B0" w:rsidP="00B506B0">
      <w:pPr>
        <w:jc w:val="both"/>
        <w:rPr>
          <w:rFonts w:cs="Times New Roman"/>
        </w:rPr>
      </w:pPr>
      <w:r>
        <w:rPr>
          <w:rFonts w:cs="Times New Roman"/>
        </w:rPr>
        <w:tab/>
      </w:r>
      <w:r>
        <w:rPr>
          <w:rFonts w:cs="Times New Roman"/>
        </w:rPr>
        <w:tab/>
        <w:t>Regulations under the National Environmental Policy Act (NEPA), a statute sometimes treated as a source of demand for CBA, used to require a worst-case analysis.</w:t>
      </w:r>
      <w:r w:rsidR="006E0AB4">
        <w:rPr>
          <w:rStyle w:val="Znakapoznpodarou"/>
          <w:rFonts w:cs="Times New Roman"/>
        </w:rPr>
        <w:footnoteReference w:id="234"/>
      </w:r>
      <w:r>
        <w:rPr>
          <w:rFonts w:cs="Times New Roman"/>
        </w:rPr>
        <w:t xml:space="preserve">  The Council on Environmental Quality, however, changed its regulations out of concern about spending an inordinate amount of resources on an unlikely case.</w:t>
      </w:r>
      <w:r w:rsidR="00375DF9">
        <w:rPr>
          <w:rStyle w:val="Znakapoznpodarou"/>
          <w:rFonts w:cs="Times New Roman"/>
        </w:rPr>
        <w:footnoteReference w:id="235"/>
      </w:r>
      <w:r>
        <w:rPr>
          <w:rFonts w:cs="Times New Roman"/>
        </w:rPr>
        <w:t xml:space="preserve">  Policy professionals inclined to knee-jerk moderation frequently make the error of assuming that a worst case must always be unlikely.  But this is not necessarily the case.  Richard Posner recognized this when he rejected some economists’ notion that catastrophic climate disruption is unlikely, since he </w:t>
      </w:r>
      <w:r w:rsidR="00B1528F">
        <w:rPr>
          <w:rFonts w:cs="Times New Roman"/>
        </w:rPr>
        <w:t>noticed</w:t>
      </w:r>
      <w:r>
        <w:rPr>
          <w:rFonts w:cs="Times New Roman"/>
        </w:rPr>
        <w:t xml:space="preserve"> that the scientific literature treated catastrophic climate disruption as a quite plausible case with unknown </w:t>
      </w:r>
      <w:r>
        <w:rPr>
          <w:rFonts w:cs="Times New Roman"/>
        </w:rPr>
        <w:lastRenderedPageBreak/>
        <w:t>probabilities.</w:t>
      </w:r>
      <w:r w:rsidR="00824E10">
        <w:rPr>
          <w:rStyle w:val="Znakapoznpodarou"/>
          <w:rFonts w:cs="Times New Roman"/>
        </w:rPr>
        <w:footnoteReference w:id="236"/>
      </w:r>
      <w:r>
        <w:rPr>
          <w:rFonts w:cs="Times New Roman"/>
        </w:rPr>
        <w:t xml:space="preserve">  In any case, limiting worst case analysis to scientifically plausible worst cases addresses this concern about wasting resources studying very unlikely scenarios.</w:t>
      </w:r>
      <w:bookmarkStart w:id="64" w:name="_Ref214331180"/>
      <w:r w:rsidR="009F4121">
        <w:rPr>
          <w:rStyle w:val="Znakapoznpodarou"/>
          <w:rFonts w:cs="Times New Roman"/>
        </w:rPr>
        <w:footnoteReference w:id="237"/>
      </w:r>
      <w:bookmarkEnd w:id="64"/>
      <w:r>
        <w:rPr>
          <w:rFonts w:cs="Times New Roman"/>
        </w:rPr>
        <w:t xml:space="preserve">  </w:t>
      </w:r>
    </w:p>
    <w:p w14:paraId="6FDB16A6" w14:textId="7211ABF5" w:rsidR="00B506B0" w:rsidRDefault="00B506B0" w:rsidP="00B506B0">
      <w:pPr>
        <w:jc w:val="both"/>
        <w:rPr>
          <w:rFonts w:cs="Times New Roman"/>
        </w:rPr>
      </w:pPr>
      <w:r>
        <w:rPr>
          <w:rFonts w:cs="Times New Roman"/>
        </w:rPr>
        <w:tab/>
      </w:r>
      <w:r>
        <w:rPr>
          <w:rFonts w:cs="Times New Roman"/>
        </w:rPr>
        <w:tab/>
        <w:t xml:space="preserve"> This approach, however, will trouble believers in optimal regulation, for there usually is no particular reason to think that the worst case is more likely than other less drastic possibilities.  And an optimization framework suggests trying to focus on the most plausible outcomes, not the worst ones.  But optimizers face an enormous difficulty, as part two showed, when probabilities are not known, </w:t>
      </w:r>
      <w:r>
        <w:rPr>
          <w:rFonts w:cs="Times New Roman"/>
          <w:i/>
        </w:rPr>
        <w:t>i.e.</w:t>
      </w:r>
      <w:r>
        <w:rPr>
          <w:rFonts w:cs="Times New Roman"/>
        </w:rPr>
        <w:t xml:space="preserve"> in the normal case.  In such a case, Bayesian probabilities and Monte Carlo notwithstanding, there is no </w:t>
      </w:r>
      <w:r w:rsidR="00B83101">
        <w:rPr>
          <w:rFonts w:cs="Times New Roman"/>
        </w:rPr>
        <w:t>strong scientific</w:t>
      </w:r>
      <w:r>
        <w:rPr>
          <w:rFonts w:cs="Times New Roman"/>
        </w:rPr>
        <w:t xml:space="preserve"> basis for declaring any particular plausible case more likely than another.</w:t>
      </w:r>
      <w:r w:rsidR="00ED5FCB">
        <w:rPr>
          <w:rStyle w:val="Znakapoznpodarou"/>
          <w:rFonts w:cs="Times New Roman"/>
        </w:rPr>
        <w:footnoteReference w:id="238"/>
      </w:r>
      <w:r>
        <w:rPr>
          <w:rFonts w:cs="Times New Roman"/>
        </w:rPr>
        <w:t xml:space="preserve"> Accordingly, worst-case analysis becomes a reasonable option even within an optimizing framework.</w:t>
      </w:r>
      <w:bookmarkStart w:id="65" w:name="_Ref214332468"/>
      <w:r w:rsidR="0076354E">
        <w:rPr>
          <w:rStyle w:val="Znakapoznpodarou"/>
          <w:rFonts w:cs="Times New Roman"/>
        </w:rPr>
        <w:footnoteReference w:id="239"/>
      </w:r>
      <w:bookmarkEnd w:id="65"/>
      <w:r w:rsidR="00A75B4C">
        <w:rPr>
          <w:rFonts w:cs="Times New Roman"/>
        </w:rPr>
        <w:t xml:space="preserve">  Furthermore, risks are not evenly distributed, so one might prefer a 95</w:t>
      </w:r>
      <w:r w:rsidR="00A75B4C" w:rsidRPr="00A75B4C">
        <w:rPr>
          <w:rFonts w:cs="Times New Roman"/>
          <w:vertAlign w:val="superscript"/>
        </w:rPr>
        <w:t>th</w:t>
      </w:r>
      <w:r w:rsidR="00A75B4C">
        <w:rPr>
          <w:rFonts w:cs="Times New Roman"/>
        </w:rPr>
        <w:t xml:space="preserve"> percentile type case on distributional grounds to protect the most vulnerable in a reasonable way.</w:t>
      </w:r>
      <w:r>
        <w:rPr>
          <w:rFonts w:cs="Times New Roman"/>
        </w:rPr>
        <w:t xml:space="preserve">  </w:t>
      </w:r>
    </w:p>
    <w:p w14:paraId="4300CEFF" w14:textId="4277B506" w:rsidR="00B506B0" w:rsidRDefault="00B506B0" w:rsidP="00B506B0">
      <w:pPr>
        <w:jc w:val="both"/>
        <w:rPr>
          <w:rFonts w:cs="Times New Roman"/>
        </w:rPr>
      </w:pPr>
      <w:r>
        <w:rPr>
          <w:rFonts w:cs="Times New Roman"/>
        </w:rPr>
        <w:tab/>
      </w:r>
      <w:r>
        <w:rPr>
          <w:rFonts w:cs="Times New Roman"/>
        </w:rPr>
        <w:tab/>
        <w:t xml:space="preserve">  This approach also has an advantage in terms of analytical symmetry, at least in most cases.  Economic analysis of regulatory costs often uses something resembling worst-case analysis.  Usually, regulators base their analysis of regulatory costs on current market prices of known technological changes that will reduce relevant pollution.  But in practice, regulation tends to lower compliance costs.</w:t>
      </w:r>
      <w:r w:rsidR="008E7831">
        <w:rPr>
          <w:rStyle w:val="Znakapoznpodarou"/>
          <w:rFonts w:cs="Times New Roman"/>
        </w:rPr>
        <w:footnoteReference w:id="240"/>
      </w:r>
      <w:r>
        <w:rPr>
          <w:rFonts w:cs="Times New Roman"/>
        </w:rPr>
        <w:t xml:space="preserve">  Sometimes those subject to regulation innovate to escape high costs and they almost always employ competitive bidding to reduce equipment costs.  The net result is that post-compliance studies, which unfortunately are in short supply, frequently show unexpected cost declines.  It follows that cost estimates based on current market prices often constitute a worst plausible case </w:t>
      </w:r>
      <w:r>
        <w:rPr>
          <w:rFonts w:cs="Times New Roman"/>
        </w:rPr>
        <w:lastRenderedPageBreak/>
        <w:t>analysis for cost.</w:t>
      </w:r>
      <w:r w:rsidR="00BE6FAA">
        <w:rPr>
          <w:rStyle w:val="Znakapoznpodarou"/>
          <w:rFonts w:cs="Times New Roman"/>
        </w:rPr>
        <w:footnoteReference w:id="241"/>
      </w:r>
      <w:r>
        <w:rPr>
          <w:rFonts w:cs="Times New Roman"/>
        </w:rPr>
        <w:t xml:space="preserve"> This symmetry argument, however, does not apply when economists, as they sometimes do, use rate-of-progress ratios (estimates of past cost declines for a technology) to predict future cost saving innovation.</w:t>
      </w:r>
      <w:r w:rsidR="00B02085">
        <w:rPr>
          <w:rStyle w:val="Znakapoznpodarou"/>
          <w:rFonts w:cs="Times New Roman"/>
        </w:rPr>
        <w:footnoteReference w:id="242"/>
      </w:r>
      <w:r>
        <w:rPr>
          <w:rFonts w:cs="Times New Roman"/>
        </w:rPr>
        <w:t xml:space="preserve"> </w:t>
      </w:r>
    </w:p>
    <w:p w14:paraId="423F5144" w14:textId="3FC42328" w:rsidR="006371A6" w:rsidRDefault="00B506B0" w:rsidP="00B506B0">
      <w:pPr>
        <w:jc w:val="both"/>
        <w:rPr>
          <w:rFonts w:cs="Times New Roman"/>
        </w:rPr>
      </w:pPr>
      <w:r>
        <w:rPr>
          <w:rFonts w:cs="Times New Roman"/>
        </w:rPr>
        <w:tab/>
      </w:r>
      <w:r>
        <w:rPr>
          <w:rFonts w:cs="Times New Roman"/>
        </w:rPr>
        <w:tab/>
        <w:t xml:space="preserve">The argument for </w:t>
      </w:r>
      <w:r w:rsidR="00D13DAC">
        <w:rPr>
          <w:rFonts w:cs="Times New Roman"/>
        </w:rPr>
        <w:t>worst-case</w:t>
      </w:r>
      <w:r>
        <w:rPr>
          <w:rFonts w:cs="Times New Roman"/>
        </w:rPr>
        <w:t xml:space="preserve"> analysis becomes especially strong when environmental effects prove irreversible, as in the climate disruption case.</w:t>
      </w:r>
      <w:r w:rsidR="000F1905">
        <w:rPr>
          <w:rStyle w:val="Znakapoznpodarou"/>
          <w:rFonts w:cs="Times New Roman"/>
        </w:rPr>
        <w:footnoteReference w:id="243"/>
      </w:r>
      <w:r>
        <w:rPr>
          <w:rFonts w:cs="Times New Roman"/>
        </w:rPr>
        <w:t xml:space="preserve">  Most greenhouse gases remain in the atmosphere for centuries.  If we invest in greenhouse gas abatement based on a damage assessment that proves too low, we cannot correct the mistake.  The temperatures will continue to rise based on past accumulations of greenhouse gases and any additions made even if we suddenly, decades hence, decide that we were wrong and therefore institute drastic abatement.</w:t>
      </w:r>
      <w:r w:rsidR="008D54E5">
        <w:rPr>
          <w:rFonts w:cs="Times New Roman"/>
        </w:rPr>
        <w:t xml:space="preserve">  By contrast, we can make up for overinvestment in abatement through economic growth and innovation if the threat proves less serious than imagined.</w:t>
      </w:r>
      <w:r>
        <w:rPr>
          <w:rFonts w:cs="Times New Roman"/>
        </w:rPr>
        <w:t xml:space="preserve">  This justifies some risk of overinvestment in abatement.</w:t>
      </w:r>
      <w:r>
        <w:rPr>
          <w:rFonts w:cs="Times New Roman"/>
        </w:rPr>
        <w:tab/>
      </w:r>
    </w:p>
    <w:p w14:paraId="4D882D47" w14:textId="39B1977C" w:rsidR="00C87755" w:rsidRDefault="00C87755" w:rsidP="00B506B0">
      <w:pPr>
        <w:jc w:val="both"/>
        <w:rPr>
          <w:rFonts w:cs="Times New Roman"/>
        </w:rPr>
      </w:pPr>
      <w:r>
        <w:rPr>
          <w:rFonts w:cs="Times New Roman"/>
        </w:rPr>
        <w:tab/>
      </w:r>
      <w:r>
        <w:rPr>
          <w:rFonts w:cs="Times New Roman"/>
        </w:rPr>
        <w:tab/>
        <w:t xml:space="preserve">At the same time, </w:t>
      </w:r>
      <w:r w:rsidR="00D13DAC">
        <w:rPr>
          <w:rFonts w:cs="Times New Roman"/>
        </w:rPr>
        <w:t>worst-case</w:t>
      </w:r>
      <w:r>
        <w:rPr>
          <w:rFonts w:cs="Times New Roman"/>
        </w:rPr>
        <w:t xml:space="preserve"> analysis should apply to the environmental effects of technologies used to address environmental insults, not just the targeted insults.  For example, if regulators are taking an action that addresses climate disruption by licensing nuclear power plants, they should look at scientifically plausible nuclear accidents and consider this possibility in their plans.  This addresses the concern that Sunstein and others have expressed about the potential myopia of focusing on a targeted risk without considering risks associated with ameliorating the targeted risk.</w:t>
      </w:r>
      <w:r w:rsidR="004D10E2">
        <w:rPr>
          <w:rStyle w:val="Znakapoznpodarou"/>
          <w:rFonts w:cs="Times New Roman"/>
        </w:rPr>
        <w:footnoteReference w:id="244"/>
      </w:r>
      <w:r>
        <w:rPr>
          <w:rFonts w:cs="Times New Roman"/>
        </w:rPr>
        <w:t xml:space="preserve">  </w:t>
      </w:r>
    </w:p>
    <w:p w14:paraId="77D79B93" w14:textId="6ADB3E11" w:rsidR="00B506B0" w:rsidRDefault="006371A6" w:rsidP="00B506B0">
      <w:pPr>
        <w:jc w:val="both"/>
        <w:rPr>
          <w:rFonts w:cs="Times New Roman"/>
        </w:rPr>
      </w:pPr>
      <w:r>
        <w:rPr>
          <w:rFonts w:cs="Times New Roman"/>
        </w:rPr>
        <w:tab/>
      </w:r>
      <w:r>
        <w:rPr>
          <w:rFonts w:cs="Times New Roman"/>
        </w:rPr>
        <w:tab/>
      </w:r>
      <w:r w:rsidR="00B506B0">
        <w:rPr>
          <w:rFonts w:cs="Times New Roman"/>
        </w:rPr>
        <w:t>Even if regulators do not wish to base their decisions on the worst case, analysts should include one in their CBA.</w:t>
      </w:r>
      <w:r w:rsidR="00D30254">
        <w:rPr>
          <w:rStyle w:val="Znakapoznpodarou"/>
          <w:rFonts w:cs="Times New Roman"/>
        </w:rPr>
        <w:footnoteReference w:id="245"/>
      </w:r>
      <w:r w:rsidR="00B506B0">
        <w:rPr>
          <w:rFonts w:cs="Times New Roman"/>
        </w:rPr>
        <w:t xml:space="preserve">  The National Academy of Sciences has long advocated the presentation of a </w:t>
      </w:r>
      <w:r w:rsidR="00B506B0">
        <w:rPr>
          <w:rFonts w:cs="Times New Roman"/>
          <w:i/>
        </w:rPr>
        <w:t xml:space="preserve">range </w:t>
      </w:r>
      <w:r w:rsidR="00B506B0">
        <w:rPr>
          <w:rFonts w:cs="Times New Roman"/>
        </w:rPr>
        <w:t>of regulatory benefits.</w:t>
      </w:r>
      <w:r w:rsidR="00B506B0">
        <w:rPr>
          <w:rStyle w:val="Znakapoznpodarou"/>
          <w:rFonts w:cs="Times New Roman"/>
        </w:rPr>
        <w:footnoteReference w:id="246"/>
      </w:r>
      <w:r w:rsidR="00B506B0">
        <w:rPr>
          <w:rFonts w:cs="Times New Roman"/>
        </w:rPr>
        <w:t xml:space="preserve">  It considers point estimates irresponsible scientifically, because the relevant science does not generally permit precise estimates of environmental consequences’ magnitude.  Accordingly, scientifically informative presentation of costs and benefits will present a range of benefits estimates that correspond to the full range of scientifically reasonable cases. </w:t>
      </w:r>
    </w:p>
    <w:p w14:paraId="25784A2B" w14:textId="3173BFAA" w:rsidR="00B506B0" w:rsidRDefault="00B506B0" w:rsidP="00B506B0">
      <w:pPr>
        <w:jc w:val="both"/>
        <w:rPr>
          <w:rFonts w:cs="Times New Roman"/>
        </w:rPr>
      </w:pPr>
      <w:r>
        <w:rPr>
          <w:rFonts w:cs="Times New Roman"/>
        </w:rPr>
        <w:tab/>
      </w:r>
      <w:r>
        <w:rPr>
          <w:rFonts w:cs="Times New Roman"/>
        </w:rPr>
        <w:tab/>
        <w:t xml:space="preserve">This approach also serves the goals of legal scholars advocating CBA.  Few of these scholars accept preference-based optimization as the sole determinant of </w:t>
      </w:r>
      <w:r>
        <w:rPr>
          <w:rFonts w:cs="Times New Roman"/>
        </w:rPr>
        <w:lastRenderedPageBreak/>
        <w:t>environmental standards.</w:t>
      </w:r>
      <w:r w:rsidR="007A60C4">
        <w:rPr>
          <w:rStyle w:val="Znakapoznpodarou"/>
          <w:rFonts w:cs="Times New Roman"/>
        </w:rPr>
        <w:footnoteReference w:id="247"/>
      </w:r>
      <w:r>
        <w:rPr>
          <w:rFonts w:cs="Times New Roman"/>
        </w:rPr>
        <w:t xml:space="preserve">  But they all agree that CBA should inform regulators, thereby, they claim, increasing transparency and rationality.  But </w:t>
      </w:r>
      <w:r w:rsidR="00D13DAC">
        <w:rPr>
          <w:rFonts w:cs="Times New Roman"/>
        </w:rPr>
        <w:t>CBA that fails to at least inform regulators about very serious scientifically plausible consequences</w:t>
      </w:r>
      <w:r>
        <w:rPr>
          <w:rFonts w:cs="Times New Roman"/>
        </w:rPr>
        <w:t xml:space="preserve"> misinforms regulators by obscuring potentially important information.</w:t>
      </w:r>
      <w:r w:rsidR="00EF5D4B">
        <w:rPr>
          <w:rStyle w:val="Znakapoznpodarou"/>
          <w:rFonts w:cs="Times New Roman"/>
        </w:rPr>
        <w:footnoteReference w:id="248"/>
      </w:r>
      <w:r>
        <w:rPr>
          <w:rFonts w:cs="Times New Roman"/>
        </w:rPr>
        <w:t xml:space="preserve">  </w:t>
      </w:r>
    </w:p>
    <w:p w14:paraId="12C21F87" w14:textId="7CA9E4D3" w:rsidR="00B506B0" w:rsidRDefault="00B506B0" w:rsidP="00B506B0">
      <w:pPr>
        <w:jc w:val="both"/>
        <w:rPr>
          <w:rFonts w:cs="Times New Roman"/>
        </w:rPr>
      </w:pPr>
      <w:r>
        <w:rPr>
          <w:rFonts w:cs="Times New Roman"/>
        </w:rPr>
        <w:tab/>
      </w:r>
      <w:r>
        <w:rPr>
          <w:rFonts w:cs="Times New Roman"/>
        </w:rPr>
        <w:tab/>
        <w:t xml:space="preserve">This principle of fully informing regulators also raises some concerns about CBA’s approach to uncertainty.  Academic CBA based on or including a worst case would </w:t>
      </w:r>
      <w:r w:rsidR="001E1E8C">
        <w:rPr>
          <w:rFonts w:cs="Times New Roman"/>
        </w:rPr>
        <w:t>reduce</w:t>
      </w:r>
      <w:r>
        <w:rPr>
          <w:rFonts w:cs="Times New Roman"/>
        </w:rPr>
        <w:t xml:space="preserve"> the dollar value of the worst case by an estimate of the probability of its occurrence, even when the probability is truly unknown.  That may indeed be an appropriate procedure for an academic optimization exercise.  But it poses some questions from the standpoint of precaution and with CBA advocates’ professed goal of fully informing regulators.</w:t>
      </w:r>
      <w:r>
        <w:rPr>
          <w:rStyle w:val="Znakapoznpodarou"/>
          <w:rFonts w:cs="Times New Roman"/>
        </w:rPr>
        <w:footnoteReference w:id="249"/>
      </w:r>
      <w:r>
        <w:rPr>
          <w:rFonts w:cs="Times New Roman"/>
        </w:rPr>
        <w:t xml:space="preserve">  </w:t>
      </w:r>
    </w:p>
    <w:p w14:paraId="3C403198" w14:textId="2194BE00" w:rsidR="00B506B0" w:rsidRDefault="00B506B0" w:rsidP="00B506B0">
      <w:pPr>
        <w:jc w:val="both"/>
      </w:pPr>
      <w:r>
        <w:rPr>
          <w:rFonts w:cs="Times New Roman"/>
        </w:rPr>
        <w:tab/>
      </w:r>
      <w:r>
        <w:rPr>
          <w:rFonts w:cs="Times New Roman"/>
        </w:rPr>
        <w:tab/>
      </w:r>
      <w:r>
        <w:t xml:space="preserve">The claim that the precautionary principle rules out rejection of measures based upon scientific uncertainty leads to the following question:  Does the practice of </w:t>
      </w:r>
      <w:r w:rsidR="006371A6">
        <w:t xml:space="preserve">multiplying </w:t>
      </w:r>
      <w:r>
        <w:t>risks by the probability of their occurrence itself violate the precautionary principle?  Suppose, for example, that an economist estimates that a 100 ton reduction of a pollutant would cost $1 million, but might generate $1.5 million of benefit.  The economist estimates the likelihood of this benefit occurring as 50%.  The standard economics would suggest that the benefit estimate be reduced to $750,000 ($1.5 million X .5).</w:t>
      </w:r>
      <w:r>
        <w:rPr>
          <w:rStyle w:val="Znakapoznpodarou"/>
        </w:rPr>
        <w:footnoteReference w:id="250"/>
      </w:r>
      <w:r>
        <w:t xml:space="preserve">  Doing so would lead to rejection of the measure on the ground that the $1 million cost exceeds the $750,000 benefit.  It would seem that this </w:t>
      </w:r>
      <w:r w:rsidR="00B83101">
        <w:t>standard approach</w:t>
      </w:r>
      <w:r>
        <w:t xml:space="preserve"> to risk uses scientific uncertainty as a reason to forego a protective measure.  For absent some consideration of uncertainty, the economist would conclude that the measure costing $1 million would yield $1.5 million worth of benefits and would recommend its adoption.  Surely, scientific uncertainty here performs the function of justifying rejection of the measure.  </w:t>
      </w:r>
    </w:p>
    <w:p w14:paraId="05BB6CDD" w14:textId="240CADA3" w:rsidR="00B506B0" w:rsidRDefault="00B506B0" w:rsidP="00B506B0">
      <w:pPr>
        <w:jc w:val="both"/>
      </w:pPr>
      <w:r>
        <w:tab/>
      </w:r>
      <w:r>
        <w:tab/>
        <w:t xml:space="preserve">One could resist this conclusion by drawing upon </w:t>
      </w:r>
      <w:r w:rsidR="00B83101">
        <w:t>economics’</w:t>
      </w:r>
      <w:r>
        <w:t xml:space="preserve"> distinction between risk and uncertainty.</w:t>
      </w:r>
      <w:r w:rsidR="005E5A8D">
        <w:rPr>
          <w:rStyle w:val="Znakapoznpodarou"/>
        </w:rPr>
        <w:footnoteReference w:id="251"/>
      </w:r>
      <w:r>
        <w:t xml:space="preserve">  In economic terms, if the probabilities are known, as in the above hypothetical, this is not a case of true uncertainty.  Rather it is a case of risk.  Therefore, a treatment of the “scientific uncertainty” as a term of economic art would support the </w:t>
      </w:r>
      <w:r>
        <w:lastRenderedPageBreak/>
        <w:t xml:space="preserve">conclusion that </w:t>
      </w:r>
      <w:r w:rsidR="006371A6">
        <w:t xml:space="preserve">reducing benefits estimates </w:t>
      </w:r>
      <w:r>
        <w:t>on the basis of probabilities does not violate the precautionary principle.</w:t>
      </w:r>
      <w:r>
        <w:rPr>
          <w:rStyle w:val="Znakapoznpodarou"/>
        </w:rPr>
        <w:footnoteReference w:id="252"/>
      </w:r>
      <w:r>
        <w:t xml:space="preserve">  </w:t>
      </w:r>
    </w:p>
    <w:p w14:paraId="024C0932" w14:textId="1C2E9B8F" w:rsidR="00B506B0" w:rsidRDefault="00B506B0" w:rsidP="00B506B0">
      <w:pPr>
        <w:jc w:val="both"/>
      </w:pPr>
      <w:r>
        <w:tab/>
      </w:r>
      <w:r>
        <w:tab/>
        <w:t xml:space="preserve">This term of art argument, however, would not justify </w:t>
      </w:r>
      <w:r w:rsidR="006371A6">
        <w:t xml:space="preserve">benefit reduction </w:t>
      </w:r>
      <w:r>
        <w:t xml:space="preserve">in cases of true uncertainty. That is, when we really do not know the probabilities of a particular predicted harm coming to fruition, </w:t>
      </w:r>
      <w:r w:rsidR="006371A6">
        <w:t>multiplying benefits estimates</w:t>
      </w:r>
      <w:r>
        <w:t xml:space="preserve"> by some economists’ guesses about the probabilities, whether arrived at through Monte Carlo analysis or Bayesian probabilities, would seem to violate precaution.  In other words, the precautionary principle seems to rule out </w:t>
      </w:r>
      <w:r w:rsidR="006371A6">
        <w:t>multiplying harms</w:t>
      </w:r>
      <w:r>
        <w:t xml:space="preserve"> by the likelihood of negative outcomes in the normal case, that of true uncertainty, because doing so uses scientific uncertainty as a justification for rejecting measures.   </w:t>
      </w:r>
    </w:p>
    <w:p w14:paraId="3A096B67" w14:textId="5596373C" w:rsidR="00B506B0" w:rsidRDefault="00B506B0" w:rsidP="00B506B0">
      <w:pPr>
        <w:jc w:val="both"/>
      </w:pPr>
      <w:r>
        <w:tab/>
      </w:r>
      <w:r>
        <w:tab/>
        <w:t>Transparency concerns would suggest tha</w:t>
      </w:r>
      <w:r w:rsidR="006371A6">
        <w:t xml:space="preserve">t CBA should at least include </w:t>
      </w:r>
      <w:r w:rsidR="00B83101">
        <w:t>an</w:t>
      </w:r>
      <w:r>
        <w:t xml:space="preserve"> un</w:t>
      </w:r>
      <w:r w:rsidR="006371A6">
        <w:t>reduced</w:t>
      </w:r>
      <w:r>
        <w:t xml:space="preserve"> worst case, even if economists want to include a di</w:t>
      </w:r>
      <w:r w:rsidR="006371A6">
        <w:t>minished</w:t>
      </w:r>
      <w:r>
        <w:t xml:space="preserve"> one as well.  Regulators should know what a worst case would </w:t>
      </w:r>
      <w:r w:rsidR="000E670F">
        <w:t xml:space="preserve">look </w:t>
      </w:r>
      <w:r>
        <w:t>like.  Hiding that information from them, especially when the probability of its occurrence remains unknown, conflicts with the goal of transparently informing policymakers.</w:t>
      </w:r>
    </w:p>
    <w:p w14:paraId="166A16A7" w14:textId="77777777" w:rsidR="00B506B0" w:rsidRDefault="00B506B0" w:rsidP="00B506B0">
      <w:pPr>
        <w:jc w:val="both"/>
        <w:rPr>
          <w:rFonts w:cs="Times New Roman"/>
        </w:rPr>
      </w:pPr>
    </w:p>
    <w:p w14:paraId="7EF3D30A" w14:textId="77777777" w:rsidR="00B506B0" w:rsidRDefault="00B506B0" w:rsidP="00B506B0">
      <w:pPr>
        <w:jc w:val="center"/>
        <w:rPr>
          <w:rFonts w:cs="Times New Roman"/>
          <w:i/>
        </w:rPr>
      </w:pPr>
      <w:r>
        <w:rPr>
          <w:rFonts w:cs="Times New Roman"/>
        </w:rPr>
        <w:t xml:space="preserve">D.  </w:t>
      </w:r>
      <w:r>
        <w:rPr>
          <w:rFonts w:cs="Times New Roman"/>
          <w:i/>
        </w:rPr>
        <w:t>Discounting</w:t>
      </w:r>
    </w:p>
    <w:p w14:paraId="6AF426AF" w14:textId="77777777" w:rsidR="00B506B0" w:rsidRDefault="00B506B0" w:rsidP="00B506B0">
      <w:pPr>
        <w:jc w:val="center"/>
        <w:rPr>
          <w:rFonts w:cs="Times New Roman"/>
          <w:i/>
        </w:rPr>
      </w:pPr>
    </w:p>
    <w:p w14:paraId="337CF1C0" w14:textId="77777777" w:rsidR="00B506B0" w:rsidRDefault="00B506B0" w:rsidP="00B506B0">
      <w:pPr>
        <w:jc w:val="both"/>
        <w:rPr>
          <w:rFonts w:cs="Times New Roman"/>
        </w:rPr>
      </w:pPr>
      <w:r>
        <w:rPr>
          <w:rFonts w:cs="Times New Roman"/>
        </w:rPr>
        <w:tab/>
      </w:r>
      <w:r>
        <w:rPr>
          <w:rFonts w:cs="Times New Roman"/>
        </w:rPr>
        <w:tab/>
        <w:t xml:space="preserve">I cannot in this space offer a thorough defense of any particular approach to discounting and doing so would implicate considerations going beyond precaution itself, such as inter-generational equity.  But a brief mention of the some of the potential implications of the forgoing analysis for discounting does seem in order.  </w:t>
      </w:r>
    </w:p>
    <w:p w14:paraId="5B53150F" w14:textId="65A7DF97" w:rsidR="00B506B0" w:rsidRDefault="00B506B0" w:rsidP="00B506B0">
      <w:pPr>
        <w:jc w:val="both"/>
        <w:rPr>
          <w:rFonts w:cs="Times New Roman"/>
        </w:rPr>
      </w:pPr>
      <w:r>
        <w:rPr>
          <w:rFonts w:cs="Times New Roman"/>
        </w:rPr>
        <w:tab/>
      </w:r>
      <w:r>
        <w:rPr>
          <w:rFonts w:cs="Times New Roman"/>
        </w:rPr>
        <w:tab/>
        <w:t>To minimize tension with the precautionary principle’s timing goals policymakers might well choose to eschew discounting of future benefits or discount at a low rate.  CBA employing discount rates for government consumption should, at a minimum show an undiscounted case and a low discount rate case, explaining the ethical questions involved in this. In addition, precaution requires discounting that does not assume continued economic growth.</w:t>
      </w:r>
      <w:r>
        <w:rPr>
          <w:rStyle w:val="Znakapoznpodarou"/>
          <w:rFonts w:cs="Times New Roman"/>
        </w:rPr>
        <w:footnoteReference w:id="253"/>
      </w:r>
      <w:r w:rsidR="00B1528F">
        <w:rPr>
          <w:rFonts w:cs="Times New Roman"/>
        </w:rPr>
        <w:t xml:space="preserve">  That will lead to a reduction or elimination of positive discounting in analyses using the Ramsey equation.  So, the precautionary principle requires at least the adjustment of the Ramsey equation and its spirit commends a more general reduction of discount rates.  </w:t>
      </w:r>
      <w:r>
        <w:rPr>
          <w:rFonts w:cs="Times New Roman"/>
        </w:rPr>
        <w:t xml:space="preserve">  </w:t>
      </w:r>
    </w:p>
    <w:p w14:paraId="224B55AE" w14:textId="77777777" w:rsidR="003D0078" w:rsidRDefault="003D0078" w:rsidP="00B506B0">
      <w:pPr>
        <w:jc w:val="both"/>
        <w:rPr>
          <w:rFonts w:cs="Times New Roman"/>
        </w:rPr>
      </w:pPr>
    </w:p>
    <w:p w14:paraId="3F22BE04" w14:textId="10FB4C9E" w:rsidR="003D0078" w:rsidRDefault="003D0078" w:rsidP="003D0078">
      <w:pPr>
        <w:jc w:val="center"/>
        <w:rPr>
          <w:rFonts w:cs="Times New Roman"/>
          <w:i/>
        </w:rPr>
      </w:pPr>
      <w:r>
        <w:rPr>
          <w:rFonts w:cs="Times New Roman"/>
        </w:rPr>
        <w:t xml:space="preserve">E.  </w:t>
      </w:r>
      <w:r>
        <w:rPr>
          <w:rFonts w:cs="Times New Roman"/>
          <w:i/>
        </w:rPr>
        <w:t>A Cultural Caveat</w:t>
      </w:r>
    </w:p>
    <w:p w14:paraId="69D7A5AA" w14:textId="77777777" w:rsidR="003D0078" w:rsidRDefault="003D0078" w:rsidP="003D0078">
      <w:pPr>
        <w:jc w:val="center"/>
        <w:rPr>
          <w:rFonts w:cs="Times New Roman"/>
          <w:i/>
        </w:rPr>
      </w:pPr>
    </w:p>
    <w:p w14:paraId="553131F0" w14:textId="79501DCE" w:rsidR="005A26EF" w:rsidRDefault="003D0078" w:rsidP="00BE6FAA">
      <w:pPr>
        <w:jc w:val="both"/>
        <w:rPr>
          <w:rFonts w:cs="Times New Roman"/>
        </w:rPr>
      </w:pPr>
      <w:r>
        <w:rPr>
          <w:rFonts w:cs="Times New Roman"/>
        </w:rPr>
        <w:tab/>
      </w:r>
      <w:r>
        <w:rPr>
          <w:rFonts w:cs="Times New Roman"/>
        </w:rPr>
        <w:tab/>
        <w:t xml:space="preserve">This article’s conclusion that the core ideas of CBA and precaution do not necessarily conflict and that therefore one can imagine precautionary CBA </w:t>
      </w:r>
      <w:r w:rsidR="00D61819">
        <w:rPr>
          <w:rFonts w:cs="Times New Roman"/>
        </w:rPr>
        <w:t>barely</w:t>
      </w:r>
      <w:r>
        <w:rPr>
          <w:rFonts w:cs="Times New Roman"/>
        </w:rPr>
        <w:t xml:space="preserve"> address</w:t>
      </w:r>
      <w:r w:rsidR="00D61819">
        <w:rPr>
          <w:rFonts w:cs="Times New Roman"/>
        </w:rPr>
        <w:t>es</w:t>
      </w:r>
      <w:r>
        <w:rPr>
          <w:rFonts w:cs="Times New Roman"/>
        </w:rPr>
        <w:t xml:space="preserve"> cultural norms among communities supporting one or the other approach that may make adoption of these measures difficult.  It may well be that supporters of precaution often start with the assumption that we </w:t>
      </w:r>
      <w:r w:rsidR="005A26EF">
        <w:rPr>
          <w:rFonts w:cs="Times New Roman"/>
        </w:rPr>
        <w:t xml:space="preserve">have a right to a clean environment, which should be compromised, if at all, </w:t>
      </w:r>
      <w:r>
        <w:rPr>
          <w:rFonts w:cs="Times New Roman"/>
        </w:rPr>
        <w:t xml:space="preserve">only upon a strong showing of serious economic </w:t>
      </w:r>
      <w:r>
        <w:rPr>
          <w:rFonts w:cs="Times New Roman"/>
        </w:rPr>
        <w:lastRenderedPageBreak/>
        <w:t xml:space="preserve">harm and perhaps not then.  Conversely, many CBA supporters may start from a presumption </w:t>
      </w:r>
      <w:r w:rsidR="005A26EF">
        <w:rPr>
          <w:rFonts w:cs="Times New Roman"/>
        </w:rPr>
        <w:t xml:space="preserve">of an entitlement to economic development through a free market, </w:t>
      </w:r>
      <w:r>
        <w:rPr>
          <w:rFonts w:cs="Times New Roman"/>
        </w:rPr>
        <w:t xml:space="preserve">and require a strong showing to </w:t>
      </w:r>
      <w:r w:rsidR="005A26EF">
        <w:rPr>
          <w:rFonts w:cs="Times New Roman"/>
        </w:rPr>
        <w:t>justify government “intervention</w:t>
      </w:r>
      <w:r>
        <w:rPr>
          <w:rFonts w:cs="Times New Roman"/>
        </w:rPr>
        <w:t>.</w:t>
      </w:r>
      <w:r w:rsidR="005A26EF">
        <w:rPr>
          <w:rFonts w:cs="Times New Roman"/>
        </w:rPr>
        <w:t>”</w:t>
      </w:r>
      <w:r w:rsidR="005A26EF">
        <w:rPr>
          <w:rStyle w:val="Znakapoznpodarou"/>
          <w:rFonts w:cs="Times New Roman"/>
        </w:rPr>
        <w:footnoteReference w:id="254"/>
      </w:r>
      <w:r>
        <w:rPr>
          <w:rFonts w:cs="Times New Roman"/>
        </w:rPr>
        <w:t xml:space="preserve">  More subtle differences in cultural norms almost surely </w:t>
      </w:r>
      <w:r w:rsidR="005A26EF">
        <w:rPr>
          <w:rFonts w:cs="Times New Roman"/>
        </w:rPr>
        <w:t>influence the methodologies these communities endorse to arrive at sound decisions.</w:t>
      </w:r>
      <w:r w:rsidR="00994660">
        <w:rPr>
          <w:rFonts w:cs="Times New Roman"/>
        </w:rPr>
        <w:t xml:space="preserve">  For example, CBA advocates tend to think in terms of a flat metric of overall welfare, whereas advocates of precaution see important qualitative differences between different effects.</w:t>
      </w:r>
      <w:r w:rsidR="00DC0869">
        <w:rPr>
          <w:rStyle w:val="Znakapoznpodarou"/>
          <w:rFonts w:cs="Times New Roman"/>
        </w:rPr>
        <w:footnoteReference w:id="255"/>
      </w:r>
      <w:r w:rsidR="00994660">
        <w:rPr>
          <w:rFonts w:cs="Times New Roman"/>
        </w:rPr>
        <w:t xml:space="preserve">  </w:t>
      </w:r>
    </w:p>
    <w:p w14:paraId="7F8519BC" w14:textId="77777777" w:rsidR="005A26EF" w:rsidRDefault="005A26EF" w:rsidP="003D0078">
      <w:pPr>
        <w:rPr>
          <w:rFonts w:cs="Times New Roman"/>
        </w:rPr>
      </w:pPr>
    </w:p>
    <w:p w14:paraId="5A165945" w14:textId="7D10EDFF" w:rsidR="003D0078" w:rsidRDefault="005A26EF" w:rsidP="006479B7">
      <w:pPr>
        <w:jc w:val="both"/>
        <w:rPr>
          <w:rFonts w:cs="Times New Roman"/>
        </w:rPr>
      </w:pPr>
      <w:r>
        <w:rPr>
          <w:rFonts w:cs="Times New Roman"/>
        </w:rPr>
        <w:tab/>
      </w:r>
      <w:r>
        <w:rPr>
          <w:rFonts w:cs="Times New Roman"/>
        </w:rPr>
        <w:tab/>
        <w:t>For that reason, this Article’s precautionary CBA</w:t>
      </w:r>
      <w:r w:rsidR="006479B7">
        <w:rPr>
          <w:rFonts w:cs="Times New Roman"/>
        </w:rPr>
        <w:t xml:space="preserve"> </w:t>
      </w:r>
      <w:r w:rsidR="00D13DAC">
        <w:rPr>
          <w:rFonts w:cs="Times New Roman"/>
        </w:rPr>
        <w:t>recommendations</w:t>
      </w:r>
      <w:r w:rsidR="006479B7">
        <w:rPr>
          <w:rFonts w:cs="Times New Roman"/>
        </w:rPr>
        <w:t xml:space="preserve"> necessarily serve</w:t>
      </w:r>
      <w:r>
        <w:rPr>
          <w:rFonts w:cs="Times New Roman"/>
        </w:rPr>
        <w:t xml:space="preserve"> as a starting point for debate, rather than as an endpoint.  </w:t>
      </w:r>
      <w:r w:rsidR="00994660">
        <w:rPr>
          <w:rFonts w:cs="Times New Roman"/>
        </w:rPr>
        <w:t>Cultural differences</w:t>
      </w:r>
      <w:r>
        <w:rPr>
          <w:rFonts w:cs="Times New Roman"/>
        </w:rPr>
        <w:t xml:space="preserve"> </w:t>
      </w:r>
      <w:r w:rsidR="00994660">
        <w:rPr>
          <w:rFonts w:cs="Times New Roman"/>
        </w:rPr>
        <w:t xml:space="preserve">suggest </w:t>
      </w:r>
      <w:r>
        <w:rPr>
          <w:rFonts w:cs="Times New Roman"/>
        </w:rPr>
        <w:t xml:space="preserve">the need </w:t>
      </w:r>
      <w:r w:rsidR="006479B7">
        <w:rPr>
          <w:rFonts w:cs="Times New Roman"/>
        </w:rPr>
        <w:t>for</w:t>
      </w:r>
      <w:r>
        <w:rPr>
          <w:rFonts w:cs="Times New Roman"/>
        </w:rPr>
        <w:t xml:space="preserve"> a more thorough understanding of the normative positions underlying the clashes between CBA and precautionary principle advocates.</w:t>
      </w:r>
      <w:r w:rsidR="00A75B4C">
        <w:rPr>
          <w:rFonts w:cs="Times New Roman"/>
        </w:rPr>
        <w:t xml:space="preserve"> </w:t>
      </w:r>
      <w:r w:rsidR="00994660">
        <w:rPr>
          <w:rFonts w:cs="Times New Roman"/>
        </w:rPr>
        <w:t>Hopefully, this Article will move the debate over appropriate environmental policy to a deeper level.</w:t>
      </w:r>
      <w:r w:rsidR="00A75B4C">
        <w:rPr>
          <w:rFonts w:cs="Times New Roman"/>
        </w:rPr>
        <w:t xml:space="preserve">  </w:t>
      </w:r>
      <w:r w:rsidR="00994660">
        <w:rPr>
          <w:rFonts w:cs="Times New Roman"/>
        </w:rPr>
        <w:t xml:space="preserve">   </w:t>
      </w:r>
    </w:p>
    <w:p w14:paraId="13B7056B" w14:textId="05D4A8C4" w:rsidR="003D0078" w:rsidRPr="003D0078" w:rsidRDefault="003D0078" w:rsidP="003D0078">
      <w:pPr>
        <w:rPr>
          <w:rFonts w:cs="Times New Roman"/>
        </w:rPr>
      </w:pPr>
      <w:r>
        <w:rPr>
          <w:rFonts w:cs="Times New Roman"/>
        </w:rPr>
        <w:tab/>
        <w:t xml:space="preserve">      </w:t>
      </w:r>
    </w:p>
    <w:p w14:paraId="627DB2E1" w14:textId="3CA05FAF" w:rsidR="00B506B0" w:rsidRDefault="00B506B0" w:rsidP="00994660">
      <w:pPr>
        <w:jc w:val="center"/>
        <w:rPr>
          <w:rFonts w:cs="Times New Roman"/>
          <w:smallCaps/>
        </w:rPr>
      </w:pPr>
      <w:r>
        <w:rPr>
          <w:rFonts w:cs="Times New Roman"/>
        </w:rPr>
        <w:t xml:space="preserve">V. </w:t>
      </w:r>
      <w:r>
        <w:rPr>
          <w:rFonts w:cs="Times New Roman"/>
          <w:smallCaps/>
        </w:rPr>
        <w:t>Conclusion</w:t>
      </w:r>
    </w:p>
    <w:p w14:paraId="0B444D1D" w14:textId="77777777" w:rsidR="00B506B0" w:rsidRDefault="00B506B0" w:rsidP="00B506B0">
      <w:pPr>
        <w:jc w:val="center"/>
        <w:rPr>
          <w:rFonts w:cs="Times New Roman"/>
          <w:smallCaps/>
        </w:rPr>
      </w:pPr>
    </w:p>
    <w:p w14:paraId="564F102D" w14:textId="77777777" w:rsidR="00B506B0" w:rsidRDefault="00B506B0" w:rsidP="00B506B0">
      <w:pPr>
        <w:rPr>
          <w:rFonts w:cs="Times New Roman"/>
        </w:rPr>
      </w:pPr>
      <w:r>
        <w:rPr>
          <w:rFonts w:cs="Times New Roman"/>
        </w:rPr>
        <w:tab/>
      </w:r>
      <w:r>
        <w:rPr>
          <w:rFonts w:cs="Times New Roman"/>
        </w:rPr>
        <w:tab/>
        <w:t xml:space="preserve">Precaution, understood narrowly as the principle that scientific uncertainty should not be used to avoid taking measures to address serious environmental problems, does not necessarily conflict with the basic idea of CBA— the idea that policy makers should take costs into account in deciding how vigorously to act in avoiding looming harms.  Current CBA practice, however, often conflicts with precaution.  So, precautionary CBA is imaginable.  </w:t>
      </w:r>
    </w:p>
    <w:p w14:paraId="19D5A9F9" w14:textId="77777777" w:rsidR="00D61819" w:rsidRDefault="00D61819" w:rsidP="00B506B0">
      <w:pPr>
        <w:rPr>
          <w:rFonts w:cs="Times New Roman"/>
        </w:rPr>
      </w:pPr>
    </w:p>
    <w:p w14:paraId="322C627E" w14:textId="5FFAE8C3" w:rsidR="00B506B0" w:rsidRDefault="00B506B0" w:rsidP="00B1528F">
      <w:pPr>
        <w:jc w:val="both"/>
        <w:rPr>
          <w:rFonts w:cs="Times New Roman"/>
        </w:rPr>
      </w:pPr>
      <w:r>
        <w:rPr>
          <w:rFonts w:cs="Times New Roman"/>
        </w:rPr>
        <w:tab/>
      </w:r>
      <w:r>
        <w:rPr>
          <w:rFonts w:cs="Times New Roman"/>
        </w:rPr>
        <w:tab/>
        <w:t>By making use of worst-case analysis, paying close attention to nonquantifiable regulatory benefits, and avoiding deep discounting analysts can</w:t>
      </w:r>
      <w:r w:rsidR="001E1E8C">
        <w:rPr>
          <w:rFonts w:cs="Times New Roman"/>
        </w:rPr>
        <w:t>, in principle,</w:t>
      </w:r>
      <w:r>
        <w:rPr>
          <w:rFonts w:cs="Times New Roman"/>
        </w:rPr>
        <w:t xml:space="preserve"> harmonize CBA with non-radical precaution.  I intend my specific recommendations along these lines as a starting point for discussion, not necessarily as the last definitive word on the subject </w:t>
      </w:r>
      <w:r w:rsidR="006371A6">
        <w:rPr>
          <w:rFonts w:cs="Times New Roman"/>
        </w:rPr>
        <w:t>that this Article has introduced</w:t>
      </w:r>
      <w:r>
        <w:rPr>
          <w:rFonts w:cs="Times New Roman"/>
        </w:rPr>
        <w:t xml:space="preserve">—how to reconcile precaution and CBA.  </w:t>
      </w:r>
    </w:p>
    <w:p w14:paraId="37C05BA7" w14:textId="15082DB1" w:rsidR="00B1528F" w:rsidRDefault="00B1528F" w:rsidP="00B1528F">
      <w:pPr>
        <w:jc w:val="both"/>
        <w:rPr>
          <w:rFonts w:cs="Times New Roman"/>
        </w:rPr>
      </w:pPr>
      <w:r>
        <w:rPr>
          <w:rFonts w:cs="Times New Roman"/>
        </w:rPr>
        <w:tab/>
      </w:r>
      <w:r>
        <w:rPr>
          <w:rFonts w:cs="Times New Roman"/>
        </w:rPr>
        <w:tab/>
      </w:r>
      <w:r w:rsidR="00105BC4">
        <w:rPr>
          <w:rFonts w:cs="Times New Roman"/>
        </w:rPr>
        <w:t xml:space="preserve"> </w:t>
      </w:r>
    </w:p>
    <w:p w14:paraId="6BCB54F0" w14:textId="77777777" w:rsidR="00B506B0" w:rsidRDefault="00B506B0" w:rsidP="00B506B0">
      <w:pPr>
        <w:rPr>
          <w:rFonts w:cs="Times New Roman"/>
        </w:rPr>
      </w:pPr>
      <w:r>
        <w:rPr>
          <w:rFonts w:cs="Times New Roman"/>
        </w:rPr>
        <w:tab/>
      </w:r>
      <w:r>
        <w:rPr>
          <w:rFonts w:cs="Times New Roman"/>
        </w:rPr>
        <w:tab/>
        <w:t xml:space="preserve"> </w:t>
      </w:r>
    </w:p>
    <w:p w14:paraId="72865ADE" w14:textId="77777777" w:rsidR="00B506B0" w:rsidRDefault="00B506B0" w:rsidP="00B506B0">
      <w:pPr>
        <w:jc w:val="both"/>
        <w:rPr>
          <w:rFonts w:cs="Times New Roman"/>
        </w:rPr>
      </w:pPr>
    </w:p>
    <w:p w14:paraId="2758F534" w14:textId="77777777" w:rsidR="00B506B0" w:rsidRDefault="00B506B0" w:rsidP="00B506B0">
      <w:pPr>
        <w:jc w:val="both"/>
        <w:rPr>
          <w:rFonts w:cs="Times New Roman"/>
          <w:b/>
        </w:rPr>
      </w:pPr>
    </w:p>
    <w:p w14:paraId="1AC39DCA" w14:textId="77777777" w:rsidR="00B506B0" w:rsidRDefault="00B506B0" w:rsidP="00B506B0">
      <w:pPr>
        <w:jc w:val="both"/>
        <w:rPr>
          <w:rFonts w:cs="Times New Roman"/>
        </w:rPr>
      </w:pPr>
      <w:r>
        <w:rPr>
          <w:rFonts w:cs="Times New Roman"/>
        </w:rPr>
        <w:t xml:space="preserve">    </w:t>
      </w:r>
    </w:p>
    <w:p w14:paraId="5D891650" w14:textId="77777777" w:rsidR="00B506B0" w:rsidRDefault="00B506B0" w:rsidP="00B506B0">
      <w:pPr>
        <w:jc w:val="both"/>
        <w:rPr>
          <w:rFonts w:cs="Times New Roman"/>
        </w:rPr>
      </w:pPr>
      <w:r>
        <w:rPr>
          <w:rFonts w:cs="Times New Roman"/>
        </w:rPr>
        <w:tab/>
      </w:r>
      <w:r>
        <w:rPr>
          <w:rFonts w:cs="Times New Roman"/>
        </w:rPr>
        <w:tab/>
        <w:t xml:space="preserve"> </w:t>
      </w:r>
    </w:p>
    <w:p w14:paraId="6F29E349" w14:textId="77777777" w:rsidR="00B506B0" w:rsidRDefault="00B506B0" w:rsidP="00B506B0">
      <w:pPr>
        <w:jc w:val="both"/>
        <w:rPr>
          <w:rFonts w:cs="Times New Roman"/>
        </w:rPr>
      </w:pPr>
      <w:r>
        <w:rPr>
          <w:rFonts w:cs="Times New Roman"/>
        </w:rPr>
        <w:t xml:space="preserve">  </w:t>
      </w:r>
    </w:p>
    <w:p w14:paraId="35015AC3" w14:textId="77777777" w:rsidR="00B506B0" w:rsidRDefault="00B506B0" w:rsidP="00B506B0">
      <w:pPr>
        <w:rPr>
          <w:rFonts w:cs="Times New Roman"/>
          <w:i/>
        </w:rPr>
      </w:pPr>
    </w:p>
    <w:p w14:paraId="1003AC68" w14:textId="77777777" w:rsidR="00B506B0" w:rsidRDefault="00B506B0" w:rsidP="00B506B0">
      <w:pPr>
        <w:jc w:val="both"/>
        <w:rPr>
          <w:rFonts w:cs="Times New Roman"/>
        </w:rPr>
      </w:pPr>
      <w:r>
        <w:rPr>
          <w:rFonts w:cs="Times New Roman"/>
        </w:rPr>
        <w:tab/>
      </w:r>
      <w:r>
        <w:rPr>
          <w:rFonts w:cs="Times New Roman"/>
        </w:rPr>
        <w:tab/>
        <w:t xml:space="preserve">          </w:t>
      </w:r>
    </w:p>
    <w:p w14:paraId="77F9C2C8" w14:textId="77777777" w:rsidR="00B506B0" w:rsidRDefault="00B506B0" w:rsidP="00B506B0">
      <w:pPr>
        <w:jc w:val="center"/>
        <w:rPr>
          <w:rFonts w:cs="Times New Roman"/>
          <w:i/>
        </w:rPr>
      </w:pPr>
    </w:p>
    <w:p w14:paraId="43B26AEB" w14:textId="77777777" w:rsidR="00B506B0" w:rsidRDefault="00B506B0" w:rsidP="00B506B0">
      <w:pPr>
        <w:rPr>
          <w:rFonts w:cs="Times New Roman"/>
        </w:rPr>
      </w:pPr>
      <w:r>
        <w:rPr>
          <w:rFonts w:cs="Times New Roman"/>
        </w:rPr>
        <w:tab/>
      </w:r>
      <w:r>
        <w:rPr>
          <w:rFonts w:cs="Times New Roman"/>
        </w:rPr>
        <w:tab/>
      </w:r>
    </w:p>
    <w:p w14:paraId="2EBC8161" w14:textId="77777777" w:rsidR="00B506B0" w:rsidRDefault="00B506B0" w:rsidP="00B506B0">
      <w:pPr>
        <w:jc w:val="center"/>
        <w:rPr>
          <w:rFonts w:cs="Times New Roman"/>
          <w:i/>
          <w:smallCaps/>
          <w:sz w:val="20"/>
        </w:rPr>
      </w:pPr>
    </w:p>
    <w:p w14:paraId="10BC2F12" w14:textId="77777777" w:rsidR="00B506B0" w:rsidRDefault="00B506B0" w:rsidP="00B506B0">
      <w:pPr>
        <w:jc w:val="both"/>
      </w:pPr>
      <w:r>
        <w:lastRenderedPageBreak/>
        <w:tab/>
      </w:r>
    </w:p>
    <w:p w14:paraId="1E668E4C" w14:textId="77777777" w:rsidR="00B506B0" w:rsidRDefault="00B506B0" w:rsidP="00B506B0">
      <w:pPr>
        <w:jc w:val="both"/>
      </w:pPr>
      <w:r>
        <w:tab/>
      </w:r>
      <w:r>
        <w:tab/>
        <w:t xml:space="preserve">     </w:t>
      </w:r>
    </w:p>
    <w:p w14:paraId="5F6DBB65" w14:textId="77777777" w:rsidR="00B506B0" w:rsidRDefault="00B506B0" w:rsidP="00B506B0">
      <w:pPr>
        <w:jc w:val="both"/>
      </w:pPr>
      <w:r>
        <w:t xml:space="preserve"> </w:t>
      </w:r>
    </w:p>
    <w:p w14:paraId="099CA3C3" w14:textId="27BCEA64" w:rsidR="00B506B0" w:rsidRDefault="00B506B0" w:rsidP="001E1E8C">
      <w:pPr>
        <w:jc w:val="both"/>
      </w:pPr>
      <w:r>
        <w:tab/>
      </w:r>
    </w:p>
    <w:p w14:paraId="59432723" w14:textId="77777777" w:rsidR="00B506B0" w:rsidRDefault="00B506B0" w:rsidP="00B506B0">
      <w:pPr>
        <w:jc w:val="both"/>
      </w:pPr>
    </w:p>
    <w:p w14:paraId="00414582" w14:textId="77777777" w:rsidR="00B506B0" w:rsidRDefault="00B506B0" w:rsidP="00B506B0">
      <w:pPr>
        <w:jc w:val="both"/>
      </w:pPr>
      <w:r>
        <w:tab/>
        <w:t xml:space="preserve"> </w:t>
      </w:r>
    </w:p>
    <w:p w14:paraId="63142CE5" w14:textId="77777777" w:rsidR="00B506B0" w:rsidRDefault="00B506B0" w:rsidP="00B506B0">
      <w:pPr>
        <w:jc w:val="both"/>
      </w:pPr>
      <w:r>
        <w:tab/>
        <w:t xml:space="preserve"> </w:t>
      </w:r>
    </w:p>
    <w:p w14:paraId="180B2E87" w14:textId="77777777" w:rsidR="00B506B0" w:rsidRDefault="00B506B0" w:rsidP="00B506B0">
      <w:r>
        <w:tab/>
        <w:t xml:space="preserve"> </w:t>
      </w:r>
    </w:p>
    <w:p w14:paraId="0004B109" w14:textId="77777777" w:rsidR="00B506B0" w:rsidRDefault="00B506B0" w:rsidP="00B506B0">
      <w:pPr>
        <w:jc w:val="both"/>
      </w:pPr>
      <w:r>
        <w:tab/>
        <w:t xml:space="preserve"> </w:t>
      </w:r>
    </w:p>
    <w:p w14:paraId="4F085E64" w14:textId="77777777" w:rsidR="00B506B0" w:rsidRDefault="00B506B0" w:rsidP="00B506B0">
      <w:pPr>
        <w:jc w:val="both"/>
      </w:pPr>
    </w:p>
    <w:p w14:paraId="0F19FE0C" w14:textId="77777777" w:rsidR="00B506B0" w:rsidRDefault="00B506B0" w:rsidP="00B506B0">
      <w:pPr>
        <w:jc w:val="both"/>
      </w:pPr>
      <w:r>
        <w:t xml:space="preserve">  </w:t>
      </w:r>
    </w:p>
    <w:p w14:paraId="7333B9EB" w14:textId="77777777" w:rsidR="009F749D" w:rsidRDefault="009F749D"/>
    <w:sectPr w:rsidR="009F749D" w:rsidSect="009F749D">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D08A2" w14:textId="77777777" w:rsidR="00CA03A8" w:rsidRDefault="00CA03A8" w:rsidP="00B506B0">
      <w:r>
        <w:separator/>
      </w:r>
    </w:p>
  </w:endnote>
  <w:endnote w:type="continuationSeparator" w:id="0">
    <w:p w14:paraId="0FC1B80C" w14:textId="77777777" w:rsidR="00CA03A8" w:rsidRDefault="00CA03A8" w:rsidP="00B506B0">
      <w:r>
        <w:continuationSeparator/>
      </w:r>
    </w:p>
  </w:endnote>
  <w:endnote w:type="continuationNotice" w:id="1">
    <w:p w14:paraId="431134D8" w14:textId="77777777" w:rsidR="00CA03A8" w:rsidRDefault="00CA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Antiqua-Italic">
    <w:altName w:val="Book Antiqua"/>
    <w:panose1 w:val="00000000000000000000"/>
    <w:charset w:val="00"/>
    <w:family w:val="roman"/>
    <w:notTrueType/>
    <w:pitch w:val="default"/>
  </w:font>
  <w:font w:name="BookAntiqua">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568DD" w14:textId="77777777" w:rsidR="00CA03A8" w:rsidRDefault="00CA03A8" w:rsidP="00B506B0">
      <w:r>
        <w:separator/>
      </w:r>
    </w:p>
  </w:footnote>
  <w:footnote w:type="continuationSeparator" w:id="0">
    <w:p w14:paraId="7FE1FF16" w14:textId="77777777" w:rsidR="00CA03A8" w:rsidRDefault="00CA03A8" w:rsidP="00B506B0">
      <w:r>
        <w:continuationSeparator/>
      </w:r>
    </w:p>
  </w:footnote>
  <w:footnote w:type="continuationNotice" w:id="1">
    <w:p w14:paraId="5FD0ADC1" w14:textId="77777777" w:rsidR="00CA03A8" w:rsidRDefault="00CA03A8"/>
  </w:footnote>
  <w:footnote w:id="2">
    <w:p w14:paraId="61DDEE78" w14:textId="1B62575B" w:rsidR="006152E8" w:rsidRDefault="006152E8" w:rsidP="00804D34">
      <w:pPr>
        <w:pStyle w:val="Textpoznpodarou"/>
        <w:jc w:val="both"/>
      </w:pPr>
      <w:r>
        <w:tab/>
      </w:r>
      <w:r w:rsidRPr="00E76AFD">
        <w:rPr>
          <w:rStyle w:val="Znakapoznpodarou"/>
        </w:rPr>
        <w:sym w:font="Symbol" w:char="F02A"/>
      </w:r>
      <w:r>
        <w:t xml:space="preserve"> </w:t>
      </w:r>
      <w:r>
        <w:tab/>
        <w:t xml:space="preserve">University Professor, Syracuse University.  J.D. Yale Law School.  The author would like to thank Tod Aagaard, John Applegate, Adam Finkel, Elizabeth Fisher, members of the Center for Progressive Reform, and participants in the Vermont Law School Colloquium on Environmental Scholarship for helpful comments.  I would like to single out Frank Ackerman who provided enormous help on </w:t>
      </w:r>
      <w:r w:rsidR="00804D34">
        <w:t>a number of</w:t>
      </w:r>
      <w:r>
        <w:t xml:space="preserve"> issues.  But I take responsibility for any errors.   </w:t>
      </w:r>
    </w:p>
  </w:footnote>
  <w:footnote w:id="3">
    <w:p w14:paraId="72322F6E" w14:textId="5F57C058" w:rsidR="006152E8" w:rsidRDefault="006152E8" w:rsidP="00B506B0">
      <w:pPr>
        <w:pStyle w:val="Textpoznpodarou"/>
        <w:jc w:val="both"/>
      </w:pPr>
      <w:r>
        <w:tab/>
      </w:r>
      <w:r>
        <w:rPr>
          <w:rStyle w:val="Znakapoznpodarou"/>
        </w:rPr>
        <w:footnoteRef/>
      </w:r>
      <w:r>
        <w:tab/>
      </w:r>
      <w:r>
        <w:rPr>
          <w:i/>
        </w:rPr>
        <w:t xml:space="preserve">See, e.g., </w:t>
      </w:r>
      <w:r>
        <w:rPr>
          <w:rFonts w:cs="Times New Roman"/>
          <w:smallCaps/>
        </w:rPr>
        <w:t>Richard A. Posner, Catastrophe:  Risk and Response</w:t>
      </w:r>
      <w:r>
        <w:t xml:space="preserve"> 140 (2004) (portraying precaution as an unsatisfactory alternative to CBA).</w:t>
      </w:r>
    </w:p>
  </w:footnote>
  <w:footnote w:id="4">
    <w:p w14:paraId="0A527850" w14:textId="6699B618" w:rsidR="006152E8" w:rsidRDefault="006152E8" w:rsidP="00B506B0">
      <w:pPr>
        <w:pStyle w:val="Textpoznpodarou"/>
        <w:jc w:val="both"/>
      </w:pPr>
      <w:r>
        <w:rPr>
          <w:i/>
        </w:rPr>
        <w:tab/>
      </w:r>
      <w:r>
        <w:rPr>
          <w:rStyle w:val="Znakapoznpodarou"/>
        </w:rPr>
        <w:footnoteRef/>
      </w:r>
      <w:r>
        <w:rPr>
          <w:i/>
        </w:rPr>
        <w:tab/>
        <w:t xml:space="preserve">See, e.g., </w:t>
      </w:r>
      <w:r>
        <w:t xml:space="preserve">John S. Applegate, </w:t>
      </w:r>
      <w:r>
        <w:rPr>
          <w:i/>
        </w:rPr>
        <w:t xml:space="preserve">Embracing a Precautionary Approach to Climate Change, in </w:t>
      </w:r>
      <w:r>
        <w:rPr>
          <w:rFonts w:cs="Times New Roman"/>
          <w:smallCaps/>
        </w:rPr>
        <w:t>Economic Thought and U.S. Climate Change Policy 171, 186 (</w:t>
      </w:r>
      <w:r>
        <w:rPr>
          <w:rFonts w:cs="Times New Roman"/>
        </w:rPr>
        <w:t xml:space="preserve">David M. Driesen ed. 2010) [hereinafter </w:t>
      </w:r>
      <w:r>
        <w:rPr>
          <w:rFonts w:cs="Times New Roman"/>
          <w:smallCaps/>
        </w:rPr>
        <w:t>Economic Thought</w:t>
      </w:r>
      <w:r>
        <w:rPr>
          <w:rFonts w:cs="Times New Roman"/>
        </w:rPr>
        <w:t>] (characterizing the precautionary principle as avoiding the “need to resort to” questionable quantification).</w:t>
      </w:r>
      <w:r>
        <w:t xml:space="preserve"> </w:t>
      </w:r>
    </w:p>
  </w:footnote>
  <w:footnote w:id="5">
    <w:p w14:paraId="18DE5787" w14:textId="77777777" w:rsidR="006152E8" w:rsidRDefault="006152E8" w:rsidP="00B506B0">
      <w:pPr>
        <w:pStyle w:val="Textpoznpodarou"/>
        <w:tabs>
          <w:tab w:val="left" w:pos="360"/>
        </w:tabs>
        <w:jc w:val="both"/>
      </w:pPr>
      <w:r>
        <w:tab/>
      </w:r>
      <w:r>
        <w:rPr>
          <w:rStyle w:val="Znakapoznpodarou"/>
        </w:rPr>
        <w:footnoteRef/>
      </w:r>
      <w:r>
        <w:tab/>
      </w:r>
      <w:r>
        <w:rPr>
          <w:i/>
        </w:rPr>
        <w:t xml:space="preserve">See </w:t>
      </w:r>
      <w:r>
        <w:t xml:space="preserve">Stephen Charest, </w:t>
      </w:r>
      <w:r>
        <w:rPr>
          <w:i/>
        </w:rPr>
        <w:t xml:space="preserve">Bayesian Approaches to the Precautionary Principle, </w:t>
      </w:r>
      <w:r>
        <w:t xml:space="preserve">12 </w:t>
      </w:r>
      <w:r>
        <w:rPr>
          <w:smallCaps/>
        </w:rPr>
        <w:t>Duke Envtl. L. &amp; Pol’y For. 265, 266 (2002) (</w:t>
      </w:r>
      <w:r>
        <w:rPr>
          <w:rFonts w:cs="Times New Roman"/>
        </w:rPr>
        <w:t>stating that precaution’s opponents “view it as . . . unscientific</w:t>
      </w:r>
      <w:r>
        <w:t>” and radical).</w:t>
      </w:r>
    </w:p>
  </w:footnote>
  <w:footnote w:id="6">
    <w:p w14:paraId="24D08DF1" w14:textId="7E856A96" w:rsidR="006152E8" w:rsidRDefault="006152E8" w:rsidP="00B506B0">
      <w:pPr>
        <w:pStyle w:val="Textpoznpodarou"/>
        <w:jc w:val="both"/>
        <w:rPr>
          <w:rFonts w:cs="Times New Roman"/>
          <w:smallCaps/>
        </w:rPr>
      </w:pPr>
      <w:r>
        <w:rPr>
          <w:i/>
        </w:rPr>
        <w:tab/>
      </w:r>
      <w:r>
        <w:rPr>
          <w:rStyle w:val="Znakapoznpodarou"/>
        </w:rPr>
        <w:footnoteRef/>
      </w:r>
      <w:r>
        <w:rPr>
          <w:i/>
        </w:rPr>
        <w:tab/>
        <w:t xml:space="preserve">See, e.g., </w:t>
      </w:r>
      <w:r>
        <w:t xml:space="preserve">Christopher D. Stone, </w:t>
      </w:r>
      <w:r>
        <w:rPr>
          <w:i/>
        </w:rPr>
        <w:t xml:space="preserve">Is There a Precautionary Principle?, </w:t>
      </w:r>
      <w:r>
        <w:t xml:space="preserve">31 </w:t>
      </w:r>
      <w:r>
        <w:rPr>
          <w:rFonts w:cs="Times New Roman"/>
          <w:smallCaps/>
        </w:rPr>
        <w:t>Envtl. L. Rep. (</w:t>
      </w:r>
      <w:r>
        <w:rPr>
          <w:rFonts w:cs="Times New Roman"/>
        </w:rPr>
        <w:t xml:space="preserve">Envtl. L. Inst.) </w:t>
      </w:r>
      <w:r>
        <w:rPr>
          <w:rFonts w:cs="Times New Roman"/>
          <w:smallCaps/>
        </w:rPr>
        <w:t xml:space="preserve">10790, 10790 (2001) </w:t>
      </w:r>
      <w:r>
        <w:rPr>
          <w:rFonts w:cs="Times New Roman"/>
        </w:rPr>
        <w:t>(highlighting a version of the principle as a directive not to do anything)</w:t>
      </w:r>
      <w:r>
        <w:rPr>
          <w:rFonts w:cs="Times New Roman"/>
          <w:smallCaps/>
        </w:rPr>
        <w:t>.</w:t>
      </w:r>
    </w:p>
  </w:footnote>
  <w:footnote w:id="7">
    <w:p w14:paraId="6FE21D5B" w14:textId="77777777" w:rsidR="006152E8" w:rsidRDefault="006152E8" w:rsidP="00B506B0">
      <w:pPr>
        <w:pStyle w:val="Textpoznpodarou"/>
        <w:jc w:val="both"/>
      </w:pPr>
      <w:r>
        <w:tab/>
      </w:r>
      <w:r>
        <w:rPr>
          <w:rStyle w:val="Znakapoznpodarou"/>
        </w:rPr>
        <w:footnoteRef/>
      </w:r>
      <w:r>
        <w:tab/>
      </w:r>
      <w:r>
        <w:rPr>
          <w:i/>
        </w:rPr>
        <w:t xml:space="preserve">See </w:t>
      </w:r>
      <w:r>
        <w:t>Frank B. Cross,</w:t>
      </w:r>
      <w:r>
        <w:rPr>
          <w:i/>
        </w:rPr>
        <w:t xml:space="preserve"> Paradoxical Perils of the Precautionary Principle, </w:t>
      </w:r>
      <w:r>
        <w:t xml:space="preserve">53 </w:t>
      </w:r>
      <w:r>
        <w:rPr>
          <w:rFonts w:cs="Times New Roman"/>
          <w:smallCaps/>
        </w:rPr>
        <w:t>Wash. &amp; Lee L. Rev. 851, 859 (1996) (</w:t>
      </w:r>
      <w:r>
        <w:rPr>
          <w:rFonts w:cs="Times New Roman"/>
        </w:rPr>
        <w:t>stating that critics of precaution charge its advocates with ignoring jobs and wealth).</w:t>
      </w:r>
      <w:r>
        <w:rPr>
          <w:rFonts w:cs="Times New Roman"/>
          <w:smallCaps/>
        </w:rPr>
        <w:t xml:space="preserve"> </w:t>
      </w:r>
      <w:r>
        <w:t xml:space="preserve"> </w:t>
      </w:r>
    </w:p>
  </w:footnote>
  <w:footnote w:id="8">
    <w:p w14:paraId="508D1ED9" w14:textId="149DB4F7" w:rsidR="006152E8" w:rsidRDefault="006152E8" w:rsidP="00B506B0">
      <w:pPr>
        <w:pStyle w:val="Textpoznpodarou"/>
        <w:jc w:val="both"/>
      </w:pPr>
      <w:r>
        <w:tab/>
      </w:r>
      <w:r>
        <w:rPr>
          <w:rStyle w:val="Znakapoznpodarou"/>
        </w:rPr>
        <w:footnoteRef/>
      </w:r>
      <w:r>
        <w:tab/>
        <w:t xml:space="preserve">Rena Steinzor, </w:t>
      </w:r>
      <w:r>
        <w:rPr>
          <w:i/>
        </w:rPr>
        <w:t xml:space="preserve">The Case for Abolishing Centralized White House Regulatory Review, </w:t>
      </w:r>
      <w:r>
        <w:t xml:space="preserve">1 </w:t>
      </w:r>
      <w:r>
        <w:rPr>
          <w:smallCaps/>
        </w:rPr>
        <w:t>Mich. J. Envt’l &amp; Admin. L. 209, 254-56 (2012) (</w:t>
      </w:r>
      <w:r>
        <w:rPr>
          <w:rFonts w:cs="Times New Roman"/>
        </w:rPr>
        <w:t>discussing the Sunstein appointment and the continuation of the Clinton and Bush era executive orders demanding CBA</w:t>
      </w:r>
      <w:r>
        <w:t xml:space="preserve">).  </w:t>
      </w:r>
    </w:p>
  </w:footnote>
  <w:footnote w:id="9">
    <w:p w14:paraId="50E54F29" w14:textId="32186DFC" w:rsidR="006152E8" w:rsidRDefault="006152E8" w:rsidP="00C237DA">
      <w:pPr>
        <w:pStyle w:val="Textpoznpodarou"/>
        <w:jc w:val="both"/>
        <w:rPr>
          <w:szCs w:val="20"/>
        </w:rPr>
      </w:pPr>
      <w:r>
        <w:tab/>
      </w:r>
      <w:r>
        <w:rPr>
          <w:rStyle w:val="Znakapoznpodarou"/>
        </w:rPr>
        <w:footnoteRef/>
      </w:r>
      <w:r>
        <w:tab/>
      </w:r>
      <w:r>
        <w:rPr>
          <w:i/>
        </w:rPr>
        <w:t xml:space="preserve">See generally </w:t>
      </w:r>
      <w:r>
        <w:t xml:space="preserve">Lisa Heinzerling, </w:t>
      </w:r>
      <w:r>
        <w:rPr>
          <w:i/>
        </w:rPr>
        <w:t xml:space="preserve">Climate Change at the EPA, </w:t>
      </w:r>
      <w:r>
        <w:t xml:space="preserve">64 </w:t>
      </w:r>
      <w:r>
        <w:rPr>
          <w:smallCaps/>
        </w:rPr>
        <w:t>Fla. L. Rev. 1 (2012).</w:t>
      </w:r>
      <w:r>
        <w:t xml:space="preserve">  I use the term “climate disruption” instead of the more conventional terms “climate change” or “global warming”, because it better captures the phenomenon’s core.  The term climate change is quite accurate, but empty, saying nothing about the change’s nature.  The term “global warming” conveys scientists’ expectation of an increase in average mean surface temperature, but conveys nothing about the consequences of such warming.  </w:t>
      </w:r>
      <w:r>
        <w:rPr>
          <w:i/>
        </w:rPr>
        <w:t>See</w:t>
      </w:r>
      <w:r>
        <w:t xml:space="preserve"> </w:t>
      </w:r>
      <w:r>
        <w:rPr>
          <w:smallCaps/>
          <w:szCs w:val="20"/>
        </w:rPr>
        <w:t>David M. Driesen, Robert W. Adler, &amp; Kirsten H. Engel, Environmental Law:  A Conceptual and Pragmatic Approach</w:t>
      </w:r>
      <w:r>
        <w:t xml:space="preserve"> 25 (2011) (</w:t>
      </w:r>
      <w:r>
        <w:rPr>
          <w:szCs w:val="20"/>
        </w:rPr>
        <w:t>noting that science advisor John P. Holdren finds the term global warming misleading because it implies “something gradual, uniform, and benign”).</w:t>
      </w:r>
    </w:p>
  </w:footnote>
  <w:footnote w:id="10">
    <w:p w14:paraId="081ABA0E" w14:textId="6D251BDD" w:rsidR="006152E8" w:rsidRDefault="006152E8" w:rsidP="00B506B0">
      <w:pPr>
        <w:pStyle w:val="Textpoznpodarou"/>
        <w:jc w:val="both"/>
      </w:pPr>
      <w:r>
        <w:tab/>
      </w:r>
      <w:r>
        <w:rPr>
          <w:rStyle w:val="Znakapoznpodarou"/>
        </w:rPr>
        <w:footnoteRef/>
      </w:r>
      <w:r>
        <w:tab/>
        <w:t>Interagency Working Group on Social Cost of Carbon (IWG), Technical Support Document:  Social Cost of Carbon for Regulatory Impact Analysis under Executive Order 12866 2 (2010), http://www.epa.gov/oms/climate/regulations/scc-tsd.pdf (explaining that the IWG convened to estimate carbon’s social cost under E.O. 12866).</w:t>
      </w:r>
    </w:p>
  </w:footnote>
  <w:footnote w:id="11">
    <w:p w14:paraId="04605C9E" w14:textId="77777777" w:rsidR="006152E8" w:rsidRDefault="006152E8" w:rsidP="00B506B0">
      <w:pPr>
        <w:pStyle w:val="Textpoznpodarou"/>
      </w:pPr>
      <w:r>
        <w:tab/>
      </w:r>
      <w:r>
        <w:rPr>
          <w:rStyle w:val="Znakapoznpodarou"/>
        </w:rPr>
        <w:footnoteRef/>
      </w:r>
      <w:r>
        <w:tab/>
      </w:r>
      <w:r>
        <w:rPr>
          <w:i/>
        </w:rPr>
        <w:t xml:space="preserve">See </w:t>
      </w:r>
      <w:r>
        <w:t xml:space="preserve">id. 1 (presenting $21.4 as the central estimate in 2010). </w:t>
      </w:r>
    </w:p>
  </w:footnote>
  <w:footnote w:id="12">
    <w:p w14:paraId="7FCDCF58" w14:textId="43ACCC43" w:rsidR="006152E8" w:rsidRDefault="006152E8" w:rsidP="00B506B0">
      <w:pPr>
        <w:pStyle w:val="Textpoznpodarou"/>
        <w:jc w:val="both"/>
        <w:rPr>
          <w:szCs w:val="20"/>
        </w:rPr>
      </w:pPr>
      <w:r>
        <w:tab/>
      </w:r>
      <w:r>
        <w:rPr>
          <w:rStyle w:val="Znakapoznpodarou"/>
        </w:rPr>
        <w:footnoteRef/>
      </w:r>
      <w:r>
        <w:t xml:space="preserve"> </w:t>
      </w:r>
      <w:r>
        <w:tab/>
      </w:r>
      <w:r>
        <w:rPr>
          <w:i/>
        </w:rPr>
        <w:t>See</w:t>
      </w:r>
      <w:r>
        <w:t xml:space="preserve"> Frank Ackerman, </w:t>
      </w:r>
      <w:r>
        <w:rPr>
          <w:i/>
        </w:rPr>
        <w:t>Cost-Benefit Analysis of Climate Change:  Where it Goes Wrong, in</w:t>
      </w:r>
      <w:r>
        <w:t xml:space="preserve"> </w:t>
      </w:r>
      <w:r>
        <w:rPr>
          <w:smallCaps/>
        </w:rPr>
        <w:t xml:space="preserve">Economic Thought, </w:t>
      </w:r>
      <w:r>
        <w:rPr>
          <w:i/>
          <w:szCs w:val="20"/>
        </w:rPr>
        <w:t>supra</w:t>
      </w:r>
      <w:r>
        <w:rPr>
          <w:szCs w:val="20"/>
        </w:rPr>
        <w:t xml:space="preserve"> note </w:t>
      </w:r>
      <w:r>
        <w:rPr>
          <w:szCs w:val="20"/>
        </w:rPr>
        <w:fldChar w:fldCharType="begin"/>
      </w:r>
      <w:r>
        <w:rPr>
          <w:szCs w:val="20"/>
        </w:rPr>
        <w:instrText xml:space="preserve"> NOTEREF _Ref319657139 \h </w:instrText>
      </w:r>
      <w:r>
        <w:rPr>
          <w:szCs w:val="20"/>
        </w:rPr>
      </w:r>
      <w:r>
        <w:rPr>
          <w:szCs w:val="20"/>
        </w:rPr>
        <w:fldChar w:fldCharType="separate"/>
      </w:r>
      <w:r>
        <w:rPr>
          <w:szCs w:val="20"/>
        </w:rPr>
        <w:t>2</w:t>
      </w:r>
      <w:r>
        <w:rPr>
          <w:szCs w:val="20"/>
        </w:rPr>
        <w:fldChar w:fldCharType="end"/>
      </w:r>
      <w:r>
        <w:rPr>
          <w:szCs w:val="20"/>
        </w:rPr>
        <w:t xml:space="preserve">, at 61-62 (contrasting the Stern Report’s finding that the costs of inaction greatly exceeded the costs of  “dramatic” greenhouse reductions, with analyses concluding that compliance with the Kyoto Protocol would generate costs exceeding benefits). </w:t>
      </w:r>
    </w:p>
  </w:footnote>
  <w:footnote w:id="13">
    <w:p w14:paraId="15985AC8" w14:textId="0B4D5473" w:rsidR="006152E8" w:rsidRDefault="006152E8" w:rsidP="00B506B0">
      <w:pPr>
        <w:pStyle w:val="Textpoznpodarou"/>
      </w:pPr>
      <w:r>
        <w:tab/>
      </w:r>
      <w:r>
        <w:rPr>
          <w:rStyle w:val="Znakapoznpodarou"/>
        </w:rPr>
        <w:footnoteRef/>
      </w:r>
      <w:r>
        <w:tab/>
      </w:r>
      <w:r>
        <w:rPr>
          <w:i/>
        </w:rPr>
        <w:t>See</w:t>
      </w:r>
      <w:r>
        <w:t xml:space="preserve"> Baptiste Perrissin Fabert, Patrice Dumas, &amp; Jean-Charles Hourcade, </w:t>
      </w:r>
      <w:r>
        <w:rPr>
          <w:i/>
        </w:rPr>
        <w:t xml:space="preserve">What Social Cost of Carbon?  A Mapping of the Current Debate </w:t>
      </w:r>
      <w:r>
        <w:t>7-8, 11-14</w:t>
      </w:r>
      <w:r>
        <w:rPr>
          <w:i/>
        </w:rPr>
        <w:t xml:space="preserve"> </w:t>
      </w:r>
      <w:r>
        <w:t xml:space="preserve">(2012) (discussing how various “world views” shape the social cost of carbon estimates); </w:t>
      </w:r>
      <w:r>
        <w:rPr>
          <w:i/>
        </w:rPr>
        <w:t xml:space="preserve">see generally </w:t>
      </w:r>
      <w:r>
        <w:t xml:space="preserve">Cass R. Sunstein, </w:t>
      </w:r>
      <w:r>
        <w:rPr>
          <w:i/>
        </w:rPr>
        <w:t xml:space="preserve">Legislative Foreword, Congress, Constitutional Moments, and the Cost-Benefit State, </w:t>
      </w:r>
      <w:r>
        <w:t xml:space="preserve">48 </w:t>
      </w:r>
      <w:r>
        <w:rPr>
          <w:rFonts w:cs="Times New Roman"/>
          <w:smallCaps/>
        </w:rPr>
        <w:t>Stan. L. Rev. 247, 290 (1996) (</w:t>
      </w:r>
      <w:r>
        <w:rPr>
          <w:rFonts w:cs="Times New Roman"/>
        </w:rPr>
        <w:t>characterizing CBA as “very close to empty” since “everything depends” on how valuation is carried out).</w:t>
      </w:r>
    </w:p>
  </w:footnote>
  <w:footnote w:id="14">
    <w:p w14:paraId="10DF6F38" w14:textId="5D72724B" w:rsidR="006152E8" w:rsidRDefault="006152E8" w:rsidP="00B506B0">
      <w:pPr>
        <w:pStyle w:val="Textpoznpodarou"/>
        <w:jc w:val="both"/>
      </w:pPr>
      <w:r>
        <w:tab/>
      </w:r>
      <w:r>
        <w:rPr>
          <w:rStyle w:val="Znakapoznpodarou"/>
        </w:rPr>
        <w:footnoteRef/>
      </w:r>
      <w:r>
        <w:tab/>
      </w:r>
      <w:r>
        <w:rPr>
          <w:i/>
        </w:rPr>
        <w:t>See</w:t>
      </w:r>
      <w:r>
        <w:t xml:space="preserve"> Ackerman, </w:t>
      </w:r>
      <w:r>
        <w:rPr>
          <w:i/>
        </w:rPr>
        <w:t>supra</w:t>
      </w:r>
      <w:r>
        <w:t xml:space="preserve"> note </w:t>
      </w:r>
      <w:r>
        <w:fldChar w:fldCharType="begin"/>
      </w:r>
      <w:r>
        <w:instrText xml:space="preserve"> NOTEREF _Ref334598364 \h </w:instrText>
      </w:r>
      <w:r>
        <w:fldChar w:fldCharType="separate"/>
      </w:r>
      <w:r>
        <w:t>10</w:t>
      </w:r>
      <w:r>
        <w:fldChar w:fldCharType="end"/>
      </w:r>
      <w:r>
        <w:t xml:space="preserve">, at 62-74 (discussing key assumptions in climate disruption damage estimates); Thomas O, McGarity, </w:t>
      </w:r>
      <w:r>
        <w:rPr>
          <w:i/>
        </w:rPr>
        <w:t xml:space="preserve">The Cost of Greenhouse Gas Reduction, in </w:t>
      </w:r>
      <w:r>
        <w:rPr>
          <w:smallCaps/>
        </w:rPr>
        <w:t xml:space="preserve">Economic Thought, </w:t>
      </w:r>
      <w:r w:rsidRPr="00C07A23">
        <w:rPr>
          <w:rFonts w:cs="Times New Roman"/>
          <w:i/>
        </w:rPr>
        <w:t>supra</w:t>
      </w:r>
      <w:r w:rsidRPr="00C07A23">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_Ref319657139 \h </w:instrText>
      </w:r>
      <w:r>
        <w:rPr>
          <w:rFonts w:cs="Times New Roman"/>
        </w:rPr>
      </w:r>
      <w:r>
        <w:rPr>
          <w:rFonts w:cs="Times New Roman"/>
        </w:rPr>
        <w:fldChar w:fldCharType="separate"/>
      </w:r>
      <w:r>
        <w:rPr>
          <w:rFonts w:cs="Times New Roman"/>
        </w:rPr>
        <w:t>2</w:t>
      </w:r>
      <w:r>
        <w:rPr>
          <w:rFonts w:cs="Times New Roman"/>
        </w:rPr>
        <w:fldChar w:fldCharType="end"/>
      </w:r>
      <w:r>
        <w:rPr>
          <w:rFonts w:cs="Times New Roman"/>
        </w:rPr>
        <w:t xml:space="preserve">, at </w:t>
      </w:r>
      <w:r w:rsidRPr="001C7668">
        <w:t>213</w:t>
      </w:r>
      <w:r>
        <w:rPr>
          <w:smallCaps/>
        </w:rPr>
        <w:t>, 215 (</w:t>
      </w:r>
      <w:r>
        <w:t>finding that estimates of U.S. Kyoto Protocol compliance cost varied from a 3% GDP loss to a 2% GDP gain).</w:t>
      </w:r>
    </w:p>
  </w:footnote>
  <w:footnote w:id="15">
    <w:p w14:paraId="66BA7289" w14:textId="77777777" w:rsidR="006152E8" w:rsidRDefault="006152E8" w:rsidP="00B506B0">
      <w:pPr>
        <w:pStyle w:val="Textpoznpodarou"/>
        <w:jc w:val="both"/>
      </w:pPr>
      <w:r>
        <w:tab/>
      </w:r>
      <w:r>
        <w:rPr>
          <w:rStyle w:val="Znakapoznpodarou"/>
        </w:rPr>
        <w:footnoteRef/>
      </w:r>
      <w:r>
        <w:tab/>
      </w:r>
      <w:r>
        <w:rPr>
          <w:i/>
        </w:rPr>
        <w:t xml:space="preserve">Cf. </w:t>
      </w:r>
      <w:r>
        <w:t xml:space="preserve">Stone, </w:t>
      </w:r>
      <w:r>
        <w:rPr>
          <w:i/>
        </w:rPr>
        <w:t>supra</w:t>
      </w:r>
      <w:r>
        <w:t xml:space="preserve"> note </w:t>
      </w:r>
      <w:r>
        <w:fldChar w:fldCharType="begin"/>
      </w:r>
      <w:r>
        <w:instrText xml:space="preserve"> NOTEREF _Ref319933114 \h </w:instrText>
      </w:r>
      <w:r>
        <w:fldChar w:fldCharType="separate"/>
      </w:r>
      <w:r>
        <w:t>4</w:t>
      </w:r>
      <w:r>
        <w:fldChar w:fldCharType="end"/>
      </w:r>
      <w:r>
        <w:t xml:space="preserve">, at 10791 (faulting the precautionary principle literature for not connecting much with the literature on uncertainty, CBA, and risk management). </w:t>
      </w:r>
    </w:p>
  </w:footnote>
  <w:footnote w:id="16">
    <w:p w14:paraId="19C8DEA5" w14:textId="20563382" w:rsidR="006152E8" w:rsidRDefault="006152E8" w:rsidP="00B506B0">
      <w:pPr>
        <w:pStyle w:val="Textpoznpodarou"/>
        <w:jc w:val="both"/>
      </w:pPr>
      <w:r>
        <w:tab/>
      </w:r>
      <w:r>
        <w:rPr>
          <w:rStyle w:val="Znakapoznpodarou"/>
        </w:rPr>
        <w:footnoteRef/>
      </w:r>
      <w:r>
        <w:t xml:space="preserve"> </w:t>
      </w:r>
      <w:r>
        <w:tab/>
      </w:r>
      <w:r>
        <w:rPr>
          <w:i/>
        </w:rPr>
        <w:t>See</w:t>
      </w:r>
      <w:r>
        <w:t xml:space="preserve"> Douglas A. Kysar, </w:t>
      </w:r>
      <w:r>
        <w:rPr>
          <w:i/>
        </w:rPr>
        <w:t xml:space="preserve">Climate Change, Cultural Transformation, and Comprehensive Rationality, </w:t>
      </w:r>
      <w:r>
        <w:t xml:space="preserve">31 </w:t>
      </w:r>
      <w:r>
        <w:rPr>
          <w:rFonts w:cs="Times New Roman"/>
          <w:smallCaps/>
        </w:rPr>
        <w:t xml:space="preserve">B.C. Envtl. Aff. L. Rev. 555, 570 (2004) </w:t>
      </w:r>
      <w:r>
        <w:t xml:space="preserve"> (noting that CBA seeks to allow policymakers “to determine optimal policy” by running “a spreadsheet”).</w:t>
      </w:r>
    </w:p>
  </w:footnote>
  <w:footnote w:id="17">
    <w:p w14:paraId="4A12107F" w14:textId="42031190" w:rsidR="006152E8" w:rsidRDefault="006152E8" w:rsidP="00B506B0">
      <w:pPr>
        <w:pStyle w:val="Textpoznpodarou"/>
        <w:jc w:val="both"/>
      </w:pPr>
      <w:r>
        <w:tab/>
      </w:r>
      <w:r>
        <w:rPr>
          <w:rStyle w:val="Znakapoznpodarou"/>
        </w:rPr>
        <w:footnoteRef/>
      </w:r>
      <w:r>
        <w:tab/>
      </w:r>
      <w:r>
        <w:rPr>
          <w:i/>
        </w:rPr>
        <w:t xml:space="preserve">See, e.g., </w:t>
      </w:r>
      <w:r>
        <w:t xml:space="preserve">Jonathan Masur &amp; Eric Posner, </w:t>
      </w:r>
      <w:r>
        <w:rPr>
          <w:i/>
        </w:rPr>
        <w:t xml:space="preserve">Climate Change and the Limits of Cost-Benefit Analysis, </w:t>
      </w:r>
      <w:r>
        <w:t xml:space="preserve">99 </w:t>
      </w:r>
      <w:r>
        <w:rPr>
          <w:smallCaps/>
        </w:rPr>
        <w:t>Cal. L. Rev. 1557, 1577 (2011) (</w:t>
      </w:r>
      <w:r>
        <w:rPr>
          <w:rFonts w:cs="Times New Roman"/>
        </w:rPr>
        <w:t>characterizing the IWG’s product as suffering “from a variety of problems that render its conclusions unconvincing”</w:t>
      </w:r>
      <w:r>
        <w:rPr>
          <w:smallCaps/>
        </w:rPr>
        <w:t>); W</w:t>
      </w:r>
      <w:r>
        <w:rPr>
          <w:rFonts w:cs="Times New Roman"/>
        </w:rPr>
        <w:t xml:space="preserve">illiam Nordhaus, </w:t>
      </w:r>
      <w:r>
        <w:rPr>
          <w:rFonts w:cs="Times New Roman"/>
          <w:i/>
        </w:rPr>
        <w:t xml:space="preserve">Estimates of the Social Cost of Carbon:  Background and Results from the RICE-2011 Model, </w:t>
      </w:r>
      <w:r>
        <w:rPr>
          <w:rFonts w:cs="Times New Roman"/>
        </w:rPr>
        <w:t>Cowles Foundation Discussion Paper No. 1826, 24 (2011), http://nordhaus.econ.yale.edu/documents/CFDP1826.pdf (criticizing the IWC’s work for “ad hoc” adjustment of underlying models and assumptions based on “a hodge-podge of scenarios”).</w:t>
      </w:r>
    </w:p>
  </w:footnote>
  <w:footnote w:id="18">
    <w:p w14:paraId="320FA696" w14:textId="7311535C" w:rsidR="006152E8" w:rsidRDefault="006152E8" w:rsidP="00B506B0">
      <w:pPr>
        <w:pStyle w:val="Textpoznpodarou"/>
        <w:jc w:val="both"/>
      </w:pPr>
      <w:r>
        <w:tab/>
      </w:r>
      <w:r>
        <w:rPr>
          <w:rStyle w:val="Znakapoznpodarou"/>
        </w:rPr>
        <w:footnoteRef/>
      </w:r>
      <w:r>
        <w:tab/>
      </w:r>
      <w:r>
        <w:rPr>
          <w:i/>
        </w:rPr>
        <w:t>See</w:t>
      </w:r>
      <w:r>
        <w:t xml:space="preserve"> EPA, Draft Regulatory Impact Analysis:  Proposed Rulemaking for 2017-2025 Light-Duty Vehicle Greenhouse Gas Emission Standards and Corporate Average Fuel Economy Standards 7-4 (2011) [hereinafter CAFE II RIA] (noting the IWC’s acknowledgment of weaknesses in its work and its intention to update its estimate).</w:t>
      </w:r>
    </w:p>
  </w:footnote>
  <w:footnote w:id="19">
    <w:p w14:paraId="1D76A927" w14:textId="76737FB5" w:rsidR="006152E8" w:rsidRPr="005717D6" w:rsidRDefault="006152E8" w:rsidP="005717D6">
      <w:pPr>
        <w:pStyle w:val="Seznam"/>
        <w:ind w:left="0" w:firstLine="0"/>
        <w:jc w:val="both"/>
        <w:rPr>
          <w:sz w:val="22"/>
          <w:szCs w:val="22"/>
        </w:rPr>
      </w:pPr>
      <w:r>
        <w:tab/>
      </w:r>
      <w:r>
        <w:rPr>
          <w:rStyle w:val="Znakapoznpodarou"/>
        </w:rPr>
        <w:footnoteRef/>
      </w:r>
      <w:r>
        <w:tab/>
      </w:r>
      <w:r w:rsidRPr="001C7668">
        <w:rPr>
          <w:i/>
          <w:sz w:val="20"/>
        </w:rPr>
        <w:t>See, e.g.,</w:t>
      </w:r>
      <w:r w:rsidRPr="001C7668">
        <w:rPr>
          <w:smallCaps/>
          <w:sz w:val="20"/>
        </w:rPr>
        <w:t xml:space="preserve"> </w:t>
      </w:r>
      <w:r w:rsidRPr="001C7668">
        <w:rPr>
          <w:sz w:val="20"/>
        </w:rPr>
        <w:t xml:space="preserve">David M. Driesen, </w:t>
      </w:r>
      <w:r w:rsidRPr="001C7668">
        <w:rPr>
          <w:i/>
          <w:sz w:val="20"/>
        </w:rPr>
        <w:t xml:space="preserve">Is Cost-Benefit Analysis Neutral?, </w:t>
      </w:r>
      <w:r w:rsidRPr="001C7668">
        <w:rPr>
          <w:sz w:val="20"/>
        </w:rPr>
        <w:t xml:space="preserve">77 </w:t>
      </w:r>
      <w:r w:rsidRPr="001C7668">
        <w:rPr>
          <w:smallCaps/>
          <w:sz w:val="20"/>
        </w:rPr>
        <w:t xml:space="preserve">U. Colo. L. Rev. 335 (2006) </w:t>
      </w:r>
      <w:r>
        <w:rPr>
          <w:smallCaps/>
          <w:sz w:val="20"/>
        </w:rPr>
        <w:t>[</w:t>
      </w:r>
      <w:r>
        <w:rPr>
          <w:sz w:val="20"/>
        </w:rPr>
        <w:t xml:space="preserve">hereinafter Driesen, </w:t>
      </w:r>
      <w:r>
        <w:rPr>
          <w:i/>
          <w:sz w:val="20"/>
        </w:rPr>
        <w:t>Neutral</w:t>
      </w:r>
      <w:r>
        <w:rPr>
          <w:sz w:val="20"/>
        </w:rPr>
        <w:t xml:space="preserve">] </w:t>
      </w:r>
      <w:r w:rsidRPr="001C7668">
        <w:rPr>
          <w:smallCaps/>
          <w:sz w:val="20"/>
        </w:rPr>
        <w:t>(</w:t>
      </w:r>
      <w:r w:rsidRPr="001C7668">
        <w:rPr>
          <w:sz w:val="20"/>
        </w:rPr>
        <w:t xml:space="preserve">questioning </w:t>
      </w:r>
      <w:r w:rsidRPr="00C07A23">
        <w:rPr>
          <w:sz w:val="20"/>
        </w:rPr>
        <w:t>CBA’s</w:t>
      </w:r>
      <w:r w:rsidRPr="001C7668">
        <w:rPr>
          <w:sz w:val="20"/>
        </w:rPr>
        <w:t xml:space="preserve"> neutrality)</w:t>
      </w:r>
      <w:r w:rsidRPr="001C7668">
        <w:rPr>
          <w:smallCaps/>
          <w:sz w:val="20"/>
        </w:rPr>
        <w:t xml:space="preserve">; Frank Ackerman &amp; Lisa Heinzerling, Priceless:  On Knowing the Price of Everything and the Value of Nothing (2004) </w:t>
      </w:r>
      <w:r w:rsidRPr="001C7668">
        <w:rPr>
          <w:sz w:val="20"/>
        </w:rPr>
        <w:t>(arguing that some things are “priceless” and analysts’ attempts to assign dollar values to everything are methodologically flawed)</w:t>
      </w:r>
      <w:r w:rsidRPr="001C7668">
        <w:rPr>
          <w:smallCaps/>
          <w:sz w:val="20"/>
        </w:rPr>
        <w:t xml:space="preserve">; </w:t>
      </w:r>
      <w:r w:rsidRPr="00C07A23">
        <w:rPr>
          <w:sz w:val="20"/>
        </w:rPr>
        <w:t>David M. Driesen</w:t>
      </w:r>
      <w:r>
        <w:rPr>
          <w:sz w:val="20"/>
        </w:rPr>
        <w:t xml:space="preserve">, </w:t>
      </w:r>
      <w:r w:rsidRPr="00C07A23">
        <w:rPr>
          <w:i/>
          <w:sz w:val="20"/>
          <w:szCs w:val="22"/>
        </w:rPr>
        <w:t>Getting Our Priorities Straight:  One Strand of the Regulatory Reform Debate</w:t>
      </w:r>
      <w:r w:rsidRPr="00C07A23">
        <w:rPr>
          <w:sz w:val="20"/>
          <w:szCs w:val="22"/>
        </w:rPr>
        <w:t xml:space="preserve">, 31 </w:t>
      </w:r>
      <w:r w:rsidRPr="00C07A23">
        <w:rPr>
          <w:smallCaps/>
          <w:sz w:val="20"/>
          <w:szCs w:val="22"/>
        </w:rPr>
        <w:t>Envt’l L. Rep.  (</w:t>
      </w:r>
      <w:r w:rsidRPr="00C07A23">
        <w:rPr>
          <w:sz w:val="20"/>
          <w:szCs w:val="22"/>
        </w:rPr>
        <w:t>Envt’</w:t>
      </w:r>
      <w:r>
        <w:rPr>
          <w:sz w:val="20"/>
          <w:szCs w:val="22"/>
        </w:rPr>
        <w:t xml:space="preserve">l L. Inst.) 10003 (2001) [hereinafter Driesen, </w:t>
      </w:r>
      <w:r>
        <w:rPr>
          <w:i/>
          <w:sz w:val="20"/>
          <w:szCs w:val="22"/>
        </w:rPr>
        <w:t>Priorities</w:t>
      </w:r>
      <w:r>
        <w:rPr>
          <w:sz w:val="20"/>
          <w:szCs w:val="22"/>
        </w:rPr>
        <w:t xml:space="preserve">] (questioning the notion that CBA aids priority setting); </w:t>
      </w:r>
      <w:r w:rsidRPr="005717D6">
        <w:rPr>
          <w:sz w:val="20"/>
        </w:rPr>
        <w:t xml:space="preserve">David M. Driesen, </w:t>
      </w:r>
      <w:r w:rsidRPr="005717D6">
        <w:rPr>
          <w:i/>
          <w:sz w:val="20"/>
        </w:rPr>
        <w:t>The Societal Cost of Environmental Regulation: Beyond Administrative Cost-Benefit Analysis</w:t>
      </w:r>
      <w:r w:rsidRPr="005717D6">
        <w:rPr>
          <w:sz w:val="20"/>
        </w:rPr>
        <w:t xml:space="preserve">, 24 </w:t>
      </w:r>
      <w:r w:rsidRPr="005717D6">
        <w:rPr>
          <w:smallCaps/>
          <w:sz w:val="20"/>
        </w:rPr>
        <w:t>Ecology L. Q</w:t>
      </w:r>
      <w:r w:rsidRPr="005717D6">
        <w:rPr>
          <w:sz w:val="20"/>
        </w:rPr>
        <w:t xml:space="preserve">. 545 (1997) (arguing that CBA does not adequately address key societal concerns about regulation’s costs); Cross, </w:t>
      </w:r>
      <w:r w:rsidRPr="005717D6">
        <w:rPr>
          <w:i/>
          <w:sz w:val="20"/>
        </w:rPr>
        <w:t>supra</w:t>
      </w:r>
      <w:r w:rsidRPr="005717D6">
        <w:rPr>
          <w:sz w:val="20"/>
        </w:rPr>
        <w:t xml:space="preserve"> note </w:t>
      </w:r>
      <w:r w:rsidRPr="005717D6">
        <w:rPr>
          <w:sz w:val="20"/>
        </w:rPr>
        <w:fldChar w:fldCharType="begin"/>
      </w:r>
      <w:r w:rsidRPr="005717D6">
        <w:rPr>
          <w:sz w:val="20"/>
        </w:rPr>
        <w:instrText xml:space="preserve"> NOTEREF _Ref322956143 \h </w:instrText>
      </w:r>
      <w:r w:rsidRPr="005717D6">
        <w:rPr>
          <w:sz w:val="20"/>
        </w:rPr>
      </w:r>
      <w:r w:rsidRPr="005717D6">
        <w:rPr>
          <w:sz w:val="20"/>
        </w:rPr>
        <w:fldChar w:fldCharType="separate"/>
      </w:r>
      <w:r>
        <w:rPr>
          <w:sz w:val="20"/>
        </w:rPr>
        <w:t>5</w:t>
      </w:r>
      <w:r w:rsidRPr="005717D6">
        <w:rPr>
          <w:sz w:val="20"/>
        </w:rPr>
        <w:fldChar w:fldCharType="end"/>
      </w:r>
      <w:r w:rsidRPr="005717D6">
        <w:rPr>
          <w:sz w:val="20"/>
        </w:rPr>
        <w:t xml:space="preserve">, at </w:t>
      </w:r>
      <w:r w:rsidRPr="005717D6">
        <w:rPr>
          <w:smallCaps/>
          <w:sz w:val="20"/>
        </w:rPr>
        <w:t>862-63 (</w:t>
      </w:r>
      <w:r w:rsidRPr="005717D6">
        <w:rPr>
          <w:sz w:val="20"/>
        </w:rPr>
        <w:t xml:space="preserve">finding the precautionary principle “paradoxical” because it does not take risk/risk tradeoffs into account); </w:t>
      </w:r>
      <w:r w:rsidRPr="005717D6">
        <w:rPr>
          <w:smallCaps/>
          <w:sz w:val="20"/>
        </w:rPr>
        <w:t>Thomas O. McGarity, Reinventing Rationality:  The Role of Regulatory Analysis in the Federal Bureaucracy (1991) (</w:t>
      </w:r>
      <w:r w:rsidRPr="005717D6">
        <w:rPr>
          <w:sz w:val="20"/>
        </w:rPr>
        <w:t>critiquing the idea of “comprehensive rationality” that lies behind CBA).</w:t>
      </w:r>
    </w:p>
  </w:footnote>
  <w:footnote w:id="20">
    <w:p w14:paraId="3AE00BFD" w14:textId="5D865486" w:rsidR="006152E8" w:rsidRPr="00DB4394" w:rsidRDefault="006152E8" w:rsidP="00DB4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iCs/>
          <w:sz w:val="20"/>
          <w:szCs w:val="20"/>
        </w:rPr>
      </w:pPr>
      <w:r>
        <w:rPr>
          <w:sz w:val="20"/>
          <w:szCs w:val="20"/>
        </w:rPr>
        <w:tab/>
      </w:r>
      <w:r w:rsidRPr="00DB4394">
        <w:rPr>
          <w:rStyle w:val="Znakapoznpodarou"/>
          <w:sz w:val="20"/>
          <w:szCs w:val="20"/>
        </w:rPr>
        <w:footnoteRef/>
      </w:r>
      <w:r w:rsidRPr="00DB4394">
        <w:rPr>
          <w:sz w:val="20"/>
          <w:szCs w:val="20"/>
        </w:rPr>
        <w:t xml:space="preserve"> </w:t>
      </w:r>
      <w:r>
        <w:rPr>
          <w:sz w:val="20"/>
          <w:szCs w:val="20"/>
        </w:rPr>
        <w:tab/>
      </w:r>
      <w:r w:rsidRPr="00DB4394">
        <w:rPr>
          <w:rFonts w:cs="Times"/>
          <w:iCs/>
          <w:smallCaps/>
          <w:sz w:val="20"/>
          <w:szCs w:val="20"/>
        </w:rPr>
        <w:t>Climate Change 2007: Impacts, Adaptation and Vulnerability. Contribution of Working Group II to the Fourth Assessment</w:t>
      </w:r>
      <w:r w:rsidRPr="00DB4394">
        <w:rPr>
          <w:rFonts w:cs="Helvetica"/>
          <w:smallCaps/>
          <w:sz w:val="20"/>
          <w:szCs w:val="20"/>
        </w:rPr>
        <w:t xml:space="preserve"> </w:t>
      </w:r>
      <w:r w:rsidRPr="00DB4394">
        <w:rPr>
          <w:rFonts w:cs="Times"/>
          <w:iCs/>
          <w:smallCaps/>
          <w:sz w:val="20"/>
          <w:szCs w:val="20"/>
        </w:rPr>
        <w:t xml:space="preserve">Report of the Intergovernmental Panel on Climate Change </w:t>
      </w:r>
      <w:r w:rsidRPr="00DB4394">
        <w:rPr>
          <w:rFonts w:cs="Times"/>
          <w:iCs/>
          <w:sz w:val="20"/>
          <w:szCs w:val="20"/>
        </w:rPr>
        <w:t xml:space="preserve">393 (M.L. Parry et al. eds., 2007) [hereinafter </w:t>
      </w:r>
      <w:r w:rsidRPr="00DB4394">
        <w:rPr>
          <w:rFonts w:cs="Times"/>
          <w:iCs/>
          <w:smallCaps/>
          <w:sz w:val="20"/>
          <w:szCs w:val="20"/>
        </w:rPr>
        <w:t>FAR: Impacts</w:t>
      </w:r>
      <w:r w:rsidRPr="00DB4394">
        <w:rPr>
          <w:rFonts w:cs="Times"/>
          <w:iCs/>
          <w:sz w:val="20"/>
          <w:szCs w:val="20"/>
        </w:rPr>
        <w:t>] (stating that climate disruption will increase death).</w:t>
      </w:r>
    </w:p>
  </w:footnote>
  <w:footnote w:id="21">
    <w:p w14:paraId="598354BA" w14:textId="17071CB4" w:rsidR="006152E8" w:rsidRPr="00DB4394" w:rsidRDefault="006152E8" w:rsidP="00DB4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iCs/>
          <w:sz w:val="20"/>
          <w:szCs w:val="20"/>
        </w:rPr>
      </w:pPr>
      <w:r>
        <w:tab/>
      </w:r>
      <w:r w:rsidRPr="00DB4394">
        <w:rPr>
          <w:rStyle w:val="Znakapoznpodarou"/>
          <w:sz w:val="20"/>
          <w:szCs w:val="20"/>
        </w:rPr>
        <w:footnoteRef/>
      </w:r>
      <w:r>
        <w:rPr>
          <w:sz w:val="20"/>
          <w:szCs w:val="20"/>
        </w:rPr>
        <w:tab/>
      </w:r>
      <w:r w:rsidRPr="00DB4394">
        <w:rPr>
          <w:rFonts w:cs="Times New Roman"/>
          <w:smallCaps/>
          <w:sz w:val="20"/>
          <w:szCs w:val="20"/>
        </w:rPr>
        <w:t>Id</w:t>
      </w:r>
      <w:r w:rsidRPr="00DB4394">
        <w:rPr>
          <w:i/>
          <w:sz w:val="20"/>
          <w:szCs w:val="20"/>
        </w:rPr>
        <w:t>.</w:t>
      </w:r>
      <w:r w:rsidRPr="00DB4394">
        <w:rPr>
          <w:sz w:val="20"/>
          <w:szCs w:val="20"/>
        </w:rPr>
        <w:t xml:space="preserve"> at 317 (discussing risks to coasts from sea-level rise);</w:t>
      </w:r>
      <w:r w:rsidRPr="00DB4394">
        <w:rPr>
          <w:rFonts w:cs="Times"/>
          <w:iCs/>
          <w:smallCaps/>
          <w:sz w:val="20"/>
          <w:szCs w:val="20"/>
        </w:rPr>
        <w:t xml:space="preserve"> Climate Change 2001: Impacts, Adaptation and Vulnerability. Contribution of Working Group II to the Third Assessment</w:t>
      </w:r>
      <w:r w:rsidRPr="00DB4394">
        <w:rPr>
          <w:rFonts w:cs="Helvetica"/>
          <w:smallCaps/>
          <w:sz w:val="20"/>
          <w:szCs w:val="20"/>
        </w:rPr>
        <w:t xml:space="preserve"> </w:t>
      </w:r>
      <w:r w:rsidRPr="00DB4394">
        <w:rPr>
          <w:rFonts w:cs="Times"/>
          <w:iCs/>
          <w:smallCaps/>
          <w:sz w:val="20"/>
          <w:szCs w:val="20"/>
        </w:rPr>
        <w:t xml:space="preserve">Report of the Intergovernmental Panel on Climate Change </w:t>
      </w:r>
      <w:r w:rsidRPr="00DB4394">
        <w:rPr>
          <w:rFonts w:cs="Times"/>
          <w:iCs/>
          <w:sz w:val="20"/>
          <w:szCs w:val="20"/>
        </w:rPr>
        <w:t>5</w:t>
      </w:r>
      <w:r w:rsidRPr="00DB4394">
        <w:rPr>
          <w:rFonts w:cs="Times"/>
          <w:iCs/>
          <w:smallCaps/>
          <w:sz w:val="20"/>
          <w:szCs w:val="20"/>
        </w:rPr>
        <w:t xml:space="preserve"> </w:t>
      </w:r>
      <w:r w:rsidRPr="00DB4394">
        <w:rPr>
          <w:rFonts w:cs="Times"/>
          <w:iCs/>
          <w:sz w:val="20"/>
          <w:szCs w:val="20"/>
        </w:rPr>
        <w:t xml:space="preserve">(J. McCarthy et al. eds., 2001) [hereinafter </w:t>
      </w:r>
      <w:r w:rsidRPr="00DB4394">
        <w:rPr>
          <w:rFonts w:cs="Times"/>
          <w:iCs/>
          <w:smallCaps/>
          <w:sz w:val="20"/>
          <w:szCs w:val="20"/>
        </w:rPr>
        <w:t>TAR: Impacts</w:t>
      </w:r>
      <w:r w:rsidRPr="00DB4394">
        <w:rPr>
          <w:rFonts w:cs="Times"/>
          <w:iCs/>
          <w:sz w:val="20"/>
          <w:szCs w:val="20"/>
        </w:rPr>
        <w:t>] (discussing flooding from sea level rise).</w:t>
      </w:r>
      <w:r>
        <w:t xml:space="preserve"> </w:t>
      </w:r>
    </w:p>
  </w:footnote>
  <w:footnote w:id="22">
    <w:p w14:paraId="6F4D81FE" w14:textId="06E4D8F2" w:rsidR="006152E8" w:rsidRDefault="006152E8" w:rsidP="00F62726">
      <w:pPr>
        <w:pStyle w:val="Textpoznpodarou"/>
        <w:jc w:val="both"/>
      </w:pPr>
      <w:r>
        <w:tab/>
      </w:r>
      <w:r>
        <w:rPr>
          <w:rStyle w:val="Znakapoznpodarou"/>
        </w:rPr>
        <w:footnoteRef/>
      </w:r>
      <w:r>
        <w:t xml:space="preserve"> </w:t>
      </w:r>
      <w:r>
        <w:tab/>
      </w:r>
      <w:r>
        <w:rPr>
          <w:smallCaps/>
        </w:rPr>
        <w:t>Tar: Impacts</w:t>
      </w:r>
      <w:r>
        <w:t xml:space="preserve">, </w:t>
      </w:r>
      <w:r>
        <w:rPr>
          <w:i/>
        </w:rPr>
        <w:t xml:space="preserve">supra </w:t>
      </w:r>
      <w:r>
        <w:t xml:space="preserve">note </w:t>
      </w:r>
      <w:r>
        <w:fldChar w:fldCharType="begin"/>
      </w:r>
      <w:r>
        <w:instrText xml:space="preserve"> NOTEREF _Ref334771560 \h </w:instrText>
      </w:r>
      <w:r>
        <w:fldChar w:fldCharType="separate"/>
      </w:r>
      <w:r>
        <w:t>19</w:t>
      </w:r>
      <w:r>
        <w:fldChar w:fldCharType="end"/>
      </w:r>
      <w:r>
        <w:t>, at 5, 43 (discussing increased incidence of diseases such as malaria, cholera, dengue, and heat stroke mortality).</w:t>
      </w:r>
      <w:r>
        <w:tab/>
      </w:r>
    </w:p>
  </w:footnote>
  <w:footnote w:id="23">
    <w:p w14:paraId="6A5FE74B" w14:textId="3B1FE6A5" w:rsidR="006152E8" w:rsidRDefault="006152E8" w:rsidP="002435CB">
      <w:pPr>
        <w:pStyle w:val="Textpoznpodarou"/>
        <w:jc w:val="both"/>
      </w:pPr>
      <w:r>
        <w:rPr>
          <w:smallCaps/>
        </w:rPr>
        <w:tab/>
      </w:r>
      <w:r>
        <w:rPr>
          <w:rStyle w:val="Znakapoznpodarou"/>
        </w:rPr>
        <w:footnoteRef/>
      </w:r>
      <w:r>
        <w:rPr>
          <w:smallCaps/>
        </w:rPr>
        <w:tab/>
      </w:r>
      <w:r>
        <w:rPr>
          <w:i/>
        </w:rPr>
        <w:t xml:space="preserve">See </w:t>
      </w:r>
      <w:r>
        <w:rPr>
          <w:smallCaps/>
        </w:rPr>
        <w:t>Far: Impacts</w:t>
      </w:r>
      <w:r>
        <w:t xml:space="preserve">, </w:t>
      </w:r>
      <w:r>
        <w:rPr>
          <w:i/>
        </w:rPr>
        <w:t xml:space="preserve">supra </w:t>
      </w:r>
      <w:r>
        <w:t xml:space="preserve">note </w:t>
      </w:r>
      <w:r>
        <w:fldChar w:fldCharType="begin"/>
      </w:r>
      <w:r>
        <w:instrText xml:space="preserve"> NOTEREF _Ref334771984 \h </w:instrText>
      </w:r>
      <w:r>
        <w:fldChar w:fldCharType="separate"/>
      </w:r>
      <w:r>
        <w:t>18</w:t>
      </w:r>
      <w:r>
        <w:fldChar w:fldCharType="end"/>
      </w:r>
      <w:r>
        <w:t xml:space="preserve">, at 12 (discussing “increased deaths, disease and injury due to heat waves, floods, storms, fires, and droughts”). </w:t>
      </w:r>
    </w:p>
  </w:footnote>
  <w:footnote w:id="24">
    <w:p w14:paraId="36F9FF26" w14:textId="3467291E" w:rsidR="006152E8" w:rsidRDefault="006152E8" w:rsidP="00DB4394">
      <w:pPr>
        <w:pStyle w:val="Textpoznpodarou"/>
      </w:pPr>
      <w:r>
        <w:tab/>
      </w:r>
      <w:r>
        <w:rPr>
          <w:rStyle w:val="Znakapoznpodarou"/>
        </w:rPr>
        <w:footnoteRef/>
      </w:r>
      <w:r>
        <w:tab/>
      </w:r>
      <w:r w:rsidRPr="00D41395">
        <w:rPr>
          <w:smallCaps/>
        </w:rPr>
        <w:t>Id</w:t>
      </w:r>
      <w:r>
        <w:rPr>
          <w:i/>
        </w:rPr>
        <w:t>.</w:t>
      </w:r>
      <w:r>
        <w:t xml:space="preserve"> at 414 (discussing increased hunger risk from climate disruption).</w:t>
      </w:r>
    </w:p>
  </w:footnote>
  <w:footnote w:id="25">
    <w:p w14:paraId="2E553E83" w14:textId="7540A5D6" w:rsidR="006152E8" w:rsidRDefault="006152E8" w:rsidP="004F683C">
      <w:pPr>
        <w:pStyle w:val="Textpoznpodarou"/>
        <w:jc w:val="both"/>
      </w:pPr>
      <w:r>
        <w:tab/>
      </w:r>
      <w:r>
        <w:rPr>
          <w:rStyle w:val="Znakapoznpodarou"/>
        </w:rPr>
        <w:footnoteRef/>
      </w:r>
      <w:r>
        <w:tab/>
      </w:r>
      <w:r w:rsidRPr="00D41395">
        <w:rPr>
          <w:smallCaps/>
        </w:rPr>
        <w:t>Id.</w:t>
      </w:r>
      <w:r>
        <w:t xml:space="preserve"> at 12 (explaining that more droughts and floods will reduce crop yields “especially in subsistence sectors at low latitudes”).</w:t>
      </w:r>
    </w:p>
  </w:footnote>
  <w:footnote w:id="26">
    <w:p w14:paraId="567B91B0" w14:textId="0ED3BB65" w:rsidR="006152E8" w:rsidRDefault="006152E8" w:rsidP="00DB4394">
      <w:pPr>
        <w:pStyle w:val="Textpoznpodarou"/>
      </w:pPr>
      <w:r>
        <w:tab/>
      </w:r>
      <w:r>
        <w:rPr>
          <w:rStyle w:val="Znakapoznpodarou"/>
        </w:rPr>
        <w:footnoteRef/>
      </w:r>
      <w:r>
        <w:t xml:space="preserve"> </w:t>
      </w:r>
      <w:r>
        <w:tab/>
      </w:r>
      <w:r w:rsidRPr="00D41395">
        <w:rPr>
          <w:smallCaps/>
        </w:rPr>
        <w:t>Id.</w:t>
      </w:r>
      <w:r>
        <w:rPr>
          <w:i/>
        </w:rPr>
        <w:t xml:space="preserve"> </w:t>
      </w:r>
      <w:r>
        <w:t xml:space="preserve">at 18, 287 (discussing drought leading to “livestock loss”). </w:t>
      </w:r>
    </w:p>
  </w:footnote>
  <w:footnote w:id="27">
    <w:p w14:paraId="1D6A9584" w14:textId="2980ED06" w:rsidR="006152E8" w:rsidRDefault="006152E8" w:rsidP="00DB4394">
      <w:pPr>
        <w:pStyle w:val="Textpoznpodarou"/>
      </w:pPr>
      <w:r>
        <w:tab/>
      </w:r>
      <w:r>
        <w:rPr>
          <w:rStyle w:val="Znakapoznpodarou"/>
        </w:rPr>
        <w:footnoteRef/>
      </w:r>
      <w:r>
        <w:tab/>
      </w:r>
      <w:r>
        <w:rPr>
          <w:i/>
        </w:rPr>
        <w:t xml:space="preserve">See </w:t>
      </w:r>
      <w:r>
        <w:rPr>
          <w:smallCaps/>
        </w:rPr>
        <w:t>id.</w:t>
      </w:r>
      <w:r>
        <w:t xml:space="preserve"> at 792 (expressing “high confidence that climate change will result in the extinction of many species  and reduction in the diversity of many ecosystems”); </w:t>
      </w:r>
      <w:r>
        <w:rPr>
          <w:smallCaps/>
        </w:rPr>
        <w:t>Tar: Impacts</w:t>
      </w:r>
      <w:r>
        <w:t xml:space="preserve">, </w:t>
      </w:r>
      <w:r>
        <w:rPr>
          <w:i/>
        </w:rPr>
        <w:t xml:space="preserve">supra </w:t>
      </w:r>
      <w:r>
        <w:t xml:space="preserve">note </w:t>
      </w:r>
      <w:r>
        <w:fldChar w:fldCharType="begin"/>
      </w:r>
      <w:r>
        <w:instrText xml:space="preserve"> NOTEREF _Ref334771560 \h </w:instrText>
      </w:r>
      <w:r>
        <w:fldChar w:fldCharType="separate"/>
      </w:r>
      <w:r>
        <w:t>19</w:t>
      </w:r>
      <w:r>
        <w:fldChar w:fldCharType="end"/>
      </w:r>
      <w:r>
        <w:t>, at 69 (explaining that climate disruption will threaten “critically endangered species”).</w:t>
      </w:r>
      <w:r>
        <w:rPr>
          <w:i/>
        </w:rPr>
        <w:t xml:space="preserve"> </w:t>
      </w:r>
    </w:p>
  </w:footnote>
  <w:footnote w:id="28">
    <w:p w14:paraId="6C43FCC8" w14:textId="19DCC379" w:rsidR="006152E8" w:rsidRDefault="006152E8" w:rsidP="00B506B0">
      <w:pPr>
        <w:pStyle w:val="Textpoznpodarou"/>
        <w:jc w:val="both"/>
      </w:pPr>
      <w:r>
        <w:tab/>
      </w:r>
      <w:r>
        <w:rPr>
          <w:rStyle w:val="Znakapoznpodarou"/>
        </w:rPr>
        <w:footnoteRef/>
      </w:r>
      <w:r>
        <w:tab/>
      </w:r>
      <w:r>
        <w:rPr>
          <w:i/>
        </w:rPr>
        <w:t xml:space="preserve">See </w:t>
      </w:r>
      <w:r>
        <w:t xml:space="preserve">Mark Geistfeld, </w:t>
      </w:r>
      <w:r>
        <w:rPr>
          <w:i/>
        </w:rPr>
        <w:t xml:space="preserve">Reconciling Cost-Benefit Analysis with the Principle that Safety Matters More than Money, </w:t>
      </w:r>
      <w:r>
        <w:t xml:space="preserve">76 </w:t>
      </w:r>
      <w:r>
        <w:rPr>
          <w:smallCaps/>
        </w:rPr>
        <w:t xml:space="preserve">N.Y.U. L. Rev. </w:t>
      </w:r>
      <w:r>
        <w:t xml:space="preserve">114, 116-119 (2001) (discussing widespread aversion to quantifying the value of health and safety); </w:t>
      </w:r>
      <w:r>
        <w:rPr>
          <w:smallCaps/>
        </w:rPr>
        <w:t xml:space="preserve">Ackerman &amp; Heinzerling, </w:t>
      </w:r>
      <w:r w:rsidRPr="00D41395">
        <w:rPr>
          <w:i/>
        </w:rPr>
        <w:t>supra</w:t>
      </w:r>
      <w:r>
        <w:t xml:space="preserve"> note </w:t>
      </w:r>
      <w:r>
        <w:fldChar w:fldCharType="begin"/>
      </w:r>
      <w:r>
        <w:instrText xml:space="preserve"> NOTEREF _Ref322954156 \h </w:instrText>
      </w:r>
      <w:r>
        <w:fldChar w:fldCharType="separate"/>
      </w:r>
      <w:r>
        <w:t>17</w:t>
      </w:r>
      <w:r>
        <w:fldChar w:fldCharType="end"/>
      </w:r>
      <w:r>
        <w:t xml:space="preserve"> </w:t>
      </w:r>
      <w:r>
        <w:rPr>
          <w:smallCaps/>
        </w:rPr>
        <w:t>(</w:t>
      </w:r>
      <w:r>
        <w:t xml:space="preserve">critiquing monetization methodologies). </w:t>
      </w:r>
    </w:p>
  </w:footnote>
  <w:footnote w:id="29">
    <w:p w14:paraId="074566AB" w14:textId="33DBB07E" w:rsidR="006152E8" w:rsidRDefault="006152E8" w:rsidP="00B506B0">
      <w:pPr>
        <w:pStyle w:val="Textpoznpodarou"/>
        <w:jc w:val="both"/>
      </w:pPr>
      <w:r>
        <w:tab/>
      </w:r>
      <w:r>
        <w:rPr>
          <w:rStyle w:val="Znakapoznpodarou"/>
        </w:rPr>
        <w:footnoteRef/>
      </w:r>
      <w:r>
        <w:tab/>
        <w:t xml:space="preserve">F. Bosello, R. Roson, &amp; R. Tol, </w:t>
      </w:r>
      <w:r>
        <w:rPr>
          <w:i/>
        </w:rPr>
        <w:t xml:space="preserve">Economy-wide Estimates of the Implications of Climate Change:  Human Health, </w:t>
      </w:r>
      <w:r>
        <w:t xml:space="preserve">58 </w:t>
      </w:r>
      <w:r>
        <w:rPr>
          <w:smallCaps/>
        </w:rPr>
        <w:t>Ecological Econ. 579, 585 (2006) (</w:t>
      </w:r>
      <w:r>
        <w:t xml:space="preserve">valuing a premature death at 200 times per capita income). </w:t>
      </w:r>
    </w:p>
  </w:footnote>
  <w:footnote w:id="30">
    <w:p w14:paraId="0C8051B7" w14:textId="77777777" w:rsidR="006152E8" w:rsidRDefault="006152E8" w:rsidP="00B506B0">
      <w:pPr>
        <w:pStyle w:val="Textpoznpodarou"/>
        <w:jc w:val="both"/>
      </w:pPr>
      <w:r>
        <w:tab/>
      </w:r>
      <w:r>
        <w:rPr>
          <w:rStyle w:val="Znakapoznpodarou"/>
        </w:rPr>
        <w:footnoteRef/>
      </w:r>
      <w:r>
        <w:tab/>
      </w:r>
      <w:r>
        <w:rPr>
          <w:i/>
        </w:rPr>
        <w:t xml:space="preserve">See generally </w:t>
      </w:r>
      <w:r>
        <w:t xml:space="preserve">Matthew Adler, </w:t>
      </w:r>
      <w:r>
        <w:rPr>
          <w:i/>
        </w:rPr>
        <w:t xml:space="preserve">Risk Death and Harm:  The Normative Foundations of Risk Regulation, </w:t>
      </w:r>
      <w:r>
        <w:t xml:space="preserve">87 </w:t>
      </w:r>
      <w:r>
        <w:rPr>
          <w:smallCaps/>
        </w:rPr>
        <w:t>Minn. L. Rev. 1293, 1397 (2003) (</w:t>
      </w:r>
      <w:r>
        <w:t xml:space="preserve">finding lost wages an inappropriate metric for measuring death’s value).  </w:t>
      </w:r>
    </w:p>
  </w:footnote>
  <w:footnote w:id="31">
    <w:p w14:paraId="6B16303A" w14:textId="7CB5DB27" w:rsidR="006152E8" w:rsidRPr="00B33D3B" w:rsidRDefault="006152E8">
      <w:pPr>
        <w:pStyle w:val="Textpoznpodarou"/>
      </w:pPr>
      <w:r>
        <w:tab/>
      </w:r>
      <w:r>
        <w:rPr>
          <w:rStyle w:val="Znakapoznpodarou"/>
        </w:rPr>
        <w:footnoteRef/>
      </w:r>
      <w:r>
        <w:t xml:space="preserve"> </w:t>
      </w:r>
      <w:r>
        <w:tab/>
      </w:r>
      <w:r>
        <w:rPr>
          <w:i/>
        </w:rPr>
        <w:t xml:space="preserve">See </w:t>
      </w:r>
      <w:r>
        <w:t xml:space="preserve">Geistfeld, </w:t>
      </w:r>
      <w:r>
        <w:rPr>
          <w:i/>
        </w:rPr>
        <w:t>supra</w:t>
      </w:r>
      <w:r>
        <w:t xml:space="preserve"> note </w:t>
      </w:r>
      <w:r>
        <w:fldChar w:fldCharType="begin"/>
      </w:r>
      <w:r>
        <w:instrText xml:space="preserve"> NOTEREF _Ref335380091 \h </w:instrText>
      </w:r>
      <w:r>
        <w:fldChar w:fldCharType="separate"/>
      </w:r>
      <w:r>
        <w:t>26</w:t>
      </w:r>
      <w:r>
        <w:fldChar w:fldCharType="end"/>
      </w:r>
      <w:r>
        <w:t>, at 116-17 (discussing the widespread belief that “life is priceless” and therefore that sacrificing life in order to save money is unethical).</w:t>
      </w:r>
    </w:p>
  </w:footnote>
  <w:footnote w:id="32">
    <w:p w14:paraId="31CB97AC" w14:textId="77777777" w:rsidR="006152E8" w:rsidRDefault="006152E8" w:rsidP="00B506B0">
      <w:pPr>
        <w:pStyle w:val="Textpoznpodarou"/>
        <w:jc w:val="both"/>
      </w:pPr>
      <w:r>
        <w:tab/>
      </w:r>
      <w:r>
        <w:rPr>
          <w:rStyle w:val="Znakapoznpodarou"/>
        </w:rPr>
        <w:footnoteRef/>
      </w:r>
      <w:r>
        <w:tab/>
      </w:r>
      <w:r>
        <w:rPr>
          <w:i/>
        </w:rPr>
        <w:t>See generally</w:t>
      </w:r>
      <w:r>
        <w:t xml:space="preserve"> Symposium, </w:t>
      </w:r>
      <w:r>
        <w:rPr>
          <w:i/>
        </w:rPr>
        <w:t xml:space="preserve">Risk Assessment in the Federal Government, </w:t>
      </w:r>
      <w:r>
        <w:t xml:space="preserve">3 </w:t>
      </w:r>
      <w:r>
        <w:rPr>
          <w:smallCaps/>
        </w:rPr>
        <w:t>N.Y.U. Envtl. L. J. 251 (1995); National Research Council, Risk assessment in the Federal Government:  Managing the Process (1983); Quantitative Risk Assessment in Regulation (</w:t>
      </w:r>
      <w:r>
        <w:t>Lester Lave ed., 1982)</w:t>
      </w:r>
      <w:r>
        <w:rPr>
          <w:i/>
        </w:rPr>
        <w:t xml:space="preserve"> </w:t>
      </w:r>
      <w:r>
        <w:t xml:space="preserve"> </w:t>
      </w:r>
    </w:p>
  </w:footnote>
  <w:footnote w:id="33">
    <w:p w14:paraId="6A86722E" w14:textId="40533E81" w:rsidR="006152E8" w:rsidRDefault="006152E8" w:rsidP="00B506B0">
      <w:pPr>
        <w:pStyle w:val="Textpoznpodarou"/>
        <w:jc w:val="both"/>
      </w:pPr>
      <w:r>
        <w:tab/>
      </w:r>
      <w:r>
        <w:rPr>
          <w:rStyle w:val="Znakapoznpodarou"/>
        </w:rPr>
        <w:footnoteRef/>
      </w:r>
      <w:r>
        <w:tab/>
      </w:r>
      <w:r>
        <w:rPr>
          <w:i/>
        </w:rPr>
        <w:t xml:space="preserve">See </w:t>
      </w:r>
      <w:r>
        <w:rPr>
          <w:rFonts w:cs="Times New Roman"/>
        </w:rPr>
        <w:t xml:space="preserve">Mark Geistfeld, </w:t>
      </w:r>
      <w:r>
        <w:rPr>
          <w:rFonts w:cs="Times New Roman"/>
          <w:i/>
        </w:rPr>
        <w:t xml:space="preserve">Implementing the Precautionary Principle, </w:t>
      </w:r>
      <w:r>
        <w:rPr>
          <w:rFonts w:cs="Times New Roman"/>
        </w:rPr>
        <w:t xml:space="preserve">31 </w:t>
      </w:r>
      <w:r>
        <w:rPr>
          <w:rFonts w:cs="Times New Roman"/>
          <w:smallCaps/>
        </w:rPr>
        <w:t>Envtl. L. Rep. 11326, 11326 (2001)</w:t>
      </w:r>
      <w:r>
        <w:t xml:space="preserve"> (noting that risk assessment choices define regulatory benefits).   </w:t>
      </w:r>
    </w:p>
  </w:footnote>
  <w:footnote w:id="34">
    <w:p w14:paraId="466DA242" w14:textId="2A476CF7" w:rsidR="006152E8" w:rsidRDefault="006152E8">
      <w:pPr>
        <w:pStyle w:val="Textpoznpodarou"/>
      </w:pPr>
      <w:r>
        <w:tab/>
      </w:r>
      <w:r>
        <w:rPr>
          <w:rStyle w:val="Znakapoznpodarou"/>
        </w:rPr>
        <w:footnoteRef/>
      </w:r>
      <w:r>
        <w:tab/>
      </w:r>
      <w:r>
        <w:rPr>
          <w:i/>
        </w:rPr>
        <w:t>See generally</w:t>
      </w:r>
      <w:r>
        <w:t xml:space="preserve"> EPA, Guidelines for Preparing Economic Analysis 1-5 (2010) [hereinafter EPA Guidelines] (noting that risk assessors provide the information needed to translate information about changes in pollution levels into health or other outcomes).  </w:t>
      </w:r>
    </w:p>
  </w:footnote>
  <w:footnote w:id="35">
    <w:p w14:paraId="42D7409A" w14:textId="77777777" w:rsidR="006152E8" w:rsidRDefault="006152E8" w:rsidP="00B506B0">
      <w:pPr>
        <w:pStyle w:val="Textpoznpodarou"/>
      </w:pPr>
      <w:r>
        <w:tab/>
      </w:r>
      <w:r>
        <w:rPr>
          <w:rStyle w:val="Znakapoznpodarou"/>
        </w:rPr>
        <w:footnoteRef/>
      </w:r>
      <w:r>
        <w:tab/>
      </w:r>
      <w:r>
        <w:rPr>
          <w:i/>
        </w:rPr>
        <w:t xml:space="preserve">See </w:t>
      </w:r>
      <w:r>
        <w:t xml:space="preserve">Matthew D. Adler &amp; Eric A. Posner, </w:t>
      </w:r>
      <w:r>
        <w:rPr>
          <w:i/>
        </w:rPr>
        <w:t xml:space="preserve">Rethinking Cost-Benefit Analysis, </w:t>
      </w:r>
      <w:r>
        <w:t xml:space="preserve">109 </w:t>
      </w:r>
      <w:r>
        <w:rPr>
          <w:smallCaps/>
        </w:rPr>
        <w:t>Yale L. J. 165, 175 (1999) (</w:t>
      </w:r>
      <w:r>
        <w:rPr>
          <w:rFonts w:cs="Times New Roman"/>
        </w:rPr>
        <w:t>stating that a lack of data frequently hampers CBA).</w:t>
      </w:r>
      <w:r>
        <w:t xml:space="preserve"> </w:t>
      </w:r>
    </w:p>
  </w:footnote>
  <w:footnote w:id="36">
    <w:p w14:paraId="7231437B" w14:textId="77777777" w:rsidR="006152E8" w:rsidRDefault="006152E8" w:rsidP="00B506B0">
      <w:pPr>
        <w:pStyle w:val="Textpoznpodarou"/>
        <w:rPr>
          <w:rFonts w:cs="Times New Roman"/>
        </w:rPr>
      </w:pPr>
      <w:r>
        <w:tab/>
      </w:r>
      <w:r>
        <w:rPr>
          <w:rStyle w:val="Znakapoznpodarou"/>
        </w:rPr>
        <w:footnoteRef/>
      </w:r>
      <w:r>
        <w:t xml:space="preserve"> </w:t>
      </w:r>
      <w:r>
        <w:tab/>
      </w:r>
      <w:r>
        <w:rPr>
          <w:i/>
        </w:rPr>
        <w:t xml:space="preserve">See, e.g., </w:t>
      </w:r>
      <w:r>
        <w:t xml:space="preserve">Cass R. Sunstein, </w:t>
      </w:r>
      <w:r>
        <w:rPr>
          <w:i/>
        </w:rPr>
        <w:t xml:space="preserve">From Consumer Sovereignty to Cost-Benefit Analysis:  An Incompletely Theorized Agreement?, </w:t>
      </w:r>
      <w:r>
        <w:t xml:space="preserve">23 </w:t>
      </w:r>
      <w:r>
        <w:rPr>
          <w:rFonts w:cs="Times New Roman"/>
          <w:smallCaps/>
        </w:rPr>
        <w:t>Harv. J. L. &amp; Pub. Pol’y 203, 206-07 (1999) (</w:t>
      </w:r>
      <w:r>
        <w:rPr>
          <w:rFonts w:cs="Times New Roman"/>
        </w:rPr>
        <w:t>calling for consideration of qualitative information in regulatory processes).</w:t>
      </w:r>
    </w:p>
  </w:footnote>
  <w:footnote w:id="37">
    <w:p w14:paraId="66F6BF71" w14:textId="77777777" w:rsidR="006152E8" w:rsidRDefault="006152E8" w:rsidP="00B506B0">
      <w:pPr>
        <w:pStyle w:val="Textpoznpodarou"/>
        <w:jc w:val="both"/>
      </w:pPr>
      <w:r>
        <w:tab/>
      </w:r>
      <w:r>
        <w:rPr>
          <w:rStyle w:val="Znakapoznpodarou"/>
        </w:rPr>
        <w:footnoteRef/>
      </w:r>
      <w:r>
        <w:tab/>
      </w:r>
      <w:r>
        <w:rPr>
          <w:i/>
        </w:rPr>
        <w:t>See</w:t>
      </w:r>
      <w:r>
        <w:t xml:space="preserve"> Lisa Heinzerling, </w:t>
      </w:r>
      <w:r>
        <w:rPr>
          <w:i/>
        </w:rPr>
        <w:t xml:space="preserve">Political Science, </w:t>
      </w:r>
      <w:r>
        <w:t xml:space="preserve">62 U. </w:t>
      </w:r>
      <w:r>
        <w:rPr>
          <w:smallCaps/>
        </w:rPr>
        <w:t xml:space="preserve">Chi. L. Rev. 449, 460-63 (1995) </w:t>
      </w:r>
      <w:r>
        <w:t xml:space="preserve">(discussing scientific uncertainty and how the response to it skews CBA). </w:t>
      </w:r>
    </w:p>
  </w:footnote>
  <w:footnote w:id="38">
    <w:p w14:paraId="7683903F" w14:textId="07ADC476" w:rsidR="006152E8" w:rsidRPr="00091129" w:rsidRDefault="006152E8" w:rsidP="002578B8">
      <w:pPr>
        <w:pStyle w:val="Textpoznpodarou"/>
      </w:pPr>
      <w:r>
        <w:tab/>
      </w:r>
      <w:r>
        <w:rPr>
          <w:rStyle w:val="Znakapoznpodarou"/>
        </w:rPr>
        <w:footnoteRef/>
      </w:r>
      <w:r>
        <w:t xml:space="preserve"> </w:t>
      </w:r>
      <w:r>
        <w:tab/>
      </w:r>
      <w:r>
        <w:rPr>
          <w:i/>
        </w:rPr>
        <w:t>See</w:t>
      </w:r>
      <w:r>
        <w:t xml:space="preserve"> IPCC, </w:t>
      </w:r>
      <w:r>
        <w:rPr>
          <w:smallCaps/>
        </w:rPr>
        <w:t>Fourth Assessment Report: Climate Change 2007: The Physical Science Basis</w:t>
      </w:r>
      <w:r>
        <w:t xml:space="preserve"> 10 (2007) (stating that observed increases in temperatures are “very likely” due to the observed increase in greenhouse gas concentrations).  The IPCC also warns that continued greenhouse gas emissions will “very likely” cause further warming.  </w:t>
      </w:r>
      <w:r w:rsidRPr="002578B8">
        <w:rPr>
          <w:rFonts w:cs="Times New Roman"/>
          <w:smallCaps/>
        </w:rPr>
        <w:t>Id</w:t>
      </w:r>
      <w:r>
        <w:rPr>
          <w:rFonts w:cs="Times New Roman"/>
          <w:smallCaps/>
        </w:rPr>
        <w:t>.</w:t>
      </w:r>
      <w:r w:rsidRPr="002578B8">
        <w:rPr>
          <w:rFonts w:cs="Times New Roman"/>
          <w:smallCaps/>
        </w:rPr>
        <w:t xml:space="preserve"> </w:t>
      </w:r>
      <w:r>
        <w:t>at 13.</w:t>
      </w:r>
    </w:p>
  </w:footnote>
  <w:footnote w:id="39">
    <w:p w14:paraId="5A94CA1B" w14:textId="6F7819EE" w:rsidR="006152E8" w:rsidRDefault="006152E8" w:rsidP="002578B8">
      <w:pPr>
        <w:pStyle w:val="Textpoznpodarou"/>
      </w:pPr>
      <w:r>
        <w:tab/>
      </w:r>
      <w:r>
        <w:rPr>
          <w:rStyle w:val="Znakapoznpodarou"/>
        </w:rPr>
        <w:footnoteRef/>
      </w:r>
      <w:r>
        <w:tab/>
      </w:r>
      <w:r>
        <w:rPr>
          <w:i/>
        </w:rPr>
        <w:t xml:space="preserve">See </w:t>
      </w:r>
      <w:r>
        <w:t xml:space="preserve">IPCC, </w:t>
      </w:r>
      <w:r>
        <w:rPr>
          <w:smallCaps/>
        </w:rPr>
        <w:t xml:space="preserve"> Report: Climate Change, The IPCC Scientific Assessment</w:t>
      </w:r>
      <w:r>
        <w:t xml:space="preserve"> XII (1990)</w:t>
      </w:r>
      <w:r>
        <w:rPr>
          <w:smallCaps/>
        </w:rPr>
        <w:t xml:space="preserve"> </w:t>
      </w:r>
      <w:r>
        <w:t xml:space="preserve">(finding many “uncertainties” in predicting climate change with regard to “timing, magnitude, and regional patterns”).  </w:t>
      </w:r>
      <w:r>
        <w:rPr>
          <w:i/>
        </w:rPr>
        <w:t>See also</w:t>
      </w:r>
      <w:r>
        <w:t xml:space="preserve"> IPCC, </w:t>
      </w:r>
      <w:r>
        <w:rPr>
          <w:i/>
        </w:rPr>
        <w:t xml:space="preserve">supra </w:t>
      </w:r>
      <w:r>
        <w:t xml:space="preserve">note </w:t>
      </w:r>
      <w:r>
        <w:fldChar w:fldCharType="begin"/>
      </w:r>
      <w:r>
        <w:instrText xml:space="preserve"> NOTEREF _Ref209837414 \h </w:instrText>
      </w:r>
      <w:r>
        <w:fldChar w:fldCharType="separate"/>
      </w:r>
      <w:r>
        <w:t>36</w:t>
      </w:r>
      <w:r>
        <w:fldChar w:fldCharType="end"/>
      </w:r>
      <w:r>
        <w:t>, at 13 (using a large number of climate models to determine “likely” ranges for global average surface air warming).</w:t>
      </w:r>
      <w:r>
        <w:rPr>
          <w:smallCaps/>
        </w:rPr>
        <w:t xml:space="preserve"> </w:t>
      </w:r>
      <w:r>
        <w:t xml:space="preserve"> </w:t>
      </w:r>
    </w:p>
  </w:footnote>
  <w:footnote w:id="40">
    <w:p w14:paraId="231B3256" w14:textId="73E5A75B" w:rsidR="006152E8" w:rsidRDefault="006152E8" w:rsidP="00B506B0">
      <w:pPr>
        <w:pStyle w:val="Textpoznpodarou"/>
        <w:ind w:firstLine="360"/>
      </w:pPr>
      <w:r>
        <w:rPr>
          <w:rStyle w:val="Znakapoznpodarou"/>
        </w:rPr>
        <w:footnoteRef/>
      </w:r>
      <w:r>
        <w:t xml:space="preserve"> </w:t>
      </w:r>
      <w:r>
        <w:tab/>
        <w:t xml:space="preserve">Frank Ackerman &amp; Elizabeth A. Stanton, </w:t>
      </w:r>
      <w:r>
        <w:rPr>
          <w:i/>
        </w:rPr>
        <w:t>Climate Risks and Carbon Prices: Revising the Social Cost of Carbon</w:t>
      </w:r>
      <w:r>
        <w:t xml:space="preserve"> 6 </w:t>
      </w:r>
      <w:r>
        <w:rPr>
          <w:smallCaps/>
        </w:rPr>
        <w:t>Econ. e-journal</w:t>
      </w:r>
      <w:r>
        <w:t xml:space="preserve"> 2012-10, 2 (2012) (explaining that plausible assumptions about climate sensitivity can generate social cost estimates of $900 a ton). </w:t>
      </w:r>
    </w:p>
  </w:footnote>
  <w:footnote w:id="41">
    <w:p w14:paraId="0B075BBC" w14:textId="2ADD221B" w:rsidR="006152E8" w:rsidRPr="005373D2" w:rsidRDefault="006152E8" w:rsidP="008E66B2">
      <w:pPr>
        <w:rPr>
          <w:rFonts w:cs="Times New Roman"/>
          <w:smallCaps/>
          <w:sz w:val="20"/>
        </w:rPr>
      </w:pPr>
      <w:r>
        <w:tab/>
      </w:r>
      <w:r>
        <w:rPr>
          <w:rStyle w:val="Znakapoznpodarou"/>
        </w:rPr>
        <w:footnoteRef/>
      </w:r>
      <w:r>
        <w:tab/>
      </w:r>
      <w:r w:rsidRPr="002B5EC6">
        <w:rPr>
          <w:i/>
          <w:sz w:val="20"/>
          <w:szCs w:val="20"/>
        </w:rPr>
        <w:t>See</w:t>
      </w:r>
      <w:r>
        <w:rPr>
          <w:i/>
        </w:rPr>
        <w:t xml:space="preserve"> </w:t>
      </w:r>
      <w:r>
        <w:rPr>
          <w:rFonts w:cs="Times New Roman"/>
          <w:sz w:val="20"/>
        </w:rPr>
        <w:t xml:space="preserve">IPCC, </w:t>
      </w:r>
      <w:r>
        <w:rPr>
          <w:rFonts w:cs="Times New Roman"/>
          <w:smallCaps/>
          <w:sz w:val="20"/>
        </w:rPr>
        <w:t>Managing the Risks of Extreme Events to Advance Climate Change Adaptation</w:t>
      </w:r>
      <w:r>
        <w:rPr>
          <w:rFonts w:cs="Times New Roman"/>
          <w:sz w:val="20"/>
        </w:rPr>
        <w:t xml:space="preserve"> 130 (2012) (warning that limitations in computing power and the scientific understanding of some physical processes hinder the quantitative assessment of projected climate change); </w:t>
      </w:r>
      <w:r>
        <w:rPr>
          <w:rFonts w:cs="Times New Roman"/>
          <w:i/>
          <w:sz w:val="20"/>
        </w:rPr>
        <w:t>see generally</w:t>
      </w:r>
    </w:p>
    <w:p w14:paraId="6BF78932" w14:textId="7CC77987" w:rsidR="006152E8" w:rsidRPr="005373D2" w:rsidRDefault="006152E8" w:rsidP="008E66B2">
      <w:pPr>
        <w:jc w:val="both"/>
        <w:rPr>
          <w:rFonts w:cs="Times New Roman"/>
          <w:smallCaps/>
          <w:sz w:val="20"/>
        </w:rPr>
      </w:pPr>
      <w:r w:rsidRPr="00BD55A1">
        <w:rPr>
          <w:rFonts w:cs="Times New Roman"/>
          <w:sz w:val="20"/>
        </w:rPr>
        <w:t>W</w:t>
      </w:r>
      <w:r>
        <w:rPr>
          <w:rFonts w:cs="Times New Roman"/>
          <w:sz w:val="20"/>
        </w:rPr>
        <w:t xml:space="preserve">endy Wagner, Elizabeth Fisher, &amp; Pasky Pascual, </w:t>
      </w:r>
      <w:r>
        <w:rPr>
          <w:rFonts w:cs="Times New Roman"/>
          <w:i/>
          <w:sz w:val="20"/>
        </w:rPr>
        <w:t xml:space="preserve">Misunderstanding Models in Environmental and Public Health Regulation, </w:t>
      </w:r>
      <w:r>
        <w:rPr>
          <w:rFonts w:cs="Times New Roman"/>
          <w:sz w:val="20"/>
        </w:rPr>
        <w:t xml:space="preserve">18 </w:t>
      </w:r>
      <w:r>
        <w:rPr>
          <w:rFonts w:cs="Times New Roman"/>
          <w:smallCaps/>
          <w:sz w:val="20"/>
        </w:rPr>
        <w:t>N.Y.U. Envtl. L. J. 293, 318 (2010) (</w:t>
      </w:r>
      <w:r>
        <w:rPr>
          <w:rFonts w:cs="Times New Roman"/>
          <w:sz w:val="20"/>
        </w:rPr>
        <w:t>explaining that models illuminate dynamics and uncertainties rather than generate answers);</w:t>
      </w:r>
      <w:r>
        <w:rPr>
          <w:rFonts w:cs="Times New Roman"/>
          <w:smallCaps/>
          <w:sz w:val="20"/>
        </w:rPr>
        <w:t xml:space="preserve"> </w:t>
      </w:r>
      <w:r w:rsidRPr="008039E9">
        <w:rPr>
          <w:rFonts w:cs="Times New Roman"/>
          <w:smallCaps/>
          <w:sz w:val="20"/>
        </w:rPr>
        <w:t>Orrin</w:t>
      </w:r>
      <w:r w:rsidRPr="00BD55A1">
        <w:rPr>
          <w:rFonts w:cs="Times New Roman"/>
          <w:smallCaps/>
          <w:sz w:val="20"/>
        </w:rPr>
        <w:t xml:space="preserve"> </w:t>
      </w:r>
      <w:r w:rsidRPr="005373D2">
        <w:rPr>
          <w:rFonts w:cs="Times New Roman"/>
          <w:smallCaps/>
          <w:sz w:val="20"/>
        </w:rPr>
        <w:t>H. Pilkey, &amp; Linda Pilkey-Jarvis, Useless Arithmetic:  Why Environmental Science Cannot Predict the Future (2007).</w:t>
      </w:r>
      <w:r>
        <w:t xml:space="preserve"> </w:t>
      </w:r>
    </w:p>
  </w:footnote>
  <w:footnote w:id="42">
    <w:p w14:paraId="6566D060" w14:textId="5B894D65" w:rsidR="006152E8" w:rsidRDefault="006152E8" w:rsidP="008E66B2">
      <w:pPr>
        <w:pStyle w:val="Textpoznpodarou"/>
        <w:jc w:val="both"/>
        <w:rPr>
          <w:rFonts w:cs="Times New Roman"/>
        </w:rPr>
      </w:pPr>
      <w:r>
        <w:tab/>
      </w:r>
      <w:r>
        <w:rPr>
          <w:rStyle w:val="Znakapoznpodarou"/>
        </w:rPr>
        <w:footnoteRef/>
      </w:r>
      <w:r>
        <w:tab/>
      </w:r>
      <w:r>
        <w:rPr>
          <w:i/>
        </w:rPr>
        <w:t>See</w:t>
      </w:r>
      <w:r>
        <w:t xml:space="preserve"> IPCC, </w:t>
      </w:r>
      <w:r>
        <w:rPr>
          <w:rFonts w:cs="Times New Roman"/>
          <w:smallCaps/>
        </w:rPr>
        <w:t>Fourth Assessment Report:  Climate Change 2007:   Impacts, Adaptations, and Vulnerability 407 (2007) [</w:t>
      </w:r>
      <w:r>
        <w:rPr>
          <w:rFonts w:cs="Times New Roman"/>
        </w:rPr>
        <w:t xml:space="preserve">hereinafter IPCC, </w:t>
      </w:r>
      <w:r>
        <w:rPr>
          <w:rFonts w:cs="Times New Roman"/>
          <w:smallCaps/>
        </w:rPr>
        <w:t>2007] (</w:t>
      </w:r>
      <w:r>
        <w:rPr>
          <w:rFonts w:cs="Times New Roman"/>
        </w:rPr>
        <w:t xml:space="preserve">stating that “surprises should be anticipated” and are of great concern); </w:t>
      </w:r>
      <w:r>
        <w:t xml:space="preserve">IPCC, </w:t>
      </w:r>
      <w:r>
        <w:rPr>
          <w:rFonts w:cs="Times New Roman"/>
          <w:smallCaps/>
        </w:rPr>
        <w:t>Second Assessment Report:  Impacts, Adaptations and Mitigation of Climate Change, Scientific-Technical Analyses</w:t>
      </w:r>
      <w:r>
        <w:t xml:space="preserve">,  5 (1995) [hereinafter </w:t>
      </w:r>
      <w:r>
        <w:rPr>
          <w:rFonts w:cs="Times New Roman"/>
          <w:smallCaps/>
        </w:rPr>
        <w:t>IPCC, Second Assessment]</w:t>
      </w:r>
      <w:r>
        <w:t xml:space="preserve"> (characterizing surprises as “likely”)</w:t>
      </w:r>
      <w:r>
        <w:rPr>
          <w:rFonts w:cs="Times New Roman"/>
        </w:rPr>
        <w:t>.</w:t>
      </w:r>
    </w:p>
  </w:footnote>
  <w:footnote w:id="43">
    <w:p w14:paraId="167CE58B" w14:textId="50CA3647" w:rsidR="006152E8" w:rsidRDefault="006152E8" w:rsidP="008E66B2">
      <w:pPr>
        <w:pStyle w:val="Textpoznpodarou"/>
        <w:jc w:val="both"/>
      </w:pPr>
      <w:r>
        <w:tab/>
      </w:r>
      <w:r>
        <w:rPr>
          <w:rStyle w:val="Znakapoznpodarou"/>
        </w:rPr>
        <w:footnoteRef/>
      </w:r>
      <w:r>
        <w:tab/>
        <w:t xml:space="preserve">Press Release, Climate Change Cong., Key Messages from the Cong. (Mar. 12, 2009), http://climatecongress.ku.dk/newsroom/congress_key_messages (indicating that worst case IPCC scenarios (or even worse) are being realized, creating an increased risk of abrupt or irreversible climate shifts). </w:t>
      </w:r>
    </w:p>
  </w:footnote>
  <w:footnote w:id="44">
    <w:p w14:paraId="1EC6E753" w14:textId="77777777" w:rsidR="006152E8" w:rsidRDefault="006152E8" w:rsidP="008E66B2">
      <w:pPr>
        <w:pStyle w:val="Textpoznpodarou"/>
        <w:jc w:val="both"/>
      </w:pPr>
      <w:r>
        <w:tab/>
      </w:r>
      <w:r>
        <w:rPr>
          <w:rStyle w:val="Znakapoznpodarou"/>
        </w:rPr>
        <w:footnoteRef/>
      </w:r>
      <w:r>
        <w:tab/>
      </w:r>
      <w:r>
        <w:rPr>
          <w:i/>
        </w:rPr>
        <w:t xml:space="preserve">See </w:t>
      </w:r>
      <w:r>
        <w:t xml:space="preserve">IPCC, </w:t>
      </w:r>
      <w:r>
        <w:rPr>
          <w:i/>
        </w:rPr>
        <w:t xml:space="preserve">supra </w:t>
      </w:r>
      <w:r>
        <w:t xml:space="preserve">note </w:t>
      </w:r>
      <w:r>
        <w:fldChar w:fldCharType="begin"/>
      </w:r>
      <w:r>
        <w:instrText xml:space="preserve"> NOTEREF _Ref209837414 \h </w:instrText>
      </w:r>
      <w:r>
        <w:fldChar w:fldCharType="separate"/>
      </w:r>
      <w:r>
        <w:t>36</w:t>
      </w:r>
      <w:r>
        <w:fldChar w:fldCharType="end"/>
      </w:r>
      <w:r>
        <w:t xml:space="preserve">, at 819 (stating “rapid reactions” of ice sheet systems raise new concerns about the collapse of the West Antarctic Ice Sheet, which would trigger a five to six meter sea level rise). </w:t>
      </w:r>
    </w:p>
  </w:footnote>
  <w:footnote w:id="45">
    <w:p w14:paraId="3454E97D" w14:textId="77777777" w:rsidR="006152E8" w:rsidRDefault="006152E8" w:rsidP="008E66B2">
      <w:pPr>
        <w:pStyle w:val="Textpoznpodarou"/>
        <w:jc w:val="both"/>
      </w:pPr>
      <w:r>
        <w:tab/>
      </w:r>
      <w:r>
        <w:rPr>
          <w:rStyle w:val="Znakapoznpodarou"/>
        </w:rPr>
        <w:footnoteRef/>
      </w:r>
      <w:r>
        <w:tab/>
      </w:r>
      <w:r>
        <w:rPr>
          <w:i/>
        </w:rPr>
        <w:t xml:space="preserve">See </w:t>
      </w:r>
      <w:r>
        <w:t xml:space="preserve">Justin Gillis, </w:t>
      </w:r>
      <w:r>
        <w:rPr>
          <w:i/>
        </w:rPr>
        <w:t xml:space="preserve">Study Indicates a Greater Threat of Extreme Weather, </w:t>
      </w:r>
      <w:r>
        <w:rPr>
          <w:smallCaps/>
        </w:rPr>
        <w:t xml:space="preserve">N.Y. Times </w:t>
      </w:r>
      <w:r>
        <w:t xml:space="preserve">A5 (April 27, 2012). </w:t>
      </w:r>
    </w:p>
  </w:footnote>
  <w:footnote w:id="46">
    <w:p w14:paraId="388E287E" w14:textId="4DDC82BE" w:rsidR="006152E8" w:rsidRDefault="006152E8" w:rsidP="00B506B0">
      <w:pPr>
        <w:pStyle w:val="Textpoznpodarou"/>
        <w:jc w:val="both"/>
      </w:pPr>
      <w:r>
        <w:tab/>
      </w:r>
      <w:r>
        <w:rPr>
          <w:rStyle w:val="Znakapoznpodarou"/>
        </w:rPr>
        <w:footnoteRef/>
      </w:r>
      <w:r>
        <w:tab/>
      </w:r>
      <w:r>
        <w:rPr>
          <w:i/>
        </w:rPr>
        <w:t>See</w:t>
      </w:r>
      <w:r>
        <w:t xml:space="preserve"> Robin Kundis Craig, </w:t>
      </w:r>
      <w:r>
        <w:rPr>
          <w:i/>
        </w:rPr>
        <w:t xml:space="preserve">A Public Health Perspective on Sea-level rise:  Starting Points for Climate Change Adaptation, </w:t>
      </w:r>
      <w:r>
        <w:t xml:space="preserve">15 </w:t>
      </w:r>
      <w:r>
        <w:rPr>
          <w:rFonts w:cs="Times New Roman"/>
          <w:smallCaps/>
        </w:rPr>
        <w:t xml:space="preserve">Widener L. Rev. 521, </w:t>
      </w:r>
      <w:r>
        <w:t>535 (2010) (</w:t>
      </w:r>
      <w:r>
        <w:rPr>
          <w:rFonts w:cs="Times New Roman"/>
        </w:rPr>
        <w:t>scientists remain uncertain about the “extent” of sea level rise).</w:t>
      </w:r>
      <w:r>
        <w:t xml:space="preserve">  </w:t>
      </w:r>
    </w:p>
  </w:footnote>
  <w:footnote w:id="47">
    <w:p w14:paraId="5D0A1329" w14:textId="01E1C74E" w:rsidR="006152E8" w:rsidRPr="002B5EC6" w:rsidRDefault="006152E8">
      <w:pPr>
        <w:pStyle w:val="Textpoznpodarou"/>
      </w:pPr>
      <w:r>
        <w:tab/>
      </w:r>
      <w:r>
        <w:rPr>
          <w:rStyle w:val="Znakapoznpodarou"/>
        </w:rPr>
        <w:footnoteRef/>
      </w:r>
      <w:r>
        <w:t xml:space="preserve"> </w:t>
      </w:r>
      <w:r>
        <w:tab/>
      </w:r>
      <w:r>
        <w:rPr>
          <w:i/>
        </w:rPr>
        <w:t>See</w:t>
      </w:r>
      <w:r>
        <w:t xml:space="preserve"> </w:t>
      </w:r>
      <w:r>
        <w:rPr>
          <w:rFonts w:cs="Times New Roman"/>
          <w:smallCaps/>
        </w:rPr>
        <w:t>The Law of Adaptation to Climate Change 3 (</w:t>
      </w:r>
      <w:r>
        <w:rPr>
          <w:rFonts w:cs="Times New Roman"/>
        </w:rPr>
        <w:t xml:space="preserve">Michael B. Gerrard &amp; Katrina Fisher Kuh eds. 2012) (defining adaptation as efforts to “moderate, cope with, and prepare for” climate change impacts); </w:t>
      </w:r>
      <w:r>
        <w:t>Damien Leonard,</w:t>
      </w:r>
      <w:r w:rsidRPr="002B5EC6">
        <w:rPr>
          <w:i/>
        </w:rPr>
        <w:t xml:space="preserve"> Raising the Levee: Dutch Land Use Law as a Model for U.S. </w:t>
      </w:r>
      <w:r w:rsidRPr="002B5EC6">
        <w:rPr>
          <w:rStyle w:val="term"/>
          <w:i/>
        </w:rPr>
        <w:t>Adaptation to Climate</w:t>
      </w:r>
      <w:r w:rsidRPr="002B5EC6">
        <w:rPr>
          <w:i/>
        </w:rPr>
        <w:t xml:space="preserve"> Change</w:t>
      </w:r>
      <w:r>
        <w:rPr>
          <w:i/>
        </w:rPr>
        <w:t xml:space="preserve">, </w:t>
      </w:r>
      <w:r>
        <w:t xml:space="preserve">21 </w:t>
      </w:r>
      <w:r w:rsidRPr="002B5EC6">
        <w:rPr>
          <w:rFonts w:cs="Times New Roman"/>
          <w:smallCaps/>
        </w:rPr>
        <w:t>Geo. Int'l Envtl. L. Rev</w:t>
      </w:r>
      <w:r>
        <w:t>. 543, 554-556 (2009) (discussing the possible impacts of storm and flooding on Boston, New York, and other cities and the need to plan to mitigate the damages).</w:t>
      </w:r>
    </w:p>
  </w:footnote>
  <w:footnote w:id="48">
    <w:p w14:paraId="09DB8ABB" w14:textId="217E5382" w:rsidR="006152E8" w:rsidRPr="00975DF1" w:rsidRDefault="006152E8" w:rsidP="008E66B2">
      <w:pPr>
        <w:pStyle w:val="Textpoznpodarou"/>
        <w:jc w:val="both"/>
      </w:pPr>
      <w:r>
        <w:tab/>
      </w:r>
      <w:r>
        <w:rPr>
          <w:rStyle w:val="Znakapoznpodarou"/>
        </w:rPr>
        <w:footnoteRef/>
      </w:r>
      <w:r>
        <w:tab/>
        <w:t xml:space="preserve"> IPCC, </w:t>
      </w:r>
      <w:r w:rsidRPr="00E50223">
        <w:rPr>
          <w:rFonts w:cs="Times New Roman"/>
          <w:i/>
        </w:rPr>
        <w:t>supra</w:t>
      </w:r>
      <w:r>
        <w:rPr>
          <w:rFonts w:cs="Times New Roman"/>
        </w:rPr>
        <w:t xml:space="preserve"> note </w:t>
      </w:r>
      <w:r>
        <w:rPr>
          <w:rFonts w:cs="Times New Roman"/>
        </w:rPr>
        <w:fldChar w:fldCharType="begin"/>
      </w:r>
      <w:r>
        <w:rPr>
          <w:rFonts w:cs="Times New Roman"/>
        </w:rPr>
        <w:instrText xml:space="preserve"> NOTEREF _Ref340654074 \h </w:instrText>
      </w:r>
      <w:r>
        <w:rPr>
          <w:rFonts w:cs="Times New Roman"/>
        </w:rPr>
      </w:r>
      <w:r>
        <w:rPr>
          <w:rFonts w:cs="Times New Roman"/>
        </w:rPr>
        <w:fldChar w:fldCharType="separate"/>
      </w:r>
      <w:r>
        <w:rPr>
          <w:rFonts w:cs="Times New Roman"/>
        </w:rPr>
        <w:t>37</w:t>
      </w:r>
      <w:r>
        <w:rPr>
          <w:rFonts w:cs="Times New Roman"/>
        </w:rPr>
        <w:fldChar w:fldCharType="end"/>
      </w:r>
      <w:r>
        <w:rPr>
          <w:rFonts w:cs="Times New Roman"/>
        </w:rPr>
        <w:t xml:space="preserve">, at </w:t>
      </w:r>
      <w:r w:rsidRPr="00741AB1">
        <w:rPr>
          <w:smallCaps/>
        </w:rPr>
        <w:t>7</w:t>
      </w:r>
      <w:r>
        <w:rPr>
          <w:smallCaps/>
        </w:rPr>
        <w:t>-15 (</w:t>
      </w:r>
      <w:r>
        <w:t>warning of the release of “significant quantities” of trapped methane as a result of permafrost melting in western Siberia).</w:t>
      </w:r>
    </w:p>
  </w:footnote>
  <w:footnote w:id="49">
    <w:p w14:paraId="111B93DE" w14:textId="713455CB" w:rsidR="006152E8" w:rsidRDefault="006152E8" w:rsidP="00741AB1">
      <w:pPr>
        <w:pStyle w:val="Textpoznpodarou"/>
      </w:pPr>
      <w:r>
        <w:tab/>
      </w:r>
      <w:r>
        <w:rPr>
          <w:rStyle w:val="Znakapoznpodarou"/>
        </w:rPr>
        <w:footnoteRef/>
      </w:r>
      <w:r>
        <w:tab/>
      </w:r>
      <w:r w:rsidRPr="00E50223">
        <w:rPr>
          <w:smallCaps/>
        </w:rPr>
        <w:t>Id.</w:t>
      </w:r>
      <w:r>
        <w:t xml:space="preserve"> at 110 (explaining the runaway greenhouse effect due to permafrost melting). </w:t>
      </w:r>
    </w:p>
  </w:footnote>
  <w:footnote w:id="50">
    <w:p w14:paraId="36962D29" w14:textId="1F908FC9" w:rsidR="006152E8" w:rsidRPr="005A2909" w:rsidRDefault="006152E8" w:rsidP="008E66B2">
      <w:pPr>
        <w:pStyle w:val="Textpoznpodarou"/>
        <w:jc w:val="both"/>
      </w:pPr>
      <w:r>
        <w:tab/>
      </w:r>
      <w:r>
        <w:rPr>
          <w:rStyle w:val="Znakapoznpodarou"/>
        </w:rPr>
        <w:footnoteRef/>
      </w:r>
      <w:r>
        <w:tab/>
      </w:r>
      <w:r>
        <w:rPr>
          <w:i/>
        </w:rPr>
        <w:t xml:space="preserve">See </w:t>
      </w:r>
      <w:r>
        <w:rPr>
          <w:smallCaps/>
        </w:rPr>
        <w:t>id.</w:t>
      </w:r>
      <w:r>
        <w:t xml:space="preserve"> at 797 (stating release of methane from permafrost has yet to be accounted for in projections); </w:t>
      </w:r>
      <w:r>
        <w:rPr>
          <w:i/>
        </w:rPr>
        <w:t xml:space="preserve">see also </w:t>
      </w:r>
      <w:r>
        <w:t>IPCC, S</w:t>
      </w:r>
      <w:r>
        <w:rPr>
          <w:smallCaps/>
        </w:rPr>
        <w:t xml:space="preserve">econd Assessment,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_Ref340654456 \h </w:instrText>
      </w:r>
      <w:r>
        <w:rPr>
          <w:rFonts w:cs="Times New Roman"/>
        </w:rPr>
      </w:r>
      <w:r>
        <w:rPr>
          <w:rFonts w:cs="Times New Roman"/>
        </w:rPr>
        <w:fldChar w:fldCharType="separate"/>
      </w:r>
      <w:r>
        <w:rPr>
          <w:rFonts w:cs="Times New Roman"/>
        </w:rPr>
        <w:t>40</w:t>
      </w:r>
      <w:r>
        <w:rPr>
          <w:rFonts w:cs="Times New Roman"/>
        </w:rPr>
        <w:fldChar w:fldCharType="end"/>
      </w:r>
      <w:r>
        <w:rPr>
          <w:rFonts w:cs="Times New Roman"/>
        </w:rPr>
        <w:t>,</w:t>
      </w:r>
      <w:r>
        <w:rPr>
          <w:smallCaps/>
        </w:rPr>
        <w:t xml:space="preserve"> </w:t>
      </w:r>
      <w:r>
        <w:rPr>
          <w:rFonts w:cs="Times New Roman"/>
        </w:rPr>
        <w:t xml:space="preserve">at </w:t>
      </w:r>
      <w:r>
        <w:rPr>
          <w:smallCaps/>
        </w:rPr>
        <w:t>348</w:t>
      </w:r>
      <w:r>
        <w:t xml:space="preserve"> (stating that the release of methane from permafrost has never been incorporated into “climate models”).  </w:t>
      </w:r>
      <w:r>
        <w:rPr>
          <w:i/>
        </w:rPr>
        <w:t xml:space="preserve">Cf. </w:t>
      </w:r>
      <w:r>
        <w:t xml:space="preserve">Justin Gillis, </w:t>
      </w:r>
      <w:r>
        <w:rPr>
          <w:i/>
        </w:rPr>
        <w:t>As Permafrost Thaws, Scientists Study the Risks</w:t>
      </w:r>
      <w:r>
        <w:t xml:space="preserve">, </w:t>
      </w:r>
      <w:r>
        <w:rPr>
          <w:smallCaps/>
        </w:rPr>
        <w:t>N.Y. Times</w:t>
      </w:r>
      <w:r>
        <w:t>, Dec. 17, 2011, at A1 (stating “informal projections” made by scientists predict gases released from permafrost could eventually equal “thirty-five percent of today’s annual human emissions”).</w:t>
      </w:r>
    </w:p>
  </w:footnote>
  <w:footnote w:id="51">
    <w:p w14:paraId="11BC4ED3" w14:textId="676FDC75" w:rsidR="006152E8" w:rsidRDefault="006152E8" w:rsidP="00741AB1">
      <w:pPr>
        <w:pStyle w:val="Textpoznpodarou"/>
      </w:pPr>
      <w:r>
        <w:tab/>
      </w:r>
      <w:r>
        <w:rPr>
          <w:rStyle w:val="Znakapoznpodarou"/>
        </w:rPr>
        <w:footnoteRef/>
      </w:r>
      <w:r>
        <w:tab/>
      </w:r>
      <w:r>
        <w:rPr>
          <w:i/>
        </w:rPr>
        <w:t>See Arctic Melt ‘Bubbling Out’ Ancient Methane</w:t>
      </w:r>
      <w:r>
        <w:t xml:space="preserve">, </w:t>
      </w:r>
      <w:r>
        <w:rPr>
          <w:smallCaps/>
        </w:rPr>
        <w:t>Asian News Int’l</w:t>
      </w:r>
      <w:r>
        <w:t xml:space="preserve">, May 21, 2012, </w:t>
      </w:r>
      <w:r>
        <w:rPr>
          <w:i/>
        </w:rPr>
        <w:t xml:space="preserve">available at </w:t>
      </w:r>
      <w:r>
        <w:t>2012 WLNR 10693080 (stating scientists have discovered “thousands of sites in the Arctic” where trapped methane is seeping out from melting permafrost).</w:t>
      </w:r>
    </w:p>
  </w:footnote>
  <w:footnote w:id="52">
    <w:p w14:paraId="4D5BB172" w14:textId="35C2076E" w:rsidR="006152E8" w:rsidRDefault="006152E8" w:rsidP="00DC0869">
      <w:pPr>
        <w:pStyle w:val="Textpoznpodarou"/>
        <w:jc w:val="both"/>
      </w:pPr>
      <w:r>
        <w:tab/>
      </w:r>
      <w:r>
        <w:rPr>
          <w:rStyle w:val="Znakapoznpodarou"/>
        </w:rPr>
        <w:footnoteRef/>
      </w:r>
      <w:r>
        <w:tab/>
      </w:r>
      <w:r>
        <w:rPr>
          <w:i/>
        </w:rPr>
        <w:t xml:space="preserve">See </w:t>
      </w:r>
      <w:r>
        <w:t xml:space="preserve">Steve Connor, </w:t>
      </w:r>
      <w:r>
        <w:rPr>
          <w:i/>
        </w:rPr>
        <w:t>Shock as Retreat of Arctic Sea Ice Releases Deadly Greenhouse Gas; Russian Research Team Astonished After Finding ‘Fountains’ of Methane Bubbling to Surface</w:t>
      </w:r>
      <w:r>
        <w:t xml:space="preserve">, </w:t>
      </w:r>
      <w:r>
        <w:rPr>
          <w:smallCaps/>
        </w:rPr>
        <w:t xml:space="preserve">Independent </w:t>
      </w:r>
      <w:r>
        <w:t>(London), Dec. 13, 2011, at 2 (describing scientists’ shock after witnessing “plumes of methane” being released from permafrost and the Arctic seabed).</w:t>
      </w:r>
    </w:p>
  </w:footnote>
  <w:footnote w:id="53">
    <w:p w14:paraId="268A86F2" w14:textId="206ADAF5" w:rsidR="006152E8" w:rsidRDefault="006152E8" w:rsidP="00DC0869">
      <w:pPr>
        <w:pStyle w:val="Textpoznpodarou"/>
        <w:jc w:val="both"/>
      </w:pPr>
      <w:r>
        <w:tab/>
      </w:r>
      <w:r>
        <w:rPr>
          <w:rStyle w:val="Znakapoznpodarou"/>
        </w:rPr>
        <w:footnoteRef/>
      </w:r>
      <w:r>
        <w:tab/>
      </w:r>
      <w:r>
        <w:rPr>
          <w:i/>
        </w:rPr>
        <w:t xml:space="preserve">See </w:t>
      </w:r>
      <w:r>
        <w:rPr>
          <w:smallCaps/>
        </w:rPr>
        <w:t xml:space="preserve">IPCC,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_Ref340654456 \h </w:instrText>
      </w:r>
      <w:r>
        <w:rPr>
          <w:rFonts w:cs="Times New Roman"/>
        </w:rPr>
      </w:r>
      <w:r>
        <w:rPr>
          <w:rFonts w:cs="Times New Roman"/>
        </w:rPr>
        <w:fldChar w:fldCharType="separate"/>
      </w:r>
      <w:r>
        <w:rPr>
          <w:rFonts w:cs="Times New Roman"/>
        </w:rPr>
        <w:t>40</w:t>
      </w:r>
      <w:r>
        <w:rPr>
          <w:rFonts w:cs="Times New Roman"/>
        </w:rPr>
        <w:fldChar w:fldCharType="end"/>
      </w:r>
      <w:r>
        <w:rPr>
          <w:rFonts w:cs="Times New Roman"/>
        </w:rPr>
        <w:t>,</w:t>
      </w:r>
      <w:r>
        <w:rPr>
          <w:smallCaps/>
        </w:rPr>
        <w:t xml:space="preserve"> </w:t>
      </w:r>
      <w:r>
        <w:t xml:space="preserve">at 249 (characterizing feedbacks from permafrost melting as “key uncertainties” in need of further research); </w:t>
      </w:r>
      <w:r>
        <w:rPr>
          <w:i/>
        </w:rPr>
        <w:t>see also</w:t>
      </w:r>
      <w:r>
        <w:t xml:space="preserve"> IPCC, </w:t>
      </w:r>
      <w:r>
        <w:rPr>
          <w:i/>
        </w:rPr>
        <w:t xml:space="preserve">supra </w:t>
      </w:r>
      <w:r>
        <w:t xml:space="preserve">note </w:t>
      </w:r>
      <w:r>
        <w:fldChar w:fldCharType="begin"/>
      </w:r>
      <w:r>
        <w:instrText xml:space="preserve"> NOTEREF _Ref209837414 \h </w:instrText>
      </w:r>
      <w:r>
        <w:fldChar w:fldCharType="separate"/>
      </w:r>
      <w:r>
        <w:t>36</w:t>
      </w:r>
      <w:r>
        <w:fldChar w:fldCharType="end"/>
      </w:r>
      <w:r>
        <w:t xml:space="preserve">, at 77 (characterizing the “large scale magnitude” of released methane as not well quantified). </w:t>
      </w:r>
    </w:p>
  </w:footnote>
  <w:footnote w:id="54">
    <w:p w14:paraId="40B43993" w14:textId="0E0E9EE1" w:rsidR="006152E8" w:rsidRPr="00131364" w:rsidRDefault="006152E8" w:rsidP="00DC0869">
      <w:pPr>
        <w:pStyle w:val="Textpoznpodarou"/>
        <w:jc w:val="both"/>
        <w:rPr>
          <w:rFonts w:cs="Times New Roman"/>
          <w:smallCaps/>
          <w:szCs w:val="20"/>
        </w:rPr>
      </w:pPr>
      <w:r>
        <w:tab/>
      </w:r>
      <w:r>
        <w:rPr>
          <w:rStyle w:val="Znakapoznpodarou"/>
        </w:rPr>
        <w:footnoteRef/>
      </w:r>
      <w:r>
        <w:t xml:space="preserve"> </w:t>
      </w:r>
      <w:r>
        <w:tab/>
      </w:r>
      <w:r>
        <w:rPr>
          <w:i/>
        </w:rPr>
        <w:t>See generally</w:t>
      </w:r>
      <w:r>
        <w:t xml:space="preserve"> Jonathan B. Wiener &amp; Michael D. Rodgers, </w:t>
      </w:r>
      <w:r>
        <w:rPr>
          <w:i/>
        </w:rPr>
        <w:t xml:space="preserve">Comparing Precaution in the United States and Europe, </w:t>
      </w:r>
      <w:r>
        <w:t xml:space="preserve">5 </w:t>
      </w:r>
      <w:r>
        <w:rPr>
          <w:rFonts w:cs="Times New Roman"/>
          <w:smallCaps/>
        </w:rPr>
        <w:t>J. Risk Reg. 317, 320 (2002) (</w:t>
      </w:r>
      <w:r>
        <w:rPr>
          <w:rFonts w:cs="Times New Roman"/>
        </w:rPr>
        <w:t xml:space="preserve">distinguishing risk from uncertainty based on the idea that risk involves probabilities); </w:t>
      </w:r>
      <w:r w:rsidRPr="00131364">
        <w:rPr>
          <w:rFonts w:cs="Times New Roman"/>
          <w:smallCaps/>
          <w:szCs w:val="20"/>
        </w:rPr>
        <w:t>Frank Knight, Risk, Uncertainty And Profit 19-21 (1921) (</w:t>
      </w:r>
      <w:r w:rsidRPr="00131364">
        <w:rPr>
          <w:rFonts w:cs="Times New Roman"/>
          <w:szCs w:val="20"/>
        </w:rPr>
        <w:t>same</w:t>
      </w:r>
      <w:r w:rsidRPr="00131364">
        <w:rPr>
          <w:rFonts w:cs="Times New Roman"/>
          <w:smallCaps/>
          <w:szCs w:val="20"/>
        </w:rPr>
        <w:t>).</w:t>
      </w:r>
    </w:p>
  </w:footnote>
  <w:footnote w:id="55">
    <w:p w14:paraId="5D118109" w14:textId="292F1934" w:rsidR="006152E8" w:rsidRDefault="006152E8" w:rsidP="00DC0869">
      <w:pPr>
        <w:pStyle w:val="Textpoznpodarou"/>
        <w:jc w:val="both"/>
      </w:pPr>
      <w:r>
        <w:tab/>
      </w:r>
      <w:r>
        <w:rPr>
          <w:rStyle w:val="Znakapoznpodarou"/>
        </w:rPr>
        <w:footnoteRef/>
      </w:r>
      <w:r>
        <w:t xml:space="preserve"> </w:t>
      </w:r>
      <w:r>
        <w:tab/>
      </w:r>
      <w:r>
        <w:rPr>
          <w:i/>
        </w:rPr>
        <w:t>See</w:t>
      </w:r>
      <w:r>
        <w:t xml:space="preserve"> Charest, </w:t>
      </w:r>
      <w:r>
        <w:rPr>
          <w:i/>
        </w:rPr>
        <w:t>supra</w:t>
      </w:r>
      <w:r>
        <w:t xml:space="preserve"> note </w:t>
      </w:r>
      <w:r>
        <w:fldChar w:fldCharType="begin"/>
      </w:r>
      <w:r>
        <w:instrText xml:space="preserve"> NOTEREF _Ref323812279 \h </w:instrText>
      </w:r>
      <w:r>
        <w:fldChar w:fldCharType="separate"/>
      </w:r>
      <w:r>
        <w:t>3</w:t>
      </w:r>
      <w:r>
        <w:fldChar w:fldCharType="end"/>
      </w:r>
      <w:r>
        <w:t>, at 268 (pointing out that true uncertainty, where probabilities cannot be calculated, characterizes “many environmental problems”).</w:t>
      </w:r>
    </w:p>
  </w:footnote>
  <w:footnote w:id="56">
    <w:p w14:paraId="03901ECC" w14:textId="77777777" w:rsidR="006152E8" w:rsidRDefault="006152E8" w:rsidP="00B506B0">
      <w:pPr>
        <w:pStyle w:val="Textpoznpodarou"/>
        <w:jc w:val="both"/>
      </w:pPr>
      <w:r>
        <w:tab/>
      </w:r>
      <w:r>
        <w:rPr>
          <w:rStyle w:val="Znakapoznpodarou"/>
        </w:rPr>
        <w:footnoteRef/>
      </w:r>
      <w:r>
        <w:tab/>
      </w:r>
      <w:r>
        <w:rPr>
          <w:i/>
        </w:rPr>
        <w:t>See</w:t>
      </w:r>
      <w:r>
        <w:t xml:space="preserve"> id. at 272-74 (explaining this approach in more detail). </w:t>
      </w:r>
    </w:p>
  </w:footnote>
  <w:footnote w:id="57">
    <w:p w14:paraId="0116123B" w14:textId="38B31C6E" w:rsidR="006152E8" w:rsidRDefault="006152E8" w:rsidP="004C0207">
      <w:pPr>
        <w:pStyle w:val="Textpoznpodarou"/>
        <w:jc w:val="both"/>
      </w:pPr>
      <w:r>
        <w:tab/>
      </w:r>
      <w:r>
        <w:rPr>
          <w:rStyle w:val="Znakapoznpodarou"/>
        </w:rPr>
        <w:footnoteRef/>
      </w:r>
      <w:r>
        <w:tab/>
      </w:r>
      <w:r>
        <w:rPr>
          <w:i/>
        </w:rPr>
        <w:t>See</w:t>
      </w:r>
      <w:r>
        <w:t xml:space="preserve"> David E. Adelman, </w:t>
      </w:r>
      <w:r>
        <w:rPr>
          <w:i/>
        </w:rPr>
        <w:t xml:space="preserve">Two Models for Scientific Transparency in Environmental Law, in </w:t>
      </w:r>
      <w:r>
        <w:rPr>
          <w:rFonts w:cs="Times New Roman"/>
          <w:smallCaps/>
        </w:rPr>
        <w:t xml:space="preserve">Rescuing Science from Politics:  Regulation and the Distortion of Scientific Research 193, 198 </w:t>
      </w:r>
      <w:r>
        <w:rPr>
          <w:rFonts w:cs="Times New Roman"/>
        </w:rPr>
        <w:t>(Wendy Wagner &amp; Rena Steinzor eds., 2006)</w:t>
      </w:r>
      <w:r>
        <w:rPr>
          <w:i/>
        </w:rPr>
        <w:t xml:space="preserve"> </w:t>
      </w:r>
      <w:r>
        <w:t xml:space="preserve">[hereinafter </w:t>
      </w:r>
      <w:r>
        <w:rPr>
          <w:rFonts w:cs="Times New Roman"/>
          <w:smallCaps/>
        </w:rPr>
        <w:t>Rescuing</w:t>
      </w:r>
      <w:r>
        <w:rPr>
          <w:rFonts w:cs="Times New Roman"/>
        </w:rPr>
        <w:t>] (describing Bayesian methods as based on “subjective” judgment).</w:t>
      </w:r>
      <w:r>
        <w:t xml:space="preserve"> </w:t>
      </w:r>
    </w:p>
  </w:footnote>
  <w:footnote w:id="58">
    <w:p w14:paraId="5BE61725" w14:textId="34729985" w:rsidR="006152E8" w:rsidRDefault="006152E8" w:rsidP="004C0207">
      <w:pPr>
        <w:pStyle w:val="Textpoznpodarou"/>
        <w:jc w:val="both"/>
      </w:pPr>
      <w:r>
        <w:tab/>
      </w:r>
      <w:r>
        <w:rPr>
          <w:rStyle w:val="Znakapoznpodarou"/>
        </w:rPr>
        <w:footnoteRef/>
      </w:r>
      <w:r>
        <w:tab/>
      </w:r>
      <w:r>
        <w:rPr>
          <w:i/>
        </w:rPr>
        <w:t>See</w:t>
      </w:r>
      <w:r>
        <w:t xml:space="preserve"> id. at 201 (pointing out that environmental scientists often differ substantially in judgments about the appropriate Bayesian priors). </w:t>
      </w:r>
    </w:p>
  </w:footnote>
  <w:footnote w:id="59">
    <w:p w14:paraId="4AFA3A7F" w14:textId="28021224" w:rsidR="006152E8" w:rsidRDefault="006152E8" w:rsidP="00B506B0">
      <w:pPr>
        <w:pStyle w:val="Textpoznpodarou"/>
        <w:jc w:val="both"/>
      </w:pPr>
      <w:r>
        <w:tab/>
      </w:r>
      <w:r>
        <w:rPr>
          <w:rStyle w:val="Znakapoznpodarou"/>
        </w:rPr>
        <w:footnoteRef/>
      </w:r>
      <w:r>
        <w:t xml:space="preserve"> </w:t>
      </w:r>
      <w:r>
        <w:tab/>
      </w:r>
      <w:r>
        <w:rPr>
          <w:i/>
        </w:rPr>
        <w:t>See</w:t>
      </w:r>
      <w:r>
        <w:t xml:space="preserve"> Charest, </w:t>
      </w:r>
      <w:r w:rsidRPr="004C0207">
        <w:rPr>
          <w:i/>
        </w:rPr>
        <w:t xml:space="preserve">supra </w:t>
      </w:r>
      <w:r w:rsidRPr="004C0207">
        <w:t>note</w:t>
      </w:r>
      <w:r>
        <w:t xml:space="preserve"> </w:t>
      </w:r>
      <w:r>
        <w:fldChar w:fldCharType="begin"/>
      </w:r>
      <w:r>
        <w:instrText xml:space="preserve"> NOTEREF _Ref323812279 \h </w:instrText>
      </w:r>
      <w:r>
        <w:fldChar w:fldCharType="separate"/>
      </w:r>
      <w:r>
        <w:t>3</w:t>
      </w:r>
      <w:r>
        <w:fldChar w:fldCharType="end"/>
      </w:r>
      <w:r>
        <w:t xml:space="preserve">, at 276 (pointing out that many believe that the Bayesian approach, as applied to true uncertainty is arbitrary).  Charest does not dispute this characterization of the Bayesian approach as arbitrary, but essentially argues that such arbitrariness is inevitable when confronting uncertainty.  Id. at 277.  </w:t>
      </w:r>
    </w:p>
  </w:footnote>
  <w:footnote w:id="60">
    <w:p w14:paraId="7CA2F16D" w14:textId="77777777" w:rsidR="006152E8" w:rsidRDefault="006152E8" w:rsidP="004C0207">
      <w:pPr>
        <w:pStyle w:val="Textpoznpodarou"/>
        <w:jc w:val="both"/>
      </w:pPr>
      <w:r>
        <w:tab/>
      </w:r>
      <w:r>
        <w:rPr>
          <w:rStyle w:val="Znakapoznpodarou"/>
        </w:rPr>
        <w:footnoteRef/>
      </w:r>
      <w:r>
        <w:tab/>
      </w:r>
      <w:r>
        <w:rPr>
          <w:i/>
        </w:rPr>
        <w:t>See</w:t>
      </w:r>
      <w:r>
        <w:t xml:space="preserve"> Timothy M. Lenton </w:t>
      </w:r>
      <w:r>
        <w:rPr>
          <w:i/>
        </w:rPr>
        <w:t xml:space="preserve">et al., Tipping Elements in the Earth’s Climate System, </w:t>
      </w:r>
      <w:r>
        <w:t xml:space="preserve">105 PNAS 1786, 1791 (2008) (characterizing the criticism of expert belief as not adding to scientific knowledge when not verified by data or theory as a “general criticism” from a natural science perspective). </w:t>
      </w:r>
    </w:p>
  </w:footnote>
  <w:footnote w:id="61">
    <w:p w14:paraId="1214D3E4" w14:textId="61F1CDB1" w:rsidR="006152E8" w:rsidRDefault="006152E8" w:rsidP="004C0207">
      <w:pPr>
        <w:pStyle w:val="Textpoznpodarou"/>
        <w:ind w:firstLine="360"/>
        <w:jc w:val="both"/>
      </w:pPr>
      <w:r>
        <w:rPr>
          <w:rStyle w:val="Znakapoznpodarou"/>
        </w:rPr>
        <w:footnoteRef/>
      </w:r>
      <w:r>
        <w:t xml:space="preserve"> </w:t>
      </w:r>
      <w:r>
        <w:tab/>
        <w:t xml:space="preserve">Itzhak Gilboa, Andrew W. Postlewaite, &amp; David Schmeidler, </w:t>
      </w:r>
      <w:r>
        <w:rPr>
          <w:i/>
        </w:rPr>
        <w:t>Probability and Uncertainty in Economic Modeling</w:t>
      </w:r>
      <w:r>
        <w:t xml:space="preserve">,  22 </w:t>
      </w:r>
      <w:r>
        <w:rPr>
          <w:smallCaps/>
        </w:rPr>
        <w:t>J. Econ. Persp.</w:t>
      </w:r>
      <w:r>
        <w:t xml:space="preserve"> 173 (2008).</w:t>
      </w:r>
    </w:p>
  </w:footnote>
  <w:footnote w:id="62">
    <w:p w14:paraId="44119DE1" w14:textId="77777777" w:rsidR="006152E8" w:rsidRDefault="006152E8" w:rsidP="00B506B0">
      <w:pPr>
        <w:pStyle w:val="Textpoznpodarou"/>
        <w:jc w:val="both"/>
        <w:rPr>
          <w:rFonts w:cs="Times New Roman"/>
        </w:rPr>
      </w:pPr>
      <w:r>
        <w:tab/>
      </w:r>
      <w:r>
        <w:rPr>
          <w:rStyle w:val="Znakapoznpodarou"/>
        </w:rPr>
        <w:footnoteRef/>
      </w:r>
      <w:r>
        <w:t xml:space="preserve"> </w:t>
      </w:r>
      <w:r>
        <w:tab/>
      </w:r>
      <w:r>
        <w:rPr>
          <w:i/>
        </w:rPr>
        <w:t>See</w:t>
      </w:r>
      <w:r>
        <w:t xml:space="preserve"> Wendy Wagner, </w:t>
      </w:r>
      <w:r>
        <w:rPr>
          <w:i/>
        </w:rPr>
        <w:t xml:space="preserve">The Science Charade in Toxic Risk Assessment, </w:t>
      </w:r>
      <w:r>
        <w:t xml:space="preserve">95 </w:t>
      </w:r>
      <w:r>
        <w:rPr>
          <w:rFonts w:cs="Times New Roman"/>
          <w:smallCaps/>
        </w:rPr>
        <w:t>Colum. L. Rev. 1613, 1623 (1995) (</w:t>
      </w:r>
      <w:r>
        <w:rPr>
          <w:rFonts w:cs="Times New Roman"/>
        </w:rPr>
        <w:t>noting that science defines the scientifically plausible default options governing extrapolations from data).</w:t>
      </w:r>
    </w:p>
  </w:footnote>
  <w:footnote w:id="63">
    <w:p w14:paraId="72E2A896" w14:textId="434DB9AB" w:rsidR="006152E8" w:rsidRDefault="006152E8" w:rsidP="00B506B0">
      <w:pPr>
        <w:pStyle w:val="Textpoznpodarou"/>
        <w:jc w:val="both"/>
      </w:pPr>
      <w:r>
        <w:tab/>
      </w:r>
      <w:r>
        <w:rPr>
          <w:rStyle w:val="Znakapoznpodarou"/>
        </w:rPr>
        <w:footnoteRef/>
      </w:r>
      <w:r>
        <w:tab/>
      </w:r>
      <w:r>
        <w:rPr>
          <w:i/>
        </w:rPr>
        <w:t xml:space="preserve">See </w:t>
      </w:r>
      <w:r>
        <w:t xml:space="preserve">id. at 1637-38 (discussing the National Research Council’s opposition to “single point estimates” of risk in light of scientific uncertainty); Jonathan Remy Nash, </w:t>
      </w:r>
      <w:r>
        <w:rPr>
          <w:i/>
        </w:rPr>
        <w:t xml:space="preserve">The Supreme Court and the Regulation of Risk in Criminal Law Enforcement, </w:t>
      </w:r>
      <w:r>
        <w:t xml:space="preserve">92 </w:t>
      </w:r>
      <w:r>
        <w:rPr>
          <w:rFonts w:cs="Times New Roman"/>
          <w:smallCaps/>
        </w:rPr>
        <w:t>B.U.L.Rev. 171, 208 (2012) (</w:t>
      </w:r>
      <w:r>
        <w:rPr>
          <w:rFonts w:cs="Times New Roman"/>
        </w:rPr>
        <w:t xml:space="preserve">pointing out that limited data imply benefit ranges, rather than a benefit number). </w:t>
      </w:r>
    </w:p>
  </w:footnote>
  <w:footnote w:id="64">
    <w:p w14:paraId="7C6A7940" w14:textId="69FEA04A" w:rsidR="006152E8" w:rsidRDefault="006152E8" w:rsidP="00B506B0">
      <w:pPr>
        <w:pStyle w:val="Textpoznpodarou"/>
        <w:jc w:val="both"/>
      </w:pPr>
      <w:r>
        <w:tab/>
      </w:r>
      <w:r>
        <w:rPr>
          <w:rStyle w:val="Znakapoznpodarou"/>
        </w:rPr>
        <w:footnoteRef/>
      </w:r>
      <w:r>
        <w:tab/>
      </w:r>
      <w:r>
        <w:rPr>
          <w:i/>
        </w:rPr>
        <w:t>Se</w:t>
      </w:r>
      <w:r>
        <w:t xml:space="preserve">e Kysar, </w:t>
      </w:r>
      <w:r>
        <w:rPr>
          <w:i/>
        </w:rPr>
        <w:t>supra</w:t>
      </w:r>
      <w:r>
        <w:t xml:space="preserve"> note </w:t>
      </w:r>
      <w:r>
        <w:fldChar w:fldCharType="begin"/>
      </w:r>
      <w:r>
        <w:instrText xml:space="preserve"> NOTEREF _Ref325619035 \h </w:instrText>
      </w:r>
      <w:r>
        <w:fldChar w:fldCharType="separate"/>
      </w:r>
      <w:r>
        <w:t>14</w:t>
      </w:r>
      <w:r>
        <w:fldChar w:fldCharType="end"/>
      </w:r>
      <w:r>
        <w:t xml:space="preserve">, at </w:t>
      </w:r>
      <w:r>
        <w:rPr>
          <w:rFonts w:cs="Times New Roman"/>
          <w:smallCaps/>
        </w:rPr>
        <w:t>562  (</w:t>
      </w:r>
      <w:r>
        <w:rPr>
          <w:rFonts w:cs="Times New Roman"/>
        </w:rPr>
        <w:t>reporting estimates of the benefits of greenhouse gas abatement that vary between $5 and $125 per ton).</w:t>
      </w:r>
      <w:r>
        <w:t xml:space="preserve"> </w:t>
      </w:r>
    </w:p>
  </w:footnote>
  <w:footnote w:id="65">
    <w:p w14:paraId="1BBA88B5" w14:textId="328F14F9" w:rsidR="006152E8" w:rsidRDefault="006152E8" w:rsidP="005717D6">
      <w:pPr>
        <w:pStyle w:val="Textpoznpodarou"/>
        <w:jc w:val="both"/>
      </w:pPr>
      <w:r>
        <w:tab/>
      </w:r>
      <w:r>
        <w:rPr>
          <w:rStyle w:val="Znakapoznpodarou"/>
        </w:rPr>
        <w:footnoteRef/>
      </w:r>
      <w:r>
        <w:tab/>
      </w:r>
      <w:r>
        <w:rPr>
          <w:i/>
        </w:rPr>
        <w:t xml:space="preserve">See </w:t>
      </w:r>
      <w:r>
        <w:t xml:space="preserve">Wagner, </w:t>
      </w:r>
      <w:r>
        <w:rPr>
          <w:i/>
        </w:rPr>
        <w:t>supra</w:t>
      </w:r>
      <w:r>
        <w:t xml:space="preserve"> note </w:t>
      </w:r>
      <w:r>
        <w:fldChar w:fldCharType="begin"/>
      </w:r>
      <w:r>
        <w:instrText xml:space="preserve"> NOTEREF _Ref326227451 \h </w:instrText>
      </w:r>
      <w:r>
        <w:fldChar w:fldCharType="separate"/>
      </w:r>
      <w:r>
        <w:t>60</w:t>
      </w:r>
      <w:r>
        <w:fldChar w:fldCharType="end"/>
      </w:r>
      <w:r>
        <w:t xml:space="preserve">, at 1681 (noting that “agencies tend to be ‘science-based’ in choosing toxic substances to regulate”); </w:t>
      </w:r>
      <w:r>
        <w:rPr>
          <w:i/>
        </w:rPr>
        <w:t>see also</w:t>
      </w:r>
      <w:r>
        <w:t xml:space="preserve"> Driesen, </w:t>
      </w:r>
      <w:r>
        <w:rPr>
          <w:i/>
        </w:rPr>
        <w:t>Priorities</w:t>
      </w:r>
      <w:r>
        <w:rPr>
          <w:rFonts w:cs="Times New Roman"/>
          <w:smallCaps/>
        </w:rPr>
        <w:t>,</w:t>
      </w:r>
      <w:r>
        <w:rPr>
          <w:rFonts w:cs="Times New Roman"/>
          <w:i/>
          <w:smallCaps/>
        </w:rPr>
        <w:t xml:space="preserve"> </w:t>
      </w:r>
      <w:r w:rsidRPr="005717D6">
        <w:rPr>
          <w:rFonts w:cs="Times New Roman"/>
          <w:i/>
        </w:rPr>
        <w:t xml:space="preserve">supra </w:t>
      </w:r>
      <w:r w:rsidRPr="005717D6">
        <w:rPr>
          <w:rFonts w:cs="Times New Roman"/>
        </w:rPr>
        <w:t>note</w:t>
      </w:r>
      <w:r>
        <w:rPr>
          <w:rFonts w:cs="Times New Roman"/>
          <w:smallCaps/>
        </w:rPr>
        <w:t xml:space="preserve"> </w:t>
      </w:r>
      <w:r>
        <w:rPr>
          <w:rFonts w:cs="Times New Roman"/>
          <w:smallCaps/>
        </w:rPr>
        <w:fldChar w:fldCharType="begin"/>
      </w:r>
      <w:r>
        <w:rPr>
          <w:rFonts w:cs="Times New Roman"/>
          <w:smallCaps/>
        </w:rPr>
        <w:instrText xml:space="preserve"> NOTEREF _Ref322954156 \h </w:instrText>
      </w:r>
      <w:r>
        <w:rPr>
          <w:rFonts w:cs="Times New Roman"/>
          <w:smallCaps/>
        </w:rPr>
      </w:r>
      <w:r>
        <w:rPr>
          <w:rFonts w:cs="Times New Roman"/>
          <w:smallCaps/>
        </w:rPr>
        <w:fldChar w:fldCharType="separate"/>
      </w:r>
      <w:r>
        <w:rPr>
          <w:rFonts w:cs="Times New Roman"/>
          <w:smallCaps/>
        </w:rPr>
        <w:t>17</w:t>
      </w:r>
      <w:r>
        <w:rPr>
          <w:rFonts w:cs="Times New Roman"/>
          <w:smallCaps/>
        </w:rPr>
        <w:fldChar w:fldCharType="end"/>
      </w:r>
      <w:r>
        <w:rPr>
          <w:rFonts w:cs="Times New Roman"/>
          <w:smallCaps/>
        </w:rPr>
        <w:t xml:space="preserve">, </w:t>
      </w:r>
      <w:r>
        <w:rPr>
          <w:rFonts w:cs="Times New Roman"/>
        </w:rPr>
        <w:t>at</w:t>
      </w:r>
      <w:r>
        <w:rPr>
          <w:rFonts w:cs="Times New Roman"/>
          <w:smallCaps/>
        </w:rPr>
        <w:t xml:space="preserve"> 10006-7 (</w:t>
      </w:r>
      <w:r>
        <w:rPr>
          <w:rFonts w:cs="Times New Roman"/>
        </w:rPr>
        <w:t xml:space="preserve">discussing science-based criteria in the Clean Air Act, Clean Water Act, and RCRA); </w:t>
      </w:r>
      <w:r>
        <w:t xml:space="preserve">John Dernbach, </w:t>
      </w:r>
      <w:r>
        <w:rPr>
          <w:i/>
        </w:rPr>
        <w:t xml:space="preserve">The Unfocused Regulation of Toxic and Hazardous Pollutants, </w:t>
      </w:r>
      <w:r>
        <w:t xml:space="preserve">21 </w:t>
      </w:r>
      <w:r>
        <w:rPr>
          <w:rFonts w:cs="Times New Roman"/>
          <w:smallCaps/>
        </w:rPr>
        <w:t>Harv. Envtl. L. Rev. 1 (1997) (</w:t>
      </w:r>
      <w:r>
        <w:rPr>
          <w:rFonts w:cs="Times New Roman"/>
        </w:rPr>
        <w:t>discussing the law governing selection of toxic pollution for regulation).</w:t>
      </w:r>
      <w:r>
        <w:t xml:space="preserve"> </w:t>
      </w:r>
    </w:p>
  </w:footnote>
  <w:footnote w:id="66">
    <w:p w14:paraId="0357D11A" w14:textId="51E858B0" w:rsidR="006152E8" w:rsidRDefault="006152E8" w:rsidP="005717D6">
      <w:pPr>
        <w:pStyle w:val="Textpoznpodarou"/>
        <w:jc w:val="both"/>
      </w:pPr>
      <w:r>
        <w:tab/>
      </w:r>
      <w:r>
        <w:rPr>
          <w:rStyle w:val="Znakapoznpodarou"/>
        </w:rPr>
        <w:footnoteRef/>
      </w:r>
      <w:r>
        <w:t xml:space="preserve">  </w:t>
      </w:r>
      <w:r>
        <w:rPr>
          <w:i/>
        </w:rPr>
        <w:t>See</w:t>
      </w:r>
      <w:r>
        <w:t xml:space="preserve"> </w:t>
      </w:r>
      <w:r w:rsidRPr="007B0BCA">
        <w:rPr>
          <w:smallCaps/>
        </w:rPr>
        <w:t>Sidney A. Shapiro &amp; Robert L. Glicksman, Risk Regulation at Risk:  Restoring a Pragmatic Approach</w:t>
      </w:r>
      <w:r>
        <w:rPr>
          <w:smallCaps/>
        </w:rPr>
        <w:t xml:space="preserve"> 31-</w:t>
      </w:r>
      <w:r>
        <w:t xml:space="preserve">35 (2003) (distinguishing triggers from criteria for establishing levels of risk reduction). </w:t>
      </w:r>
    </w:p>
  </w:footnote>
  <w:footnote w:id="67">
    <w:p w14:paraId="5DB766E7" w14:textId="19473ED2" w:rsidR="006152E8" w:rsidRPr="002B4BBF" w:rsidRDefault="006152E8" w:rsidP="005717D6">
      <w:pPr>
        <w:pStyle w:val="Textpoznpodarou"/>
        <w:jc w:val="both"/>
        <w:rPr>
          <w:rFonts w:cs="Times New Roman"/>
          <w:smallCaps/>
        </w:rPr>
      </w:pPr>
      <w:r>
        <w:tab/>
      </w:r>
      <w:r>
        <w:rPr>
          <w:rStyle w:val="Znakapoznpodarou"/>
        </w:rPr>
        <w:footnoteRef/>
      </w:r>
      <w:r>
        <w:tab/>
      </w:r>
      <w:r>
        <w:rPr>
          <w:i/>
        </w:rPr>
        <w:t xml:space="preserve">See </w:t>
      </w:r>
      <w:r>
        <w:t xml:space="preserve">Driesen, </w:t>
      </w:r>
      <w:r>
        <w:rPr>
          <w:i/>
        </w:rPr>
        <w:t>Neutral,</w:t>
      </w:r>
      <w:r>
        <w:t xml:space="preserve"> </w:t>
      </w:r>
      <w:r>
        <w:rPr>
          <w:i/>
        </w:rPr>
        <w:t xml:space="preserve">supra </w:t>
      </w:r>
      <w:r>
        <w:t xml:space="preserve">note </w:t>
      </w:r>
      <w:r>
        <w:fldChar w:fldCharType="begin"/>
      </w:r>
      <w:r>
        <w:instrText xml:space="preserve"> NOTEREF _Ref322954156 \h </w:instrText>
      </w:r>
      <w:r>
        <w:fldChar w:fldCharType="separate"/>
      </w:r>
      <w:r>
        <w:t>17</w:t>
      </w:r>
      <w:r>
        <w:fldChar w:fldCharType="end"/>
      </w:r>
      <w:r>
        <w:t>, at</w:t>
      </w:r>
      <w:r>
        <w:rPr>
          <w:rFonts w:cs="Times New Roman"/>
          <w:smallCaps/>
        </w:rPr>
        <w:t xml:space="preserve"> 379-80 </w:t>
      </w:r>
      <w:r>
        <w:rPr>
          <w:rFonts w:cs="Times New Roman"/>
        </w:rPr>
        <w:t xml:space="preserve">(describing OIRA review as a one way ratchet).  </w:t>
      </w:r>
      <w:r>
        <w:rPr>
          <w:rFonts w:cs="Times New Roman"/>
          <w:i/>
        </w:rPr>
        <w:t>Accord</w:t>
      </w:r>
      <w:r>
        <w:rPr>
          <w:rFonts w:cs="Times New Roman"/>
        </w:rPr>
        <w:t xml:space="preserve"> Nicholas Bagley &amp; Richard L. Revesz, </w:t>
      </w:r>
      <w:r>
        <w:rPr>
          <w:rFonts w:cs="Times New Roman"/>
          <w:i/>
        </w:rPr>
        <w:t xml:space="preserve">Centralized Oversight of the Regulatory State, </w:t>
      </w:r>
      <w:r>
        <w:rPr>
          <w:rFonts w:cs="Times New Roman"/>
        </w:rPr>
        <w:t xml:space="preserve">106 </w:t>
      </w:r>
      <w:r>
        <w:rPr>
          <w:rFonts w:cs="Times New Roman"/>
          <w:smallCaps/>
        </w:rPr>
        <w:t>Colum. L. Rev. 1260, 1269 (2006).</w:t>
      </w:r>
    </w:p>
  </w:footnote>
  <w:footnote w:id="68">
    <w:p w14:paraId="5E1B565A" w14:textId="77777777" w:rsidR="006152E8" w:rsidRDefault="006152E8" w:rsidP="005717D6">
      <w:pPr>
        <w:pStyle w:val="Textpoznpodarou"/>
        <w:jc w:val="both"/>
      </w:pPr>
      <w:r>
        <w:tab/>
      </w:r>
      <w:r>
        <w:rPr>
          <w:rStyle w:val="Znakapoznpodarou"/>
        </w:rPr>
        <w:footnoteRef/>
      </w:r>
      <w:r>
        <w:tab/>
      </w:r>
      <w:r>
        <w:rPr>
          <w:i/>
        </w:rPr>
        <w:t xml:space="preserve">See </w:t>
      </w:r>
      <w:r>
        <w:t xml:space="preserve">Daniel Farber, </w:t>
      </w:r>
      <w:r>
        <w:rPr>
          <w:i/>
        </w:rPr>
        <w:t xml:space="preserve">Rethinking the Role of Cost-Benefit Analysis, </w:t>
      </w:r>
      <w:r>
        <w:t xml:space="preserve">76 </w:t>
      </w:r>
      <w:r>
        <w:rPr>
          <w:rFonts w:cs="Times New Roman"/>
          <w:smallCaps/>
        </w:rPr>
        <w:t>U. Chi. L. Rev. 1355, 1364 (2009) (</w:t>
      </w:r>
      <w:r>
        <w:rPr>
          <w:rFonts w:cs="Times New Roman"/>
        </w:rPr>
        <w:t>describing “the push to apply CBA to environmental regulation” as a product of “antiregulatory fervor”).</w:t>
      </w:r>
      <w:r>
        <w:t xml:space="preserve"> </w:t>
      </w:r>
    </w:p>
  </w:footnote>
  <w:footnote w:id="69">
    <w:p w14:paraId="2D2E6BCF" w14:textId="77777777" w:rsidR="006152E8" w:rsidRDefault="006152E8" w:rsidP="005717D6">
      <w:pPr>
        <w:pStyle w:val="Textpoznpodarou"/>
        <w:jc w:val="both"/>
      </w:pPr>
      <w:r>
        <w:tab/>
      </w:r>
      <w:r>
        <w:rPr>
          <w:rStyle w:val="Znakapoznpodarou"/>
        </w:rPr>
        <w:footnoteRef/>
      </w:r>
      <w:r>
        <w:tab/>
        <w:t xml:space="preserve">Exec. Order 12,291, 3 C.F.R. 127 (1981) (revoked by Exec. Order 12,866 § 11, 3 C.F.R. 638, 649 (1993)). </w:t>
      </w:r>
    </w:p>
  </w:footnote>
  <w:footnote w:id="70">
    <w:p w14:paraId="494761FB" w14:textId="432CDF65" w:rsidR="006152E8" w:rsidRDefault="006152E8">
      <w:pPr>
        <w:pStyle w:val="Textpoznpodarou"/>
      </w:pPr>
      <w:r>
        <w:tab/>
      </w:r>
      <w:r>
        <w:rPr>
          <w:rStyle w:val="Znakapoznpodarou"/>
        </w:rPr>
        <w:footnoteRef/>
      </w:r>
      <w:r>
        <w:tab/>
        <w:t xml:space="preserve">Id. (preamble, § 2(b)).    </w:t>
      </w:r>
    </w:p>
  </w:footnote>
  <w:footnote w:id="71">
    <w:p w14:paraId="1B87599F" w14:textId="3B988643" w:rsidR="006152E8" w:rsidRDefault="006152E8" w:rsidP="005A3A77">
      <w:pPr>
        <w:pStyle w:val="Textpoznpodarou"/>
        <w:jc w:val="both"/>
      </w:pPr>
      <w:r>
        <w:tab/>
      </w:r>
      <w:r>
        <w:rPr>
          <w:rStyle w:val="Znakapoznpodarou"/>
        </w:rPr>
        <w:footnoteRef/>
      </w:r>
      <w:r>
        <w:tab/>
        <w:t xml:space="preserve">Id. § 2(c); Exec. Order 12,866, § 1, 3 C.F.R. 638 (1993) (stating that agencies should select approaches that “maximize net benefits”); Exec. Order 13563, § 1(b)(3), 76 Fed. Reg. 3821 (January 18, 2011).   </w:t>
      </w:r>
    </w:p>
  </w:footnote>
  <w:footnote w:id="72">
    <w:p w14:paraId="3285E528" w14:textId="5E1AB6CD" w:rsidR="006152E8" w:rsidRDefault="006152E8" w:rsidP="00B506B0">
      <w:pPr>
        <w:pStyle w:val="Textpoznpodarou"/>
        <w:jc w:val="both"/>
      </w:pPr>
      <w:r>
        <w:tab/>
      </w:r>
      <w:r>
        <w:rPr>
          <w:rStyle w:val="Znakapoznpodarou"/>
        </w:rPr>
        <w:footnoteRef/>
      </w:r>
      <w:r>
        <w:t xml:space="preserve"> </w:t>
      </w:r>
      <w:r>
        <w:tab/>
      </w:r>
      <w:r>
        <w:rPr>
          <w:i/>
        </w:rPr>
        <w:t xml:space="preserve">See </w:t>
      </w:r>
      <w:r>
        <w:t xml:space="preserve">Stone, </w:t>
      </w:r>
      <w:r>
        <w:rPr>
          <w:i/>
        </w:rPr>
        <w:t>supra</w:t>
      </w:r>
      <w:r>
        <w:t xml:space="preserve"> note </w:t>
      </w:r>
      <w:r>
        <w:fldChar w:fldCharType="begin"/>
      </w:r>
      <w:r>
        <w:instrText xml:space="preserve"> NOTEREF _Ref319933114 \h </w:instrText>
      </w:r>
      <w:r>
        <w:fldChar w:fldCharType="separate"/>
      </w:r>
      <w:r>
        <w:t>4</w:t>
      </w:r>
      <w:r>
        <w:fldChar w:fldCharType="end"/>
      </w:r>
      <w:r>
        <w:t>, at 10794 (noting that an optimal level of pollution occurs when marginal benefits equal marginal costs).</w:t>
      </w:r>
    </w:p>
  </w:footnote>
  <w:footnote w:id="73">
    <w:p w14:paraId="68AFD0DF" w14:textId="54C814F3" w:rsidR="006152E8" w:rsidRPr="00EA5063" w:rsidRDefault="006152E8" w:rsidP="005717D6">
      <w:pPr>
        <w:pStyle w:val="Textpoznpodarou"/>
        <w:jc w:val="both"/>
        <w:rPr>
          <w:rFonts w:cs="Times New Roman"/>
        </w:rPr>
      </w:pPr>
      <w:r>
        <w:tab/>
      </w:r>
      <w:r>
        <w:rPr>
          <w:rStyle w:val="Znakapoznpodarou"/>
        </w:rPr>
        <w:footnoteRef/>
      </w:r>
      <w:r>
        <w:t xml:space="preserve"> </w:t>
      </w:r>
      <w:r>
        <w:tab/>
      </w:r>
      <w:r>
        <w:rPr>
          <w:i/>
        </w:rPr>
        <w:t>See</w:t>
      </w:r>
      <w:r>
        <w:t xml:space="preserve"> Driesen, </w:t>
      </w:r>
      <w:r>
        <w:rPr>
          <w:i/>
        </w:rPr>
        <w:t>Neutral, supra</w:t>
      </w:r>
      <w:r>
        <w:t xml:space="preserve"> note </w:t>
      </w:r>
      <w:r>
        <w:fldChar w:fldCharType="begin"/>
      </w:r>
      <w:r>
        <w:instrText xml:space="preserve"> NOTEREF _Ref322954156 \h </w:instrText>
      </w:r>
      <w:r>
        <w:fldChar w:fldCharType="separate"/>
      </w:r>
      <w:r>
        <w:t>17</w:t>
      </w:r>
      <w:r>
        <w:fldChar w:fldCharType="end"/>
      </w:r>
      <w:r>
        <w:t xml:space="preserve">, at 384 (citing the example of a lead abatement rule from the Reagan administration as the only case where CBA has led to stronger regulation than EPA had proposed).  </w:t>
      </w:r>
      <w:r>
        <w:rPr>
          <w:i/>
        </w:rPr>
        <w:t xml:space="preserve">Cf. </w:t>
      </w:r>
      <w:r>
        <w:t xml:space="preserve">Cass R. Sunstein, </w:t>
      </w:r>
      <w:r>
        <w:rPr>
          <w:i/>
        </w:rPr>
        <w:t xml:space="preserve">Lessons from Ronald Reagan, </w:t>
      </w:r>
      <w:r>
        <w:rPr>
          <w:rFonts w:cs="Times New Roman"/>
          <w:smallCaps/>
        </w:rPr>
        <w:t>N. Y. Times, N</w:t>
      </w:r>
      <w:r>
        <w:rPr>
          <w:rFonts w:cs="Times New Roman"/>
        </w:rPr>
        <w:t>ovember 11, 2012, opinion, p. 4 (suggesting that CBA of ozone depletion led to stronger regulation).</w:t>
      </w:r>
    </w:p>
  </w:footnote>
  <w:footnote w:id="74">
    <w:p w14:paraId="33642744" w14:textId="15A409EE" w:rsidR="006152E8" w:rsidRPr="002C51B3" w:rsidRDefault="006152E8" w:rsidP="004C0207">
      <w:pPr>
        <w:pStyle w:val="Textpoznpodarou"/>
        <w:jc w:val="both"/>
      </w:pPr>
      <w:r>
        <w:tab/>
      </w:r>
      <w:r>
        <w:rPr>
          <w:rStyle w:val="Znakapoznpodarou"/>
        </w:rPr>
        <w:footnoteRef/>
      </w:r>
      <w:r>
        <w:tab/>
      </w:r>
      <w:r>
        <w:rPr>
          <w:i/>
        </w:rPr>
        <w:t>See</w:t>
      </w:r>
      <w:r>
        <w:t xml:space="preserve"> Driesen, </w:t>
      </w:r>
      <w:r>
        <w:rPr>
          <w:i/>
        </w:rPr>
        <w:t xml:space="preserve">Neutral, </w:t>
      </w:r>
      <w:r w:rsidRPr="005717D6">
        <w:rPr>
          <w:i/>
        </w:rPr>
        <w:t xml:space="preserve">supra </w:t>
      </w:r>
      <w:r w:rsidRPr="005717D6">
        <w:t>note</w:t>
      </w:r>
      <w:r>
        <w:t xml:space="preserve"> </w:t>
      </w:r>
      <w:r>
        <w:fldChar w:fldCharType="begin"/>
      </w:r>
      <w:r>
        <w:instrText xml:space="preserve"> NOTEREF _Ref322954156 \h </w:instrText>
      </w:r>
      <w:r>
        <w:fldChar w:fldCharType="separate"/>
      </w:r>
      <w:r>
        <w:t>17</w:t>
      </w:r>
      <w:r>
        <w:fldChar w:fldCharType="end"/>
      </w:r>
      <w:r>
        <w:t>, at 369-70 (noting that in the cases studied OMB supported weaker regulation even when the benefits of the proposed regulation exceeded the costs).</w:t>
      </w:r>
    </w:p>
  </w:footnote>
  <w:footnote w:id="75">
    <w:p w14:paraId="764D6226" w14:textId="7D87509C" w:rsidR="006152E8" w:rsidRDefault="006152E8" w:rsidP="004C0207">
      <w:pPr>
        <w:pStyle w:val="Textpoznpodarou"/>
        <w:jc w:val="both"/>
      </w:pPr>
      <w:r>
        <w:tab/>
      </w:r>
      <w:r>
        <w:rPr>
          <w:rStyle w:val="Znakapoznpodarou"/>
        </w:rPr>
        <w:footnoteRef/>
      </w:r>
      <w:r>
        <w:tab/>
      </w:r>
      <w:r>
        <w:rPr>
          <w:i/>
        </w:rPr>
        <w:t>See</w:t>
      </w:r>
      <w:r>
        <w:t xml:space="preserve"> id. at 376-78 (showing that OMB regularly supported lax regulation where no CBA existed to guide its views). </w:t>
      </w:r>
    </w:p>
  </w:footnote>
  <w:footnote w:id="76">
    <w:p w14:paraId="55B4F271" w14:textId="29CC1573" w:rsidR="006152E8" w:rsidRDefault="006152E8" w:rsidP="004C0207">
      <w:pPr>
        <w:pStyle w:val="Textpoznpodarou"/>
        <w:jc w:val="both"/>
      </w:pPr>
      <w:r>
        <w:tab/>
      </w:r>
      <w:r>
        <w:rPr>
          <w:rStyle w:val="Znakapoznpodarou"/>
        </w:rPr>
        <w:footnoteRef/>
      </w:r>
      <w:r>
        <w:tab/>
      </w:r>
      <w:r>
        <w:rPr>
          <w:i/>
        </w:rPr>
        <w:t>Cf.</w:t>
      </w:r>
      <w:r>
        <w:t xml:space="preserve"> Farber, </w:t>
      </w:r>
      <w:r>
        <w:rPr>
          <w:i/>
        </w:rPr>
        <w:t>supra</w:t>
      </w:r>
      <w:r>
        <w:t xml:space="preserve"> note </w:t>
      </w:r>
      <w:r>
        <w:fldChar w:fldCharType="begin"/>
      </w:r>
      <w:r>
        <w:instrText xml:space="preserve"> NOTEREF _Ref204822993 \h </w:instrText>
      </w:r>
      <w:r>
        <w:fldChar w:fldCharType="separate"/>
      </w:r>
      <w:r>
        <w:t>66</w:t>
      </w:r>
      <w:r>
        <w:fldChar w:fldCharType="end"/>
      </w:r>
      <w:r>
        <w:t xml:space="preserve">, at 1400 (noting that no evidence supports the supposition that EPA has a bias in favor of regulation, which might otherwise explain OMB’s consistent opposition). </w:t>
      </w:r>
    </w:p>
  </w:footnote>
  <w:footnote w:id="77">
    <w:p w14:paraId="19C5BAC3" w14:textId="77777777" w:rsidR="006152E8" w:rsidRDefault="006152E8" w:rsidP="00B506B0">
      <w:pPr>
        <w:pStyle w:val="Textpoznpodarou"/>
      </w:pPr>
      <w:r>
        <w:tab/>
      </w:r>
      <w:r>
        <w:rPr>
          <w:rStyle w:val="Znakapoznpodarou"/>
        </w:rPr>
        <w:footnoteRef/>
      </w:r>
      <w:r>
        <w:tab/>
      </w:r>
      <w:r>
        <w:rPr>
          <w:i/>
        </w:rPr>
        <w:t xml:space="preserve">See </w:t>
      </w:r>
      <w:r>
        <w:t>id. at 1366 (noting that “</w:t>
      </w:r>
      <w:r>
        <w:rPr>
          <w:i/>
        </w:rPr>
        <w:t>regardless of the presidential administration”</w:t>
      </w:r>
      <w:r>
        <w:t xml:space="preserve"> OIRA mainly undercut regulations) (emphasis added). </w:t>
      </w:r>
    </w:p>
  </w:footnote>
  <w:footnote w:id="78">
    <w:p w14:paraId="519A78EC" w14:textId="1ED73519" w:rsidR="006152E8" w:rsidRDefault="006152E8" w:rsidP="00B506B0">
      <w:pPr>
        <w:pStyle w:val="Textpoznpodarou"/>
        <w:jc w:val="both"/>
      </w:pPr>
      <w:r>
        <w:rPr>
          <w:i/>
        </w:rPr>
        <w:tab/>
      </w:r>
      <w:r>
        <w:rPr>
          <w:rStyle w:val="Znakapoznpodarou"/>
        </w:rPr>
        <w:footnoteRef/>
      </w:r>
      <w:r>
        <w:rPr>
          <w:i/>
        </w:rPr>
        <w:tab/>
        <w:t>See</w:t>
      </w:r>
      <w:r>
        <w:t xml:space="preserve"> Ethyl Corp. v. EPA, 541 F.2d 1 (D.C. Cir. 1976) (</w:t>
      </w:r>
      <w:r w:rsidRPr="00D93F30">
        <w:t>en banc</w:t>
      </w:r>
      <w:r>
        <w:rPr>
          <w:i/>
        </w:rPr>
        <w:t>)</w:t>
      </w:r>
      <w:r>
        <w:t xml:space="preserve">.  Environmental lawyers also sometimes trace the principle back to a prior decision employing very similar reasoning under the Clean Water Act, </w:t>
      </w:r>
      <w:r>
        <w:rPr>
          <w:i/>
        </w:rPr>
        <w:t xml:space="preserve">Reserve Mining Co. v. EPA, </w:t>
      </w:r>
      <w:r>
        <w:t>514 F.2d 492 (8</w:t>
      </w:r>
      <w:r>
        <w:rPr>
          <w:vertAlign w:val="superscript"/>
        </w:rPr>
        <w:t>th</w:t>
      </w:r>
      <w:r>
        <w:t xml:space="preserve"> Cir. 1975) (en banc).  </w:t>
      </w:r>
      <w:r>
        <w:rPr>
          <w:i/>
        </w:rPr>
        <w:t xml:space="preserve">See </w:t>
      </w:r>
      <w:r>
        <w:rPr>
          <w:smallCaps/>
        </w:rPr>
        <w:t xml:space="preserve"> Public Health and the Environment:  Implementing the Precautionary Principle, </w:t>
      </w:r>
      <w:r>
        <w:t xml:space="preserve">5 (Carolyn Raffensperger &amp; Joel Tickner, eds. 1999) [hereinafter </w:t>
      </w:r>
      <w:r>
        <w:rPr>
          <w:smallCaps/>
        </w:rPr>
        <w:t>Protecting</w:t>
      </w:r>
      <w:r>
        <w:t xml:space="preserve">] (discussing </w:t>
      </w:r>
      <w:r>
        <w:rPr>
          <w:i/>
        </w:rPr>
        <w:t xml:space="preserve">Reserve Mining </w:t>
      </w:r>
      <w:r>
        <w:t>as an example of precaution).</w:t>
      </w:r>
    </w:p>
  </w:footnote>
  <w:footnote w:id="79">
    <w:p w14:paraId="54AF35F4" w14:textId="11F97393" w:rsidR="006152E8" w:rsidRDefault="006152E8">
      <w:pPr>
        <w:pStyle w:val="Textpoznpodarou"/>
      </w:pPr>
      <w:r>
        <w:tab/>
      </w:r>
      <w:r>
        <w:rPr>
          <w:rStyle w:val="Znakapoznpodarou"/>
        </w:rPr>
        <w:footnoteRef/>
      </w:r>
      <w:r>
        <w:tab/>
      </w:r>
      <w:r>
        <w:rPr>
          <w:i/>
        </w:rPr>
        <w:t xml:space="preserve">Ethyl, </w:t>
      </w:r>
      <w:r>
        <w:t>541 F.2d at 6 (defining the issue as whether the administrator could regulate lead based on a finding of significant risk of harm).</w:t>
      </w:r>
      <w:r>
        <w:rPr>
          <w:i/>
        </w:rPr>
        <w:t xml:space="preserve"> </w:t>
      </w:r>
      <w:r>
        <w:t xml:space="preserve"> </w:t>
      </w:r>
    </w:p>
  </w:footnote>
  <w:footnote w:id="80">
    <w:p w14:paraId="5D0CD822" w14:textId="29D39BF4" w:rsidR="006152E8" w:rsidRDefault="006152E8" w:rsidP="001B7D1A">
      <w:pPr>
        <w:pStyle w:val="Textpoznpodarou"/>
        <w:jc w:val="both"/>
      </w:pPr>
      <w:r>
        <w:tab/>
      </w:r>
      <w:r>
        <w:rPr>
          <w:rStyle w:val="Znakapoznpodarou"/>
        </w:rPr>
        <w:footnoteRef/>
      </w:r>
      <w:r>
        <w:tab/>
      </w:r>
      <w:r>
        <w:rPr>
          <w:i/>
        </w:rPr>
        <w:t>See</w:t>
      </w:r>
      <w:r>
        <w:t xml:space="preserve"> Ethyl Corp. v. EPA, 5 </w:t>
      </w:r>
      <w:r w:rsidRPr="004C734C">
        <w:rPr>
          <w:rFonts w:cs="Times New Roman"/>
          <w:smallCaps/>
        </w:rPr>
        <w:t>E</w:t>
      </w:r>
      <w:r>
        <w:rPr>
          <w:rFonts w:cs="Times New Roman"/>
          <w:smallCaps/>
        </w:rPr>
        <w:t xml:space="preserve">nvtl. L. </w:t>
      </w:r>
      <w:r w:rsidRPr="004C734C">
        <w:rPr>
          <w:rFonts w:cs="Times New Roman"/>
          <w:smallCaps/>
        </w:rPr>
        <w:t>R</w:t>
      </w:r>
      <w:r>
        <w:rPr>
          <w:rFonts w:cs="Times New Roman"/>
          <w:smallCaps/>
        </w:rPr>
        <w:t xml:space="preserve">ep. </w:t>
      </w:r>
      <w:r>
        <w:rPr>
          <w:rFonts w:cs="Times New Roman"/>
        </w:rPr>
        <w:t>(Envt’l L. Inst.)</w:t>
      </w:r>
      <w:r w:rsidRPr="004C734C">
        <w:t xml:space="preserve"> </w:t>
      </w:r>
      <w:r>
        <w:t>20096, 20099 (D.C. Cir. 1975) (requiring a factual showing that lead emissions from gasoline cause a significant health hazard).</w:t>
      </w:r>
    </w:p>
  </w:footnote>
  <w:footnote w:id="81">
    <w:p w14:paraId="0B0BA609" w14:textId="14AB9026" w:rsidR="006152E8" w:rsidRDefault="006152E8" w:rsidP="00C237DA">
      <w:pPr>
        <w:pStyle w:val="Textpoznpodarou"/>
        <w:jc w:val="both"/>
      </w:pPr>
      <w:r>
        <w:tab/>
      </w:r>
      <w:r>
        <w:rPr>
          <w:rStyle w:val="Znakapoznpodarou"/>
        </w:rPr>
        <w:footnoteRef/>
      </w:r>
      <w:r>
        <w:tab/>
      </w:r>
      <w:r>
        <w:rPr>
          <w:i/>
        </w:rPr>
        <w:t>See</w:t>
      </w:r>
      <w:r>
        <w:t xml:space="preserve"> </w:t>
      </w:r>
      <w:r>
        <w:rPr>
          <w:i/>
        </w:rPr>
        <w:t xml:space="preserve">Ethyl, </w:t>
      </w:r>
      <w:r>
        <w:t xml:space="preserve">541 F.2d at 9 (finding it impossible to isolate the effect of lead in gasoline on the human body, because lead comes from multiple sources and the extent of its entry into the human body is disputed). </w:t>
      </w:r>
    </w:p>
  </w:footnote>
  <w:footnote w:id="82">
    <w:p w14:paraId="2E5FB7E6" w14:textId="721865EA" w:rsidR="006152E8" w:rsidRDefault="006152E8">
      <w:pPr>
        <w:pStyle w:val="Textpoznpodarou"/>
      </w:pPr>
      <w:r>
        <w:tab/>
      </w:r>
      <w:r>
        <w:rPr>
          <w:rStyle w:val="Znakapoznpodarou"/>
        </w:rPr>
        <w:footnoteRef/>
      </w:r>
      <w:r>
        <w:tab/>
      </w:r>
      <w:r>
        <w:rPr>
          <w:i/>
        </w:rPr>
        <w:t>See</w:t>
      </w:r>
      <w:r>
        <w:t xml:space="preserve"> id. at 13 (characterizing the statute’s endangerment criterion as “precautionary”). </w:t>
      </w:r>
    </w:p>
  </w:footnote>
  <w:footnote w:id="83">
    <w:p w14:paraId="72150AC8" w14:textId="10593C5C" w:rsidR="006152E8" w:rsidRDefault="006152E8" w:rsidP="00E714BA">
      <w:pPr>
        <w:pStyle w:val="Textpoznpodarou"/>
        <w:jc w:val="both"/>
      </w:pPr>
      <w:r>
        <w:tab/>
      </w:r>
      <w:r>
        <w:rPr>
          <w:rStyle w:val="Znakapoznpodarou"/>
        </w:rPr>
        <w:footnoteRef/>
      </w:r>
      <w:r>
        <w:tab/>
      </w:r>
      <w:r>
        <w:rPr>
          <w:i/>
        </w:rPr>
        <w:t>See</w:t>
      </w:r>
      <w:r>
        <w:t xml:space="preserve"> id. (agreeing with the EPA administrator that the statute allows regulation based on a “significant risk of harm”). </w:t>
      </w:r>
    </w:p>
  </w:footnote>
  <w:footnote w:id="84">
    <w:p w14:paraId="474C460F" w14:textId="411CD5BA" w:rsidR="006152E8" w:rsidRDefault="006152E8" w:rsidP="00E714BA">
      <w:pPr>
        <w:pStyle w:val="Textpoznpodarou"/>
        <w:jc w:val="both"/>
      </w:pPr>
      <w:r>
        <w:tab/>
      </w:r>
      <w:r>
        <w:rPr>
          <w:rStyle w:val="Znakapoznpodarou"/>
        </w:rPr>
        <w:footnoteRef/>
      </w:r>
      <w:r>
        <w:tab/>
      </w:r>
      <w:r>
        <w:rPr>
          <w:i/>
        </w:rPr>
        <w:t>See</w:t>
      </w:r>
      <w:r>
        <w:t xml:space="preserve"> id. at 28 (allowing EPA to carry out a risk assessment described as including drawing conclusions from suspected relationships between facts, preliminary data, trends, and “theoretical projections”).</w:t>
      </w:r>
    </w:p>
  </w:footnote>
  <w:footnote w:id="85">
    <w:p w14:paraId="3C740303" w14:textId="60780FDC" w:rsidR="006152E8" w:rsidRPr="00BC3272" w:rsidRDefault="006152E8" w:rsidP="00E714BA">
      <w:pPr>
        <w:pStyle w:val="Textpoznpodarou"/>
        <w:jc w:val="both"/>
      </w:pPr>
      <w:r>
        <w:tab/>
      </w:r>
      <w:r>
        <w:rPr>
          <w:rStyle w:val="Znakapoznpodarou"/>
        </w:rPr>
        <w:footnoteRef/>
      </w:r>
      <w:r>
        <w:t xml:space="preserve"> </w:t>
      </w:r>
      <w:r>
        <w:tab/>
      </w:r>
      <w:r>
        <w:rPr>
          <w:i/>
        </w:rPr>
        <w:t xml:space="preserve">See </w:t>
      </w:r>
      <w:r>
        <w:t>id. at 38 (noting petitioners’ apparent agreement that lead at high levels is harmful).</w:t>
      </w:r>
    </w:p>
  </w:footnote>
  <w:footnote w:id="86">
    <w:p w14:paraId="44EB50D8" w14:textId="57887039" w:rsidR="006152E8" w:rsidRPr="00BC3272" w:rsidRDefault="006152E8" w:rsidP="00C237DA">
      <w:pPr>
        <w:pStyle w:val="Textpoznpodarou"/>
        <w:jc w:val="both"/>
      </w:pPr>
      <w:r>
        <w:tab/>
      </w:r>
      <w:r>
        <w:rPr>
          <w:rStyle w:val="Znakapoznpodarou"/>
        </w:rPr>
        <w:footnoteRef/>
      </w:r>
      <w:r>
        <w:t xml:space="preserve"> </w:t>
      </w:r>
      <w:r>
        <w:tab/>
      </w:r>
      <w:r>
        <w:rPr>
          <w:i/>
        </w:rPr>
        <w:t xml:space="preserve">See </w:t>
      </w:r>
      <w:r>
        <w:t>id. (never mentioning a demand for quantification).</w:t>
      </w:r>
    </w:p>
  </w:footnote>
  <w:footnote w:id="87">
    <w:p w14:paraId="6DAB1EBC" w14:textId="0332E819" w:rsidR="006152E8" w:rsidRDefault="006152E8">
      <w:pPr>
        <w:pStyle w:val="Textpoznpodarou"/>
      </w:pPr>
      <w:r>
        <w:tab/>
      </w:r>
      <w:r>
        <w:rPr>
          <w:rStyle w:val="Znakapoznpodarou"/>
        </w:rPr>
        <w:footnoteRef/>
      </w:r>
      <w:r>
        <w:tab/>
        <w:t xml:space="preserve">Id. (never reviewing the level chosen). </w:t>
      </w:r>
    </w:p>
  </w:footnote>
  <w:footnote w:id="88">
    <w:p w14:paraId="2E1DC469" w14:textId="30F1FD01" w:rsidR="006152E8" w:rsidRDefault="006152E8" w:rsidP="00C237DA">
      <w:pPr>
        <w:pStyle w:val="Textpoznpodarou"/>
        <w:jc w:val="both"/>
      </w:pPr>
      <w:r>
        <w:tab/>
      </w:r>
      <w:r>
        <w:rPr>
          <w:rStyle w:val="Znakapoznpodarou"/>
        </w:rPr>
        <w:footnoteRef/>
      </w:r>
      <w:r>
        <w:tab/>
      </w:r>
      <w:r>
        <w:rPr>
          <w:i/>
        </w:rPr>
        <w:t>See</w:t>
      </w:r>
      <w:r>
        <w:t xml:space="preserve"> Massachusetts v. EPA, 549 U.S. 497, 532-34 (2007) (rejecting a host of policy arguments against regulating greenhouse gases and directing EPA to simply determine whether these gases endangered public health or the environment); Coalition for Responsible Regulation v. EPA, 684 F.3d 102, 114, 116-126 (D.C. Cir. 2012) (upholding EPA’s finding that greenhouse gases endanger public health and the environment). </w:t>
      </w:r>
    </w:p>
  </w:footnote>
  <w:footnote w:id="89">
    <w:p w14:paraId="3451702D" w14:textId="7A1CD590" w:rsidR="006152E8" w:rsidRDefault="006152E8">
      <w:pPr>
        <w:pStyle w:val="Textpoznpodarou"/>
      </w:pPr>
      <w:r>
        <w:tab/>
      </w:r>
      <w:r>
        <w:rPr>
          <w:rStyle w:val="Znakapoznpodarou"/>
        </w:rPr>
        <w:footnoteRef/>
      </w:r>
      <w:r>
        <w:tab/>
      </w:r>
      <w:r>
        <w:rPr>
          <w:i/>
        </w:rPr>
        <w:t>See</w:t>
      </w:r>
      <w:r>
        <w:t xml:space="preserve"> </w:t>
      </w:r>
      <w:r>
        <w:rPr>
          <w:i/>
        </w:rPr>
        <w:t xml:space="preserve">Coalition for Responsible Regulation, </w:t>
      </w:r>
      <w:r>
        <w:t>684 F.3d at 115-116 (detailing EPA’s regulatory actions through June 26, 2012).</w:t>
      </w:r>
      <w:r>
        <w:rPr>
          <w:i/>
        </w:rPr>
        <w:t xml:space="preserve"> </w:t>
      </w:r>
      <w:r>
        <w:t xml:space="preserve"> </w:t>
      </w:r>
    </w:p>
  </w:footnote>
  <w:footnote w:id="90">
    <w:p w14:paraId="4704BF58" w14:textId="2687A2CD" w:rsidR="006152E8" w:rsidRDefault="006152E8" w:rsidP="00B506B0">
      <w:pPr>
        <w:pStyle w:val="Textpoznpodarou"/>
        <w:tabs>
          <w:tab w:val="left" w:pos="360"/>
        </w:tabs>
        <w:jc w:val="both"/>
        <w:rPr>
          <w:rFonts w:cs="Times New Roman"/>
        </w:rPr>
      </w:pPr>
      <w:r>
        <w:tab/>
      </w:r>
      <w:r>
        <w:rPr>
          <w:rStyle w:val="Znakapoznpodarou"/>
        </w:rPr>
        <w:footnoteRef/>
      </w:r>
      <w:r>
        <w:tab/>
      </w:r>
      <w:r>
        <w:rPr>
          <w:i/>
        </w:rPr>
        <w:t>See</w:t>
      </w:r>
      <w:r>
        <w:t xml:space="preserve"> Jonathan Remy Nash, </w:t>
      </w:r>
      <w:r>
        <w:rPr>
          <w:i/>
        </w:rPr>
        <w:t xml:space="preserve">Standing and the Precautionary Principle, </w:t>
      </w:r>
      <w:r>
        <w:t xml:space="preserve">108 </w:t>
      </w:r>
      <w:r>
        <w:rPr>
          <w:rFonts w:cs="Times New Roman"/>
          <w:smallCaps/>
        </w:rPr>
        <w:t>Colum. L. Rev. 494, 499 (2008) (</w:t>
      </w:r>
      <w:r>
        <w:rPr>
          <w:rFonts w:cs="Times New Roman"/>
        </w:rPr>
        <w:t xml:space="preserve">stating that many characterize the precautionary principle as customary international law); John O. McGinnis, </w:t>
      </w:r>
      <w:r>
        <w:rPr>
          <w:rFonts w:cs="Times New Roman"/>
          <w:i/>
        </w:rPr>
        <w:t xml:space="preserve">The Appropriate Hierarchy of Global Multilateralism and Customary International Law:  The Example of the WTO, </w:t>
      </w:r>
      <w:r>
        <w:rPr>
          <w:rFonts w:cs="Times New Roman"/>
        </w:rPr>
        <w:t xml:space="preserve">44 </w:t>
      </w:r>
      <w:r>
        <w:rPr>
          <w:rFonts w:cs="Times New Roman"/>
          <w:smallCaps/>
        </w:rPr>
        <w:t>Va. J. Int’l L. 229, 269 (2003) (</w:t>
      </w:r>
      <w:r>
        <w:rPr>
          <w:rFonts w:cs="Times New Roman"/>
          <w:szCs w:val="20"/>
        </w:rPr>
        <w:t>noting that many, but not all, scholars consider the precautionary principle a customary principle of international law);</w:t>
      </w:r>
      <w:r>
        <w:rPr>
          <w:rFonts w:cs="Times New Roman"/>
        </w:rPr>
        <w:t xml:space="preserve"> Geistfeld, supra note </w:t>
      </w:r>
      <w:r>
        <w:rPr>
          <w:rFonts w:cs="Times New Roman"/>
        </w:rPr>
        <w:fldChar w:fldCharType="begin"/>
      </w:r>
      <w:r>
        <w:rPr>
          <w:rFonts w:cs="Times New Roman"/>
        </w:rPr>
        <w:instrText xml:space="preserve"> NOTEREF _Ref198100890 \h </w:instrText>
      </w:r>
      <w:r>
        <w:rPr>
          <w:rFonts w:cs="Times New Roman"/>
        </w:rPr>
      </w:r>
      <w:r>
        <w:rPr>
          <w:rFonts w:cs="Times New Roman"/>
        </w:rPr>
        <w:fldChar w:fldCharType="separate"/>
      </w:r>
      <w:r>
        <w:rPr>
          <w:rFonts w:cs="Times New Roman"/>
        </w:rPr>
        <w:t>31</w:t>
      </w:r>
      <w:r>
        <w:rPr>
          <w:rFonts w:cs="Times New Roman"/>
        </w:rPr>
        <w:fldChar w:fldCharType="end"/>
      </w:r>
      <w:r>
        <w:rPr>
          <w:rFonts w:cs="Times New Roman"/>
        </w:rPr>
        <w:t xml:space="preserve">, at </w:t>
      </w:r>
      <w:r>
        <w:rPr>
          <w:rFonts w:cs="Times New Roman"/>
          <w:smallCaps/>
        </w:rPr>
        <w:t>11326  (</w:t>
      </w:r>
      <w:r>
        <w:rPr>
          <w:rFonts w:cs="Times New Roman"/>
        </w:rPr>
        <w:t xml:space="preserve">noting that the European Union considers the precautionary principle a “full-fledged and general principle of international law”); </w:t>
      </w:r>
      <w:r>
        <w:rPr>
          <w:rFonts w:cs="Times New Roman"/>
          <w:i/>
        </w:rPr>
        <w:t xml:space="preserve">see, e.g., </w:t>
      </w:r>
      <w:r>
        <w:rPr>
          <w:rFonts w:cs="Times New Roman"/>
        </w:rPr>
        <w:t xml:space="preserve">Owen McIntyre &amp; Thomas Mosedale, </w:t>
      </w:r>
      <w:r>
        <w:rPr>
          <w:rFonts w:cs="Times New Roman"/>
          <w:i/>
        </w:rPr>
        <w:t xml:space="preserve">The Precautionary Principle as a Norm of International Environmental Law, </w:t>
      </w:r>
      <w:r>
        <w:rPr>
          <w:rFonts w:cs="Times New Roman"/>
        </w:rPr>
        <w:t>9 J</w:t>
      </w:r>
      <w:r>
        <w:rPr>
          <w:rFonts w:cs="Times New Roman"/>
          <w:smallCaps/>
        </w:rPr>
        <w:t>. Env. L. 221 (1997).</w:t>
      </w:r>
      <w:r>
        <w:rPr>
          <w:rFonts w:cs="Times New Roman"/>
        </w:rPr>
        <w:t xml:space="preserve">  </w:t>
      </w:r>
      <w:r>
        <w:rPr>
          <w:rFonts w:cs="Times New Roman"/>
          <w:i/>
        </w:rPr>
        <w:t>Cf.</w:t>
      </w:r>
      <w:r>
        <w:rPr>
          <w:rFonts w:cs="Times New Roman"/>
        </w:rPr>
        <w:t xml:space="preserve"> Wiener &amp; Rodgers, </w:t>
      </w:r>
      <w:r w:rsidRPr="00C83671">
        <w:rPr>
          <w:rFonts w:cs="Times New Roman"/>
          <w:i/>
        </w:rPr>
        <w:t xml:space="preserve">supra </w:t>
      </w:r>
      <w:r>
        <w:rPr>
          <w:rFonts w:cs="Times New Roman"/>
        </w:rPr>
        <w:t xml:space="preserve">note </w:t>
      </w:r>
      <w:r>
        <w:rPr>
          <w:rFonts w:cs="Times New Roman"/>
        </w:rPr>
        <w:fldChar w:fldCharType="begin"/>
      </w:r>
      <w:r>
        <w:rPr>
          <w:rFonts w:cs="Times New Roman"/>
        </w:rPr>
        <w:instrText xml:space="preserve"> NOTEREF _Ref326222605 \h </w:instrText>
      </w:r>
      <w:r>
        <w:rPr>
          <w:rFonts w:cs="Times New Roman"/>
        </w:rPr>
      </w:r>
      <w:r>
        <w:rPr>
          <w:rFonts w:cs="Times New Roman"/>
        </w:rPr>
        <w:fldChar w:fldCharType="separate"/>
      </w:r>
      <w:r>
        <w:rPr>
          <w:rFonts w:cs="Times New Roman"/>
        </w:rPr>
        <w:t>52</w:t>
      </w:r>
      <w:r>
        <w:rPr>
          <w:rFonts w:cs="Times New Roman"/>
        </w:rPr>
        <w:fldChar w:fldCharType="end"/>
      </w:r>
      <w:r>
        <w:rPr>
          <w:rFonts w:cs="Times New Roman"/>
        </w:rPr>
        <w:t xml:space="preserve">, at 343 (arguing that the claim that precautionary is becoming a tenet of customary law “needs qualification” in light of inconsistent state practice); Richard B. Stewart, </w:t>
      </w:r>
      <w:r>
        <w:rPr>
          <w:rFonts w:cs="Times New Roman"/>
          <w:i/>
        </w:rPr>
        <w:t xml:space="preserve">Environmental Regulatory Decisionmaking under Uncertainty, </w:t>
      </w:r>
      <w:r>
        <w:rPr>
          <w:rFonts w:cs="Times New Roman"/>
        </w:rPr>
        <w:t xml:space="preserve">20 </w:t>
      </w:r>
      <w:r>
        <w:rPr>
          <w:rFonts w:cs="Times New Roman"/>
          <w:smallCaps/>
        </w:rPr>
        <w:t xml:space="preserve">Res. L. &amp; Econ. 71, 75 (2002) </w:t>
      </w:r>
      <w:r>
        <w:rPr>
          <w:rFonts w:cs="Times New Roman"/>
        </w:rPr>
        <w:t xml:space="preserve">(noting that critics and skeptics deny precaution’s customary status); Stone,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_Ref319933114 \h </w:instrText>
      </w:r>
      <w:r>
        <w:rPr>
          <w:rFonts w:cs="Times New Roman"/>
        </w:rPr>
      </w:r>
      <w:r>
        <w:rPr>
          <w:rFonts w:cs="Times New Roman"/>
        </w:rPr>
        <w:fldChar w:fldCharType="separate"/>
      </w:r>
      <w:r>
        <w:rPr>
          <w:rFonts w:cs="Times New Roman"/>
        </w:rPr>
        <w:t>4</w:t>
      </w:r>
      <w:r>
        <w:rPr>
          <w:rFonts w:cs="Times New Roman"/>
        </w:rPr>
        <w:fldChar w:fldCharType="end"/>
      </w:r>
      <w:r>
        <w:rPr>
          <w:rFonts w:cs="Times New Roman"/>
        </w:rPr>
        <w:t>, at 10799 (arguing against accepting the precautionary principle as customary international law because of its vagueness).</w:t>
      </w:r>
    </w:p>
  </w:footnote>
  <w:footnote w:id="91">
    <w:p w14:paraId="1C2D6C96" w14:textId="77777777" w:rsidR="006152E8" w:rsidRDefault="006152E8" w:rsidP="00B506B0">
      <w:pPr>
        <w:pStyle w:val="Textpoznpodarou"/>
        <w:jc w:val="both"/>
      </w:pPr>
      <w:r>
        <w:tab/>
      </w:r>
      <w:r>
        <w:rPr>
          <w:rStyle w:val="Znakapoznpodarou"/>
        </w:rPr>
        <w:footnoteRef/>
      </w:r>
      <w:r>
        <w:t xml:space="preserve"> </w:t>
      </w:r>
      <w:r>
        <w:tab/>
      </w:r>
      <w:r>
        <w:rPr>
          <w:i/>
        </w:rPr>
        <w:t>See</w:t>
      </w:r>
      <w:r>
        <w:t xml:space="preserve"> </w:t>
      </w:r>
      <w:r>
        <w:rPr>
          <w:rFonts w:cs="Times New Roman"/>
          <w:smallCaps/>
        </w:rPr>
        <w:t>The Precautionary principle in the 20</w:t>
      </w:r>
      <w:r>
        <w:rPr>
          <w:rFonts w:cs="Times New Roman"/>
          <w:smallCaps/>
          <w:vertAlign w:val="superscript"/>
        </w:rPr>
        <w:t>th</w:t>
      </w:r>
      <w:r>
        <w:rPr>
          <w:rFonts w:cs="Times New Roman"/>
          <w:smallCaps/>
        </w:rPr>
        <w:t xml:space="preserve"> Century:  Late Lessons from Early Warnings, 6 </w:t>
      </w:r>
      <w:r>
        <w:rPr>
          <w:rFonts w:cs="Times New Roman"/>
        </w:rPr>
        <w:t>(Poul Harremoës et al. eds. 2002) [</w:t>
      </w:r>
      <w:r>
        <w:rPr>
          <w:rFonts w:cs="Times New Roman"/>
          <w:smallCaps/>
        </w:rPr>
        <w:t>Early Warnings]</w:t>
      </w:r>
      <w:r>
        <w:rPr>
          <w:rFonts w:cs="Times New Roman"/>
        </w:rPr>
        <w:t xml:space="preserve">; </w:t>
      </w:r>
      <w:r>
        <w:t xml:space="preserve">James E. Hickey, Jr. &amp; Vern R. Walker, </w:t>
      </w:r>
      <w:r>
        <w:rPr>
          <w:i/>
        </w:rPr>
        <w:t xml:space="preserve">Refining the Precautionary Principle in International Environmental Law, </w:t>
      </w:r>
      <w:r>
        <w:t xml:space="preserve">14 </w:t>
      </w:r>
      <w:r>
        <w:rPr>
          <w:smallCaps/>
        </w:rPr>
        <w:t>Va. J. Envtl. L. 423, 432-36 (1995) (</w:t>
      </w:r>
      <w:r>
        <w:t xml:space="preserve">collecting statements of the principle in international legal instruments); </w:t>
      </w:r>
      <w:r>
        <w:rPr>
          <w:i/>
        </w:rPr>
        <w:t xml:space="preserve">see generally, </w:t>
      </w:r>
      <w:r>
        <w:t xml:space="preserve">Stone, </w:t>
      </w:r>
      <w:r>
        <w:rPr>
          <w:i/>
        </w:rPr>
        <w:t>supra</w:t>
      </w:r>
      <w:r>
        <w:t xml:space="preserve"> note </w:t>
      </w:r>
      <w:r>
        <w:fldChar w:fldCharType="begin"/>
      </w:r>
      <w:r>
        <w:instrText xml:space="preserve"> NOTEREF _Ref319933114 \h </w:instrText>
      </w:r>
      <w:r>
        <w:fldChar w:fldCharType="separate"/>
      </w:r>
      <w:r>
        <w:t>4</w:t>
      </w:r>
      <w:r>
        <w:fldChar w:fldCharType="end"/>
      </w:r>
      <w:r>
        <w:t>, at 10790-91 (finding a muddle in statements of the precautionary principle and attributing this to “diplomacy”).</w:t>
      </w:r>
    </w:p>
  </w:footnote>
  <w:footnote w:id="92">
    <w:p w14:paraId="15AB7343" w14:textId="77777777" w:rsidR="006152E8" w:rsidRDefault="006152E8" w:rsidP="00B506B0">
      <w:pPr>
        <w:pStyle w:val="Textpoznpodarou"/>
        <w:jc w:val="both"/>
      </w:pPr>
      <w:r>
        <w:tab/>
      </w:r>
      <w:r>
        <w:rPr>
          <w:rStyle w:val="Znakapoznpodarou"/>
        </w:rPr>
        <w:footnoteRef/>
      </w:r>
      <w:r>
        <w:tab/>
      </w:r>
      <w:r>
        <w:rPr>
          <w:i/>
        </w:rPr>
        <w:t xml:space="preserve">See </w:t>
      </w:r>
      <w:r>
        <w:t xml:space="preserve">Wiener &amp; Rodgers, </w:t>
      </w:r>
      <w:r>
        <w:rPr>
          <w:i/>
        </w:rPr>
        <w:t>supra</w:t>
      </w:r>
      <w:r>
        <w:t xml:space="preserve"> note </w:t>
      </w:r>
      <w:r>
        <w:fldChar w:fldCharType="begin"/>
      </w:r>
      <w:r>
        <w:instrText xml:space="preserve"> NOTEREF _Ref326222605 \h </w:instrText>
      </w:r>
      <w:r>
        <w:fldChar w:fldCharType="separate"/>
      </w:r>
      <w:r>
        <w:t>52</w:t>
      </w:r>
      <w:r>
        <w:fldChar w:fldCharType="end"/>
      </w:r>
      <w:r>
        <w:t xml:space="preserve">, at 320-21 (finding that the core of the principle does not answer the question of what action to take given uncertainty). </w:t>
      </w:r>
    </w:p>
  </w:footnote>
  <w:footnote w:id="93">
    <w:p w14:paraId="6D7190BA" w14:textId="2C7385D7" w:rsidR="006152E8" w:rsidRDefault="006152E8" w:rsidP="00C237DA">
      <w:pPr>
        <w:pStyle w:val="Textpoznpodarou"/>
        <w:jc w:val="both"/>
      </w:pPr>
      <w:r>
        <w:tab/>
      </w:r>
      <w:r>
        <w:rPr>
          <w:rStyle w:val="Znakapoznpodarou"/>
        </w:rPr>
        <w:footnoteRef/>
      </w:r>
      <w:r>
        <w:tab/>
        <w:t>United Nations Conference on Environment and Development</w:t>
      </w:r>
      <w:r w:rsidRPr="00CE78E4">
        <w:rPr>
          <w:rFonts w:cs="Times New Roman"/>
          <w:szCs w:val="20"/>
        </w:rPr>
        <w:t xml:space="preserve">, </w:t>
      </w:r>
      <w:r w:rsidRPr="00CE78E4">
        <w:rPr>
          <w:rFonts w:cs="Times New Roman"/>
          <w:color w:val="000000"/>
          <w:szCs w:val="20"/>
        </w:rPr>
        <w:t xml:space="preserve">U.N. Doc. A/CONF.151/26/Rev.1 </w:t>
      </w:r>
      <w:r>
        <w:rPr>
          <w:rFonts w:ascii="Verdana" w:hAnsi="Verdana"/>
          <w:color w:val="000000"/>
          <w:sz w:val="19"/>
          <w:szCs w:val="19"/>
        </w:rPr>
        <w:t>(</w:t>
      </w:r>
      <w:r>
        <w:t xml:space="preserve">Jun. 14, 1992) [hereinafter Rio Declaration]. </w:t>
      </w:r>
    </w:p>
  </w:footnote>
  <w:footnote w:id="94">
    <w:p w14:paraId="38CA2309" w14:textId="77777777" w:rsidR="006152E8" w:rsidRDefault="006152E8" w:rsidP="00B506B0">
      <w:pPr>
        <w:pStyle w:val="Textpoznpodarou"/>
      </w:pPr>
      <w:r>
        <w:tab/>
      </w:r>
      <w:r>
        <w:rPr>
          <w:rStyle w:val="Znakapoznpodarou"/>
        </w:rPr>
        <w:footnoteRef/>
      </w:r>
      <w:r>
        <w:tab/>
        <w:t xml:space="preserve">Id., Principle 15.  </w:t>
      </w:r>
    </w:p>
  </w:footnote>
  <w:footnote w:id="95">
    <w:p w14:paraId="3DAEE6AA" w14:textId="7F7AC051" w:rsidR="006152E8" w:rsidRDefault="006152E8" w:rsidP="00B506B0">
      <w:pPr>
        <w:pStyle w:val="Textpoznpodarou"/>
        <w:jc w:val="both"/>
      </w:pPr>
      <w:r>
        <w:tab/>
      </w:r>
      <w:r>
        <w:rPr>
          <w:rStyle w:val="Znakapoznpodarou"/>
        </w:rPr>
        <w:footnoteRef/>
      </w:r>
      <w:r>
        <w:tab/>
      </w:r>
      <w:r>
        <w:rPr>
          <w:i/>
        </w:rPr>
        <w:t xml:space="preserve">Cf. </w:t>
      </w:r>
      <w:r>
        <w:rPr>
          <w:smallCaps/>
        </w:rPr>
        <w:t xml:space="preserve">Protecting, </w:t>
      </w:r>
      <w:r>
        <w:rPr>
          <w:i/>
        </w:rPr>
        <w:t>supra</w:t>
      </w:r>
      <w:r>
        <w:t xml:space="preserve"> note </w:t>
      </w:r>
      <w:r>
        <w:fldChar w:fldCharType="begin"/>
      </w:r>
      <w:r>
        <w:instrText xml:space="preserve"> NOTEREF _Ref200094667 \h </w:instrText>
      </w:r>
      <w:r>
        <w:fldChar w:fldCharType="separate"/>
      </w:r>
      <w:r>
        <w:t>76</w:t>
      </w:r>
      <w:r>
        <w:fldChar w:fldCharType="end"/>
      </w:r>
      <w:r>
        <w:t xml:space="preserve">, at xxi. </w:t>
      </w:r>
    </w:p>
  </w:footnote>
  <w:footnote w:id="96">
    <w:p w14:paraId="79D3CBCA" w14:textId="44E10FB5" w:rsidR="006152E8" w:rsidRDefault="006152E8" w:rsidP="00B506B0">
      <w:pPr>
        <w:pStyle w:val="Textpoznpodarou"/>
        <w:jc w:val="both"/>
      </w:pPr>
      <w:r>
        <w:tab/>
      </w:r>
      <w:r>
        <w:rPr>
          <w:rStyle w:val="Znakapoznpodarou"/>
        </w:rPr>
        <w:footnoteRef/>
      </w:r>
      <w:r>
        <w:tab/>
      </w:r>
      <w:r>
        <w:rPr>
          <w:i/>
        </w:rPr>
        <w:t>See</w:t>
      </w:r>
      <w:r>
        <w:t xml:space="preserve"> 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182 (stating that the precautionary principle applies only when a threat of serious or irreversible harm exists).   </w:t>
      </w:r>
    </w:p>
  </w:footnote>
  <w:footnote w:id="97">
    <w:p w14:paraId="4D3E01E3" w14:textId="47AA086D" w:rsidR="006152E8" w:rsidRPr="00D93F30" w:rsidRDefault="006152E8" w:rsidP="00D93F30">
      <w:pPr>
        <w:jc w:val="both"/>
        <w:rPr>
          <w:rFonts w:ascii="Tahoma" w:eastAsia="Times New Roman" w:hAnsi="Tahoma" w:cs="Tahoma"/>
          <w:color w:val="000000"/>
          <w:sz w:val="20"/>
          <w:szCs w:val="20"/>
        </w:rPr>
      </w:pPr>
      <w:r>
        <w:tab/>
      </w:r>
      <w:r w:rsidRPr="005A2909">
        <w:rPr>
          <w:rStyle w:val="Znakapoznpodarou"/>
          <w:sz w:val="20"/>
          <w:szCs w:val="20"/>
        </w:rPr>
        <w:footnoteRef/>
      </w:r>
      <w:r w:rsidRPr="005A2909">
        <w:rPr>
          <w:sz w:val="20"/>
          <w:szCs w:val="20"/>
        </w:rPr>
        <w:tab/>
      </w:r>
      <w:r w:rsidRPr="005A2909">
        <w:rPr>
          <w:i/>
          <w:sz w:val="20"/>
          <w:szCs w:val="20"/>
        </w:rPr>
        <w:t xml:space="preserve">See </w:t>
      </w:r>
      <w:r w:rsidRPr="005A2909">
        <w:rPr>
          <w:sz w:val="20"/>
          <w:szCs w:val="20"/>
        </w:rPr>
        <w:t xml:space="preserve">Charest, </w:t>
      </w:r>
      <w:r w:rsidRPr="00110C03">
        <w:rPr>
          <w:i/>
          <w:sz w:val="20"/>
          <w:szCs w:val="20"/>
        </w:rPr>
        <w:t>supra</w:t>
      </w:r>
      <w:r w:rsidRPr="005A2909">
        <w:rPr>
          <w:sz w:val="20"/>
          <w:szCs w:val="20"/>
        </w:rPr>
        <w:t xml:space="preserve"> note </w:t>
      </w:r>
      <w:r w:rsidRPr="005A2909">
        <w:rPr>
          <w:sz w:val="20"/>
          <w:szCs w:val="20"/>
        </w:rPr>
        <w:fldChar w:fldCharType="begin"/>
      </w:r>
      <w:r w:rsidRPr="005A2909">
        <w:rPr>
          <w:sz w:val="20"/>
          <w:szCs w:val="20"/>
        </w:rPr>
        <w:instrText xml:space="preserve"> NOTEREF _Ref323812279 \h </w:instrText>
      </w:r>
      <w:r>
        <w:rPr>
          <w:sz w:val="20"/>
          <w:szCs w:val="20"/>
        </w:rPr>
        <w:instrText xml:space="preserve"> \* MERGEFORMAT </w:instrText>
      </w:r>
      <w:r w:rsidRPr="005A2909">
        <w:rPr>
          <w:sz w:val="20"/>
          <w:szCs w:val="20"/>
        </w:rPr>
      </w:r>
      <w:r w:rsidRPr="005A2909">
        <w:rPr>
          <w:sz w:val="20"/>
          <w:szCs w:val="20"/>
        </w:rPr>
        <w:fldChar w:fldCharType="separate"/>
      </w:r>
      <w:r>
        <w:rPr>
          <w:sz w:val="20"/>
          <w:szCs w:val="20"/>
        </w:rPr>
        <w:t>3</w:t>
      </w:r>
      <w:r w:rsidRPr="005A2909">
        <w:rPr>
          <w:sz w:val="20"/>
          <w:szCs w:val="20"/>
        </w:rPr>
        <w:fldChar w:fldCharType="end"/>
      </w:r>
      <w:r w:rsidRPr="005A2909">
        <w:rPr>
          <w:sz w:val="20"/>
          <w:szCs w:val="20"/>
        </w:rPr>
        <w:t xml:space="preserve">, at 266-67 (suggesting that the precautionary principle may be viewed as shifting the burden of proof); Geistfeld, </w:t>
      </w:r>
      <w:r w:rsidRPr="005A2909">
        <w:rPr>
          <w:i/>
          <w:sz w:val="20"/>
          <w:szCs w:val="20"/>
        </w:rPr>
        <w:t xml:space="preserve">supra </w:t>
      </w:r>
      <w:r w:rsidRPr="005A2909">
        <w:rPr>
          <w:sz w:val="20"/>
          <w:szCs w:val="20"/>
        </w:rPr>
        <w:t>note</w:t>
      </w:r>
      <w:r w:rsidRPr="005A2909">
        <w:rPr>
          <w:smallCaps/>
          <w:sz w:val="20"/>
          <w:szCs w:val="20"/>
        </w:rPr>
        <w:t xml:space="preserve"> </w:t>
      </w:r>
      <w:r w:rsidRPr="005A2909">
        <w:rPr>
          <w:smallCaps/>
          <w:sz w:val="20"/>
          <w:szCs w:val="20"/>
        </w:rPr>
        <w:fldChar w:fldCharType="begin"/>
      </w:r>
      <w:r w:rsidRPr="005A2909">
        <w:rPr>
          <w:smallCaps/>
          <w:sz w:val="20"/>
          <w:szCs w:val="20"/>
        </w:rPr>
        <w:instrText xml:space="preserve"> NOTEREF _Ref198100890 \h </w:instrText>
      </w:r>
      <w:r>
        <w:rPr>
          <w:smallCaps/>
          <w:sz w:val="20"/>
          <w:szCs w:val="20"/>
        </w:rPr>
        <w:instrText xml:space="preserve"> \* MERGEFORMAT </w:instrText>
      </w:r>
      <w:r w:rsidRPr="005A2909">
        <w:rPr>
          <w:smallCaps/>
          <w:sz w:val="20"/>
          <w:szCs w:val="20"/>
        </w:rPr>
      </w:r>
      <w:r w:rsidRPr="005A2909">
        <w:rPr>
          <w:smallCaps/>
          <w:sz w:val="20"/>
          <w:szCs w:val="20"/>
        </w:rPr>
        <w:fldChar w:fldCharType="separate"/>
      </w:r>
      <w:r>
        <w:rPr>
          <w:smallCaps/>
          <w:sz w:val="20"/>
          <w:szCs w:val="20"/>
        </w:rPr>
        <w:t>31</w:t>
      </w:r>
      <w:r w:rsidRPr="005A2909">
        <w:rPr>
          <w:smallCaps/>
          <w:sz w:val="20"/>
          <w:szCs w:val="20"/>
        </w:rPr>
        <w:fldChar w:fldCharType="end"/>
      </w:r>
      <w:r w:rsidRPr="005A2909">
        <w:rPr>
          <w:smallCaps/>
          <w:sz w:val="20"/>
          <w:szCs w:val="20"/>
        </w:rPr>
        <w:t xml:space="preserve">, </w:t>
      </w:r>
      <w:r w:rsidRPr="005A2909">
        <w:rPr>
          <w:sz w:val="20"/>
          <w:szCs w:val="20"/>
        </w:rPr>
        <w:t xml:space="preserve">at </w:t>
      </w:r>
      <w:r w:rsidRPr="005A2909">
        <w:rPr>
          <w:smallCaps/>
          <w:sz w:val="20"/>
          <w:szCs w:val="20"/>
        </w:rPr>
        <w:t>11326 (</w:t>
      </w:r>
      <w:r w:rsidRPr="005A2909">
        <w:rPr>
          <w:sz w:val="20"/>
          <w:szCs w:val="20"/>
        </w:rPr>
        <w:t xml:space="preserve">stating that the Rio Declaration “merely states that uncertainty does not justify inaction, but does not specify a regulatory objective”); </w:t>
      </w:r>
      <w:r w:rsidRPr="005A2909">
        <w:rPr>
          <w:i/>
          <w:sz w:val="20"/>
          <w:szCs w:val="20"/>
        </w:rPr>
        <w:t xml:space="preserve">see, e.g., </w:t>
      </w:r>
      <w:r w:rsidRPr="005A2909">
        <w:rPr>
          <w:sz w:val="20"/>
          <w:szCs w:val="20"/>
        </w:rPr>
        <w:t>Cartenga Protocol on Biosafety to the United Nations Convention on Biological Diversity, art. 10 ¶ 6</w:t>
      </w:r>
      <w:r>
        <w:t xml:space="preserve">, </w:t>
      </w:r>
      <w:r>
        <w:rPr>
          <w:sz w:val="20"/>
          <w:szCs w:val="20"/>
        </w:rPr>
        <w:t xml:space="preserve"> </w:t>
      </w:r>
      <w:r>
        <w:rPr>
          <w:i/>
          <w:iCs/>
          <w:sz w:val="20"/>
          <w:szCs w:val="20"/>
        </w:rPr>
        <w:t xml:space="preserve">opened for signature </w:t>
      </w:r>
      <w:r>
        <w:rPr>
          <w:sz w:val="20"/>
          <w:szCs w:val="20"/>
        </w:rPr>
        <w:t>May 15, 2000, 2226 U.N.T.S. 208, 261 (entered into force Sept. 11, 2003)</w:t>
      </w:r>
      <w:r>
        <w:rPr>
          <w:rFonts w:ascii="Tahoma" w:eastAsia="Times New Roman" w:hAnsi="Tahoma" w:cs="Tahoma"/>
          <w:color w:val="000000"/>
          <w:sz w:val="20"/>
          <w:szCs w:val="20"/>
        </w:rPr>
        <w:t xml:space="preserve"> </w:t>
      </w:r>
      <w:r w:rsidRPr="00D93F30">
        <w:rPr>
          <w:sz w:val="20"/>
          <w:szCs w:val="20"/>
        </w:rPr>
        <w:t xml:space="preserve">(stating that lack of full scientific certainty shall not prevent parties from making decisions about importation of modified organisms); United Nations Convention on Biological Diversity, preamble, June 5, 1992, 31 I.L.M. 818 (1992) (stating that “lack of full scientific certainty” should not be used to postpone measures addressing threats); </w:t>
      </w:r>
      <w:r w:rsidRPr="00D93F30">
        <w:rPr>
          <w:i/>
          <w:sz w:val="20"/>
          <w:szCs w:val="20"/>
        </w:rPr>
        <w:t>see also</w:t>
      </w:r>
      <w:r w:rsidRPr="00D93F30">
        <w:rPr>
          <w:sz w:val="20"/>
          <w:szCs w:val="20"/>
        </w:rPr>
        <w:t xml:space="preserve"> Commission of the European Communities, Communication from the Commission on the Precautionary Principle, Feb. 2, 2000, at 30.</w:t>
      </w:r>
    </w:p>
  </w:footnote>
  <w:footnote w:id="98">
    <w:p w14:paraId="5EDB44E5" w14:textId="3EBD1011" w:rsidR="006152E8" w:rsidRDefault="006152E8" w:rsidP="00B506B0">
      <w:pPr>
        <w:pStyle w:val="Textpoznpodarou"/>
        <w:jc w:val="both"/>
      </w:pPr>
      <w:r>
        <w:tab/>
      </w:r>
      <w:r>
        <w:rPr>
          <w:rStyle w:val="Znakapoznpodarou"/>
        </w:rPr>
        <w:footnoteRef/>
      </w:r>
      <w:r>
        <w:tab/>
        <w:t xml:space="preserve">Applegate, </w:t>
      </w:r>
      <w:r w:rsidRPr="00723972">
        <w:rPr>
          <w:i/>
        </w:rPr>
        <w:t>supra</w:t>
      </w:r>
      <w:r>
        <w:t xml:space="preserve"> note </w:t>
      </w:r>
      <w:r>
        <w:fldChar w:fldCharType="begin"/>
      </w:r>
      <w:r>
        <w:instrText xml:space="preserve"> NOTEREF _Ref319657139 \h </w:instrText>
      </w:r>
      <w:r>
        <w:fldChar w:fldCharType="separate"/>
      </w:r>
      <w:r>
        <w:t>2</w:t>
      </w:r>
      <w:r>
        <w:fldChar w:fldCharType="end"/>
      </w:r>
      <w:r>
        <w:t xml:space="preserve">, at 184-85 (discussing the principle of prevention by acting </w:t>
      </w:r>
      <w:r>
        <w:rPr>
          <w:i/>
        </w:rPr>
        <w:t>before</w:t>
      </w:r>
      <w:r>
        <w:t xml:space="preserve"> harms occur). </w:t>
      </w:r>
    </w:p>
  </w:footnote>
  <w:footnote w:id="99">
    <w:p w14:paraId="1CEEE075" w14:textId="77777777" w:rsidR="006152E8" w:rsidRDefault="006152E8" w:rsidP="00B506B0">
      <w:pPr>
        <w:pStyle w:val="Textpoznpodarou"/>
      </w:pPr>
      <w:r>
        <w:tab/>
      </w:r>
      <w:r>
        <w:rPr>
          <w:rStyle w:val="Znakapoznpodarou"/>
        </w:rPr>
        <w:footnoteRef/>
      </w:r>
      <w:r>
        <w:t xml:space="preserve"> </w:t>
      </w:r>
      <w:r>
        <w:tab/>
      </w:r>
      <w:r>
        <w:rPr>
          <w:i/>
        </w:rPr>
        <w:t>See</w:t>
      </w:r>
      <w:r>
        <w:t xml:space="preserve"> Wiener &amp; Rodgers, </w:t>
      </w:r>
      <w:r>
        <w:rPr>
          <w:i/>
        </w:rPr>
        <w:t>supra</w:t>
      </w:r>
      <w:r>
        <w:t xml:space="preserve"> note </w:t>
      </w:r>
      <w:r>
        <w:fldChar w:fldCharType="begin"/>
      </w:r>
      <w:r>
        <w:instrText xml:space="preserve"> NOTEREF _Ref326222605 \h </w:instrText>
      </w:r>
      <w:r>
        <w:fldChar w:fldCharType="separate"/>
      </w:r>
      <w:r>
        <w:t>52</w:t>
      </w:r>
      <w:r>
        <w:fldChar w:fldCharType="end"/>
      </w:r>
      <w:r>
        <w:t>, at 320 (associating more precaution with earlier action).</w:t>
      </w:r>
    </w:p>
  </w:footnote>
  <w:footnote w:id="100">
    <w:p w14:paraId="1325A520" w14:textId="2BC31257" w:rsidR="006152E8" w:rsidRDefault="006152E8" w:rsidP="00B506B0">
      <w:pPr>
        <w:pStyle w:val="Textpoznpodarou"/>
        <w:jc w:val="both"/>
      </w:pPr>
      <w:r>
        <w:tab/>
      </w:r>
      <w:r>
        <w:rPr>
          <w:rStyle w:val="Znakapoznpodarou"/>
        </w:rPr>
        <w:footnoteRef/>
      </w:r>
      <w:r>
        <w:tab/>
      </w:r>
      <w:r w:rsidRPr="001355A1">
        <w:t>See</w:t>
      </w:r>
      <w:r>
        <w:t xml:space="preserve"> David M. Driesen, </w:t>
      </w:r>
      <w:r>
        <w:rPr>
          <w:i/>
        </w:rPr>
        <w:t xml:space="preserve">Distributing the Costs of Environmental, Health, and Safety Regulation: The Feasibility Principle, Cost-Benefit Analysis, and Regulatory Reform, </w:t>
      </w:r>
      <w:r>
        <w:t xml:space="preserve">32 </w:t>
      </w:r>
      <w:r w:rsidRPr="001355A1">
        <w:rPr>
          <w:smallCaps/>
          <w:szCs w:val="20"/>
        </w:rPr>
        <w:t>B.C. Envtl. Aff. L. Rev</w:t>
      </w:r>
      <w:r>
        <w:rPr>
          <w:sz w:val="22"/>
        </w:rPr>
        <w:t xml:space="preserve">. 1, </w:t>
      </w:r>
      <w:r w:rsidRPr="00AD726A">
        <w:rPr>
          <w:szCs w:val="20"/>
        </w:rPr>
        <w:t>9-16 (2005) (describing the “feasibility principle” governing many environmental regulations).</w:t>
      </w:r>
      <w:r>
        <w:rPr>
          <w:sz w:val="22"/>
        </w:rPr>
        <w:t xml:space="preserve"> </w:t>
      </w:r>
      <w:r w:rsidRPr="001C7668">
        <w:rPr>
          <w:i/>
        </w:rPr>
        <w:t>Cf</w:t>
      </w:r>
      <w:r>
        <w:rPr>
          <w:i/>
        </w:rPr>
        <w:t xml:space="preserve">. </w:t>
      </w:r>
      <w:r>
        <w:t xml:space="preserve">Stewart, </w:t>
      </w:r>
      <w:r w:rsidRPr="001C7668">
        <w:rPr>
          <w:i/>
        </w:rPr>
        <w:t>supra</w:t>
      </w:r>
      <w:r>
        <w:t xml:space="preserve"> note </w:t>
      </w:r>
      <w:r>
        <w:fldChar w:fldCharType="begin"/>
      </w:r>
      <w:r>
        <w:instrText xml:space="preserve"> NOTEREF _Ref323719730 \h </w:instrText>
      </w:r>
      <w:r>
        <w:fldChar w:fldCharType="separate"/>
      </w:r>
      <w:r>
        <w:t>88</w:t>
      </w:r>
      <w:r>
        <w:fldChar w:fldCharType="end"/>
      </w:r>
      <w:r>
        <w:t xml:space="preserve">, at 78 (describing margin of safety and best available technology precautionary principles as different “versions” of the precautionary principle).  </w:t>
      </w:r>
    </w:p>
  </w:footnote>
  <w:footnote w:id="101">
    <w:p w14:paraId="377B50AD" w14:textId="482B0AD6" w:rsidR="006152E8" w:rsidRDefault="006152E8">
      <w:pPr>
        <w:pStyle w:val="Textpoznpodarou"/>
      </w:pPr>
      <w:r>
        <w:tab/>
      </w:r>
      <w:r>
        <w:rPr>
          <w:rStyle w:val="Znakapoznpodarou"/>
        </w:rPr>
        <w:footnoteRef/>
      </w:r>
      <w:r>
        <w:tab/>
      </w:r>
      <w:r>
        <w:rPr>
          <w:i/>
        </w:rPr>
        <w:t xml:space="preserve">See </w:t>
      </w:r>
      <w:r>
        <w:t xml:space="preserve">Telstra Corp. v. Hornsby Shire Council (2006) 133 N.S.W. L.E.Ct. ¶ 154 (stating that the precautionary principle does not require giving “overriding weight” to environmental damages compared to “. . . social and economic factors”).  </w:t>
      </w:r>
      <w:r>
        <w:rPr>
          <w:i/>
        </w:rPr>
        <w:t xml:space="preserve">Cf. </w:t>
      </w:r>
      <w:r>
        <w:rPr>
          <w:smallCaps/>
          <w:szCs w:val="20"/>
        </w:rPr>
        <w:t>Interpreting the Precautionary Principle 206 (</w:t>
      </w:r>
      <w:r>
        <w:rPr>
          <w:szCs w:val="20"/>
        </w:rPr>
        <w:t>Timothy O-Riordan &amp; James Cameron eds. 1994)</w:t>
      </w:r>
      <w:r>
        <w:t xml:space="preserve"> (suggesting that regulatory approaches that minimize the need for information about the precise causal relationships between activities and environmental harm are precautionary).</w:t>
      </w:r>
    </w:p>
  </w:footnote>
  <w:footnote w:id="102">
    <w:p w14:paraId="6731D95D" w14:textId="758242FB" w:rsidR="006152E8" w:rsidRDefault="006152E8">
      <w:pPr>
        <w:pStyle w:val="Textpoznpodarou"/>
      </w:pPr>
      <w:r>
        <w:tab/>
      </w:r>
      <w:r>
        <w:rPr>
          <w:rStyle w:val="Znakapoznpodarou"/>
        </w:rPr>
        <w:footnoteRef/>
      </w:r>
      <w:r>
        <w:tab/>
      </w:r>
      <w:r>
        <w:rPr>
          <w:i/>
        </w:rPr>
        <w:t xml:space="preserve">See, e.g., </w:t>
      </w:r>
      <w:r>
        <w:t xml:space="preserve">Stewart, </w:t>
      </w:r>
      <w:r>
        <w:rPr>
          <w:i/>
        </w:rPr>
        <w:t>supra</w:t>
      </w:r>
      <w:r>
        <w:t xml:space="preserve"> note </w:t>
      </w:r>
      <w:r>
        <w:fldChar w:fldCharType="begin"/>
      </w:r>
      <w:r>
        <w:instrText xml:space="preserve"> NOTEREF _Ref323719730 \h </w:instrText>
      </w:r>
      <w:r>
        <w:fldChar w:fldCharType="separate"/>
      </w:r>
      <w:r>
        <w:t>88</w:t>
      </w:r>
      <w:r>
        <w:fldChar w:fldCharType="end"/>
      </w:r>
      <w:r>
        <w:t xml:space="preserve">, at 78 (characterizing several approaches to calibrating abatement as implementing the precautionary principle); 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185 (stating that the precautionary principle addresses “the question of response”). </w:t>
      </w:r>
    </w:p>
  </w:footnote>
  <w:footnote w:id="103">
    <w:p w14:paraId="263C6E14" w14:textId="77777777" w:rsidR="006152E8" w:rsidRDefault="006152E8" w:rsidP="00B506B0">
      <w:pPr>
        <w:pStyle w:val="Textpoznpodarou"/>
        <w:jc w:val="both"/>
      </w:pPr>
      <w:r>
        <w:tab/>
      </w:r>
      <w:r>
        <w:rPr>
          <w:rStyle w:val="Znakapoznpodarou"/>
        </w:rPr>
        <w:footnoteRef/>
      </w:r>
      <w:r>
        <w:tab/>
      </w:r>
      <w:r>
        <w:rPr>
          <w:i/>
        </w:rPr>
        <w:t xml:space="preserve">See, e.g., </w:t>
      </w:r>
      <w:r>
        <w:t xml:space="preserve">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182-83, 185 (defining the principle mostly in terms of a trigger, but then characterizing it as speaking to “the question of response”).  One might object that the prohibition against using scientific uncertainty to reject “measures”—in the plural—allows the rejection of any single measure as long as some “measures” are accepted.  This reading could justify confining the precautionary principle to the question of triggers only, requiring that at least one measure be taken in the face of scientific uncertainty while saying nothing about the abatement level.  Although this is verbally plausible it contradicts the widely accepted idea that precaution has something to say about abatement levels.  And it is at least equally verbally plausible to read the plural form here as simply forbidding the scientific uncertainty as the basis for rejection of any measures.       </w:t>
      </w:r>
    </w:p>
  </w:footnote>
  <w:footnote w:id="104">
    <w:p w14:paraId="7757CA9B" w14:textId="10EA48A1" w:rsidR="006152E8" w:rsidRDefault="006152E8" w:rsidP="00B506B0">
      <w:pPr>
        <w:pStyle w:val="Textpoznpodarou"/>
        <w:jc w:val="both"/>
      </w:pPr>
      <w:r>
        <w:tab/>
      </w:r>
      <w:r>
        <w:rPr>
          <w:rStyle w:val="Znakapoznpodarou"/>
        </w:rPr>
        <w:footnoteRef/>
      </w:r>
      <w:r>
        <w:tab/>
      </w:r>
      <w:r>
        <w:rPr>
          <w:i/>
        </w:rPr>
        <w:t>See</w:t>
      </w:r>
      <w:r>
        <w:t xml:space="preserve"> id. at 172 (identifying the willingness to act “in the absence of scientific certainty” as the “minimal core” of the precautionary principle). </w:t>
      </w:r>
    </w:p>
  </w:footnote>
  <w:footnote w:id="105">
    <w:p w14:paraId="7E04983D" w14:textId="77777777" w:rsidR="006152E8" w:rsidRDefault="006152E8" w:rsidP="00B506B0">
      <w:pPr>
        <w:pStyle w:val="Textpoznpodarou"/>
        <w:jc w:val="both"/>
      </w:pPr>
      <w:r>
        <w:tab/>
      </w:r>
      <w:r>
        <w:rPr>
          <w:rStyle w:val="Znakapoznpodarou"/>
        </w:rPr>
        <w:footnoteRef/>
      </w:r>
      <w:r>
        <w:t xml:space="preserve"> </w:t>
      </w:r>
      <w:r>
        <w:tab/>
      </w:r>
      <w:r>
        <w:rPr>
          <w:i/>
        </w:rPr>
        <w:t>Accord</w:t>
      </w:r>
      <w:r>
        <w:t xml:space="preserve"> id. at 185; Geistfeld, </w:t>
      </w:r>
      <w:r>
        <w:rPr>
          <w:i/>
        </w:rPr>
        <w:t xml:space="preserve">supra </w:t>
      </w:r>
      <w:r>
        <w:t xml:space="preserve">note </w:t>
      </w:r>
      <w:r>
        <w:fldChar w:fldCharType="begin"/>
      </w:r>
      <w:r>
        <w:instrText xml:space="preserve"> NOTEREF _Ref198100890 \h </w:instrText>
      </w:r>
      <w:r>
        <w:fldChar w:fldCharType="separate"/>
      </w:r>
      <w:r>
        <w:t>31</w:t>
      </w:r>
      <w:r>
        <w:fldChar w:fldCharType="end"/>
      </w:r>
      <w:r>
        <w:t>, at 11327 (the Rio Declaration’s reference to “cost effective measures” requires attainment of a “</w:t>
      </w:r>
      <w:r>
        <w:rPr>
          <w:i/>
        </w:rPr>
        <w:t>given</w:t>
      </w:r>
      <w:r>
        <w:t xml:space="preserve"> environmental objective at lowest cost”) (emphasis added).  </w:t>
      </w:r>
      <w:r>
        <w:rPr>
          <w:i/>
        </w:rPr>
        <w:t xml:space="preserve">Cf. </w:t>
      </w:r>
      <w:r>
        <w:t xml:space="preserve">Stone, </w:t>
      </w:r>
      <w:r>
        <w:rPr>
          <w:i/>
        </w:rPr>
        <w:t>supra</w:t>
      </w:r>
      <w:r>
        <w:t xml:space="preserve"> note </w:t>
      </w:r>
      <w:r>
        <w:fldChar w:fldCharType="begin"/>
      </w:r>
      <w:r>
        <w:instrText xml:space="preserve"> NOTEREF _Ref319933114 \h </w:instrText>
      </w:r>
      <w:r>
        <w:fldChar w:fldCharType="separate"/>
      </w:r>
      <w:r>
        <w:t>4</w:t>
      </w:r>
      <w:r>
        <w:fldChar w:fldCharType="end"/>
      </w:r>
      <w:r>
        <w:t>, at 10790 n. 8 (recognizing this interpretation of cost effectiveness, but arguing that absent elaboration the meaning of the phrase is unclear).</w:t>
      </w:r>
    </w:p>
  </w:footnote>
  <w:footnote w:id="106">
    <w:p w14:paraId="115146C9" w14:textId="57E01B9F" w:rsidR="006152E8" w:rsidRDefault="006152E8" w:rsidP="00B506B0">
      <w:pPr>
        <w:pStyle w:val="Textpoznpodarou"/>
        <w:jc w:val="both"/>
      </w:pPr>
      <w:r>
        <w:tab/>
      </w:r>
      <w:r>
        <w:rPr>
          <w:rStyle w:val="Znakapoznpodarou"/>
        </w:rPr>
        <w:footnoteRef/>
      </w:r>
      <w:r>
        <w:tab/>
      </w:r>
      <w:r>
        <w:rPr>
          <w:i/>
        </w:rPr>
        <w:t xml:space="preserve">Cf. </w:t>
      </w:r>
      <w:r>
        <w:rPr>
          <w:smallCaps/>
        </w:rPr>
        <w:t xml:space="preserve">Indur M. Goklany:  The Precautionary Principle:  A Critical Appraisal of Environmental Risk Assessment 6 (2001) </w:t>
      </w:r>
      <w:r>
        <w:t xml:space="preserve">(interpreting similar language in the Framework Convention on Climate Change as mandating reliance on CBA).   </w:t>
      </w:r>
    </w:p>
  </w:footnote>
  <w:footnote w:id="107">
    <w:p w14:paraId="48A2B18D" w14:textId="04397196" w:rsidR="006152E8" w:rsidRDefault="006152E8" w:rsidP="001B7D1A">
      <w:pPr>
        <w:pStyle w:val="Textpoznpodarou"/>
        <w:jc w:val="both"/>
      </w:pPr>
      <w:r>
        <w:tab/>
      </w:r>
      <w:r>
        <w:rPr>
          <w:rStyle w:val="Znakapoznpodarou"/>
        </w:rPr>
        <w:footnoteRef/>
      </w:r>
      <w:r>
        <w:tab/>
        <w:t>May 29, 1992, S. Treaty Doc. No. 102-38, 1771 U.N.T.S. 164 [hereinafter Framework Convention].</w:t>
      </w:r>
    </w:p>
  </w:footnote>
  <w:footnote w:id="108">
    <w:p w14:paraId="0C2CB00E" w14:textId="691DA4CF" w:rsidR="006152E8" w:rsidRDefault="006152E8">
      <w:pPr>
        <w:pStyle w:val="Textpoznpodarou"/>
      </w:pPr>
      <w:r>
        <w:tab/>
      </w:r>
      <w:r>
        <w:rPr>
          <w:rStyle w:val="Znakapoznpodarou"/>
        </w:rPr>
        <w:footnoteRef/>
      </w:r>
      <w:r>
        <w:tab/>
        <w:t xml:space="preserve">Id. art. 3. </w:t>
      </w:r>
    </w:p>
  </w:footnote>
  <w:footnote w:id="109">
    <w:p w14:paraId="6E08CD52" w14:textId="456E34CA" w:rsidR="006152E8" w:rsidRDefault="006152E8">
      <w:pPr>
        <w:pStyle w:val="Textpoznpodarou"/>
      </w:pPr>
      <w:r>
        <w:tab/>
      </w:r>
      <w:r>
        <w:rPr>
          <w:rStyle w:val="Znakapoznpodarou"/>
        </w:rPr>
        <w:footnoteRef/>
      </w:r>
      <w:r>
        <w:tab/>
      </w:r>
      <w:r>
        <w:rPr>
          <w:i/>
        </w:rPr>
        <w:t xml:space="preserve">See </w:t>
      </w:r>
      <w:r>
        <w:t xml:space="preserve">id. art. 2. </w:t>
      </w:r>
    </w:p>
  </w:footnote>
  <w:footnote w:id="110">
    <w:p w14:paraId="4D7C38F7" w14:textId="7BB68F83" w:rsidR="006152E8" w:rsidRPr="0076556C" w:rsidRDefault="006152E8" w:rsidP="001B7D1A">
      <w:pPr>
        <w:pStyle w:val="Seznam"/>
        <w:ind w:left="0" w:firstLine="0"/>
        <w:jc w:val="both"/>
        <w:rPr>
          <w:i/>
          <w:smallCaps/>
          <w:sz w:val="20"/>
        </w:rPr>
      </w:pPr>
      <w:r>
        <w:tab/>
      </w:r>
      <w:r w:rsidRPr="0076556C">
        <w:rPr>
          <w:rStyle w:val="Znakapoznpodarou"/>
          <w:sz w:val="20"/>
        </w:rPr>
        <w:footnoteRef/>
      </w:r>
      <w:r w:rsidRPr="0076556C">
        <w:rPr>
          <w:sz w:val="20"/>
        </w:rPr>
        <w:tab/>
      </w:r>
      <w:r w:rsidRPr="0076556C">
        <w:rPr>
          <w:i/>
          <w:sz w:val="20"/>
        </w:rPr>
        <w:t xml:space="preserve">See </w:t>
      </w:r>
      <w:r w:rsidRPr="0076556C">
        <w:rPr>
          <w:sz w:val="20"/>
        </w:rPr>
        <w:t xml:space="preserve">David M. Driesen, </w:t>
      </w:r>
      <w:r w:rsidRPr="0076556C">
        <w:rPr>
          <w:i/>
          <w:sz w:val="20"/>
        </w:rPr>
        <w:t xml:space="preserve">Sustainable Development and Market Liberalism’s Shotgun Wedding:  Emissions Trading Under the Kyoto Protocol, </w:t>
      </w:r>
      <w:r>
        <w:rPr>
          <w:sz w:val="20"/>
        </w:rPr>
        <w:t>83</w:t>
      </w:r>
      <w:r w:rsidRPr="0076556C">
        <w:rPr>
          <w:sz w:val="20"/>
        </w:rPr>
        <w:t xml:space="preserve"> </w:t>
      </w:r>
      <w:r w:rsidRPr="0076556C">
        <w:rPr>
          <w:smallCaps/>
          <w:sz w:val="20"/>
        </w:rPr>
        <w:t xml:space="preserve">Indiana L. J. </w:t>
      </w:r>
      <w:r>
        <w:rPr>
          <w:smallCaps/>
          <w:sz w:val="20"/>
        </w:rPr>
        <w:t xml:space="preserve"> 2</w:t>
      </w:r>
      <w:r w:rsidRPr="0076556C">
        <w:rPr>
          <w:smallCaps/>
          <w:sz w:val="20"/>
        </w:rPr>
        <w:t>1,</w:t>
      </w:r>
      <w:r>
        <w:rPr>
          <w:smallCaps/>
          <w:sz w:val="20"/>
        </w:rPr>
        <w:t xml:space="preserve"> 35</w:t>
      </w:r>
      <w:r w:rsidRPr="0076556C">
        <w:rPr>
          <w:smallCaps/>
          <w:sz w:val="20"/>
        </w:rPr>
        <w:t xml:space="preserve"> (2008)</w:t>
      </w:r>
      <w:r>
        <w:rPr>
          <w:smallCaps/>
          <w:sz w:val="20"/>
        </w:rPr>
        <w:t xml:space="preserve"> (</w:t>
      </w:r>
      <w:r>
        <w:rPr>
          <w:sz w:val="20"/>
        </w:rPr>
        <w:t>describing the Kyoto Protocol’s three trading programs)</w:t>
      </w:r>
      <w:r>
        <w:rPr>
          <w:smallCaps/>
          <w:sz w:val="20"/>
        </w:rPr>
        <w:t xml:space="preserve">; </w:t>
      </w:r>
      <w:r w:rsidRPr="0076556C">
        <w:rPr>
          <w:sz w:val="20"/>
        </w:rPr>
        <w:t xml:space="preserve">David M. Driesen, </w:t>
      </w:r>
      <w:r w:rsidRPr="0076556C">
        <w:rPr>
          <w:i/>
          <w:sz w:val="20"/>
        </w:rPr>
        <w:t xml:space="preserve">Free Lunch or Cheap Fix?:  The Emissions Trading Idea and the Climate Change Convention, </w:t>
      </w:r>
      <w:r w:rsidRPr="0076556C">
        <w:rPr>
          <w:sz w:val="20"/>
        </w:rPr>
        <w:t xml:space="preserve">26 </w:t>
      </w:r>
      <w:r w:rsidRPr="0076556C">
        <w:rPr>
          <w:smallCaps/>
          <w:sz w:val="20"/>
        </w:rPr>
        <w:t xml:space="preserve">B. C. Envtl. Aff. L. Rev. 1, 28-30 (1998) </w:t>
      </w:r>
      <w:r>
        <w:rPr>
          <w:sz w:val="20"/>
        </w:rPr>
        <w:t>(discussing</w:t>
      </w:r>
      <w:r w:rsidRPr="0076556C">
        <w:rPr>
          <w:sz w:val="20"/>
        </w:rPr>
        <w:t xml:space="preserve"> the joint implementat</w:t>
      </w:r>
      <w:r>
        <w:rPr>
          <w:sz w:val="20"/>
        </w:rPr>
        <w:t>ion idea’s</w:t>
      </w:r>
      <w:r w:rsidRPr="0076556C">
        <w:rPr>
          <w:sz w:val="20"/>
        </w:rPr>
        <w:t xml:space="preserve"> </w:t>
      </w:r>
      <w:r>
        <w:rPr>
          <w:sz w:val="20"/>
        </w:rPr>
        <w:t>evolution).</w:t>
      </w:r>
      <w:r>
        <w:t xml:space="preserve"> </w:t>
      </w:r>
    </w:p>
  </w:footnote>
  <w:footnote w:id="111">
    <w:p w14:paraId="761552C6" w14:textId="77777777" w:rsidR="006152E8" w:rsidRDefault="006152E8" w:rsidP="00B506B0">
      <w:pPr>
        <w:jc w:val="both"/>
        <w:rPr>
          <w:sz w:val="20"/>
          <w:szCs w:val="20"/>
        </w:rPr>
      </w:pPr>
      <w:r>
        <w:tab/>
      </w:r>
      <w:r>
        <w:rPr>
          <w:rStyle w:val="Znakapoznpodarou"/>
          <w:sz w:val="20"/>
          <w:szCs w:val="20"/>
        </w:rPr>
        <w:footnoteRef/>
      </w:r>
      <w:r>
        <w:tab/>
      </w:r>
      <w:r>
        <w:rPr>
          <w:sz w:val="20"/>
          <w:szCs w:val="20"/>
        </w:rPr>
        <w:t xml:space="preserve">Article 3 of the Framework Convention on Climate Change, contains a very similar statement: </w:t>
      </w:r>
    </w:p>
    <w:p w14:paraId="2B157A41" w14:textId="77777777" w:rsidR="006152E8" w:rsidRDefault="006152E8" w:rsidP="00B506B0">
      <w:pPr>
        <w:jc w:val="both"/>
        <w:rPr>
          <w:sz w:val="20"/>
          <w:szCs w:val="20"/>
        </w:rPr>
      </w:pPr>
    </w:p>
    <w:p w14:paraId="71FFE10F" w14:textId="74504796" w:rsidR="006152E8" w:rsidRDefault="006152E8" w:rsidP="00DC0869">
      <w:pPr>
        <w:ind w:left="720" w:right="720"/>
        <w:jc w:val="both"/>
        <w:rPr>
          <w:sz w:val="20"/>
          <w:szCs w:val="20"/>
        </w:rPr>
      </w:pPr>
      <w:r>
        <w:rPr>
          <w:sz w:val="20"/>
          <w:szCs w:val="20"/>
        </w:rPr>
        <w:t>Parties should take precautionary measures to anticipate, prevent, or minimize, the causes of climate change and mitigate its effects.  Where there are threats of serious or irreversible damage, lack of full scientific certainty should not be used as a reason for postponing such measures, taking into account that policies and measures should be cost-effective so as to ensure global benefits at the lowest possible cost.  To achieve this, such policies and measures should take into account different socio-economic contexts, be comprehensive, cover all relevant sources, sinks and reservoirs of greenhouse gases and adaptation, and comprise all economic actors.</w:t>
      </w:r>
    </w:p>
    <w:p w14:paraId="0069E74D" w14:textId="6881401D" w:rsidR="006152E8" w:rsidRDefault="006152E8" w:rsidP="00A7793A">
      <w:pPr>
        <w:pStyle w:val="Textpoznpodarou"/>
      </w:pPr>
      <w:r>
        <w:rPr>
          <w:szCs w:val="20"/>
        </w:rPr>
        <w:t xml:space="preserve">Framework Convention, </w:t>
      </w:r>
      <w:r w:rsidRPr="0071218F">
        <w:rPr>
          <w:i/>
          <w:szCs w:val="20"/>
        </w:rPr>
        <w:t>supra</w:t>
      </w:r>
      <w:r>
        <w:rPr>
          <w:szCs w:val="20"/>
        </w:rPr>
        <w:t xml:space="preserve"> note </w:t>
      </w:r>
      <w:r>
        <w:rPr>
          <w:szCs w:val="20"/>
        </w:rPr>
        <w:fldChar w:fldCharType="begin"/>
      </w:r>
      <w:r>
        <w:rPr>
          <w:szCs w:val="20"/>
        </w:rPr>
        <w:instrText xml:space="preserve"> NOTEREF _Ref216517260 \h </w:instrText>
      </w:r>
      <w:r>
        <w:rPr>
          <w:szCs w:val="20"/>
        </w:rPr>
      </w:r>
      <w:r>
        <w:rPr>
          <w:szCs w:val="20"/>
        </w:rPr>
        <w:fldChar w:fldCharType="separate"/>
      </w:r>
      <w:r>
        <w:rPr>
          <w:szCs w:val="20"/>
        </w:rPr>
        <w:t>105</w:t>
      </w:r>
      <w:r>
        <w:rPr>
          <w:szCs w:val="20"/>
        </w:rPr>
        <w:fldChar w:fldCharType="end"/>
      </w:r>
      <w:r>
        <w:rPr>
          <w:szCs w:val="20"/>
        </w:rPr>
        <w:t>, art. 3(3).</w:t>
      </w:r>
      <w:r>
        <w:t xml:space="preserve"> </w:t>
      </w:r>
    </w:p>
  </w:footnote>
  <w:footnote w:id="112">
    <w:p w14:paraId="6E7786C1" w14:textId="65A14135" w:rsidR="006152E8" w:rsidRPr="00521857" w:rsidRDefault="006152E8">
      <w:pPr>
        <w:pStyle w:val="Textpoznpodarou"/>
      </w:pPr>
      <w:r>
        <w:tab/>
      </w:r>
      <w:r>
        <w:rPr>
          <w:rStyle w:val="Znakapoznpodarou"/>
        </w:rPr>
        <w:footnoteRef/>
      </w:r>
      <w:r>
        <w:t xml:space="preserve"> </w:t>
      </w:r>
      <w:r>
        <w:tab/>
      </w:r>
      <w:r>
        <w:rPr>
          <w:i/>
        </w:rPr>
        <w:t>See</w:t>
      </w:r>
      <w:r>
        <w:t xml:space="preserve"> id.</w:t>
      </w:r>
    </w:p>
  </w:footnote>
  <w:footnote w:id="113">
    <w:p w14:paraId="1834D0E7" w14:textId="2565C44D" w:rsidR="006152E8" w:rsidRDefault="006152E8">
      <w:pPr>
        <w:pStyle w:val="Textpoznpodarou"/>
      </w:pPr>
      <w:r>
        <w:tab/>
      </w:r>
      <w:r>
        <w:rPr>
          <w:rStyle w:val="Znakapoznpodarou"/>
        </w:rPr>
        <w:footnoteRef/>
      </w:r>
      <w:r>
        <w:t xml:space="preserve"> </w:t>
      </w:r>
      <w:r>
        <w:tab/>
        <w:t>Id.</w:t>
      </w:r>
    </w:p>
  </w:footnote>
  <w:footnote w:id="114">
    <w:p w14:paraId="49A01767" w14:textId="0D8D34AC" w:rsidR="006152E8" w:rsidRDefault="006152E8">
      <w:pPr>
        <w:pStyle w:val="Textpoznpodarou"/>
      </w:pPr>
      <w:r>
        <w:tab/>
      </w:r>
      <w:r>
        <w:rPr>
          <w:rStyle w:val="Znakapoznpodarou"/>
        </w:rPr>
        <w:footnoteRef/>
      </w:r>
      <w:r>
        <w:tab/>
        <w:t>Id.  art. 3(1).</w:t>
      </w:r>
    </w:p>
  </w:footnote>
  <w:footnote w:id="115">
    <w:p w14:paraId="40DDF2D0" w14:textId="376D6994" w:rsidR="006152E8" w:rsidRPr="005B1B85" w:rsidRDefault="006152E8" w:rsidP="005B1B85">
      <w:pPr>
        <w:pStyle w:val="Textpoznpodarou"/>
        <w:jc w:val="both"/>
      </w:pPr>
      <w:r>
        <w:tab/>
      </w:r>
      <w:r>
        <w:rPr>
          <w:rStyle w:val="Znakapoznpodarou"/>
        </w:rPr>
        <w:footnoteRef/>
      </w:r>
      <w:r>
        <w:t xml:space="preserve"> </w:t>
      </w:r>
      <w:r>
        <w:tab/>
      </w:r>
      <w:r>
        <w:rPr>
          <w:i/>
        </w:rPr>
        <w:t>See</w:t>
      </w:r>
      <w:r>
        <w:t xml:space="preserve"> Kyoto Protocol to the Framework Convention on Climate Change, FCCC/CP/1997/L.7/Add.1, Dec. 11, 1997.</w:t>
      </w:r>
    </w:p>
  </w:footnote>
  <w:footnote w:id="116">
    <w:p w14:paraId="79DB2958" w14:textId="77777777" w:rsidR="006152E8" w:rsidRDefault="006152E8" w:rsidP="00C237DA">
      <w:pPr>
        <w:pStyle w:val="Textpoznpodarou"/>
        <w:jc w:val="both"/>
      </w:pPr>
      <w:r>
        <w:tab/>
      </w:r>
      <w:r>
        <w:rPr>
          <w:rStyle w:val="Znakapoznpodarou"/>
        </w:rPr>
        <w:footnoteRef/>
      </w:r>
      <w:r>
        <w:tab/>
      </w:r>
      <w:r>
        <w:rPr>
          <w:i/>
        </w:rPr>
        <w:t xml:space="preserve">See, e.g., </w:t>
      </w:r>
      <w:r>
        <w:rPr>
          <w:i/>
          <w:iCs/>
        </w:rPr>
        <w:t xml:space="preserve">The Montreal Protocol on Substances that Deplete the Ozone Layer, </w:t>
      </w:r>
      <w:r>
        <w:t>art. 9(c),</w:t>
      </w:r>
      <w:r>
        <w:rPr>
          <w:i/>
          <w:iCs/>
        </w:rPr>
        <w:t xml:space="preserve"> </w:t>
      </w:r>
      <w:r>
        <w:t xml:space="preserve">Sep. 16, 1987, 1522 U.N.T.S. 3, 29 (requiring communication of information about the costs and benefits of measures to address stratospheric ozone depletion).  </w:t>
      </w:r>
    </w:p>
  </w:footnote>
  <w:footnote w:id="117">
    <w:p w14:paraId="316FF909" w14:textId="120E6C31" w:rsidR="006152E8" w:rsidRPr="00931AF9" w:rsidRDefault="006152E8" w:rsidP="00DC0869">
      <w:pPr>
        <w:pStyle w:val="Textpoznpodarou"/>
        <w:jc w:val="both"/>
      </w:pPr>
      <w:r>
        <w:tab/>
      </w:r>
      <w:r>
        <w:rPr>
          <w:rStyle w:val="Znakapoznpodarou"/>
        </w:rPr>
        <w:footnoteRef/>
      </w:r>
      <w:r>
        <w:tab/>
      </w:r>
      <w:r>
        <w:rPr>
          <w:i/>
        </w:rPr>
        <w:t xml:space="preserve">See </w:t>
      </w:r>
      <w:r>
        <w:rPr>
          <w:rFonts w:cs="Times New Roman"/>
          <w:smallCaps/>
        </w:rPr>
        <w:t xml:space="preserve">Elizabeth Fisher, Risk Regulation and Administrative Constitutionalism 222-23 (2007) </w:t>
      </w:r>
      <w:r>
        <w:rPr>
          <w:rFonts w:cs="Times New Roman"/>
        </w:rPr>
        <w:t>(pointing out that the European Court of Justice applies proportionality but not CBA in interpreting the precautionary principle)</w:t>
      </w:r>
      <w:r>
        <w:rPr>
          <w:rFonts w:cs="Times New Roman"/>
          <w:smallCaps/>
        </w:rPr>
        <w:t xml:space="preserve">; </w:t>
      </w:r>
      <w:r w:rsidRPr="00097445">
        <w:rPr>
          <w:rFonts w:cs="Times New Roman"/>
          <w:smallCaps/>
        </w:rPr>
        <w:t>I</w:t>
      </w:r>
      <w:r>
        <w:rPr>
          <w:rFonts w:cs="Times New Roman"/>
          <w:smallCaps/>
        </w:rPr>
        <w:t>mplementing the Precautionary Principle:  Perspectives and Prospects 26-27 (</w:t>
      </w:r>
      <w:r>
        <w:rPr>
          <w:rFonts w:cs="Times New Roman"/>
        </w:rPr>
        <w:t xml:space="preserve">Elizabeth Fisher, Judith Jones, Rene von Schomberg eds. </w:t>
      </w:r>
      <w:r>
        <w:rPr>
          <w:rFonts w:cs="Times New Roman"/>
          <w:smallCaps/>
        </w:rPr>
        <w:t>2006) (</w:t>
      </w:r>
      <w:r>
        <w:rPr>
          <w:rFonts w:cs="Times New Roman"/>
        </w:rPr>
        <w:t>pointing out that EU guidelines calling for CBA do not contemplate a purely “economic weighing”);</w:t>
      </w:r>
      <w:r>
        <w:rPr>
          <w:rFonts w:cs="Times New Roman"/>
          <w:smallCaps/>
        </w:rPr>
        <w:t xml:space="preserve"> </w:t>
      </w:r>
      <w:r w:rsidRPr="00097445">
        <w:rPr>
          <w:smallCaps/>
        </w:rPr>
        <w:t>Interpreting</w:t>
      </w:r>
      <w:r>
        <w:rPr>
          <w:smallCaps/>
        </w:rPr>
        <w:t xml:space="preserve"> the Precautionary Principle, </w:t>
      </w:r>
      <w:r w:rsidRPr="007C56ED">
        <w:rPr>
          <w:i/>
        </w:rPr>
        <w:t>supra</w:t>
      </w:r>
      <w:r>
        <w:t xml:space="preserve"> note </w:t>
      </w:r>
      <w:r>
        <w:fldChar w:fldCharType="begin"/>
      </w:r>
      <w:r>
        <w:instrText xml:space="preserve"> NOTEREF _Ref208917353 \h </w:instrText>
      </w:r>
      <w:r>
        <w:fldChar w:fldCharType="separate"/>
      </w:r>
      <w:r>
        <w:t>99</w:t>
      </w:r>
      <w:r>
        <w:fldChar w:fldCharType="end"/>
      </w:r>
      <w:r>
        <w:t xml:space="preserve">, 238 (referencing the proportionality principle in the German and British versions of the principle); </w:t>
      </w:r>
      <w:r>
        <w:rPr>
          <w:smallCaps/>
        </w:rPr>
        <w:t xml:space="preserve">Early Warnings , </w:t>
      </w:r>
      <w:r>
        <w:rPr>
          <w:i/>
        </w:rPr>
        <w:t xml:space="preserve">supra </w:t>
      </w:r>
      <w:r>
        <w:t xml:space="preserve">note </w:t>
      </w:r>
      <w:r>
        <w:fldChar w:fldCharType="begin"/>
      </w:r>
      <w:r>
        <w:instrText xml:space="preserve"> NOTEREF _Ref326054367 \h </w:instrText>
      </w:r>
      <w:r>
        <w:fldChar w:fldCharType="separate"/>
      </w:r>
      <w:r>
        <w:t>89</w:t>
      </w:r>
      <w:r>
        <w:fldChar w:fldCharType="end"/>
      </w:r>
      <w:r>
        <w:t xml:space="preserve">, at </w:t>
      </w:r>
      <w:r>
        <w:rPr>
          <w:smallCaps/>
        </w:rPr>
        <w:t>4 (</w:t>
      </w:r>
      <w:r>
        <w:t>identifying the precautionary principle with “taking into account the likely costs and benefits” and “the proportionality principle”).</w:t>
      </w:r>
    </w:p>
  </w:footnote>
  <w:footnote w:id="118">
    <w:p w14:paraId="27086E9B" w14:textId="72B6C48F" w:rsidR="006152E8" w:rsidRDefault="006152E8" w:rsidP="00245AEF">
      <w:pPr>
        <w:pStyle w:val="Textpoznpodarou"/>
        <w:jc w:val="both"/>
      </w:pPr>
      <w:r>
        <w:tab/>
      </w:r>
      <w:r>
        <w:rPr>
          <w:rStyle w:val="Znakapoznpodarou"/>
        </w:rPr>
        <w:footnoteRef/>
      </w:r>
      <w:r>
        <w:rPr>
          <w:i/>
        </w:rPr>
        <w:tab/>
        <w:t>See generally</w:t>
      </w:r>
      <w:r>
        <w:t xml:space="preserve"> </w:t>
      </w:r>
      <w:r>
        <w:rPr>
          <w:smallCaps/>
          <w:szCs w:val="20"/>
        </w:rPr>
        <w:t>Interpreting the Precautionary Principle</w:t>
      </w:r>
      <w:r>
        <w:rPr>
          <w:szCs w:val="20"/>
        </w:rPr>
        <w:t xml:space="preserve">, </w:t>
      </w:r>
      <w:r w:rsidRPr="001A1248">
        <w:rPr>
          <w:i/>
          <w:szCs w:val="20"/>
        </w:rPr>
        <w:t>supra</w:t>
      </w:r>
      <w:r w:rsidRPr="001A1248">
        <w:rPr>
          <w:szCs w:val="20"/>
        </w:rPr>
        <w:t xml:space="preserve"> note</w:t>
      </w:r>
      <w:r>
        <w:rPr>
          <w:smallCaps/>
          <w:szCs w:val="20"/>
        </w:rPr>
        <w:t xml:space="preserve"> </w:t>
      </w:r>
      <w:r>
        <w:rPr>
          <w:smallCaps/>
          <w:szCs w:val="20"/>
        </w:rPr>
        <w:fldChar w:fldCharType="begin"/>
      </w:r>
      <w:r>
        <w:rPr>
          <w:smallCaps/>
          <w:szCs w:val="20"/>
        </w:rPr>
        <w:instrText xml:space="preserve"> NOTEREF _Ref208917353 \h </w:instrText>
      </w:r>
      <w:r>
        <w:rPr>
          <w:smallCaps/>
          <w:szCs w:val="20"/>
        </w:rPr>
      </w:r>
      <w:r>
        <w:rPr>
          <w:smallCaps/>
          <w:szCs w:val="20"/>
        </w:rPr>
        <w:fldChar w:fldCharType="separate"/>
      </w:r>
      <w:r>
        <w:rPr>
          <w:smallCaps/>
          <w:szCs w:val="20"/>
        </w:rPr>
        <w:t>99</w:t>
      </w:r>
      <w:r>
        <w:rPr>
          <w:smallCaps/>
          <w:szCs w:val="20"/>
        </w:rPr>
        <w:fldChar w:fldCharType="end"/>
      </w:r>
      <w:r>
        <w:rPr>
          <w:smallCaps/>
          <w:szCs w:val="20"/>
        </w:rPr>
        <w:t xml:space="preserve">, </w:t>
      </w:r>
      <w:r>
        <w:rPr>
          <w:szCs w:val="20"/>
        </w:rPr>
        <w:t>at</w:t>
      </w:r>
      <w:r>
        <w:rPr>
          <w:smallCaps/>
          <w:szCs w:val="20"/>
        </w:rPr>
        <w:t xml:space="preserve"> 17 </w:t>
      </w:r>
      <w:r>
        <w:t xml:space="preserve"> (linking the precautionary principle to ensuring that restraints are “not unduly costly”).</w:t>
      </w:r>
    </w:p>
  </w:footnote>
  <w:footnote w:id="119">
    <w:p w14:paraId="67CE13E6" w14:textId="77777777" w:rsidR="006152E8" w:rsidRDefault="006152E8" w:rsidP="00B506B0">
      <w:pPr>
        <w:pStyle w:val="Textpoznpodarou"/>
        <w:jc w:val="both"/>
      </w:pPr>
      <w:r>
        <w:tab/>
      </w:r>
      <w:r>
        <w:rPr>
          <w:rStyle w:val="Znakapoznpodarou"/>
        </w:rPr>
        <w:footnoteRef/>
      </w:r>
      <w:r>
        <w:tab/>
      </w:r>
      <w:r>
        <w:rPr>
          <w:i/>
        </w:rPr>
        <w:t xml:space="preserve">See, e.g., </w:t>
      </w:r>
      <w:r>
        <w:t xml:space="preserve">Stone, supra note </w:t>
      </w:r>
      <w:r>
        <w:fldChar w:fldCharType="begin"/>
      </w:r>
      <w:r>
        <w:instrText xml:space="preserve"> NOTEREF _Ref319933114 \h </w:instrText>
      </w:r>
      <w:r>
        <w:fldChar w:fldCharType="separate"/>
      </w:r>
      <w:r>
        <w:t>4</w:t>
      </w:r>
      <w:r>
        <w:fldChar w:fldCharType="end"/>
      </w:r>
      <w:r>
        <w:t xml:space="preserve">, at 10796 (claiming that the precautionary principle demands a curtailment of cost-benefit calculation once a harm threshold is reached).  </w:t>
      </w:r>
      <w:r>
        <w:rPr>
          <w:i/>
        </w:rPr>
        <w:t>Cf.</w:t>
      </w:r>
      <w:r>
        <w:t xml:space="preserve"> Geistfeld, </w:t>
      </w:r>
      <w:r>
        <w:rPr>
          <w:i/>
        </w:rPr>
        <w:t>supra</w:t>
      </w:r>
      <w:r>
        <w:t xml:space="preserve"> note </w:t>
      </w:r>
      <w:r>
        <w:fldChar w:fldCharType="begin"/>
      </w:r>
      <w:r>
        <w:instrText xml:space="preserve"> NOTEREF _Ref198100890 \h </w:instrText>
      </w:r>
      <w:r>
        <w:fldChar w:fldCharType="separate"/>
      </w:r>
      <w:r>
        <w:t>31</w:t>
      </w:r>
      <w:r>
        <w:fldChar w:fldCharType="end"/>
      </w:r>
      <w:r>
        <w:t xml:space="preserve">, at 11326 (stating that the precautionary principle’s “least controversial version . . . must include evaluation of costs and benefits”).  </w:t>
      </w:r>
    </w:p>
  </w:footnote>
  <w:footnote w:id="120">
    <w:p w14:paraId="67DE3B3D" w14:textId="3E490C14" w:rsidR="006152E8" w:rsidRPr="0039663E" w:rsidRDefault="006152E8" w:rsidP="003F67D1">
      <w:pPr>
        <w:autoSpaceDE w:val="0"/>
        <w:autoSpaceDN w:val="0"/>
        <w:adjustRightInd w:val="0"/>
        <w:jc w:val="both"/>
        <w:rPr>
          <w:sz w:val="20"/>
          <w:szCs w:val="20"/>
        </w:rPr>
      </w:pPr>
      <w:r>
        <w:tab/>
      </w:r>
      <w:r w:rsidRPr="001C7668">
        <w:rPr>
          <w:rStyle w:val="Znakapoznpodarou"/>
          <w:sz w:val="20"/>
        </w:rPr>
        <w:footnoteRef/>
      </w:r>
      <w:r w:rsidRPr="001C7668">
        <w:rPr>
          <w:sz w:val="20"/>
        </w:rPr>
        <w:tab/>
      </w:r>
      <w:r w:rsidRPr="001C7668">
        <w:rPr>
          <w:i/>
          <w:sz w:val="20"/>
        </w:rPr>
        <w:t>See</w:t>
      </w:r>
      <w:r w:rsidRPr="001C7668">
        <w:rPr>
          <w:sz w:val="20"/>
        </w:rPr>
        <w:t xml:space="preserve"> David A. Weisbach</w:t>
      </w:r>
      <w:r>
        <w:t xml:space="preserve">, </w:t>
      </w:r>
      <w:r w:rsidRPr="001C7668">
        <w:rPr>
          <w:i/>
          <w:sz w:val="20"/>
        </w:rPr>
        <w:t>Should Environmental Taxes be Precautionary</w:t>
      </w:r>
      <w:r w:rsidRPr="005A5302">
        <w:rPr>
          <w:rFonts w:ascii="BookAntiqua-Italic" w:hAnsi="BookAntiqua-Italic" w:cs="BookAntiqua-Italic"/>
          <w:i/>
          <w:iCs/>
          <w:sz w:val="20"/>
          <w:szCs w:val="20"/>
        </w:rPr>
        <w:t xml:space="preserve">, </w:t>
      </w:r>
      <w:r w:rsidRPr="005A5302">
        <w:rPr>
          <w:rFonts w:ascii="BookAntiqua" w:hAnsi="BookAntiqua" w:cs="BookAntiqua"/>
          <w:sz w:val="20"/>
          <w:szCs w:val="20"/>
        </w:rPr>
        <w:t xml:space="preserve">65 </w:t>
      </w:r>
      <w:r w:rsidRPr="005A5302">
        <w:rPr>
          <w:rFonts w:cs="Times New Roman"/>
          <w:smallCaps/>
          <w:sz w:val="20"/>
          <w:szCs w:val="20"/>
        </w:rPr>
        <w:t>Nat’l Tax</w:t>
      </w:r>
      <w:r w:rsidRPr="005A5302">
        <w:rPr>
          <w:rFonts w:ascii="BookAntiqua" w:hAnsi="BookAntiqua" w:cs="BookAntiqua"/>
          <w:sz w:val="20"/>
          <w:szCs w:val="20"/>
        </w:rPr>
        <w:t xml:space="preserve"> J</w:t>
      </w:r>
      <w:r>
        <w:rPr>
          <w:rFonts w:ascii="BookAntiqua" w:hAnsi="BookAntiqua" w:cs="BookAntiqua"/>
          <w:sz w:val="20"/>
          <w:szCs w:val="20"/>
        </w:rPr>
        <w:t>.</w:t>
      </w:r>
      <w:r w:rsidRPr="005A5302">
        <w:rPr>
          <w:rFonts w:ascii="BookAntiqua" w:hAnsi="BookAntiqua" w:cs="BookAntiqua"/>
          <w:sz w:val="20"/>
          <w:szCs w:val="20"/>
        </w:rPr>
        <w:t xml:space="preserve"> 453</w:t>
      </w:r>
      <w:r>
        <w:rPr>
          <w:rFonts w:ascii="BookAntiqua" w:hAnsi="BookAntiqua" w:cs="BookAntiqua"/>
          <w:sz w:val="20"/>
          <w:szCs w:val="20"/>
        </w:rPr>
        <w:t>, 462</w:t>
      </w:r>
      <w:r w:rsidRPr="005A5302">
        <w:rPr>
          <w:rFonts w:ascii="BookAntiqua" w:hAnsi="BookAntiqua" w:cs="BookAntiqua"/>
          <w:sz w:val="20"/>
          <w:szCs w:val="20"/>
        </w:rPr>
        <w:t xml:space="preserve"> </w:t>
      </w:r>
      <w:r>
        <w:rPr>
          <w:rFonts w:ascii="BookAntiqua" w:hAnsi="BookAntiqua" w:cs="BookAntiqua"/>
          <w:sz w:val="20"/>
          <w:szCs w:val="20"/>
        </w:rPr>
        <w:t>(</w:t>
      </w:r>
      <w:r w:rsidRPr="005A5302">
        <w:rPr>
          <w:rFonts w:ascii="BookAntiqua" w:hAnsi="BookAntiqua" w:cs="BookAntiqua"/>
          <w:sz w:val="20"/>
          <w:szCs w:val="20"/>
        </w:rPr>
        <w:t>2012)</w:t>
      </w:r>
      <w:r>
        <w:rPr>
          <w:rFonts w:ascii="BookAntiqua" w:hAnsi="BookAntiqua" w:cs="BookAntiqua"/>
          <w:sz w:val="20"/>
          <w:szCs w:val="20"/>
        </w:rPr>
        <w:t xml:space="preserve"> </w:t>
      </w:r>
      <w:r w:rsidRPr="00723972">
        <w:rPr>
          <w:rFonts w:cs="Times New Roman"/>
          <w:sz w:val="20"/>
          <w:szCs w:val="20"/>
        </w:rPr>
        <w:t>(identifying the precautionary principle with “reducing pollution . . . more than is required through the use of expected values, such as those in standard”</w:t>
      </w:r>
      <w:r>
        <w:rPr>
          <w:rFonts w:cs="Times New Roman"/>
          <w:sz w:val="20"/>
          <w:szCs w:val="20"/>
        </w:rPr>
        <w:t xml:space="preserve"> CBA</w:t>
      </w:r>
      <w:r w:rsidRPr="00723972">
        <w:rPr>
          <w:rFonts w:cs="Times New Roman"/>
          <w:sz w:val="20"/>
          <w:szCs w:val="20"/>
        </w:rPr>
        <w:t>)</w:t>
      </w:r>
      <w:r w:rsidRPr="00723972">
        <w:rPr>
          <w:rFonts w:cs="Times New Roman"/>
        </w:rPr>
        <w:t>.</w:t>
      </w:r>
      <w:r>
        <w:rPr>
          <w:i/>
        </w:rPr>
        <w:t xml:space="preserve">  </w:t>
      </w:r>
      <w:r w:rsidRPr="0039663E">
        <w:rPr>
          <w:i/>
          <w:sz w:val="20"/>
          <w:szCs w:val="20"/>
        </w:rPr>
        <w:t xml:space="preserve">Cf. </w:t>
      </w:r>
      <w:r w:rsidRPr="0039663E">
        <w:rPr>
          <w:sz w:val="20"/>
          <w:szCs w:val="20"/>
        </w:rPr>
        <w:t>id. at 463-64 (</w:t>
      </w:r>
      <w:r>
        <w:rPr>
          <w:sz w:val="20"/>
          <w:szCs w:val="20"/>
        </w:rPr>
        <w:t xml:space="preserve">noting that “other interpretations” of precaution, including that found in the Rio Declaration, would not necessarily conflict with “expected value”).  </w:t>
      </w:r>
    </w:p>
  </w:footnote>
  <w:footnote w:id="121">
    <w:p w14:paraId="53938773" w14:textId="46AA2335" w:rsidR="006152E8" w:rsidRDefault="006152E8" w:rsidP="00B506B0">
      <w:pPr>
        <w:pStyle w:val="Textpoznpodarou"/>
        <w:jc w:val="both"/>
      </w:pPr>
      <w:r>
        <w:tab/>
      </w:r>
      <w:r>
        <w:rPr>
          <w:rStyle w:val="Znakapoznpodarou"/>
        </w:rPr>
        <w:footnoteRef/>
      </w:r>
      <w:r>
        <w:tab/>
      </w:r>
      <w:r>
        <w:rPr>
          <w:i/>
        </w:rPr>
        <w:t>See</w:t>
      </w:r>
      <w:r>
        <w:t xml:space="preserve"> Stone, </w:t>
      </w:r>
      <w:r>
        <w:rPr>
          <w:i/>
        </w:rPr>
        <w:t>supra</w:t>
      </w:r>
      <w:r>
        <w:t xml:space="preserve"> note </w:t>
      </w:r>
      <w:r>
        <w:fldChar w:fldCharType="begin"/>
      </w:r>
      <w:r>
        <w:instrText xml:space="preserve"> NOTEREF _Ref319933114 \h </w:instrText>
      </w:r>
      <w:r>
        <w:fldChar w:fldCharType="separate"/>
      </w:r>
      <w:r>
        <w:t>4</w:t>
      </w:r>
      <w:r>
        <w:fldChar w:fldCharType="end"/>
      </w:r>
      <w:r>
        <w:t xml:space="preserve">, at 10792 (presuming that precautionary principle advocates intend activity reduction “to a level lower than what the mathematically expected damages would warrant”).  </w:t>
      </w:r>
      <w:r>
        <w:rPr>
          <w:i/>
        </w:rPr>
        <w:t xml:space="preserve">Cf. </w:t>
      </w:r>
      <w:r>
        <w:rPr>
          <w:smallCaps/>
        </w:rPr>
        <w:t xml:space="preserve">Protecting, </w:t>
      </w:r>
      <w:r>
        <w:rPr>
          <w:i/>
        </w:rPr>
        <w:t>supra</w:t>
      </w:r>
      <w:r>
        <w:t xml:space="preserve"> note </w:t>
      </w:r>
      <w:r>
        <w:fldChar w:fldCharType="begin"/>
      </w:r>
      <w:r>
        <w:instrText xml:space="preserve"> NOTEREF _Ref200094667 \h </w:instrText>
      </w:r>
      <w:r>
        <w:fldChar w:fldCharType="separate"/>
      </w:r>
      <w:r>
        <w:t>76</w:t>
      </w:r>
      <w:r>
        <w:fldChar w:fldCharType="end"/>
      </w:r>
      <w:r>
        <w:t xml:space="preserve">, at 6 (stating that “quantitative risk assessment” and CBA have “eroded the early precautionary” approach to environmental law).  </w:t>
      </w:r>
    </w:p>
  </w:footnote>
  <w:footnote w:id="122">
    <w:p w14:paraId="5DC01D05" w14:textId="6B0221B7" w:rsidR="006152E8" w:rsidRPr="00E714BA" w:rsidRDefault="006152E8" w:rsidP="00B506B0">
      <w:pPr>
        <w:pStyle w:val="Textpoznpodarou"/>
        <w:jc w:val="both"/>
        <w:rPr>
          <w:rFonts w:cs="Times New Roman"/>
          <w:smallCaps/>
        </w:rPr>
      </w:pPr>
      <w:r>
        <w:tab/>
      </w:r>
      <w:r>
        <w:rPr>
          <w:rStyle w:val="Znakapoznpodarou"/>
        </w:rPr>
        <w:footnoteRef/>
      </w:r>
      <w:r>
        <w:tab/>
      </w:r>
      <w:r>
        <w:rPr>
          <w:i/>
        </w:rPr>
        <w:t>See</w:t>
      </w:r>
      <w:r>
        <w:t xml:space="preserve"> Stewart, </w:t>
      </w:r>
      <w:r>
        <w:rPr>
          <w:i/>
        </w:rPr>
        <w:t>supra</w:t>
      </w:r>
      <w:r>
        <w:t xml:space="preserve"> note </w:t>
      </w:r>
      <w:r>
        <w:fldChar w:fldCharType="begin"/>
      </w:r>
      <w:r>
        <w:instrText xml:space="preserve"> NOTEREF _Ref323719730 \h </w:instrText>
      </w:r>
      <w:r>
        <w:fldChar w:fldCharType="separate"/>
      </w:r>
      <w:r>
        <w:t>88</w:t>
      </w:r>
      <w:r>
        <w:fldChar w:fldCharType="end"/>
      </w:r>
      <w:r>
        <w:t>.</w:t>
      </w:r>
    </w:p>
  </w:footnote>
  <w:footnote w:id="123">
    <w:p w14:paraId="2E262548" w14:textId="473AB57F" w:rsidR="006152E8" w:rsidRDefault="006152E8" w:rsidP="00B506B0">
      <w:pPr>
        <w:pStyle w:val="Textpoznpodarou"/>
        <w:jc w:val="both"/>
        <w:rPr>
          <w:rFonts w:cs="Times New Roman"/>
          <w:smallCaps/>
        </w:rPr>
      </w:pPr>
      <w:r>
        <w:tab/>
      </w:r>
      <w:r>
        <w:rPr>
          <w:rStyle w:val="Znakapoznpodarou"/>
        </w:rPr>
        <w:footnoteRef/>
      </w:r>
      <w:r>
        <w:tab/>
        <w:t xml:space="preserve"> </w:t>
      </w:r>
      <w:r>
        <w:rPr>
          <w:rFonts w:cs="Times New Roman"/>
          <w:smallCaps/>
        </w:rPr>
        <w:t>Cass R. Sunstein, Laws of Fear:  Beyond the Precautionary Principle (2005).</w:t>
      </w:r>
    </w:p>
  </w:footnote>
  <w:footnote w:id="124">
    <w:p w14:paraId="5F61D200" w14:textId="3D8803EE" w:rsidR="006152E8" w:rsidRDefault="006152E8">
      <w:pPr>
        <w:pStyle w:val="Textpoznpodarou"/>
      </w:pPr>
      <w:r>
        <w:tab/>
      </w:r>
      <w:r>
        <w:rPr>
          <w:rStyle w:val="Znakapoznpodarou"/>
        </w:rPr>
        <w:footnoteRef/>
      </w:r>
      <w:r>
        <w:tab/>
      </w:r>
      <w:r>
        <w:rPr>
          <w:i/>
        </w:rPr>
        <w:t>See</w:t>
      </w:r>
      <w:r>
        <w:t xml:space="preserve"> </w:t>
      </w:r>
      <w:r>
        <w:rPr>
          <w:rFonts w:cs="Times New Roman"/>
          <w:smallCaps/>
        </w:rPr>
        <w:t xml:space="preserve">id. </w:t>
      </w:r>
      <w:r>
        <w:rPr>
          <w:rFonts w:cs="Times New Roman"/>
        </w:rPr>
        <w:t>at 4, 6 (suggesting that CBA overcomes precaution’s “incoherence” because it uses a “wide . . . viewscreen” to evaluate risks).</w:t>
      </w:r>
      <w:r>
        <w:t xml:space="preserve"> </w:t>
      </w:r>
    </w:p>
  </w:footnote>
  <w:footnote w:id="125">
    <w:p w14:paraId="0870F42E" w14:textId="69D8B40D" w:rsidR="006152E8" w:rsidRDefault="006152E8" w:rsidP="00B506B0">
      <w:pPr>
        <w:pStyle w:val="Textpoznpodarou"/>
        <w:rPr>
          <w:rFonts w:cs="Times New Roman"/>
        </w:rPr>
      </w:pPr>
      <w:r>
        <w:tab/>
      </w:r>
      <w:r>
        <w:rPr>
          <w:rStyle w:val="Znakapoznpodarou"/>
        </w:rPr>
        <w:footnoteRef/>
      </w:r>
      <w:r>
        <w:t xml:space="preserve">     </w:t>
      </w:r>
      <w:r>
        <w:rPr>
          <w:rFonts w:cs="Times New Roman"/>
          <w:smallCaps/>
        </w:rPr>
        <w:t xml:space="preserve">Id. </w:t>
      </w:r>
      <w:r>
        <w:rPr>
          <w:rFonts w:cs="Times New Roman"/>
        </w:rPr>
        <w:t>at 4.</w:t>
      </w:r>
    </w:p>
  </w:footnote>
  <w:footnote w:id="126">
    <w:p w14:paraId="705444F3" w14:textId="3E56042D" w:rsidR="006152E8" w:rsidRDefault="006152E8" w:rsidP="00B506B0">
      <w:pPr>
        <w:pStyle w:val="Textpoznpodarou"/>
        <w:jc w:val="both"/>
        <w:rPr>
          <w:rFonts w:cs="Times New Roman"/>
        </w:rPr>
      </w:pPr>
      <w:r>
        <w:tab/>
      </w:r>
      <w:r>
        <w:rPr>
          <w:rStyle w:val="Znakapoznpodarou"/>
        </w:rPr>
        <w:footnoteRef/>
      </w:r>
      <w:r>
        <w:t xml:space="preserve"> </w:t>
      </w:r>
      <w:r>
        <w:tab/>
        <w:t xml:space="preserve">  </w:t>
      </w:r>
      <w:r>
        <w:rPr>
          <w:rFonts w:cs="Times New Roman"/>
          <w:smallCaps/>
        </w:rPr>
        <w:t xml:space="preserve">Id.  </w:t>
      </w:r>
      <w:r>
        <w:rPr>
          <w:rFonts w:cs="Times New Roman"/>
          <w:i/>
        </w:rPr>
        <w:t>Accord</w:t>
      </w:r>
      <w:r>
        <w:rPr>
          <w:rFonts w:cs="Times New Roman"/>
        </w:rPr>
        <w:t xml:space="preserve"> Wiener &amp; Rodgers,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_Ref326222605 \h </w:instrText>
      </w:r>
      <w:r>
        <w:rPr>
          <w:rFonts w:cs="Times New Roman"/>
        </w:rPr>
      </w:r>
      <w:r>
        <w:rPr>
          <w:rFonts w:cs="Times New Roman"/>
        </w:rPr>
        <w:fldChar w:fldCharType="separate"/>
      </w:r>
      <w:r>
        <w:rPr>
          <w:rFonts w:cs="Times New Roman"/>
        </w:rPr>
        <w:t>52</w:t>
      </w:r>
      <w:r>
        <w:rPr>
          <w:rFonts w:cs="Times New Roman"/>
        </w:rPr>
        <w:fldChar w:fldCharType="end"/>
      </w:r>
      <w:r>
        <w:rPr>
          <w:rFonts w:cs="Times New Roman"/>
        </w:rPr>
        <w:t>, at 321-22 (seeing the real world as involving multiple risks that require tradeoffs).</w:t>
      </w:r>
      <w:r>
        <w:rPr>
          <w:rFonts w:cs="Times New Roman"/>
          <w:smallCaps/>
        </w:rPr>
        <w:t xml:space="preserve">  </w:t>
      </w:r>
      <w:r>
        <w:rPr>
          <w:rFonts w:cs="Times New Roman"/>
          <w:i/>
          <w:smallCaps/>
        </w:rPr>
        <w:t>C</w:t>
      </w:r>
      <w:r>
        <w:rPr>
          <w:rFonts w:cs="Times New Roman"/>
          <w:i/>
        </w:rPr>
        <w:t xml:space="preserve">f. </w:t>
      </w:r>
      <w:r>
        <w:rPr>
          <w:rFonts w:cs="Times New Roman"/>
        </w:rPr>
        <w:t xml:space="preserve">Samuel J. Rascoff &amp; Richard L. Revesz, </w:t>
      </w:r>
      <w:r>
        <w:rPr>
          <w:rFonts w:cs="Times New Roman"/>
          <w:i/>
        </w:rPr>
        <w:t xml:space="preserve">The Biases of Risk Tradeoff Analysis:  Towards Parity in Environmental Health and Safety Analysis, </w:t>
      </w:r>
      <w:r>
        <w:rPr>
          <w:rFonts w:cs="Times New Roman"/>
        </w:rPr>
        <w:t xml:space="preserve">69 </w:t>
      </w:r>
      <w:r>
        <w:rPr>
          <w:rFonts w:cs="Times New Roman"/>
          <w:smallCaps/>
        </w:rPr>
        <w:t>U. Chi. L. Rev. 1763, 1765-66 (2002)  (</w:t>
      </w:r>
      <w:r>
        <w:rPr>
          <w:rFonts w:cs="Times New Roman"/>
        </w:rPr>
        <w:t>pointing out that addressing one risk sometimes simultaneously reduces a corollary risk).</w:t>
      </w:r>
      <w:r>
        <w:rPr>
          <w:rFonts w:cs="Times New Roman"/>
          <w:smallCaps/>
        </w:rPr>
        <w:t xml:space="preserve"> </w:t>
      </w:r>
    </w:p>
  </w:footnote>
  <w:footnote w:id="127">
    <w:p w14:paraId="6BE61FFA" w14:textId="77777777" w:rsidR="006152E8" w:rsidRDefault="006152E8" w:rsidP="00B506B0">
      <w:pPr>
        <w:pStyle w:val="Textpoznpodarou"/>
        <w:rPr>
          <w:rFonts w:cs="Times New Roman"/>
        </w:rPr>
      </w:pPr>
      <w:r>
        <w:tab/>
      </w:r>
      <w:r>
        <w:rPr>
          <w:rStyle w:val="Znakapoznpodarou"/>
        </w:rPr>
        <w:footnoteRef/>
      </w:r>
      <w:r>
        <w:t xml:space="preserve"> </w:t>
      </w:r>
      <w:r>
        <w:tab/>
      </w:r>
      <w:r>
        <w:rPr>
          <w:i/>
        </w:rPr>
        <w:t>See</w:t>
      </w:r>
      <w:r>
        <w:t xml:space="preserve"> </w:t>
      </w:r>
      <w:r>
        <w:rPr>
          <w:rFonts w:cs="Times New Roman"/>
          <w:smallCaps/>
        </w:rPr>
        <w:t xml:space="preserve">Sunstein,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_Ref323733006 \h </w:instrText>
      </w:r>
      <w:r>
        <w:rPr>
          <w:rFonts w:cs="Times New Roman"/>
        </w:rPr>
      </w:r>
      <w:r>
        <w:rPr>
          <w:rFonts w:cs="Times New Roman"/>
        </w:rPr>
        <w:fldChar w:fldCharType="separate"/>
      </w:r>
      <w:r>
        <w:rPr>
          <w:rFonts w:cs="Times New Roman"/>
        </w:rPr>
        <w:t>121</w:t>
      </w:r>
      <w:r>
        <w:rPr>
          <w:rFonts w:cs="Times New Roman"/>
        </w:rPr>
        <w:fldChar w:fldCharType="end"/>
      </w:r>
      <w:r>
        <w:rPr>
          <w:rFonts w:cs="Times New Roman"/>
        </w:rPr>
        <w:t>, at 129.</w:t>
      </w:r>
      <w:r>
        <w:rPr>
          <w:rFonts w:cs="Times New Roman"/>
        </w:rPr>
        <w:tab/>
      </w:r>
    </w:p>
  </w:footnote>
  <w:footnote w:id="128">
    <w:p w14:paraId="7665A3D7" w14:textId="77777777" w:rsidR="006152E8" w:rsidRDefault="006152E8" w:rsidP="00B506B0">
      <w:pPr>
        <w:pStyle w:val="Textpoznpodarou"/>
      </w:pPr>
      <w:r>
        <w:tab/>
      </w:r>
      <w:r>
        <w:rPr>
          <w:rStyle w:val="Znakapoznpodarou"/>
        </w:rPr>
        <w:footnoteRef/>
      </w:r>
      <w:r>
        <w:t xml:space="preserve"> </w:t>
      </w:r>
      <w:r>
        <w:tab/>
      </w:r>
      <w:r>
        <w:rPr>
          <w:i/>
        </w:rPr>
        <w:t>See</w:t>
      </w:r>
      <w:r>
        <w:t xml:space="preserve"> 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171. </w:t>
      </w:r>
    </w:p>
  </w:footnote>
  <w:footnote w:id="129">
    <w:p w14:paraId="4D1C79E5" w14:textId="77777777" w:rsidR="006152E8" w:rsidRDefault="006152E8" w:rsidP="00B506B0">
      <w:pPr>
        <w:pStyle w:val="Textpoznpodarou"/>
        <w:jc w:val="both"/>
      </w:pPr>
      <w:r>
        <w:tab/>
      </w:r>
      <w:r>
        <w:rPr>
          <w:rStyle w:val="Znakapoznpodarou"/>
        </w:rPr>
        <w:footnoteRef/>
      </w:r>
      <w:r>
        <w:tab/>
        <w:t xml:space="preserve">See Kysar, </w:t>
      </w:r>
      <w:r>
        <w:rPr>
          <w:i/>
        </w:rPr>
        <w:t>supra</w:t>
      </w:r>
      <w:r>
        <w:t xml:space="preserve"> note </w:t>
      </w:r>
      <w:r>
        <w:fldChar w:fldCharType="begin"/>
      </w:r>
      <w:r>
        <w:instrText xml:space="preserve"> NOTEREF _Ref325619035 \h </w:instrText>
      </w:r>
      <w:r>
        <w:fldChar w:fldCharType="separate"/>
      </w:r>
      <w:r>
        <w:t>14</w:t>
      </w:r>
      <w:r>
        <w:fldChar w:fldCharType="end"/>
      </w:r>
      <w:r>
        <w:t xml:space="preserve">, at 565-67 (suggesting that the precautionary principle requires restricting greenhouse gas concentrations to “a level that would eliminate the plausible threat of catastrophic scenarios”).  </w:t>
      </w:r>
      <w:r>
        <w:rPr>
          <w:i/>
        </w:rPr>
        <w:t xml:space="preserve">Cf. </w:t>
      </w:r>
      <w:r>
        <w:rPr>
          <w:rFonts w:cs="Times New Roman"/>
          <w:smallCaps/>
        </w:rPr>
        <w:t xml:space="preserve">Sunstein,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_Ref323733006 \h </w:instrText>
      </w:r>
      <w:r>
        <w:rPr>
          <w:rFonts w:cs="Times New Roman"/>
        </w:rPr>
      </w:r>
      <w:r>
        <w:rPr>
          <w:rFonts w:cs="Times New Roman"/>
        </w:rPr>
        <w:fldChar w:fldCharType="separate"/>
      </w:r>
      <w:r>
        <w:rPr>
          <w:rFonts w:cs="Times New Roman"/>
        </w:rPr>
        <w:t>121</w:t>
      </w:r>
      <w:r>
        <w:rPr>
          <w:rFonts w:cs="Times New Roman"/>
        </w:rPr>
        <w:fldChar w:fldCharType="end"/>
      </w:r>
      <w:r>
        <w:rPr>
          <w:rFonts w:cs="Times New Roman"/>
        </w:rPr>
        <w:t>, at 109-15 (likewise endorsing precaution in the case of uncertain catastrophe, but arguing that even in such a case costs should be considered).</w:t>
      </w:r>
      <w:r>
        <w:t xml:space="preserve"> </w:t>
      </w:r>
    </w:p>
  </w:footnote>
  <w:footnote w:id="130">
    <w:p w14:paraId="587D1B75" w14:textId="77777777" w:rsidR="006152E8" w:rsidRDefault="006152E8" w:rsidP="00B506B0">
      <w:pPr>
        <w:pStyle w:val="Textpoznpodarou"/>
      </w:pPr>
      <w:r>
        <w:tab/>
      </w:r>
      <w:r>
        <w:rPr>
          <w:rStyle w:val="Znakapoznpodarou"/>
        </w:rPr>
        <w:footnoteRef/>
      </w:r>
      <w:r>
        <w:tab/>
      </w:r>
      <w:r>
        <w:rPr>
          <w:i/>
        </w:rPr>
        <w:t>See</w:t>
      </w:r>
      <w:r>
        <w:t xml:space="preserve"> </w:t>
      </w:r>
      <w:r>
        <w:rPr>
          <w:smallCaps/>
        </w:rPr>
        <w:t xml:space="preserve">Protecting, </w:t>
      </w:r>
      <w:r>
        <w:rPr>
          <w:i/>
        </w:rPr>
        <w:t>supra</w:t>
      </w:r>
      <w:r>
        <w:t xml:space="preserve"> note </w:t>
      </w:r>
      <w:r>
        <w:fldChar w:fldCharType="begin"/>
      </w:r>
      <w:r>
        <w:instrText xml:space="preserve"> NOTEREF _Ref200094667 \h </w:instrText>
      </w:r>
      <w:r>
        <w:fldChar w:fldCharType="separate"/>
      </w:r>
      <w:r>
        <w:t>76</w:t>
      </w:r>
      <w:r>
        <w:fldChar w:fldCharType="end"/>
      </w:r>
      <w:r>
        <w:t xml:space="preserve">, at 16. </w:t>
      </w:r>
    </w:p>
  </w:footnote>
  <w:footnote w:id="131">
    <w:p w14:paraId="52934C77" w14:textId="51E5E58F" w:rsidR="006152E8" w:rsidRDefault="006152E8" w:rsidP="00B506B0">
      <w:pPr>
        <w:pStyle w:val="Textpoznpodarou"/>
        <w:jc w:val="both"/>
      </w:pPr>
      <w:r>
        <w:tab/>
      </w:r>
      <w:r>
        <w:rPr>
          <w:rStyle w:val="Znakapoznpodarou"/>
        </w:rPr>
        <w:footnoteRef/>
      </w:r>
      <w:r>
        <w:tab/>
      </w:r>
      <w:r>
        <w:rPr>
          <w:i/>
        </w:rPr>
        <w:t>See</w:t>
      </w:r>
      <w:r>
        <w:t xml:space="preserve"> Geistfeld, </w:t>
      </w:r>
      <w:r>
        <w:rPr>
          <w:i/>
        </w:rPr>
        <w:t>supra</w:t>
      </w:r>
      <w:r>
        <w:t xml:space="preserve"> note </w:t>
      </w:r>
      <w:r>
        <w:fldChar w:fldCharType="begin"/>
      </w:r>
      <w:r>
        <w:instrText xml:space="preserve"> NOTEREF _Ref198100890 \h </w:instrText>
      </w:r>
      <w:r>
        <w:fldChar w:fldCharType="separate"/>
      </w:r>
      <w:r>
        <w:t>31</w:t>
      </w:r>
      <w:r>
        <w:fldChar w:fldCharType="end"/>
      </w:r>
      <w:r>
        <w:rPr>
          <w:smallCaps/>
        </w:rPr>
        <w:t xml:space="preserve">, </w:t>
      </w:r>
      <w:r>
        <w:rPr>
          <w:rFonts w:cs="Times New Roman"/>
        </w:rPr>
        <w:t>at</w:t>
      </w:r>
      <w:r>
        <w:rPr>
          <w:smallCaps/>
        </w:rPr>
        <w:t xml:space="preserve"> 11326 </w:t>
      </w:r>
      <w:r>
        <w:t>(arguing that “the least controversial version of the principle must include evaluation of costs and benefits”); Daniel Cole, Reconciling Cost-Benefit Analysis with the Precautionary Principle,</w:t>
      </w:r>
      <w:r>
        <w:rPr>
          <w:i/>
        </w:rPr>
        <w:t xml:space="preserve"> </w:t>
      </w:r>
      <w:r>
        <w:t xml:space="preserve">http://www.law.upenn.edu/blogs/regblog/2012/03/reconciling-cost-benefit-analysis-with-the-precautionary-principle.html (March 4, 2012) (expressing the view that precaution and CBA “can be reconciled”).  </w:t>
      </w:r>
      <w:r>
        <w:rPr>
          <w:i/>
        </w:rPr>
        <w:t>Cf.</w:t>
      </w:r>
      <w:r>
        <w:t xml:space="preserve"> Wiener &amp; Rogers, </w:t>
      </w:r>
      <w:r>
        <w:rPr>
          <w:i/>
        </w:rPr>
        <w:t>supra</w:t>
      </w:r>
      <w:r>
        <w:t xml:space="preserve"> note </w:t>
      </w:r>
      <w:r>
        <w:fldChar w:fldCharType="begin"/>
      </w:r>
      <w:r>
        <w:instrText xml:space="preserve"> NOTEREF _Ref326222605 \h </w:instrText>
      </w:r>
      <w:r>
        <w:fldChar w:fldCharType="separate"/>
      </w:r>
      <w:r>
        <w:t>52</w:t>
      </w:r>
      <w:r>
        <w:fldChar w:fldCharType="end"/>
      </w:r>
      <w:r>
        <w:t xml:space="preserve">, at 322 (finding the European Commission’s statement of the precautionary principle similar to the Clinton executive order on CBA).  I do not agree that the least controversial version of the principle </w:t>
      </w:r>
      <w:r>
        <w:rPr>
          <w:i/>
        </w:rPr>
        <w:t>must</w:t>
      </w:r>
      <w:r>
        <w:t xml:space="preserve"> include CBA, only that the principle can include CBA.   </w:t>
      </w:r>
    </w:p>
  </w:footnote>
  <w:footnote w:id="132">
    <w:p w14:paraId="77E95FD2" w14:textId="7D088ECE" w:rsidR="006152E8" w:rsidRDefault="006152E8" w:rsidP="00B506B0">
      <w:pPr>
        <w:pStyle w:val="Textpoznpodarou"/>
        <w:jc w:val="both"/>
      </w:pPr>
      <w:r>
        <w:tab/>
      </w:r>
      <w:r>
        <w:rPr>
          <w:rStyle w:val="Znakapoznpodarou"/>
        </w:rPr>
        <w:footnoteRef/>
      </w:r>
      <w:r>
        <w:tab/>
      </w:r>
      <w:r>
        <w:rPr>
          <w:i/>
        </w:rPr>
        <w:t>See</w:t>
      </w:r>
      <w:r>
        <w:t xml:space="preserve"> id. Geistfeld, </w:t>
      </w:r>
      <w:r w:rsidRPr="00D05202">
        <w:rPr>
          <w:i/>
        </w:rPr>
        <w:t>supra</w:t>
      </w:r>
      <w:r>
        <w:t xml:space="preserve"> note </w:t>
      </w:r>
      <w:r>
        <w:fldChar w:fldCharType="begin"/>
      </w:r>
      <w:r>
        <w:instrText xml:space="preserve"> NOTEREF _Ref198100890 \h </w:instrText>
      </w:r>
      <w:r>
        <w:fldChar w:fldCharType="separate"/>
      </w:r>
      <w:r>
        <w:t>31</w:t>
      </w:r>
      <w:r>
        <w:fldChar w:fldCharType="end"/>
      </w:r>
      <w:r>
        <w:t xml:space="preserve">, at 11328 (finding that the precautionary principle implies a focus on the pollution victim’s welfare). </w:t>
      </w:r>
    </w:p>
  </w:footnote>
  <w:footnote w:id="133">
    <w:p w14:paraId="4F0DFF63" w14:textId="47C2155C" w:rsidR="006152E8" w:rsidRDefault="006152E8" w:rsidP="00B506B0">
      <w:pPr>
        <w:pStyle w:val="Textpoznpodarou"/>
        <w:jc w:val="both"/>
      </w:pPr>
      <w:r>
        <w:tab/>
      </w:r>
      <w:r>
        <w:rPr>
          <w:rStyle w:val="Znakapoznpodarou"/>
        </w:rPr>
        <w:footnoteRef/>
      </w:r>
      <w:r>
        <w:tab/>
      </w:r>
      <w:r>
        <w:rPr>
          <w:i/>
        </w:rPr>
        <w:t>See</w:t>
      </w:r>
      <w:r>
        <w:t xml:space="preserve"> id. (embracing CBA as a means of measuring “distributive effects” even though precaution often involves inefficiency); Mark Geistfeld, </w:t>
      </w:r>
      <w:r w:rsidRPr="008039E9">
        <w:rPr>
          <w:i/>
        </w:rPr>
        <w:t xml:space="preserve">supra </w:t>
      </w:r>
      <w:r w:rsidRPr="008039E9">
        <w:t>note</w:t>
      </w:r>
      <w:r>
        <w:t xml:space="preserve"> </w:t>
      </w:r>
      <w:r>
        <w:fldChar w:fldCharType="begin"/>
      </w:r>
      <w:r>
        <w:instrText xml:space="preserve"> NOTEREF _Ref335380091 \h </w:instrText>
      </w:r>
      <w:r>
        <w:fldChar w:fldCharType="separate"/>
      </w:r>
      <w:r>
        <w:t>26</w:t>
      </w:r>
      <w:r>
        <w:fldChar w:fldCharType="end"/>
      </w:r>
      <w:r>
        <w:rPr>
          <w:smallCaps/>
        </w:rPr>
        <w:t xml:space="preserve">, </w:t>
      </w:r>
      <w:r>
        <w:t>at</w:t>
      </w:r>
      <w:r>
        <w:rPr>
          <w:smallCaps/>
        </w:rPr>
        <w:t xml:space="preserve"> 148-54 (</w:t>
      </w:r>
      <w:r>
        <w:t xml:space="preserve">arguing, in some contexts, for expenditures up to two times the value of damages measured by willingness to accept based on a distributive rationale that departs from optimality).   </w:t>
      </w:r>
      <w:r>
        <w:rPr>
          <w:i/>
        </w:rPr>
        <w:t xml:space="preserve">Cf. </w:t>
      </w:r>
      <w:r>
        <w:rPr>
          <w:smallCaps/>
        </w:rPr>
        <w:t xml:space="preserve">Interpreting the Precautionary Principle, </w:t>
      </w:r>
      <w:r w:rsidRPr="00D05202">
        <w:rPr>
          <w:i/>
        </w:rPr>
        <w:t>supra</w:t>
      </w:r>
      <w:r>
        <w:t xml:space="preserve"> note </w:t>
      </w:r>
      <w:r>
        <w:fldChar w:fldCharType="begin"/>
      </w:r>
      <w:r>
        <w:instrText xml:space="preserve"> NOTEREF _Ref208912720 \h </w:instrText>
      </w:r>
      <w:r>
        <w:fldChar w:fldCharType="separate"/>
      </w:r>
      <w:r>
        <w:t>116</w:t>
      </w:r>
      <w:r>
        <w:fldChar w:fldCharType="end"/>
      </w:r>
      <w:r>
        <w:t>, at 104 (stating that the normal rule of CBA, that costs should equate with benefits at the margin, “does not apply to efforts to achieve public safety”).</w:t>
      </w:r>
    </w:p>
  </w:footnote>
  <w:footnote w:id="134">
    <w:p w14:paraId="670B5BCB" w14:textId="0A45CE1A" w:rsidR="006152E8" w:rsidRDefault="006152E8" w:rsidP="00B506B0">
      <w:pPr>
        <w:pStyle w:val="Textpoznpodarou"/>
        <w:jc w:val="both"/>
      </w:pPr>
      <w:r>
        <w:tab/>
      </w:r>
      <w:r>
        <w:rPr>
          <w:rStyle w:val="Znakapoznpodarou"/>
        </w:rPr>
        <w:footnoteRef/>
      </w:r>
      <w:r>
        <w:tab/>
      </w:r>
      <w:r>
        <w:rPr>
          <w:i/>
        </w:rPr>
        <w:t xml:space="preserve">Cf. </w:t>
      </w:r>
      <w:r>
        <w:rPr>
          <w:smallCaps/>
        </w:rPr>
        <w:t>David M. Driesen, The Economic Dynamics of Law 6-7 (2012) (</w:t>
      </w:r>
      <w:r>
        <w:t>arguing that systemic risk avoidance is much more important than economic efficiency).</w:t>
      </w:r>
      <w:r>
        <w:rPr>
          <w:smallCaps/>
        </w:rPr>
        <w:t xml:space="preserve"> </w:t>
      </w:r>
      <w:r>
        <w:t xml:space="preserve">  </w:t>
      </w:r>
    </w:p>
  </w:footnote>
  <w:footnote w:id="135">
    <w:p w14:paraId="72127AF4" w14:textId="25AB5CA2" w:rsidR="006152E8" w:rsidRDefault="006152E8">
      <w:pPr>
        <w:pStyle w:val="Textpoznpodarou"/>
      </w:pPr>
      <w:r>
        <w:tab/>
      </w:r>
      <w:r>
        <w:rPr>
          <w:rStyle w:val="Znakapoznpodarou"/>
        </w:rPr>
        <w:footnoteRef/>
      </w:r>
      <w:r>
        <w:tab/>
      </w:r>
      <w:r>
        <w:rPr>
          <w:i/>
        </w:rPr>
        <w:t xml:space="preserve">See </w:t>
      </w:r>
      <w:r>
        <w:t xml:space="preserve">Cole, </w:t>
      </w:r>
      <w:r w:rsidRPr="0076556C">
        <w:rPr>
          <w:i/>
        </w:rPr>
        <w:t>supra</w:t>
      </w:r>
      <w:r>
        <w:t xml:space="preserve"> note </w:t>
      </w:r>
      <w:r>
        <w:fldChar w:fldCharType="begin"/>
      </w:r>
      <w:r>
        <w:instrText xml:space="preserve"> NOTEREF _Ref199208296 \h </w:instrText>
      </w:r>
      <w:r>
        <w:fldChar w:fldCharType="separate"/>
      </w:r>
      <w:r>
        <w:t>129</w:t>
      </w:r>
      <w:r>
        <w:fldChar w:fldCharType="end"/>
      </w:r>
      <w:r>
        <w:t>.</w:t>
      </w:r>
    </w:p>
  </w:footnote>
  <w:footnote w:id="136">
    <w:p w14:paraId="35D90255" w14:textId="744FA8D3" w:rsidR="006152E8" w:rsidRDefault="006152E8" w:rsidP="00245AEF">
      <w:pPr>
        <w:pStyle w:val="Textpoznpodarou"/>
        <w:jc w:val="both"/>
      </w:pPr>
      <w:r>
        <w:tab/>
      </w:r>
      <w:r>
        <w:rPr>
          <w:rStyle w:val="Znakapoznpodarou"/>
        </w:rPr>
        <w:footnoteRef/>
      </w:r>
      <w:r>
        <w:tab/>
      </w:r>
      <w:r>
        <w:rPr>
          <w:i/>
        </w:rPr>
        <w:t>Accord</w:t>
      </w:r>
      <w:r>
        <w:t xml:space="preserve"> </w:t>
      </w:r>
      <w:r>
        <w:rPr>
          <w:smallCaps/>
        </w:rPr>
        <w:t xml:space="preserve">Interpreting the Precautionary Principle, </w:t>
      </w:r>
      <w:r w:rsidRPr="001A1248">
        <w:rPr>
          <w:i/>
        </w:rPr>
        <w:t>supra</w:t>
      </w:r>
      <w:r>
        <w:t xml:space="preserve"> note </w:t>
      </w:r>
      <w:r>
        <w:fldChar w:fldCharType="begin"/>
      </w:r>
      <w:r>
        <w:instrText xml:space="preserve"> NOTEREF _Ref208917353 \h </w:instrText>
      </w:r>
      <w:r>
        <w:fldChar w:fldCharType="separate"/>
      </w:r>
      <w:r>
        <w:t>99</w:t>
      </w:r>
      <w:r>
        <w:fldChar w:fldCharType="end"/>
      </w:r>
      <w:r>
        <w:t>, at 209 (finding that precaution could, as an alternative to wholly avoiding uncertain harm, demand conservative assumptions in bridging gaps in our knowledge of risk); Bridgetown/Greenbushes Friends of the Forest, Inc. v. Executive Director of Conservation and Land Management, (1997) 18 W.A.R. 102, 118 (interpreting the precautionary principle as requiring a “pessimistic” view of risk).</w:t>
      </w:r>
    </w:p>
  </w:footnote>
  <w:footnote w:id="137">
    <w:p w14:paraId="1B74BBE0" w14:textId="7D585FC6" w:rsidR="006152E8" w:rsidRDefault="006152E8" w:rsidP="00245AEF">
      <w:pPr>
        <w:pStyle w:val="Textpoznpodarou"/>
        <w:jc w:val="both"/>
      </w:pPr>
      <w:r>
        <w:tab/>
      </w:r>
      <w:r>
        <w:rPr>
          <w:rStyle w:val="Znakapoznpodarou"/>
        </w:rPr>
        <w:footnoteRef/>
      </w:r>
      <w:r>
        <w:tab/>
      </w:r>
      <w:r>
        <w:rPr>
          <w:i/>
        </w:rPr>
        <w:t>See</w:t>
      </w:r>
      <w:r>
        <w:t xml:space="preserve"> </w:t>
      </w:r>
      <w:r w:rsidRPr="00C8210A">
        <w:rPr>
          <w:i/>
        </w:rPr>
        <w:t>Bridgetown/Greenbushes</w:t>
      </w:r>
      <w:r>
        <w:t xml:space="preserve">, 118 W.A.R. at 199 (stating that the precautionary principle does not dictate a particular course of action).   </w:t>
      </w:r>
    </w:p>
  </w:footnote>
  <w:footnote w:id="138">
    <w:p w14:paraId="39CD6AFD" w14:textId="77777777" w:rsidR="006152E8" w:rsidRDefault="006152E8" w:rsidP="00B506B0">
      <w:pPr>
        <w:pStyle w:val="Textpoznpodarou"/>
      </w:pPr>
      <w:r>
        <w:tab/>
      </w:r>
      <w:r>
        <w:rPr>
          <w:rStyle w:val="Znakapoznpodarou"/>
        </w:rPr>
        <w:footnoteRef/>
      </w:r>
      <w:r>
        <w:t xml:space="preserve"> </w:t>
      </w:r>
      <w:r>
        <w:tab/>
        <w:t>42 U.S.C. § 7408(a)(1).</w:t>
      </w:r>
    </w:p>
  </w:footnote>
  <w:footnote w:id="139">
    <w:p w14:paraId="188E4980" w14:textId="77777777" w:rsidR="006152E8" w:rsidRDefault="006152E8" w:rsidP="00B506B0">
      <w:pPr>
        <w:pStyle w:val="Textpoznpodarou"/>
      </w:pPr>
      <w:r>
        <w:tab/>
      </w:r>
      <w:r>
        <w:rPr>
          <w:rStyle w:val="Znakapoznpodarou"/>
        </w:rPr>
        <w:footnoteRef/>
      </w:r>
      <w:r>
        <w:t xml:space="preserve"> </w:t>
      </w:r>
      <w:r>
        <w:tab/>
        <w:t>42 U.S.C. § 7408(a)(2),(b).</w:t>
      </w:r>
    </w:p>
  </w:footnote>
  <w:footnote w:id="140">
    <w:p w14:paraId="25A661F5" w14:textId="77777777" w:rsidR="006152E8" w:rsidRDefault="006152E8" w:rsidP="00B506B0">
      <w:pPr>
        <w:pStyle w:val="Textpoznpodarou"/>
      </w:pPr>
      <w:r>
        <w:tab/>
      </w:r>
      <w:r>
        <w:rPr>
          <w:rStyle w:val="Znakapoznpodarou"/>
        </w:rPr>
        <w:footnoteRef/>
      </w:r>
      <w:r>
        <w:t xml:space="preserve"> </w:t>
      </w:r>
      <w:r>
        <w:tab/>
        <w:t>42 U.S.C. § 7409(a),(b).</w:t>
      </w:r>
    </w:p>
  </w:footnote>
  <w:footnote w:id="141">
    <w:p w14:paraId="7B08BF27" w14:textId="330069AD" w:rsidR="006152E8" w:rsidRDefault="006152E8" w:rsidP="00B506B0">
      <w:pPr>
        <w:pStyle w:val="Textpoznpodarou"/>
        <w:jc w:val="both"/>
      </w:pPr>
      <w:r>
        <w:tab/>
      </w:r>
      <w:r>
        <w:rPr>
          <w:rStyle w:val="Znakapoznpodarou"/>
        </w:rPr>
        <w:footnoteRef/>
      </w:r>
      <w:r>
        <w:tab/>
      </w:r>
      <w:r>
        <w:rPr>
          <w:i/>
        </w:rPr>
        <w:t xml:space="preserve">See, e.g., </w:t>
      </w:r>
      <w:r>
        <w:t xml:space="preserve">Nash, </w:t>
      </w:r>
      <w:r>
        <w:rPr>
          <w:i/>
        </w:rPr>
        <w:t>supra</w:t>
      </w:r>
      <w:r>
        <w:t xml:space="preserve"> note </w:t>
      </w:r>
      <w:r>
        <w:fldChar w:fldCharType="begin"/>
      </w:r>
      <w:r>
        <w:instrText xml:space="preserve"> NOTEREF _Ref323719730 \h </w:instrText>
      </w:r>
      <w:r>
        <w:fldChar w:fldCharType="separate"/>
      </w:r>
      <w:r>
        <w:t>88</w:t>
      </w:r>
      <w:r>
        <w:fldChar w:fldCharType="end"/>
      </w:r>
      <w:r>
        <w:t xml:space="preserve">, at 502 (claiming that the precautionary principle should not be read to demand bringing all potentially risky activity to a halt). </w:t>
      </w:r>
    </w:p>
  </w:footnote>
  <w:footnote w:id="142">
    <w:p w14:paraId="199A427E" w14:textId="31E2EE76" w:rsidR="006152E8" w:rsidRDefault="006152E8" w:rsidP="00B506B0">
      <w:pPr>
        <w:pStyle w:val="Textpoznpodarou"/>
        <w:jc w:val="both"/>
      </w:pPr>
      <w:r>
        <w:tab/>
      </w:r>
      <w:r>
        <w:rPr>
          <w:rStyle w:val="Znakapoznpodarou"/>
        </w:rPr>
        <w:footnoteRef/>
      </w:r>
      <w:r>
        <w:t xml:space="preserve"> </w:t>
      </w:r>
      <w:r>
        <w:tab/>
      </w:r>
      <w:r>
        <w:rPr>
          <w:i/>
        </w:rPr>
        <w:t xml:space="preserve">See, e.g., </w:t>
      </w:r>
      <w:r>
        <w:t xml:space="preserve">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173-75 (describing the idea that the precautionary principle prohibits any activity that might harm the environment outright as “a caricature of the Precautionary Principle”); Elizabeth Fisher, </w:t>
      </w:r>
      <w:r>
        <w:rPr>
          <w:i/>
        </w:rPr>
        <w:t xml:space="preserve">Review of Laws of Fear:  Beyond the Precautionary Principle by Cass Sunstein, </w:t>
      </w:r>
      <w:r>
        <w:rPr>
          <w:rFonts w:cs="Times New Roman"/>
          <w:smallCaps/>
        </w:rPr>
        <w:t>69 Modern L. Rev. 288 (2006) (</w:t>
      </w:r>
      <w:r>
        <w:rPr>
          <w:rFonts w:cs="Times New Roman"/>
        </w:rPr>
        <w:t xml:space="preserve">finding Sunstein’s evidence for the existence of radical precaution thin and heavily dependent upon exaggerated descriptions by the principle’s most vociferous critics).  </w:t>
      </w:r>
      <w:r>
        <w:t xml:space="preserve"> </w:t>
      </w:r>
    </w:p>
  </w:footnote>
  <w:footnote w:id="143">
    <w:p w14:paraId="4DF5910C" w14:textId="77777777" w:rsidR="006152E8" w:rsidRDefault="006152E8" w:rsidP="00B506B0">
      <w:pPr>
        <w:pStyle w:val="Textpoznpodarou"/>
        <w:jc w:val="both"/>
      </w:pPr>
      <w:r>
        <w:tab/>
      </w:r>
      <w:r>
        <w:rPr>
          <w:rStyle w:val="Znakapoznpodarou"/>
        </w:rPr>
        <w:footnoteRef/>
      </w:r>
      <w:r>
        <w:tab/>
      </w:r>
      <w:r>
        <w:rPr>
          <w:i/>
        </w:rPr>
        <w:t xml:space="preserve">Compare </w:t>
      </w:r>
      <w:r>
        <w:t xml:space="preserve">Applegate, </w:t>
      </w:r>
      <w:r>
        <w:rPr>
          <w:i/>
        </w:rPr>
        <w:t>supra</w:t>
      </w:r>
      <w:r>
        <w:t xml:space="preserve"> note </w:t>
      </w:r>
      <w:r>
        <w:fldChar w:fldCharType="begin"/>
      </w:r>
      <w:r>
        <w:instrText xml:space="preserve"> NOTEREF _Ref319657139 \h </w:instrText>
      </w:r>
      <w:r>
        <w:fldChar w:fldCharType="separate"/>
      </w:r>
      <w:r>
        <w:t>2</w:t>
      </w:r>
      <w:r>
        <w:fldChar w:fldCharType="end"/>
      </w:r>
      <w:r>
        <w:t xml:space="preserve">, at 174-75 (suggesting the early versions of the principle, especially in the area of hazardous waste, were quite strong, but that these versions have been “tamed” over time) </w:t>
      </w:r>
      <w:r>
        <w:rPr>
          <w:i/>
        </w:rPr>
        <w:t xml:space="preserve">with </w:t>
      </w:r>
      <w:r>
        <w:t xml:space="preserve">Fischer, </w:t>
      </w:r>
      <w:r>
        <w:rPr>
          <w:i/>
        </w:rPr>
        <w:t>supra</w:t>
      </w:r>
      <w:r>
        <w:t xml:space="preserve"> note </w:t>
      </w:r>
      <w:r>
        <w:fldChar w:fldCharType="begin"/>
      </w:r>
      <w:r>
        <w:instrText xml:space="preserve"> NOTEREF _Ref323559354 \h </w:instrText>
      </w:r>
      <w:r>
        <w:fldChar w:fldCharType="separate"/>
      </w:r>
      <w:r>
        <w:t>140</w:t>
      </w:r>
      <w:r>
        <w:fldChar w:fldCharType="end"/>
      </w:r>
      <w:r>
        <w:t xml:space="preserve">, at 290 (calling radical precaution a “straw man” lacking any relationship to actual statements of the principle or the practice of governments applying it). </w:t>
      </w:r>
    </w:p>
  </w:footnote>
  <w:footnote w:id="144">
    <w:p w14:paraId="60CA58D1" w14:textId="4B80E16D" w:rsidR="006152E8" w:rsidRDefault="006152E8" w:rsidP="00245AEF">
      <w:pPr>
        <w:pStyle w:val="Textpoznpodarou"/>
        <w:jc w:val="both"/>
      </w:pPr>
      <w:r>
        <w:tab/>
      </w:r>
      <w:r>
        <w:rPr>
          <w:rStyle w:val="Znakapoznpodarou"/>
        </w:rPr>
        <w:footnoteRef/>
      </w:r>
      <w:r>
        <w:tab/>
        <w:t xml:space="preserve">Weisbach, </w:t>
      </w:r>
      <w:r>
        <w:rPr>
          <w:i/>
        </w:rPr>
        <w:t>supra</w:t>
      </w:r>
      <w:r>
        <w:t xml:space="preserve"> note </w:t>
      </w:r>
      <w:r>
        <w:fldChar w:fldCharType="begin"/>
      </w:r>
      <w:r>
        <w:instrText xml:space="preserve"> NOTEREF _Ref340746385 \h </w:instrText>
      </w:r>
      <w:r>
        <w:fldChar w:fldCharType="separate"/>
      </w:r>
      <w:r>
        <w:t>118</w:t>
      </w:r>
      <w:r>
        <w:fldChar w:fldCharType="end"/>
      </w:r>
      <w:r>
        <w:t xml:space="preserve">, at 462 (citing this as an example of a principle demanding reductions “well above those required through the use of expected values.”).  </w:t>
      </w:r>
    </w:p>
  </w:footnote>
  <w:footnote w:id="145">
    <w:p w14:paraId="4DBE3380" w14:textId="77777777" w:rsidR="006152E8" w:rsidRDefault="006152E8" w:rsidP="00B506B0">
      <w:pPr>
        <w:pStyle w:val="Textpoznpodarou"/>
        <w:jc w:val="both"/>
      </w:pPr>
      <w:r>
        <w:tab/>
      </w:r>
      <w:r>
        <w:rPr>
          <w:rStyle w:val="Znakapoznpodarou"/>
        </w:rPr>
        <w:footnoteRef/>
      </w:r>
      <w:r>
        <w:tab/>
      </w:r>
      <w:r>
        <w:rPr>
          <w:i/>
        </w:rPr>
        <w:t>See</w:t>
      </w:r>
      <w:r>
        <w:t xml:space="preserve"> Applegate, </w:t>
      </w:r>
      <w:r>
        <w:rPr>
          <w:i/>
        </w:rPr>
        <w:t>supra</w:t>
      </w:r>
      <w:r>
        <w:t xml:space="preserve"> note </w:t>
      </w:r>
      <w:r>
        <w:fldChar w:fldCharType="begin"/>
      </w:r>
      <w:r>
        <w:instrText xml:space="preserve"> NOTEREF _Ref319657139 \h </w:instrText>
      </w:r>
      <w:r>
        <w:fldChar w:fldCharType="separate"/>
      </w:r>
      <w:r>
        <w:t>2</w:t>
      </w:r>
      <w:r>
        <w:fldChar w:fldCharType="end"/>
      </w:r>
      <w:r>
        <w:t>, at 187 (stating that many “forms of energy efficiency save more money than they cost” and therefore “should be welcomed regardless of their contribution to reducing climate change.”).</w:t>
      </w:r>
    </w:p>
  </w:footnote>
  <w:footnote w:id="146">
    <w:p w14:paraId="14CA8CB8" w14:textId="77777777" w:rsidR="006152E8" w:rsidRDefault="006152E8" w:rsidP="00B506B0">
      <w:pPr>
        <w:pStyle w:val="Textpoznpodarou"/>
        <w:jc w:val="both"/>
      </w:pPr>
      <w:r>
        <w:tab/>
      </w:r>
      <w:r>
        <w:rPr>
          <w:rStyle w:val="Znakapoznpodarou"/>
        </w:rPr>
        <w:footnoteRef/>
      </w:r>
      <w:r>
        <w:tab/>
      </w:r>
      <w:r>
        <w:rPr>
          <w:i/>
        </w:rPr>
        <w:t xml:space="preserve">Cf. </w:t>
      </w:r>
      <w:r>
        <w:rPr>
          <w:smallCaps/>
        </w:rPr>
        <w:t xml:space="preserve">Protecting, </w:t>
      </w:r>
      <w:r>
        <w:rPr>
          <w:i/>
        </w:rPr>
        <w:t>supra</w:t>
      </w:r>
      <w:r>
        <w:t xml:space="preserve"> note </w:t>
      </w:r>
      <w:r>
        <w:fldChar w:fldCharType="begin"/>
      </w:r>
      <w:r>
        <w:instrText xml:space="preserve"> NOTEREF _Ref200094667 \h </w:instrText>
      </w:r>
      <w:r>
        <w:fldChar w:fldCharType="separate"/>
      </w:r>
      <w:r>
        <w:t>76</w:t>
      </w:r>
      <w:r>
        <w:fldChar w:fldCharType="end"/>
      </w:r>
      <w:r>
        <w:t xml:space="preserve">, at (identifying the precautionary principle with a “mood of distrust” over the introduction of risky technologies and products without studying their risks). </w:t>
      </w:r>
    </w:p>
  </w:footnote>
  <w:footnote w:id="147">
    <w:p w14:paraId="398532CE" w14:textId="55C057EB" w:rsidR="006152E8" w:rsidRDefault="006152E8" w:rsidP="00B506B0">
      <w:pPr>
        <w:pStyle w:val="Textpoznpodarou"/>
        <w:jc w:val="both"/>
        <w:rPr>
          <w:rFonts w:cs="Times New Roman"/>
        </w:rPr>
      </w:pPr>
      <w:r>
        <w:tab/>
      </w:r>
      <w:r>
        <w:rPr>
          <w:rStyle w:val="Znakapoznpodarou"/>
        </w:rPr>
        <w:footnoteRef/>
      </w:r>
      <w:r>
        <w:tab/>
      </w:r>
      <w:r>
        <w:rPr>
          <w:i/>
        </w:rPr>
        <w:t>See, e.g.,</w:t>
      </w:r>
      <w:r>
        <w:t xml:space="preserve"> Wiener &amp; Rodgers, </w:t>
      </w:r>
      <w:r w:rsidRPr="001B08C4">
        <w:rPr>
          <w:i/>
        </w:rPr>
        <w:t>supra</w:t>
      </w:r>
      <w:r>
        <w:t xml:space="preserve"> note </w:t>
      </w:r>
      <w:r>
        <w:fldChar w:fldCharType="begin"/>
      </w:r>
      <w:r>
        <w:instrText xml:space="preserve"> NOTEREF _Ref326222605 \h </w:instrText>
      </w:r>
      <w:r>
        <w:fldChar w:fldCharType="separate"/>
      </w:r>
      <w:r>
        <w:t>52</w:t>
      </w:r>
      <w:r>
        <w:fldChar w:fldCharType="end"/>
      </w:r>
      <w:r>
        <w:t xml:space="preserve">, at </w:t>
      </w:r>
      <w:r>
        <w:rPr>
          <w:rFonts w:cs="Times New Roman"/>
          <w:smallCaps/>
        </w:rPr>
        <w:t>319 (</w:t>
      </w:r>
      <w:r>
        <w:rPr>
          <w:rFonts w:cs="Times New Roman"/>
        </w:rPr>
        <w:t>interpreting a statement that European regulation has become stricter since the mid-1980s as indicating that Europe has become more precautionary);</w:t>
      </w:r>
      <w:r>
        <w:t xml:space="preserve"> Cross,</w:t>
      </w:r>
      <w:r>
        <w:rPr>
          <w:i/>
        </w:rPr>
        <w:t xml:space="preserve"> </w:t>
      </w:r>
      <w:r w:rsidRPr="001B08C4">
        <w:rPr>
          <w:i/>
        </w:rPr>
        <w:t>supra</w:t>
      </w:r>
      <w:r>
        <w:t xml:space="preserve"> note </w:t>
      </w:r>
      <w:r>
        <w:fldChar w:fldCharType="begin"/>
      </w:r>
      <w:r>
        <w:instrText xml:space="preserve"> NOTEREF _Ref322956143 \h </w:instrText>
      </w:r>
      <w:r>
        <w:fldChar w:fldCharType="separate"/>
      </w:r>
      <w:r>
        <w:t>5</w:t>
      </w:r>
      <w:r>
        <w:fldChar w:fldCharType="end"/>
      </w:r>
      <w:r>
        <w:t xml:space="preserve">, at </w:t>
      </w:r>
      <w:r>
        <w:rPr>
          <w:rFonts w:cs="Times New Roman"/>
          <w:smallCaps/>
        </w:rPr>
        <w:t>856-58 (</w:t>
      </w:r>
      <w:r>
        <w:rPr>
          <w:rFonts w:cs="Times New Roman"/>
        </w:rPr>
        <w:t>associating precaution with action based on conservative risk assessment).</w:t>
      </w:r>
    </w:p>
  </w:footnote>
  <w:footnote w:id="148">
    <w:p w14:paraId="45FAD902" w14:textId="77777777" w:rsidR="006152E8" w:rsidRDefault="006152E8" w:rsidP="00B506B0">
      <w:pPr>
        <w:pStyle w:val="Textpoznpodarou"/>
      </w:pPr>
      <w:r>
        <w:tab/>
      </w:r>
      <w:r>
        <w:rPr>
          <w:rStyle w:val="Znakapoznpodarou"/>
        </w:rPr>
        <w:footnoteRef/>
      </w:r>
      <w:r>
        <w:tab/>
      </w:r>
      <w:r>
        <w:rPr>
          <w:i/>
        </w:rPr>
        <w:t xml:space="preserve">See </w:t>
      </w:r>
      <w:r>
        <w:t xml:space="preserve">Cross, </w:t>
      </w:r>
      <w:r>
        <w:rPr>
          <w:i/>
        </w:rPr>
        <w:t>supra</w:t>
      </w:r>
      <w:r>
        <w:t xml:space="preserve"> note </w:t>
      </w:r>
      <w:r>
        <w:fldChar w:fldCharType="begin"/>
      </w:r>
      <w:r>
        <w:instrText xml:space="preserve"> NOTEREF _Ref322956143 \h </w:instrText>
      </w:r>
      <w:r>
        <w:fldChar w:fldCharType="separate"/>
      </w:r>
      <w:r>
        <w:t>5</w:t>
      </w:r>
      <w:r>
        <w:fldChar w:fldCharType="end"/>
      </w:r>
      <w:r>
        <w:t xml:space="preserve"> at 856-58 (suggesting as much).  </w:t>
      </w:r>
      <w:r>
        <w:tab/>
      </w:r>
    </w:p>
  </w:footnote>
  <w:footnote w:id="149">
    <w:p w14:paraId="43640934" w14:textId="77777777" w:rsidR="006152E8" w:rsidRDefault="006152E8" w:rsidP="00B506B0">
      <w:pPr>
        <w:pStyle w:val="Textpoznpodarou"/>
      </w:pPr>
      <w:r>
        <w:tab/>
      </w:r>
      <w:r>
        <w:rPr>
          <w:rStyle w:val="Znakapoznpodarou"/>
        </w:rPr>
        <w:footnoteRef/>
      </w:r>
      <w:r>
        <w:t xml:space="preserve"> </w:t>
      </w:r>
      <w:r>
        <w:tab/>
      </w:r>
      <w:r>
        <w:rPr>
          <w:i/>
        </w:rPr>
        <w:t>See</w:t>
      </w:r>
      <w:r>
        <w:t xml:space="preserve"> id. at 855.</w:t>
      </w:r>
      <w:r>
        <w:tab/>
      </w:r>
    </w:p>
  </w:footnote>
  <w:footnote w:id="150">
    <w:p w14:paraId="6FC1E3CF" w14:textId="00348B1E" w:rsidR="006152E8" w:rsidRPr="00CF4704" w:rsidRDefault="006152E8" w:rsidP="00B506B0">
      <w:pPr>
        <w:pStyle w:val="Textpoznpodarou"/>
        <w:jc w:val="both"/>
      </w:pPr>
      <w:r>
        <w:tab/>
      </w:r>
      <w:r>
        <w:rPr>
          <w:rStyle w:val="Znakapoznpodarou"/>
        </w:rPr>
        <w:footnoteRef/>
      </w:r>
      <w:r>
        <w:t xml:space="preserve"> </w:t>
      </w:r>
      <w:r>
        <w:tab/>
      </w:r>
      <w:r>
        <w:rPr>
          <w:i/>
        </w:rPr>
        <w:t xml:space="preserve">See </w:t>
      </w:r>
      <w:r>
        <w:t xml:space="preserve">id. and n. 23 (citing 42 U.S.C. § 7409(b)(1) (1994) and 33 U.S.C. § 1317(a)(4) (1994)); Cass Sunstein, </w:t>
      </w:r>
      <w:r>
        <w:rPr>
          <w:i/>
        </w:rPr>
        <w:t xml:space="preserve">The Precautionary Principle, </w:t>
      </w:r>
      <w:r>
        <w:t xml:space="preserve">151 </w:t>
      </w:r>
      <w:r>
        <w:rPr>
          <w:smallCaps/>
        </w:rPr>
        <w:t xml:space="preserve">U. Pa. L. Rev. 1003, 1005 &amp; </w:t>
      </w:r>
      <w:r>
        <w:rPr>
          <w:szCs w:val="20"/>
        </w:rPr>
        <w:t>n. 9</w:t>
      </w:r>
      <w:r>
        <w:rPr>
          <w:smallCaps/>
        </w:rPr>
        <w:t xml:space="preserve"> (2003) (</w:t>
      </w:r>
      <w:r>
        <w:rPr>
          <w:szCs w:val="20"/>
        </w:rPr>
        <w:t xml:space="preserve">citing the Clean Air Act’s ample margin of safety requirement as an example of implementing precaution by requiring “regulation on the basis of conservative assumptions”); </w:t>
      </w:r>
      <w:r>
        <w:rPr>
          <w:i/>
          <w:szCs w:val="20"/>
        </w:rPr>
        <w:t xml:space="preserve">see also </w:t>
      </w:r>
      <w:r>
        <w:rPr>
          <w:szCs w:val="20"/>
        </w:rPr>
        <w:t xml:space="preserve">Thomas Lundmark, </w:t>
      </w:r>
      <w:r>
        <w:rPr>
          <w:i/>
          <w:szCs w:val="20"/>
        </w:rPr>
        <w:t xml:space="preserve">Principles and Instruments of German Environmental Law, </w:t>
      </w:r>
      <w:r>
        <w:rPr>
          <w:szCs w:val="20"/>
        </w:rPr>
        <w:t xml:space="preserve">4 </w:t>
      </w:r>
      <w:r>
        <w:rPr>
          <w:smallCaps/>
          <w:szCs w:val="20"/>
        </w:rPr>
        <w:t>J. Envtl. L. &amp; Prac. 43, 44 (1997) (</w:t>
      </w:r>
      <w:r>
        <w:rPr>
          <w:szCs w:val="20"/>
        </w:rPr>
        <w:t>finding that precaution supports building “a margin of safety into all decisionmaking”)</w:t>
      </w:r>
      <w:r>
        <w:t xml:space="preserve">; </w:t>
      </w:r>
      <w:r>
        <w:rPr>
          <w:smallCaps/>
        </w:rPr>
        <w:t xml:space="preserve">Interpreting the Precautionary Principle, </w:t>
      </w:r>
      <w:r>
        <w:t xml:space="preserve">supra note </w:t>
      </w:r>
      <w:r>
        <w:fldChar w:fldCharType="begin"/>
      </w:r>
      <w:r>
        <w:instrText xml:space="preserve"> NOTEREF _Ref208912720 \h </w:instrText>
      </w:r>
      <w:r>
        <w:fldChar w:fldCharType="separate"/>
      </w:r>
      <w:r>
        <w:t>116</w:t>
      </w:r>
      <w:r>
        <w:fldChar w:fldCharType="end"/>
      </w:r>
      <w:r>
        <w:t>, at 204 (citing the margin of safety requirements in the Clean Air Act as examples of the precautionary principle at work in U.S. environmental law).</w:t>
      </w:r>
    </w:p>
  </w:footnote>
  <w:footnote w:id="151">
    <w:p w14:paraId="135F40DC" w14:textId="33551DF7" w:rsidR="006152E8" w:rsidRDefault="006152E8">
      <w:pPr>
        <w:pStyle w:val="Textpoznpodarou"/>
      </w:pPr>
      <w:r>
        <w:tab/>
      </w:r>
      <w:r>
        <w:rPr>
          <w:rStyle w:val="Znakapoznpodarou"/>
        </w:rPr>
        <w:footnoteRef/>
      </w:r>
      <w:r>
        <w:tab/>
      </w:r>
      <w:r>
        <w:rPr>
          <w:i/>
        </w:rPr>
        <w:t xml:space="preserve">See </w:t>
      </w:r>
      <w:r>
        <w:t xml:space="preserve">Lead Ind. Ass’n v. EPA 647 F.2d 1130, 1155 (D.C. Cir. 1980) (interpreting the adequate margin of safety requirement as requiring EPA to “err on the side of caution”). </w:t>
      </w:r>
    </w:p>
  </w:footnote>
  <w:footnote w:id="152">
    <w:p w14:paraId="7C4D66D2" w14:textId="77777777" w:rsidR="006152E8" w:rsidRDefault="006152E8" w:rsidP="00B506B0">
      <w:pPr>
        <w:pStyle w:val="Textpoznpodarou"/>
        <w:jc w:val="both"/>
      </w:pPr>
      <w:r>
        <w:tab/>
      </w:r>
      <w:r>
        <w:rPr>
          <w:rStyle w:val="Znakapoznpodarou"/>
        </w:rPr>
        <w:footnoteRef/>
      </w:r>
      <w:r>
        <w:t xml:space="preserve"> </w:t>
      </w:r>
      <w:r>
        <w:tab/>
      </w:r>
      <w:r>
        <w:rPr>
          <w:i/>
        </w:rPr>
        <w:t xml:space="preserve">Cf. </w:t>
      </w:r>
      <w:r>
        <w:t xml:space="preserve">Nicolas de Sadeleer, </w:t>
      </w:r>
      <w:r>
        <w:rPr>
          <w:i/>
        </w:rPr>
        <w:t xml:space="preserve">The Precautionary Principle in EC Health and Environmental Law, </w:t>
      </w:r>
      <w:r>
        <w:t xml:space="preserve">12 </w:t>
      </w:r>
      <w:r>
        <w:rPr>
          <w:rFonts w:cs="Times New Roman"/>
          <w:smallCaps/>
        </w:rPr>
        <w:t>Eur. L. J. 139, 147-48 (2006) (</w:t>
      </w:r>
      <w:r>
        <w:rPr>
          <w:rFonts w:cs="Times New Roman"/>
        </w:rPr>
        <w:t>agreeing that the precautionary principle is a risk assessment tool, not just a risk management tool).</w:t>
      </w:r>
    </w:p>
  </w:footnote>
  <w:footnote w:id="153">
    <w:p w14:paraId="406E7269" w14:textId="77777777" w:rsidR="006152E8" w:rsidRDefault="006152E8" w:rsidP="00B506B0">
      <w:pPr>
        <w:pStyle w:val="Textpoznpodarou"/>
        <w:jc w:val="both"/>
      </w:pPr>
      <w:r>
        <w:tab/>
      </w:r>
      <w:r>
        <w:rPr>
          <w:rStyle w:val="Znakapoznpodarou"/>
        </w:rPr>
        <w:footnoteRef/>
      </w:r>
      <w:r>
        <w:tab/>
      </w:r>
      <w:r>
        <w:rPr>
          <w:i/>
        </w:rPr>
        <w:t xml:space="preserve">Cf. </w:t>
      </w:r>
      <w:r>
        <w:t xml:space="preserve">Geistfeld, supra note </w:t>
      </w:r>
      <w:r>
        <w:fldChar w:fldCharType="begin"/>
      </w:r>
      <w:r>
        <w:instrText xml:space="preserve"> NOTEREF _Ref198100890 \h </w:instrText>
      </w:r>
      <w:r>
        <w:fldChar w:fldCharType="separate"/>
      </w:r>
      <w:r>
        <w:t>31</w:t>
      </w:r>
      <w:r>
        <w:fldChar w:fldCharType="end"/>
      </w:r>
      <w:r>
        <w:fldChar w:fldCharType="begin"/>
      </w:r>
      <w:r>
        <w:instrText xml:space="preserve"> NOTEREF _Ref199208296 \h </w:instrText>
      </w:r>
      <w:r>
        <w:fldChar w:fldCharType="separate"/>
      </w:r>
      <w:r>
        <w:t>129</w:t>
      </w:r>
      <w:r>
        <w:fldChar w:fldCharType="end"/>
      </w:r>
      <w:r>
        <w:t xml:space="preserve">, at 11328 (suggesting that the precautionary principle does not “impose any additional requirements” on regimes emphasizing safety and environmental protection over cost considerations). </w:t>
      </w:r>
    </w:p>
  </w:footnote>
  <w:footnote w:id="154">
    <w:p w14:paraId="67883C1C" w14:textId="13D4ED8B" w:rsidR="006152E8" w:rsidRDefault="006152E8">
      <w:pPr>
        <w:pStyle w:val="Textpoznpodarou"/>
      </w:pPr>
      <w:r>
        <w:tab/>
      </w:r>
      <w:r>
        <w:rPr>
          <w:rStyle w:val="Znakapoznpodarou"/>
        </w:rPr>
        <w:footnoteRef/>
      </w:r>
      <w:r>
        <w:tab/>
      </w:r>
      <w:r>
        <w:rPr>
          <w:i/>
        </w:rPr>
        <w:t>See</w:t>
      </w:r>
      <w:r>
        <w:t xml:space="preserve"> </w:t>
      </w:r>
      <w:r>
        <w:rPr>
          <w:smallCaps/>
        </w:rPr>
        <w:t xml:space="preserve">Interpreting the Precautionary Principle, </w:t>
      </w:r>
      <w:r w:rsidRPr="007C56ED">
        <w:rPr>
          <w:i/>
        </w:rPr>
        <w:t>supra</w:t>
      </w:r>
      <w:r>
        <w:t xml:space="preserve"> note </w:t>
      </w:r>
      <w:r>
        <w:fldChar w:fldCharType="begin"/>
      </w:r>
      <w:r>
        <w:instrText xml:space="preserve"> NOTEREF _Ref208917353 \h </w:instrText>
      </w:r>
      <w:r>
        <w:fldChar w:fldCharType="separate"/>
      </w:r>
      <w:r>
        <w:t>99</w:t>
      </w:r>
      <w:r>
        <w:fldChar w:fldCharType="end"/>
      </w:r>
      <w:r>
        <w:t xml:space="preserve">, at 241 (pointing out that the precautionary principle is often seen as synonymous with basing regulation on what is technically achievable). </w:t>
      </w:r>
    </w:p>
  </w:footnote>
  <w:footnote w:id="155">
    <w:p w14:paraId="6828042D" w14:textId="7ED0351C" w:rsidR="006152E8" w:rsidRDefault="006152E8" w:rsidP="00B506B0">
      <w:pPr>
        <w:pStyle w:val="Textpoznpodarou"/>
        <w:jc w:val="both"/>
      </w:pPr>
      <w:r>
        <w:tab/>
      </w:r>
      <w:r>
        <w:rPr>
          <w:rStyle w:val="Znakapoznpodarou"/>
        </w:rPr>
        <w:footnoteRef/>
      </w:r>
      <w:r>
        <w:tab/>
        <w:t xml:space="preserve">Donald T. Hornstein, </w:t>
      </w:r>
      <w:r>
        <w:rPr>
          <w:i/>
        </w:rPr>
        <w:t xml:space="preserve">The Data Wars, Adaptive Management and the Irony of “Sound Science”, </w:t>
      </w:r>
      <w:r w:rsidRPr="001D36BF">
        <w:t>in</w:t>
      </w:r>
      <w:r>
        <w:t xml:space="preserve"> </w:t>
      </w:r>
      <w:r>
        <w:rPr>
          <w:rFonts w:cs="Times New Roman"/>
          <w:smallCaps/>
        </w:rPr>
        <w:t xml:space="preserve">Rescuing,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_Ref341971020 \h </w:instrText>
      </w:r>
      <w:r>
        <w:rPr>
          <w:rFonts w:cs="Times New Roman"/>
        </w:rPr>
      </w:r>
      <w:r>
        <w:rPr>
          <w:rFonts w:cs="Times New Roman"/>
        </w:rPr>
        <w:fldChar w:fldCharType="separate"/>
      </w:r>
      <w:r>
        <w:rPr>
          <w:rFonts w:cs="Times New Roman"/>
        </w:rPr>
        <w:t>55</w:t>
      </w:r>
      <w:r>
        <w:rPr>
          <w:rFonts w:cs="Times New Roman"/>
        </w:rPr>
        <w:fldChar w:fldCharType="end"/>
      </w:r>
      <w:r>
        <w:rPr>
          <w:rFonts w:cs="Times New Roman"/>
        </w:rPr>
        <w:t>, at</w:t>
      </w:r>
      <w:r>
        <w:rPr>
          <w:rFonts w:cs="Times New Roman"/>
          <w:smallCaps/>
        </w:rPr>
        <w:t xml:space="preserve"> 103, 114 </w:t>
      </w:r>
      <w:r>
        <w:rPr>
          <w:rFonts w:cs="Times New Roman"/>
        </w:rPr>
        <w:t xml:space="preserve">(describing the “sound science narrative” as demanding a “high level of confidence” about the “precise dimension of the risk”); </w:t>
      </w:r>
      <w:r w:rsidRPr="001D36BF">
        <w:rPr>
          <w:rFonts w:cs="Times New Roman"/>
          <w:smallCaps/>
        </w:rPr>
        <w:t>Early</w:t>
      </w:r>
      <w:r>
        <w:rPr>
          <w:rFonts w:cs="Times New Roman"/>
          <w:smallCaps/>
        </w:rPr>
        <w:t xml:space="preserve"> Warnings,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_Ref326054367 \h </w:instrText>
      </w:r>
      <w:r>
        <w:rPr>
          <w:rFonts w:cs="Times New Roman"/>
        </w:rPr>
      </w:r>
      <w:r>
        <w:rPr>
          <w:rFonts w:cs="Times New Roman"/>
        </w:rPr>
        <w:fldChar w:fldCharType="separate"/>
      </w:r>
      <w:r>
        <w:rPr>
          <w:rFonts w:cs="Times New Roman"/>
        </w:rPr>
        <w:t>89</w:t>
      </w:r>
      <w:r>
        <w:rPr>
          <w:rFonts w:cs="Times New Roman"/>
        </w:rPr>
        <w:fldChar w:fldCharType="end"/>
      </w:r>
      <w:r>
        <w:rPr>
          <w:rFonts w:cs="Times New Roman"/>
        </w:rPr>
        <w:t>, at 43 (discussing industry support for an approach that “call for scientific certainty” as a prerequisite to the regulation of benzene).</w:t>
      </w:r>
      <w:r>
        <w:t xml:space="preserve"> </w:t>
      </w:r>
    </w:p>
  </w:footnote>
  <w:footnote w:id="156">
    <w:p w14:paraId="40632CCB" w14:textId="1E25D195" w:rsidR="006152E8" w:rsidRDefault="006152E8" w:rsidP="00DC0869">
      <w:pPr>
        <w:pStyle w:val="Textpoznpodarou"/>
        <w:jc w:val="both"/>
      </w:pPr>
      <w:r>
        <w:tab/>
      </w:r>
      <w:r>
        <w:rPr>
          <w:rStyle w:val="Znakapoznpodarou"/>
        </w:rPr>
        <w:footnoteRef/>
      </w:r>
      <w:r>
        <w:tab/>
      </w:r>
      <w:r>
        <w:rPr>
          <w:i/>
        </w:rPr>
        <w:t>See</w:t>
      </w:r>
      <w:r>
        <w:t xml:space="preserve"> </w:t>
      </w:r>
      <w:r>
        <w:rPr>
          <w:smallCaps/>
        </w:rPr>
        <w:t xml:space="preserve">Interpreting the Precautionary Principle, </w:t>
      </w:r>
      <w:r w:rsidRPr="00B31FA5">
        <w:rPr>
          <w:i/>
        </w:rPr>
        <w:t>supra</w:t>
      </w:r>
      <w:r>
        <w:t xml:space="preserve"> note </w:t>
      </w:r>
      <w:r>
        <w:fldChar w:fldCharType="begin"/>
      </w:r>
      <w:r>
        <w:instrText xml:space="preserve"> NOTEREF _Ref208917353 \h </w:instrText>
      </w:r>
      <w:r>
        <w:fldChar w:fldCharType="separate"/>
      </w:r>
      <w:r>
        <w:t>99</w:t>
      </w:r>
      <w:r>
        <w:fldChar w:fldCharType="end"/>
      </w:r>
      <w:r>
        <w:t>, at 74 (associating sound science with a demand for proof or harm).</w:t>
      </w:r>
    </w:p>
  </w:footnote>
  <w:footnote w:id="157">
    <w:p w14:paraId="623530FA" w14:textId="77777777" w:rsidR="006152E8" w:rsidRDefault="006152E8" w:rsidP="00B506B0">
      <w:pPr>
        <w:pStyle w:val="Textpoznpodarou"/>
        <w:jc w:val="both"/>
      </w:pPr>
      <w:r>
        <w:tab/>
      </w:r>
      <w:r>
        <w:rPr>
          <w:rStyle w:val="Znakapoznpodarou"/>
        </w:rPr>
        <w:footnoteRef/>
      </w:r>
      <w:r>
        <w:tab/>
      </w:r>
      <w:r>
        <w:rPr>
          <w:i/>
        </w:rPr>
        <w:t xml:space="preserve">See </w:t>
      </w:r>
      <w:r>
        <w:t xml:space="preserve">Wagner, </w:t>
      </w:r>
      <w:r>
        <w:rPr>
          <w:i/>
        </w:rPr>
        <w:t>supra</w:t>
      </w:r>
      <w:r>
        <w:t xml:space="preserve"> note </w:t>
      </w:r>
      <w:r>
        <w:fldChar w:fldCharType="begin"/>
      </w:r>
      <w:r>
        <w:instrText xml:space="preserve"> NOTEREF _Ref326227451 \h </w:instrText>
      </w:r>
      <w:r>
        <w:fldChar w:fldCharType="separate"/>
      </w:r>
      <w:r>
        <w:t>60</w:t>
      </w:r>
      <w:r>
        <w:fldChar w:fldCharType="end"/>
      </w:r>
      <w:r>
        <w:t xml:space="preserve">, at </w:t>
      </w:r>
      <w:r>
        <w:rPr>
          <w:rFonts w:cs="Times New Roman"/>
          <w:smallCaps/>
        </w:rPr>
        <w:t>1619-1627 (</w:t>
      </w:r>
      <w:r>
        <w:rPr>
          <w:rFonts w:cs="Times New Roman"/>
        </w:rPr>
        <w:t>discussing the difficulties of making these extrapolations).</w:t>
      </w:r>
      <w:r>
        <w:t xml:space="preserve"> </w:t>
      </w:r>
    </w:p>
  </w:footnote>
  <w:footnote w:id="158">
    <w:p w14:paraId="2DA4BF9D" w14:textId="43D917EF" w:rsidR="006152E8" w:rsidRDefault="006152E8" w:rsidP="00B506B0">
      <w:pPr>
        <w:pStyle w:val="Textpoznpodarou"/>
        <w:jc w:val="both"/>
      </w:pPr>
      <w:r>
        <w:tab/>
      </w:r>
      <w:r>
        <w:rPr>
          <w:rStyle w:val="Znakapoznpodarou"/>
        </w:rPr>
        <w:footnoteRef/>
      </w:r>
      <w:r>
        <w:tab/>
      </w:r>
      <w:r>
        <w:rPr>
          <w:i/>
        </w:rPr>
        <w:t xml:space="preserve">See </w:t>
      </w:r>
      <w:r>
        <w:t xml:space="preserve">id. at 1622-27 (discussing the policy judgments necessary to choose among different models when science does not tell us which one is correct); Eric Biber, </w:t>
      </w:r>
      <w:r>
        <w:rPr>
          <w:i/>
        </w:rPr>
        <w:t xml:space="preserve">Which Science?  Whose Science?  How Scientific Disciplines can Shape Environmental Law, </w:t>
      </w:r>
      <w:r>
        <w:t xml:space="preserve">79 </w:t>
      </w:r>
      <w:r>
        <w:rPr>
          <w:rFonts w:cs="Times New Roman"/>
          <w:smallCaps/>
        </w:rPr>
        <w:t>U. Chi. L. Rev. 471, 478-79 (2012) (</w:t>
      </w:r>
      <w:r>
        <w:rPr>
          <w:rFonts w:cs="Times New Roman"/>
        </w:rPr>
        <w:t xml:space="preserve">discussing the problem of constructing a “dose-response curve” to govern extrapolation of high dose laboratory experiments to low dose real world human exposures); </w:t>
      </w:r>
      <w:r>
        <w:rPr>
          <w:i/>
        </w:rPr>
        <w:t xml:space="preserve">see, e.g., </w:t>
      </w:r>
      <w:r>
        <w:rPr>
          <w:rFonts w:cs="Times New Roman"/>
          <w:smallCaps/>
        </w:rPr>
        <w:t xml:space="preserve">Early Warnings,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_Ref326054367 \h </w:instrText>
      </w:r>
      <w:r>
        <w:rPr>
          <w:rFonts w:cs="Times New Roman"/>
        </w:rPr>
      </w:r>
      <w:r>
        <w:rPr>
          <w:rFonts w:cs="Times New Roman"/>
        </w:rPr>
        <w:fldChar w:fldCharType="separate"/>
      </w:r>
      <w:r>
        <w:rPr>
          <w:rFonts w:cs="Times New Roman"/>
        </w:rPr>
        <w:t>89</w:t>
      </w:r>
      <w:r>
        <w:rPr>
          <w:rFonts w:cs="Times New Roman"/>
        </w:rPr>
        <w:fldChar w:fldCharType="end"/>
      </w:r>
      <w:r>
        <w:rPr>
          <w:rFonts w:cs="Times New Roman"/>
        </w:rPr>
        <w:t>, at 44 (discussing unresolvable debates about the proper dose-response model for benzene).</w:t>
      </w:r>
      <w:r>
        <w:t xml:space="preserve"> </w:t>
      </w:r>
    </w:p>
  </w:footnote>
  <w:footnote w:id="159">
    <w:p w14:paraId="2457A6E1" w14:textId="77777777" w:rsidR="006152E8" w:rsidRDefault="006152E8" w:rsidP="00B506B0">
      <w:pPr>
        <w:pStyle w:val="Textpoznpodarou"/>
        <w:jc w:val="both"/>
      </w:pPr>
      <w:r>
        <w:tab/>
      </w:r>
      <w:r>
        <w:rPr>
          <w:rStyle w:val="Znakapoznpodarou"/>
        </w:rPr>
        <w:footnoteRef/>
      </w:r>
      <w:r>
        <w:tab/>
      </w:r>
      <w:r>
        <w:rPr>
          <w:i/>
        </w:rPr>
        <w:t xml:space="preserve">See </w:t>
      </w:r>
      <w:r>
        <w:t xml:space="preserve">Wagner, </w:t>
      </w:r>
      <w:r>
        <w:rPr>
          <w:i/>
        </w:rPr>
        <w:t>supra</w:t>
      </w:r>
      <w:r>
        <w:t xml:space="preserve"> note </w:t>
      </w:r>
      <w:r>
        <w:fldChar w:fldCharType="begin"/>
      </w:r>
      <w:r>
        <w:instrText xml:space="preserve"> NOTEREF _Ref326227451 \h </w:instrText>
      </w:r>
      <w:r>
        <w:fldChar w:fldCharType="separate"/>
      </w:r>
      <w:r>
        <w:t>60</w:t>
      </w:r>
      <w:r>
        <w:fldChar w:fldCharType="end"/>
      </w:r>
      <w:r>
        <w:t xml:space="preserve">, at 1619 (claiming flatly that “contemporary science is incapable of” specifying the precise level of risk to humans a chemical poses at a given concentration).  </w:t>
      </w:r>
    </w:p>
  </w:footnote>
  <w:footnote w:id="160">
    <w:p w14:paraId="51A9CC18" w14:textId="77777777" w:rsidR="006152E8" w:rsidRDefault="006152E8" w:rsidP="00B506B0">
      <w:pPr>
        <w:pStyle w:val="Textpoznpodarou"/>
        <w:jc w:val="both"/>
      </w:pPr>
      <w:r>
        <w:tab/>
      </w:r>
      <w:r>
        <w:rPr>
          <w:rStyle w:val="Znakapoznpodarou"/>
        </w:rPr>
        <w:footnoteRef/>
      </w:r>
      <w:r>
        <w:t xml:space="preserve"> </w:t>
      </w:r>
      <w:r>
        <w:tab/>
      </w:r>
      <w:r>
        <w:rPr>
          <w:i/>
        </w:rPr>
        <w:t>See</w:t>
      </w:r>
      <w:r>
        <w:t xml:space="preserve"> id. at 1626-27 (discussing the numerous policy judgments necessary in assessing risk quantitatively and their “profound policy implications”).</w:t>
      </w:r>
    </w:p>
  </w:footnote>
  <w:footnote w:id="161">
    <w:p w14:paraId="7A07A40F" w14:textId="77777777" w:rsidR="006152E8" w:rsidRDefault="006152E8" w:rsidP="00C237DA">
      <w:pPr>
        <w:pStyle w:val="Textpoznpodarou"/>
        <w:jc w:val="both"/>
      </w:pPr>
      <w:r>
        <w:tab/>
      </w:r>
      <w:r>
        <w:rPr>
          <w:rStyle w:val="Znakapoznpodarou"/>
        </w:rPr>
        <w:footnoteRef/>
      </w:r>
      <w:r>
        <w:tab/>
        <w:t xml:space="preserve">Steinzor, </w:t>
      </w:r>
      <w:r>
        <w:rPr>
          <w:i/>
        </w:rPr>
        <w:t>supra</w:t>
      </w:r>
      <w:r>
        <w:t xml:space="preserve"> note </w:t>
      </w:r>
      <w:r>
        <w:fldChar w:fldCharType="begin"/>
      </w:r>
      <w:r>
        <w:instrText xml:space="preserve"> NOTEREF _Ref322956541 \h </w:instrText>
      </w:r>
      <w:r>
        <w:fldChar w:fldCharType="separate"/>
      </w:r>
      <w:r>
        <w:t>6</w:t>
      </w:r>
      <w:r>
        <w:fldChar w:fldCharType="end"/>
      </w:r>
      <w:r>
        <w:t xml:space="preserve">, at </w:t>
      </w:r>
      <w:r>
        <w:rPr>
          <w:smallCaps/>
        </w:rPr>
        <w:t>250 (</w:t>
      </w:r>
      <w:r>
        <w:t xml:space="preserve">stating that John Graham’s predecessors as head of OIRA used CBA to combat precaution and that John Graham tried to alter agency risk assessment practices). </w:t>
      </w:r>
    </w:p>
  </w:footnote>
  <w:footnote w:id="162">
    <w:p w14:paraId="0AB8F7DB" w14:textId="1867EDA9" w:rsidR="006152E8" w:rsidRPr="00D32D0F" w:rsidRDefault="006152E8" w:rsidP="00C237DA">
      <w:pPr>
        <w:pStyle w:val="Textpoznpodarou"/>
        <w:jc w:val="both"/>
        <w:rPr>
          <w:rFonts w:cs="Times New Roman"/>
          <w:szCs w:val="20"/>
        </w:rPr>
      </w:pPr>
      <w:r>
        <w:tab/>
      </w:r>
      <w:r>
        <w:rPr>
          <w:rStyle w:val="Znakapoznpodarou"/>
        </w:rPr>
        <w:footnoteRef/>
      </w:r>
      <w:r>
        <w:t xml:space="preserve">   </w:t>
      </w:r>
      <w:r>
        <w:rPr>
          <w:rFonts w:cs="Times New Roman"/>
          <w:color w:val="000000"/>
          <w:szCs w:val="20"/>
        </w:rPr>
        <w:t>Jason K. Burnett &amp; Robert W</w:t>
      </w:r>
      <w:r w:rsidRPr="00D32D0F">
        <w:rPr>
          <w:rFonts w:cs="Times New Roman"/>
          <w:color w:val="000000"/>
          <w:szCs w:val="20"/>
        </w:rPr>
        <w:t xml:space="preserve">. Hahn, </w:t>
      </w:r>
      <w:r w:rsidRPr="00D32D0F">
        <w:rPr>
          <w:rFonts w:cs="Times New Roman"/>
          <w:i/>
          <w:color w:val="000000"/>
          <w:szCs w:val="20"/>
        </w:rPr>
        <w:t>EPA's Arsenic Rule: The Benefits of the Standard do not Justify the Costs</w:t>
      </w:r>
      <w:r w:rsidRPr="00D32D0F">
        <w:rPr>
          <w:rFonts w:cs="Times New Roman"/>
          <w:color w:val="000000"/>
          <w:szCs w:val="20"/>
        </w:rPr>
        <w:t xml:space="preserve"> (2001), http:// aei.brookings.org/admin/pdffiles/reg_analysis_01_02.pdf.</w:t>
      </w:r>
      <w:r w:rsidRPr="00D32D0F">
        <w:rPr>
          <w:rFonts w:cs="Times New Roman"/>
          <w:szCs w:val="20"/>
        </w:rPr>
        <w:t xml:space="preserve"> </w:t>
      </w:r>
    </w:p>
  </w:footnote>
  <w:footnote w:id="163">
    <w:p w14:paraId="7DD8BEE1" w14:textId="6AA9AA09" w:rsidR="006152E8" w:rsidRDefault="006152E8" w:rsidP="00C237DA">
      <w:pPr>
        <w:pStyle w:val="Textpoznpodarou"/>
        <w:jc w:val="both"/>
      </w:pPr>
      <w:r>
        <w:tab/>
      </w:r>
      <w:r>
        <w:rPr>
          <w:rStyle w:val="Znakapoznpodarou"/>
        </w:rPr>
        <w:footnoteRef/>
      </w:r>
      <w:r>
        <w:tab/>
      </w:r>
      <w:r>
        <w:rPr>
          <w:i/>
        </w:rPr>
        <w:t>See</w:t>
      </w:r>
      <w:r>
        <w:t xml:space="preserve"> Thomas O. McGarity, </w:t>
      </w:r>
      <w:r>
        <w:rPr>
          <w:i/>
        </w:rPr>
        <w:t xml:space="preserve">Professor Sunstein’s Fuzzy Math, </w:t>
      </w:r>
      <w:r>
        <w:t xml:space="preserve">90 </w:t>
      </w:r>
      <w:r>
        <w:rPr>
          <w:rFonts w:cs="Times New Roman"/>
          <w:smallCaps/>
        </w:rPr>
        <w:t>Geo. L. J. 2341, 2357-64 (2002)</w:t>
      </w:r>
      <w:r>
        <w:t xml:space="preserve"> (critiquing Hahn and Burnett).</w:t>
      </w:r>
    </w:p>
  </w:footnote>
  <w:footnote w:id="164">
    <w:p w14:paraId="16D94DBB" w14:textId="21425BF2" w:rsidR="006152E8" w:rsidRPr="009B7309" w:rsidRDefault="006152E8" w:rsidP="00245AEF">
      <w:pPr>
        <w:pStyle w:val="Textpoznpodarou"/>
        <w:jc w:val="both"/>
      </w:pPr>
      <w:r>
        <w:tab/>
      </w:r>
      <w:r>
        <w:rPr>
          <w:rStyle w:val="Znakapoznpodarou"/>
        </w:rPr>
        <w:footnoteRef/>
      </w:r>
      <w:r>
        <w:t xml:space="preserve"> </w:t>
      </w:r>
      <w:r>
        <w:tab/>
      </w:r>
      <w:r>
        <w:rPr>
          <w:i/>
        </w:rPr>
        <w:t>See</w:t>
      </w:r>
      <w:r>
        <w:t xml:space="preserve"> id. at 2357 (noting that both lack expertise in toxicology or dose response modeling).</w:t>
      </w:r>
    </w:p>
  </w:footnote>
  <w:footnote w:id="165">
    <w:p w14:paraId="0BF91807" w14:textId="31D4274B" w:rsidR="006152E8" w:rsidRDefault="006152E8" w:rsidP="00245AEF">
      <w:pPr>
        <w:pStyle w:val="Textpoznpodarou"/>
        <w:jc w:val="both"/>
      </w:pPr>
      <w:r>
        <w:tab/>
      </w:r>
      <w:r>
        <w:rPr>
          <w:rStyle w:val="Znakapoznpodarou"/>
        </w:rPr>
        <w:footnoteRef/>
      </w:r>
      <w:r>
        <w:tab/>
      </w:r>
      <w:r>
        <w:rPr>
          <w:i/>
        </w:rPr>
        <w:t>Accord</w:t>
      </w:r>
      <w:r>
        <w:t xml:space="preserve"> EPA Guidelines, </w:t>
      </w:r>
      <w:r w:rsidRPr="000074F6">
        <w:rPr>
          <w:i/>
        </w:rPr>
        <w:t>supra</w:t>
      </w:r>
      <w:r>
        <w:t xml:space="preserve"> note </w:t>
      </w:r>
      <w:r>
        <w:fldChar w:fldCharType="begin"/>
      </w:r>
      <w:r>
        <w:instrText xml:space="preserve"> NOTEREF _Ref209086725 \h </w:instrText>
      </w:r>
      <w:r>
        <w:fldChar w:fldCharType="separate"/>
      </w:r>
      <w:r>
        <w:t>32</w:t>
      </w:r>
      <w:r>
        <w:fldChar w:fldCharType="end"/>
      </w:r>
      <w:r>
        <w:t xml:space="preserve">, at 7-3 (stating that collaboration with scientific experts is necessary to evaluating environmental benefits) </w:t>
      </w:r>
    </w:p>
  </w:footnote>
  <w:footnote w:id="166">
    <w:p w14:paraId="122DD082" w14:textId="6C43D9A6" w:rsidR="006152E8" w:rsidRDefault="006152E8" w:rsidP="00C237DA">
      <w:pPr>
        <w:pStyle w:val="Textpoznpodarou"/>
        <w:jc w:val="both"/>
      </w:pPr>
      <w:r>
        <w:tab/>
      </w:r>
      <w:r>
        <w:rPr>
          <w:rStyle w:val="Znakapoznpodarou"/>
        </w:rPr>
        <w:footnoteRef/>
      </w:r>
      <w:r>
        <w:tab/>
      </w:r>
      <w:r>
        <w:rPr>
          <w:i/>
        </w:rPr>
        <w:t xml:space="preserve">See </w:t>
      </w:r>
      <w:r>
        <w:t xml:space="preserve">Cass R. Sunstein, </w:t>
      </w:r>
      <w:r>
        <w:rPr>
          <w:i/>
        </w:rPr>
        <w:t xml:space="preserve">The Arithmetic of Arsenic, </w:t>
      </w:r>
      <w:r>
        <w:t xml:space="preserve">90 </w:t>
      </w:r>
      <w:r>
        <w:rPr>
          <w:rFonts w:cs="Times New Roman"/>
          <w:smallCaps/>
        </w:rPr>
        <w:t>Geo. L. J. 2255, 2283 (2002) (</w:t>
      </w:r>
      <w:r>
        <w:rPr>
          <w:rFonts w:cs="Times New Roman"/>
        </w:rPr>
        <w:t>characterizing the range of plausible numbers of lives saved through EPA’s arsenic regulation as “exceedingly wide”)</w:t>
      </w:r>
      <w:r>
        <w:t>.</w:t>
      </w:r>
    </w:p>
  </w:footnote>
  <w:footnote w:id="167">
    <w:p w14:paraId="09D7C1CD" w14:textId="6CF72488" w:rsidR="006152E8" w:rsidRPr="0001155A" w:rsidRDefault="006152E8" w:rsidP="00C237DA">
      <w:pPr>
        <w:pStyle w:val="Textpoznpodarou"/>
        <w:jc w:val="both"/>
      </w:pPr>
      <w:r>
        <w:tab/>
      </w:r>
      <w:r>
        <w:rPr>
          <w:rStyle w:val="Znakapoznpodarou"/>
        </w:rPr>
        <w:footnoteRef/>
      </w:r>
      <w:r>
        <w:t xml:space="preserve">  </w:t>
      </w:r>
      <w:r>
        <w:rPr>
          <w:i/>
        </w:rPr>
        <w:t>See</w:t>
      </w:r>
      <w:r>
        <w:t xml:space="preserve"> id. at 2257 (finding that a wide benefits range “does not do a great deal to discipline judgment”).</w:t>
      </w:r>
    </w:p>
  </w:footnote>
  <w:footnote w:id="168">
    <w:p w14:paraId="79DCD7D5" w14:textId="2D67EEE7" w:rsidR="006152E8" w:rsidRDefault="006152E8" w:rsidP="00245AEF">
      <w:pPr>
        <w:pStyle w:val="Textpoznpodarou"/>
        <w:jc w:val="both"/>
      </w:pPr>
      <w:r>
        <w:tab/>
      </w:r>
      <w:r>
        <w:rPr>
          <w:rStyle w:val="Znakapoznpodarou"/>
        </w:rPr>
        <w:footnoteRef/>
      </w:r>
      <w:r>
        <w:tab/>
      </w:r>
      <w:r>
        <w:rPr>
          <w:i/>
        </w:rPr>
        <w:t xml:space="preserve">See, e.g., </w:t>
      </w:r>
      <w:r>
        <w:t xml:space="preserve">Masur &amp; Posner, </w:t>
      </w:r>
      <w:r>
        <w:rPr>
          <w:i/>
        </w:rPr>
        <w:t>supra</w:t>
      </w:r>
      <w:r>
        <w:t xml:space="preserve"> note </w:t>
      </w:r>
      <w:r>
        <w:fldChar w:fldCharType="begin"/>
      </w:r>
      <w:r>
        <w:instrText xml:space="preserve"> NOTEREF _Ref330973409 \h </w:instrText>
      </w:r>
      <w:r>
        <w:fldChar w:fldCharType="separate"/>
      </w:r>
      <w:r>
        <w:t>15</w:t>
      </w:r>
      <w:r>
        <w:fldChar w:fldCharType="end"/>
      </w:r>
      <w:r>
        <w:t xml:space="preserve">, at 1572-1577 (discussing regulations employing the IWC’s estimates of carbon’s social costs). </w:t>
      </w:r>
    </w:p>
  </w:footnote>
  <w:footnote w:id="169">
    <w:p w14:paraId="02A4C4DA" w14:textId="4430BA49" w:rsidR="006152E8" w:rsidRDefault="006152E8" w:rsidP="00B506B0">
      <w:pPr>
        <w:pStyle w:val="Textpoznpodarou"/>
        <w:jc w:val="both"/>
      </w:pPr>
      <w:r>
        <w:tab/>
      </w:r>
      <w:r>
        <w:rPr>
          <w:rStyle w:val="Znakapoznpodarou"/>
        </w:rPr>
        <w:footnoteRef/>
      </w:r>
      <w:r>
        <w:tab/>
      </w:r>
      <w:r>
        <w:rPr>
          <w:i/>
        </w:rPr>
        <w:t xml:space="preserve">See </w:t>
      </w:r>
      <w:r>
        <w:t xml:space="preserve">Tiffany Stecker, </w:t>
      </w:r>
      <w:r>
        <w:rPr>
          <w:i/>
        </w:rPr>
        <w:t>Administration Grossly Underestimated Carbon Costs, Says Study,</w:t>
      </w:r>
      <w:r>
        <w:t xml:space="preserve"> </w:t>
      </w:r>
      <w:r>
        <w:rPr>
          <w:smallCaps/>
        </w:rPr>
        <w:t>(</w:t>
      </w:r>
      <w:r>
        <w:t xml:space="preserve">July 14, 2011), </w:t>
      </w:r>
      <w:r w:rsidRPr="000163D0">
        <w:t>http://www.nytimes.com/cwire/2011/07/14/14climatewire-administration-grossly-underestimated-carbon-69396.html</w:t>
      </w:r>
      <w:r>
        <w:t xml:space="preserve"> (stating that estimates vary from $5 to $3,000 a ton);</w:t>
      </w:r>
      <w:r>
        <w:rPr>
          <w:i/>
        </w:rPr>
        <w:t xml:space="preserve"> </w:t>
      </w:r>
      <w:r>
        <w:t xml:space="preserve">Frank Ackerman &amp; Elizabeth A. Stanton, </w:t>
      </w:r>
      <w:r>
        <w:rPr>
          <w:i/>
          <w:iCs/>
        </w:rPr>
        <w:t>Climate Risks and Carbon Prices: Revising the Social Cost of Carbon</w:t>
      </w:r>
      <w:r>
        <w:t xml:space="preserve"> 2</w:t>
      </w:r>
      <w:r>
        <w:rPr>
          <w:i/>
        </w:rPr>
        <w:t xml:space="preserve"> </w:t>
      </w:r>
      <w:r>
        <w:t>(2011); Frank Ackerman &amp; Elizabeth A. Stanton</w:t>
      </w:r>
      <w:r>
        <w:rPr>
          <w:i/>
        </w:rPr>
        <w:t xml:space="preserve">, </w:t>
      </w:r>
      <w:r>
        <w:rPr>
          <w:i/>
          <w:iCs/>
        </w:rPr>
        <w:t>The Social Cost of Carbon: A Report for the Economics for Equity and the Environment Network</w:t>
      </w:r>
      <w:r>
        <w:t xml:space="preserve"> 9 (2010) [hereinafter 2010 </w:t>
      </w:r>
      <w:r>
        <w:rPr>
          <w:i/>
          <w:iCs/>
          <w:szCs w:val="20"/>
        </w:rPr>
        <w:t>Social Costs</w:t>
      </w:r>
      <w:r>
        <w:t xml:space="preserve">]; Douglas Kysar, </w:t>
      </w:r>
      <w:r>
        <w:rPr>
          <w:i/>
        </w:rPr>
        <w:t xml:space="preserve">Some Realism About Environmental Skepticism: The Implications of Bjorn Lomborg’s The Skeptical Environmentalist for Environmental Law and Policy, </w:t>
      </w:r>
      <w:r>
        <w:t xml:space="preserve">30 </w:t>
      </w:r>
      <w:r>
        <w:rPr>
          <w:smallCaps/>
        </w:rPr>
        <w:t>Ecology L. Q. 223, 263 (2003) (</w:t>
      </w:r>
      <w:r>
        <w:t xml:space="preserve">discussing these numbers, given in 1990 U.S. dollars); Richard S.J. Tol, </w:t>
      </w:r>
      <w:r>
        <w:rPr>
          <w:i/>
        </w:rPr>
        <w:t>The Social Cost of Carbon: Trends, Outliers and Catastrophes,</w:t>
      </w:r>
      <w:r>
        <w:t xml:space="preserve"> </w:t>
      </w:r>
      <w:r>
        <w:rPr>
          <w:smallCaps/>
        </w:rPr>
        <w:t>Economics e-journal</w:t>
      </w:r>
      <w:r>
        <w:t xml:space="preserve"> 2, article 2008-25 (2008) (reviewing many studies published through 2006); </w:t>
      </w:r>
      <w:r>
        <w:rPr>
          <w:i/>
        </w:rPr>
        <w:t xml:space="preserve">see also </w:t>
      </w:r>
      <w:r>
        <w:t xml:space="preserve">Farber, </w:t>
      </w:r>
      <w:r>
        <w:rPr>
          <w:i/>
        </w:rPr>
        <w:t>supra</w:t>
      </w:r>
      <w:r>
        <w:t xml:space="preserve"> note </w:t>
      </w:r>
      <w:r>
        <w:fldChar w:fldCharType="begin"/>
      </w:r>
      <w:r>
        <w:instrText xml:space="preserve"> NOTEREF _Ref204822993 \h </w:instrText>
      </w:r>
      <w:r>
        <w:fldChar w:fldCharType="separate"/>
      </w:r>
      <w:r>
        <w:t>66</w:t>
      </w:r>
      <w:r>
        <w:fldChar w:fldCharType="end"/>
      </w:r>
      <w:r>
        <w:t>, at 1386-88 (noting that some models find climate disruption causes positive economic effects up to about 4</w:t>
      </w:r>
      <w:r>
        <w:rPr>
          <w:rFonts w:cs="Times New Roman"/>
        </w:rPr>
        <w:t>º</w:t>
      </w:r>
      <w:r>
        <w:t xml:space="preserve"> C, but that others anticipate losing 5 to 20% of GDP or more).</w:t>
      </w:r>
    </w:p>
  </w:footnote>
  <w:footnote w:id="170">
    <w:p w14:paraId="06208676" w14:textId="1ADB1702" w:rsidR="006152E8" w:rsidRDefault="006152E8" w:rsidP="00C237DA">
      <w:pPr>
        <w:pStyle w:val="Textpoznpodarou"/>
        <w:jc w:val="both"/>
      </w:pPr>
      <w:r>
        <w:tab/>
      </w:r>
      <w:r>
        <w:rPr>
          <w:rStyle w:val="Znakapoznpodarou"/>
        </w:rPr>
        <w:footnoteRef/>
      </w:r>
      <w:r>
        <w:t xml:space="preserve"> </w:t>
      </w:r>
      <w:r>
        <w:tab/>
      </w:r>
      <w:r>
        <w:rPr>
          <w:i/>
        </w:rPr>
        <w:t>See</w:t>
      </w:r>
      <w:r>
        <w:t xml:space="preserve"> IWG, </w:t>
      </w:r>
      <w:r>
        <w:rPr>
          <w:i/>
        </w:rPr>
        <w:t>supra</w:t>
      </w:r>
      <w:r>
        <w:t xml:space="preserve"> note </w:t>
      </w:r>
      <w:r>
        <w:fldChar w:fldCharType="begin"/>
      </w:r>
      <w:r>
        <w:instrText xml:space="preserve"> NOTEREF _Ref333400102 \h </w:instrText>
      </w:r>
      <w:r>
        <w:fldChar w:fldCharType="separate"/>
      </w:r>
      <w:r>
        <w:t>8</w:t>
      </w:r>
      <w:r>
        <w:fldChar w:fldCharType="end"/>
      </w:r>
      <w:r>
        <w:t>, at 28 (explaining that the damages were calculated by combining outputs of DICE, FUND, and PAGE model runs).</w:t>
      </w:r>
    </w:p>
  </w:footnote>
  <w:footnote w:id="171">
    <w:p w14:paraId="28D3173E" w14:textId="38A2F262" w:rsidR="006152E8" w:rsidRDefault="006152E8" w:rsidP="00B506B0">
      <w:pPr>
        <w:pStyle w:val="Textpoznpodarou"/>
      </w:pPr>
      <w:r>
        <w:tab/>
      </w:r>
      <w:r>
        <w:rPr>
          <w:rStyle w:val="Znakapoznpodarou"/>
        </w:rPr>
        <w:footnoteRef/>
      </w:r>
      <w:r>
        <w:t xml:space="preserve"> </w:t>
      </w:r>
      <w:r>
        <w:tab/>
      </w:r>
      <w:r>
        <w:rPr>
          <w:i/>
        </w:rPr>
        <w:t xml:space="preserve">See, e.g. </w:t>
      </w:r>
      <w:r w:rsidRPr="003668B7">
        <w:rPr>
          <w:rFonts w:cs="Times New Roman"/>
          <w:smallCaps/>
        </w:rPr>
        <w:t>W.M. Hanneman, What is the Economic Cost of Climate Change?</w:t>
      </w:r>
      <w:r>
        <w:rPr>
          <w:i/>
        </w:rPr>
        <w:t xml:space="preserve"> </w:t>
      </w:r>
      <w:r>
        <w:t>(2009).</w:t>
      </w:r>
    </w:p>
  </w:footnote>
  <w:footnote w:id="172">
    <w:p w14:paraId="452F5CBC" w14:textId="66EAD225" w:rsidR="006152E8" w:rsidRDefault="006152E8" w:rsidP="003668B7">
      <w:pPr>
        <w:pStyle w:val="Textpoznpodarou"/>
        <w:ind w:firstLine="360"/>
        <w:jc w:val="both"/>
      </w:pPr>
      <w:r>
        <w:rPr>
          <w:rStyle w:val="Znakapoznpodarou"/>
        </w:rPr>
        <w:footnoteRef/>
      </w:r>
      <w:r>
        <w:t xml:space="preserve"> </w:t>
      </w:r>
      <w:r>
        <w:tab/>
        <w:t xml:space="preserve">F. Ackerman, E.A. Stanton, &amp; R. Bueno, </w:t>
      </w:r>
      <w:r>
        <w:rPr>
          <w:i/>
        </w:rPr>
        <w:t>Fat tails, exponents, extreme uncertainty: Simulating catastrophe in DICE</w:t>
      </w:r>
      <w:r>
        <w:t xml:space="preserve">, 69 </w:t>
      </w:r>
      <w:r>
        <w:rPr>
          <w:smallCaps/>
        </w:rPr>
        <w:t>Ecological Econ.</w:t>
      </w:r>
      <w:r>
        <w:t xml:space="preserve"> 1657, 1660 (2010) (noting that DICE’s “leisurely” damage function implies that “less than half of world output” is destroyed until temperature rises to 19</w:t>
      </w:r>
      <w:r>
        <w:rPr>
          <w:rFonts w:cs="Times New Roman"/>
        </w:rPr>
        <w:t>°</w:t>
      </w:r>
      <w:r>
        <w:t>C) .</w:t>
      </w:r>
    </w:p>
  </w:footnote>
  <w:footnote w:id="173">
    <w:p w14:paraId="4505843B" w14:textId="364B8963" w:rsidR="006152E8" w:rsidRDefault="006152E8" w:rsidP="00C237DA">
      <w:pPr>
        <w:pStyle w:val="Textpoznpodarou"/>
        <w:jc w:val="both"/>
      </w:pPr>
      <w:r>
        <w:tab/>
      </w:r>
      <w:r>
        <w:rPr>
          <w:rStyle w:val="Znakapoznpodarou"/>
        </w:rPr>
        <w:footnoteRef/>
      </w:r>
      <w:r>
        <w:tab/>
        <w:t xml:space="preserve">Frank Ackerman, </w:t>
      </w:r>
      <w:r>
        <w:rPr>
          <w:i/>
        </w:rPr>
        <w:t>et al.</w:t>
      </w:r>
      <w:r>
        <w:t xml:space="preserve">, </w:t>
      </w:r>
      <w:r>
        <w:rPr>
          <w:i/>
        </w:rPr>
        <w:t xml:space="preserve">Did the Stern Review Underestimate U.S. and Global Climate Damages?, </w:t>
      </w:r>
      <w:r>
        <w:t xml:space="preserve">37 </w:t>
      </w:r>
      <w:r>
        <w:rPr>
          <w:smallCaps/>
        </w:rPr>
        <w:t>Energy Pol’y 2717, 2719 (2009) (</w:t>
      </w:r>
      <w:r>
        <w:rPr>
          <w:rFonts w:cs="Times New Roman"/>
        </w:rPr>
        <w:t>explaining that PAGE2002 assumes “nearly costless adaptation”)</w:t>
      </w:r>
      <w:r>
        <w:rPr>
          <w:smallCaps/>
        </w:rPr>
        <w:t>.</w:t>
      </w:r>
      <w:r>
        <w:t xml:space="preserve">  </w:t>
      </w:r>
    </w:p>
  </w:footnote>
  <w:footnote w:id="174">
    <w:p w14:paraId="7FAEAB30" w14:textId="77777777" w:rsidR="006152E8" w:rsidRDefault="006152E8" w:rsidP="00C237DA">
      <w:pPr>
        <w:pStyle w:val="Textpoznpodarou"/>
        <w:jc w:val="both"/>
      </w:pPr>
      <w:r>
        <w:tab/>
      </w:r>
      <w:r>
        <w:rPr>
          <w:rStyle w:val="Znakapoznpodarou"/>
        </w:rPr>
        <w:footnoteRef/>
      </w:r>
      <w:r>
        <w:tab/>
      </w:r>
      <w:r>
        <w:rPr>
          <w:i/>
        </w:rPr>
        <w:t xml:space="preserve">See </w:t>
      </w:r>
      <w:r>
        <w:t xml:space="preserve">Farber, </w:t>
      </w:r>
      <w:r>
        <w:rPr>
          <w:i/>
        </w:rPr>
        <w:t>supra</w:t>
      </w:r>
      <w:r>
        <w:t xml:space="preserve"> note </w:t>
      </w:r>
      <w:r>
        <w:fldChar w:fldCharType="begin"/>
      </w:r>
      <w:r>
        <w:instrText xml:space="preserve"> NOTEREF _Ref204822993 \h </w:instrText>
      </w:r>
      <w:r>
        <w:fldChar w:fldCharType="separate"/>
      </w:r>
      <w:r>
        <w:t>66</w:t>
      </w:r>
      <w:r>
        <w:fldChar w:fldCharType="end"/>
      </w:r>
      <w:r>
        <w:t xml:space="preserve">, at 1390 (pointing out that the history of federal flood control does not generate optimism about our capacity to optimally adapt to climate disruption). </w:t>
      </w:r>
    </w:p>
  </w:footnote>
  <w:footnote w:id="175">
    <w:p w14:paraId="6AEA55E2" w14:textId="2FE69783" w:rsidR="006152E8" w:rsidRDefault="006152E8" w:rsidP="00B506B0">
      <w:pPr>
        <w:pStyle w:val="Textpoznpodarou"/>
        <w:jc w:val="both"/>
      </w:pPr>
      <w:r>
        <w:tab/>
      </w:r>
      <w:r>
        <w:rPr>
          <w:rStyle w:val="Znakapoznpodarou"/>
        </w:rPr>
        <w:footnoteRef/>
      </w:r>
      <w:r>
        <w:tab/>
      </w:r>
      <w:r>
        <w:rPr>
          <w:i/>
        </w:rPr>
        <w:t>See</w:t>
      </w:r>
      <w:r>
        <w:t xml:space="preserve"> Chris Hope, </w:t>
      </w:r>
      <w:r>
        <w:rPr>
          <w:i/>
        </w:rPr>
        <w:t xml:space="preserve">The Social Cost of CO2 from the Page09 Model </w:t>
      </w:r>
      <w:r>
        <w:t>8-9</w:t>
      </w:r>
      <w:r>
        <w:rPr>
          <w:i/>
        </w:rPr>
        <w:t xml:space="preserve"> </w:t>
      </w:r>
      <w:r>
        <w:t>(2012),</w:t>
      </w:r>
      <w:r>
        <w:rPr>
          <w:i/>
        </w:rPr>
        <w:t xml:space="preserve"> available at </w:t>
      </w:r>
      <w:r>
        <w:t>http://www.economics-ejournal.org/economics/discussionpapers/2011-39 (presenting new assumptions and noting that they respond to Ackerman’s criticism of the earlier version’s overoptimism about adaptation)</w:t>
      </w:r>
    </w:p>
  </w:footnote>
  <w:footnote w:id="176">
    <w:p w14:paraId="3AEDAC46" w14:textId="54BC7719" w:rsidR="006152E8" w:rsidRDefault="006152E8" w:rsidP="007768D9">
      <w:pPr>
        <w:pStyle w:val="Textpoznpodarou"/>
        <w:ind w:firstLine="360"/>
        <w:jc w:val="both"/>
      </w:pPr>
      <w:r>
        <w:rPr>
          <w:rStyle w:val="Znakapoznpodarou"/>
        </w:rPr>
        <w:footnoteRef/>
      </w:r>
      <w:r>
        <w:tab/>
        <w:t xml:space="preserve">F. Ackerman &amp; C. Munitz, </w:t>
      </w:r>
      <w:r>
        <w:rPr>
          <w:i/>
        </w:rPr>
        <w:t>Climate Damages in the FUND Model: A Disaggregated Analysis</w:t>
      </w:r>
      <w:r>
        <w:t xml:space="preserve">, 77 </w:t>
      </w:r>
      <w:r>
        <w:rPr>
          <w:rFonts w:cs="Times New Roman"/>
          <w:smallCaps/>
        </w:rPr>
        <w:t>Ecological Econ</w:t>
      </w:r>
      <w:r>
        <w:t>. 219-224 (2012).</w:t>
      </w:r>
      <w:r>
        <w:rPr>
          <w:i/>
        </w:rPr>
        <w:t xml:space="preserve"> </w:t>
      </w:r>
      <w:r>
        <w:t xml:space="preserve"> </w:t>
      </w:r>
    </w:p>
  </w:footnote>
  <w:footnote w:id="177">
    <w:p w14:paraId="4AF6C5EE" w14:textId="77777777" w:rsidR="006152E8" w:rsidRDefault="006152E8" w:rsidP="00B506B0">
      <w:pPr>
        <w:pStyle w:val="Textpoznpodarou"/>
        <w:ind w:firstLine="360"/>
      </w:pPr>
      <w:r>
        <w:rPr>
          <w:rStyle w:val="Znakapoznpodarou"/>
        </w:rPr>
        <w:footnoteRef/>
      </w:r>
      <w:r>
        <w:t xml:space="preserve"> </w:t>
      </w:r>
      <w:r>
        <w:rPr>
          <w:i/>
        </w:rPr>
        <w:t>See</w:t>
      </w:r>
      <w:r>
        <w:t xml:space="preserve"> id.</w:t>
      </w:r>
    </w:p>
  </w:footnote>
  <w:footnote w:id="178">
    <w:p w14:paraId="781426C1" w14:textId="3A1FBDB6" w:rsidR="006152E8" w:rsidRPr="002742D5" w:rsidRDefault="006152E8" w:rsidP="00B506B0">
      <w:pPr>
        <w:pStyle w:val="Textpoznpodarou"/>
        <w:ind w:firstLine="360"/>
      </w:pPr>
      <w:r>
        <w:rPr>
          <w:rStyle w:val="Znakapoznpodarou"/>
        </w:rPr>
        <w:footnoteRef/>
      </w:r>
      <w:r>
        <w:t xml:space="preserve"> </w:t>
      </w:r>
      <w:r w:rsidRPr="002742D5">
        <w:t xml:space="preserve">IWG, </w:t>
      </w:r>
      <w:r w:rsidRPr="002742D5">
        <w:rPr>
          <w:i/>
        </w:rPr>
        <w:t>supra</w:t>
      </w:r>
      <w:r w:rsidRPr="002742D5">
        <w:t xml:space="preserve"> note</w:t>
      </w:r>
      <w:r>
        <w:t xml:space="preserve"> </w:t>
      </w:r>
      <w:r>
        <w:rPr>
          <w:highlight w:val="yellow"/>
        </w:rPr>
        <w:fldChar w:fldCharType="begin"/>
      </w:r>
      <w:r>
        <w:instrText xml:space="preserve"> NOTEREF _Ref333400102 \h </w:instrText>
      </w:r>
      <w:r>
        <w:rPr>
          <w:highlight w:val="yellow"/>
        </w:rPr>
      </w:r>
      <w:r>
        <w:rPr>
          <w:highlight w:val="yellow"/>
        </w:rPr>
        <w:fldChar w:fldCharType="separate"/>
      </w:r>
      <w:r>
        <w:t>8</w:t>
      </w:r>
      <w:r>
        <w:rPr>
          <w:highlight w:val="yellow"/>
        </w:rPr>
        <w:fldChar w:fldCharType="end"/>
      </w:r>
      <w:r>
        <w:t>, at 9 (showing this result graphically with a green line).</w:t>
      </w:r>
    </w:p>
  </w:footnote>
  <w:footnote w:id="179">
    <w:p w14:paraId="381FBE83" w14:textId="5EE050C5" w:rsidR="006152E8" w:rsidRDefault="006152E8" w:rsidP="00DC0869">
      <w:pPr>
        <w:pStyle w:val="Textpoznpodarou"/>
        <w:ind w:firstLine="360"/>
        <w:jc w:val="both"/>
      </w:pPr>
      <w:r>
        <w:rPr>
          <w:rStyle w:val="Znakapoznpodarou"/>
        </w:rPr>
        <w:footnoteRef/>
      </w:r>
      <w:r>
        <w:t xml:space="preserve"> F. Ackerman &amp; E.A. Stanton, </w:t>
      </w:r>
      <w:r>
        <w:rPr>
          <w:i/>
        </w:rPr>
        <w:t>Climate Economics: The State of the Art</w:t>
      </w:r>
      <w:r>
        <w:t xml:space="preserve"> (Stockholm Environment Institute, 2011).</w:t>
      </w:r>
    </w:p>
  </w:footnote>
  <w:footnote w:id="180">
    <w:p w14:paraId="34DC7FEE" w14:textId="0E644B36" w:rsidR="006152E8" w:rsidRDefault="006152E8" w:rsidP="00DC0869">
      <w:pPr>
        <w:pStyle w:val="Textpoznpodarou"/>
        <w:jc w:val="both"/>
        <w:rPr>
          <w:smallCaps/>
        </w:rPr>
      </w:pPr>
      <w:r>
        <w:tab/>
      </w:r>
      <w:r>
        <w:rPr>
          <w:rStyle w:val="Znakapoznpodarou"/>
        </w:rPr>
        <w:footnoteRef/>
      </w:r>
      <w:r>
        <w:t xml:space="preserve"> </w:t>
      </w:r>
      <w:r>
        <w:tab/>
        <w:t xml:space="preserve">Martin Weitzman, </w:t>
      </w:r>
      <w:r>
        <w:rPr>
          <w:i/>
        </w:rPr>
        <w:t xml:space="preserve">On Modeling the Economics of Catastrophic Climate Change, </w:t>
      </w:r>
      <w:r>
        <w:rPr>
          <w:smallCaps/>
        </w:rPr>
        <w:t>91 Rev. of Econ. &amp; Stat. 1, 10 (2009).</w:t>
      </w:r>
    </w:p>
  </w:footnote>
  <w:footnote w:id="181">
    <w:p w14:paraId="41AC02DE" w14:textId="1C1C8A64" w:rsidR="006152E8" w:rsidRDefault="006152E8" w:rsidP="00DC0869">
      <w:pPr>
        <w:pStyle w:val="Textpoznpodarou"/>
        <w:jc w:val="both"/>
      </w:pPr>
      <w:r>
        <w:tab/>
      </w:r>
      <w:r>
        <w:rPr>
          <w:rStyle w:val="Znakapoznpodarou"/>
        </w:rPr>
        <w:footnoteRef/>
      </w:r>
      <w:r>
        <w:tab/>
      </w:r>
      <w:r>
        <w:rPr>
          <w:i/>
        </w:rPr>
        <w:t>See</w:t>
      </w:r>
      <w:r>
        <w:t xml:space="preserve"> id. at 12 (linking his dismal theorem to “a very strong form of a ‘generalized precautionary principle’” for climate disruption and other cases with fat tails). </w:t>
      </w:r>
    </w:p>
  </w:footnote>
  <w:footnote w:id="182">
    <w:p w14:paraId="0A24AD39" w14:textId="77777777" w:rsidR="006152E8" w:rsidRDefault="006152E8" w:rsidP="00DC0869">
      <w:pPr>
        <w:pStyle w:val="Textpoznpodarou"/>
        <w:jc w:val="both"/>
        <w:rPr>
          <w:smallCaps/>
        </w:rPr>
      </w:pPr>
      <w:r>
        <w:tab/>
      </w:r>
      <w:r>
        <w:rPr>
          <w:rStyle w:val="Znakapoznpodarou"/>
        </w:rPr>
        <w:footnoteRef/>
      </w:r>
      <w:r>
        <w:t xml:space="preserve"> </w:t>
      </w:r>
      <w:r>
        <w:tab/>
      </w:r>
      <w:r>
        <w:rPr>
          <w:smallCaps/>
        </w:rPr>
        <w:t>Nicholas Stern, The Economics of Climate Change:  The Stern Review 149-151 (2007)</w:t>
      </w:r>
    </w:p>
  </w:footnote>
  <w:footnote w:id="183">
    <w:p w14:paraId="79E71C92" w14:textId="69D08B40" w:rsidR="006152E8" w:rsidRDefault="006152E8" w:rsidP="00DC0869">
      <w:pPr>
        <w:pStyle w:val="Textpoznpodarou"/>
        <w:jc w:val="both"/>
      </w:pPr>
      <w:r>
        <w:tab/>
      </w:r>
      <w:r>
        <w:rPr>
          <w:rStyle w:val="Znakapoznpodarou"/>
        </w:rPr>
        <w:footnoteRef/>
      </w:r>
      <w:r>
        <w:tab/>
      </w:r>
      <w:r>
        <w:rPr>
          <w:i/>
        </w:rPr>
        <w:t>See</w:t>
      </w:r>
      <w:r>
        <w:t xml:space="preserve"> Wayne Hsiung &amp; Cass R. Sunstein, </w:t>
      </w:r>
      <w:r>
        <w:rPr>
          <w:i/>
        </w:rPr>
        <w:t xml:space="preserve">Climate Change and Animals, </w:t>
      </w:r>
      <w:r>
        <w:t xml:space="preserve">155 </w:t>
      </w:r>
      <w:r>
        <w:rPr>
          <w:rFonts w:cs="Times New Roman"/>
          <w:smallCaps/>
        </w:rPr>
        <w:t>U. Pa. L. Rev. 1695, 1697 (2007) (</w:t>
      </w:r>
      <w:r>
        <w:rPr>
          <w:rFonts w:cs="Times New Roman"/>
        </w:rPr>
        <w:t xml:space="preserve">noting that Stern makes “little effort” to monetize species loss); </w:t>
      </w:r>
      <w:r>
        <w:rPr>
          <w:rFonts w:cs="Times New Roman"/>
          <w:i/>
        </w:rPr>
        <w:t>see generally</w:t>
      </w:r>
      <w:r>
        <w:rPr>
          <w:rFonts w:cs="Times New Roman"/>
        </w:rPr>
        <w:t xml:space="preserve"> </w:t>
      </w:r>
      <w:r w:rsidRPr="000B2FCE">
        <w:rPr>
          <w:smallCaps/>
        </w:rPr>
        <w:t>William D. Nordhaus &amp; Joseph Boyer, Warming the World: Economic Models of Global Warming</w:t>
      </w:r>
      <w:r w:rsidRPr="000B2FCE">
        <w:t xml:space="preserve"> </w:t>
      </w:r>
      <w:r>
        <w:t xml:space="preserve">4-20 (1999) </w:t>
      </w:r>
      <w:r w:rsidRPr="000B2FCE">
        <w:t>(</w:t>
      </w:r>
      <w:r>
        <w:t xml:space="preserve">discussing the difficulties of </w:t>
      </w:r>
      <w:r w:rsidRPr="000B2FCE">
        <w:t>economically quantify</w:t>
      </w:r>
      <w:r>
        <w:t>ing</w:t>
      </w:r>
      <w:r w:rsidRPr="000B2FCE">
        <w:t xml:space="preserve"> species loss</w:t>
      </w:r>
      <w:r>
        <w:t xml:space="preserve"> and characterizing existing economic valuations as “wild”</w:t>
      </w:r>
      <w:r w:rsidRPr="000B2FCE">
        <w:t>);</w:t>
      </w:r>
      <w:r>
        <w:t xml:space="preserve"> </w:t>
      </w:r>
      <w:r>
        <w:rPr>
          <w:i/>
        </w:rPr>
        <w:t xml:space="preserve">cf. </w:t>
      </w:r>
      <w:r>
        <w:t xml:space="preserve">Hsiung &amp; Sunstein, </w:t>
      </w:r>
      <w:r>
        <w:rPr>
          <w:i/>
        </w:rPr>
        <w:t>supra</w:t>
      </w:r>
      <w:r>
        <w:t xml:space="preserve">, at 1708, 1734 (estimating a value); </w:t>
      </w:r>
      <w:r w:rsidRPr="000401E8">
        <w:t xml:space="preserve">Jason Scott Johnson, </w:t>
      </w:r>
      <w:r w:rsidRPr="000401E8">
        <w:rPr>
          <w:i/>
        </w:rPr>
        <w:t>Desperately Seeking Numbers: Global Warming, Species Loss, and the Use and Abuse of Quantification in Climate Change Policy Analysis</w:t>
      </w:r>
      <w:r w:rsidRPr="000401E8">
        <w:t>, 155 U</w:t>
      </w:r>
      <w:r>
        <w:rPr>
          <w:smallCaps/>
        </w:rPr>
        <w:t xml:space="preserve">. Pa. L. Rev. 1901 </w:t>
      </w:r>
      <w:r w:rsidRPr="000401E8">
        <w:t>(2007)</w:t>
      </w:r>
      <w:r>
        <w:t xml:space="preserve"> (showing that Hsiung &amp; Sunstein’s analysis is not credible)</w:t>
      </w:r>
      <w:r w:rsidRPr="000401E8">
        <w:t xml:space="preserve">.  </w:t>
      </w:r>
      <w:r w:rsidRPr="000B2FCE">
        <w:t xml:space="preserve"> </w:t>
      </w:r>
      <w:r>
        <w:rPr>
          <w:rFonts w:cs="Times New Roman"/>
        </w:rPr>
        <w:t xml:space="preserve"> </w:t>
      </w:r>
      <w:r>
        <w:t xml:space="preserve"> </w:t>
      </w:r>
    </w:p>
  </w:footnote>
  <w:footnote w:id="184">
    <w:p w14:paraId="6DE4994E" w14:textId="4C84CF34" w:rsidR="006152E8" w:rsidRDefault="006152E8">
      <w:pPr>
        <w:pStyle w:val="Textpoznpodarou"/>
      </w:pPr>
      <w:r>
        <w:tab/>
      </w:r>
      <w:r>
        <w:rPr>
          <w:rStyle w:val="Znakapoznpodarou"/>
        </w:rPr>
        <w:footnoteRef/>
      </w:r>
      <w:r>
        <w:tab/>
      </w:r>
      <w:r>
        <w:rPr>
          <w:smallCaps/>
        </w:rPr>
        <w:t>Far: Impacts</w:t>
      </w:r>
      <w:r>
        <w:t xml:space="preserve">, </w:t>
      </w:r>
      <w:r>
        <w:rPr>
          <w:i/>
        </w:rPr>
        <w:t xml:space="preserve">supra </w:t>
      </w:r>
      <w:r>
        <w:t xml:space="preserve">note </w:t>
      </w:r>
      <w:r>
        <w:fldChar w:fldCharType="begin"/>
      </w:r>
      <w:r>
        <w:instrText xml:space="preserve"> NOTEREF _Ref334771984 \h </w:instrText>
      </w:r>
      <w:r>
        <w:fldChar w:fldCharType="separate"/>
      </w:r>
      <w:r>
        <w:t>18</w:t>
      </w:r>
      <w:r>
        <w:fldChar w:fldCharType="end"/>
      </w:r>
      <w:r>
        <w:t xml:space="preserve">, at 792 (expressing “high confidence that climate change will result in the extinction of many species ”). </w:t>
      </w:r>
    </w:p>
  </w:footnote>
  <w:footnote w:id="185">
    <w:p w14:paraId="5AA4316B" w14:textId="20610A18" w:rsidR="006152E8" w:rsidRDefault="006152E8" w:rsidP="002573FC">
      <w:pPr>
        <w:pStyle w:val="Textpoznpodarou"/>
        <w:jc w:val="both"/>
      </w:pPr>
      <w:r>
        <w:tab/>
      </w:r>
      <w:r>
        <w:rPr>
          <w:rStyle w:val="Znakapoznpodarou"/>
        </w:rPr>
        <w:footnoteRef/>
      </w:r>
      <w:r>
        <w:tab/>
      </w:r>
      <w:r>
        <w:rPr>
          <w:i/>
        </w:rPr>
        <w:t>See</w:t>
      </w:r>
      <w:r>
        <w:t xml:space="preserve"> EPA Guidelines, </w:t>
      </w:r>
      <w:r>
        <w:rPr>
          <w:i/>
        </w:rPr>
        <w:t>supra</w:t>
      </w:r>
      <w:r>
        <w:t xml:space="preserve"> note </w:t>
      </w:r>
      <w:r>
        <w:fldChar w:fldCharType="begin"/>
      </w:r>
      <w:r>
        <w:instrText xml:space="preserve"> NOTEREF _Ref209086725 \h </w:instrText>
      </w:r>
      <w:r>
        <w:fldChar w:fldCharType="separate"/>
      </w:r>
      <w:r>
        <w:t>32</w:t>
      </w:r>
      <w:r>
        <w:fldChar w:fldCharType="end"/>
      </w:r>
      <w:r>
        <w:t xml:space="preserve">, at 6-20 (stating that costs and benefits should be “discounted in the same manner”). </w:t>
      </w:r>
    </w:p>
  </w:footnote>
  <w:footnote w:id="186">
    <w:p w14:paraId="3C161C6E" w14:textId="14BAFC22" w:rsidR="006152E8" w:rsidRDefault="006152E8" w:rsidP="00B506B0">
      <w:pPr>
        <w:pStyle w:val="Textpoznpodarou"/>
        <w:tabs>
          <w:tab w:val="left" w:pos="360"/>
        </w:tabs>
        <w:jc w:val="both"/>
      </w:pPr>
      <w:r>
        <w:tab/>
      </w:r>
      <w:r>
        <w:rPr>
          <w:rStyle w:val="Znakapoznpodarou"/>
        </w:rPr>
        <w:footnoteRef/>
      </w:r>
      <w:r>
        <w:tab/>
      </w:r>
      <w:r>
        <w:rPr>
          <w:i/>
        </w:rPr>
        <w:t xml:space="preserve">See </w:t>
      </w:r>
      <w:r>
        <w:t xml:space="preserve">Daniel H. Cole, </w:t>
      </w:r>
      <w:r>
        <w:rPr>
          <w:i/>
        </w:rPr>
        <w:t xml:space="preserve">The Stern Review and Its Critics:  Implications for the Theory and Practice of Cost-Benefit Analysis, </w:t>
      </w:r>
      <w:r>
        <w:t xml:space="preserve">48 </w:t>
      </w:r>
      <w:r>
        <w:rPr>
          <w:smallCaps/>
        </w:rPr>
        <w:t>Nat. Res. J. 53, 81-82 (2008) (</w:t>
      </w:r>
      <w:r>
        <w:t xml:space="preserve">explaining that policy judgment is unavoidable in discount rate selection); </w:t>
      </w:r>
      <w:r>
        <w:rPr>
          <w:rFonts w:cs="Times New Roman"/>
          <w:smallCaps/>
        </w:rPr>
        <w:t>Discounting and Intergenerational Equity 4-5 (</w:t>
      </w:r>
      <w:r>
        <w:rPr>
          <w:rFonts w:cs="Times New Roman"/>
        </w:rPr>
        <w:t>Paul R. Portney &amp; John P. Weyant eds. 1999) (reporting “unease” among economists about discounting because of discounting’s “ethical ramifications” and technical complexity).</w:t>
      </w:r>
    </w:p>
  </w:footnote>
  <w:footnote w:id="187">
    <w:p w14:paraId="374D6EB2" w14:textId="7EC48442" w:rsidR="006152E8" w:rsidRDefault="006152E8" w:rsidP="00B506B0">
      <w:pPr>
        <w:pStyle w:val="Textpoznpodarou"/>
        <w:jc w:val="both"/>
      </w:pPr>
      <w:r>
        <w:tab/>
      </w:r>
      <w:r>
        <w:rPr>
          <w:rStyle w:val="Znakapoznpodarou"/>
        </w:rPr>
        <w:footnoteRef/>
      </w:r>
      <w:r>
        <w:tab/>
      </w:r>
      <w:r>
        <w:rPr>
          <w:i/>
        </w:rPr>
        <w:t xml:space="preserve">See </w:t>
      </w:r>
      <w:r>
        <w:t xml:space="preserve">Farber, supra note </w:t>
      </w:r>
      <w:r>
        <w:fldChar w:fldCharType="begin"/>
      </w:r>
      <w:r>
        <w:instrText xml:space="preserve"> NOTEREF _Ref204822993 \h </w:instrText>
      </w:r>
      <w:r>
        <w:fldChar w:fldCharType="separate"/>
      </w:r>
      <w:r>
        <w:t>66</w:t>
      </w:r>
      <w:r>
        <w:fldChar w:fldCharType="end"/>
      </w:r>
      <w:r>
        <w:t xml:space="preserve">, at 1390 (pointing out that scholars have questioned discounting’s legitimacy and that no professional consensus exists about appropriate discount rates); </w:t>
      </w:r>
      <w:r>
        <w:rPr>
          <w:i/>
        </w:rPr>
        <w:t xml:space="preserve">see, e.g., </w:t>
      </w:r>
      <w:r>
        <w:t xml:space="preserve">Kysar, </w:t>
      </w:r>
      <w:r>
        <w:rPr>
          <w:i/>
        </w:rPr>
        <w:t>supra</w:t>
      </w:r>
      <w:r>
        <w:t xml:space="preserve"> note </w:t>
      </w:r>
      <w:r>
        <w:fldChar w:fldCharType="begin"/>
      </w:r>
      <w:r>
        <w:instrText xml:space="preserve"> NOTEREF _Ref325619035 \h </w:instrText>
      </w:r>
      <w:r>
        <w:fldChar w:fldCharType="separate"/>
      </w:r>
      <w:r>
        <w:t>14</w:t>
      </w:r>
      <w:r>
        <w:fldChar w:fldCharType="end"/>
      </w:r>
      <w:r>
        <w:t xml:space="preserve">, at 578-81 (questioning the moral basis for intergenerational discounting); Lisa Heinzerling, </w:t>
      </w:r>
      <w:r>
        <w:rPr>
          <w:i/>
        </w:rPr>
        <w:t xml:space="preserve">The Temporal Dimension in Environmental Law, </w:t>
      </w:r>
      <w:r>
        <w:t xml:space="preserve">31 </w:t>
      </w:r>
      <w:r>
        <w:rPr>
          <w:smallCaps/>
        </w:rPr>
        <w:t>Envt’l L. Rep. (</w:t>
      </w:r>
      <w:r>
        <w:t xml:space="preserve">Envtl. L. Inst.) 11055 (2001); Richard L. Revesz, </w:t>
      </w:r>
      <w:r>
        <w:rPr>
          <w:i/>
        </w:rPr>
        <w:t xml:space="preserve">Environmental Regulation, Cost-Benefit Analysis and the Discounting of Human Lives, </w:t>
      </w:r>
      <w:r>
        <w:t xml:space="preserve">99 </w:t>
      </w:r>
      <w:r>
        <w:rPr>
          <w:smallCaps/>
        </w:rPr>
        <w:t xml:space="preserve">Colum. L. Rev. </w:t>
      </w:r>
      <w:r>
        <w:t xml:space="preserve">941 (1999); Lisa Heinzerling, </w:t>
      </w:r>
      <w:r>
        <w:rPr>
          <w:i/>
        </w:rPr>
        <w:t xml:space="preserve">Discounting Life, </w:t>
      </w:r>
      <w:r>
        <w:t xml:space="preserve">108 </w:t>
      </w:r>
      <w:r>
        <w:rPr>
          <w:smallCaps/>
        </w:rPr>
        <w:t>Yale L. J. 1911 (1999) (</w:t>
      </w:r>
      <w:r>
        <w:rPr>
          <w:rFonts w:cs="Times New Roman"/>
        </w:rPr>
        <w:t>questioning the notion that future lives have less value than present lives</w:t>
      </w:r>
      <w:r>
        <w:t xml:space="preserve">); </w:t>
      </w:r>
      <w:r>
        <w:rPr>
          <w:i/>
        </w:rPr>
        <w:t>see also</w:t>
      </w:r>
      <w:r>
        <w:t xml:space="preserve"> Geistfeld, </w:t>
      </w:r>
      <w:r>
        <w:rPr>
          <w:i/>
        </w:rPr>
        <w:t xml:space="preserve">supra </w:t>
      </w:r>
      <w:r>
        <w:t xml:space="preserve">note </w:t>
      </w:r>
      <w:r>
        <w:fldChar w:fldCharType="begin"/>
      </w:r>
      <w:r>
        <w:instrText xml:space="preserve"> NOTEREF _Ref198100890 \h </w:instrText>
      </w:r>
      <w:r>
        <w:fldChar w:fldCharType="separate"/>
      </w:r>
      <w:r>
        <w:t>31</w:t>
      </w:r>
      <w:r>
        <w:fldChar w:fldCharType="end"/>
      </w:r>
      <w:r>
        <w:t xml:space="preserve">, at 11328 n. 18 (finding no persuasive economic or ethical justification for intergenerational discounting). </w:t>
      </w:r>
    </w:p>
  </w:footnote>
  <w:footnote w:id="188">
    <w:p w14:paraId="2015EC59" w14:textId="49DAA406" w:rsidR="006152E8" w:rsidRPr="00E321AA" w:rsidRDefault="006152E8" w:rsidP="002573FC">
      <w:pPr>
        <w:pStyle w:val="Textpoznpodarou"/>
        <w:jc w:val="both"/>
      </w:pPr>
      <w:r>
        <w:tab/>
      </w:r>
      <w:r>
        <w:rPr>
          <w:rStyle w:val="Znakapoznpodarou"/>
        </w:rPr>
        <w:footnoteRef/>
      </w:r>
      <w:r>
        <w:t xml:space="preserve"> </w:t>
      </w:r>
      <w:r>
        <w:tab/>
      </w:r>
      <w:r>
        <w:rPr>
          <w:i/>
        </w:rPr>
        <w:t>See</w:t>
      </w:r>
      <w:r>
        <w:t xml:space="preserve"> EPA Guidelines, </w:t>
      </w:r>
      <w:r>
        <w:rPr>
          <w:i/>
        </w:rPr>
        <w:t>supra</w:t>
      </w:r>
      <w:r>
        <w:t xml:space="preserve"> note </w:t>
      </w:r>
      <w:r>
        <w:fldChar w:fldCharType="begin"/>
      </w:r>
      <w:r>
        <w:instrText xml:space="preserve"> NOTEREF _Ref209086725 \h </w:instrText>
      </w:r>
      <w:r>
        <w:fldChar w:fldCharType="separate"/>
      </w:r>
      <w:r>
        <w:t>32</w:t>
      </w:r>
      <w:r>
        <w:fldChar w:fldCharType="end"/>
      </w:r>
      <w:r>
        <w:t>, at 6-18 (explaining that Stern’s discount rate reflects a view that the “current generation has an ethical obligation to place similar weights on the pure rate of time preference for future generations.”).</w:t>
      </w:r>
    </w:p>
  </w:footnote>
  <w:footnote w:id="189">
    <w:p w14:paraId="4A7EC9CA" w14:textId="7F12EE1C" w:rsidR="006152E8" w:rsidRDefault="006152E8" w:rsidP="002573FC">
      <w:pPr>
        <w:pStyle w:val="Textpoznpodarou"/>
        <w:jc w:val="both"/>
      </w:pPr>
      <w:r>
        <w:tab/>
      </w:r>
      <w:r>
        <w:rPr>
          <w:rStyle w:val="Znakapoznpodarou"/>
        </w:rPr>
        <w:footnoteRef/>
      </w:r>
      <w:r>
        <w:tab/>
      </w:r>
      <w:r>
        <w:rPr>
          <w:i/>
        </w:rPr>
        <w:t>See</w:t>
      </w:r>
      <w:r>
        <w:t xml:space="preserve"> id. at 6-12 (stating that the “fundamental choice of what moral perspective should guide intergenerational social discounting . . . cannot be made on economic grounds alone”).</w:t>
      </w:r>
    </w:p>
  </w:footnote>
  <w:footnote w:id="190">
    <w:p w14:paraId="309C6820" w14:textId="77777777" w:rsidR="006152E8" w:rsidRDefault="006152E8" w:rsidP="00B506B0">
      <w:pPr>
        <w:pStyle w:val="Textpoznpodarou"/>
        <w:rPr>
          <w:rFonts w:cs="Times New Roman"/>
        </w:rPr>
      </w:pPr>
      <w:r>
        <w:tab/>
      </w:r>
      <w:r>
        <w:rPr>
          <w:rStyle w:val="Znakapoznpodarou"/>
        </w:rPr>
        <w:footnoteRef/>
      </w:r>
      <w:r>
        <w:t xml:space="preserve"> </w:t>
      </w:r>
      <w:r>
        <w:tab/>
      </w:r>
      <w:r>
        <w:rPr>
          <w:i/>
        </w:rPr>
        <w:t>See</w:t>
      </w:r>
      <w:r>
        <w:t xml:space="preserve"> de Sadeleer, </w:t>
      </w:r>
      <w:r>
        <w:rPr>
          <w:i/>
        </w:rPr>
        <w:t>supra</w:t>
      </w:r>
      <w:r>
        <w:t xml:space="preserve"> note </w:t>
      </w:r>
      <w:r>
        <w:fldChar w:fldCharType="begin"/>
      </w:r>
      <w:r>
        <w:instrText xml:space="preserve"> NOTEREF _Ref325372704 \h </w:instrText>
      </w:r>
      <w:r>
        <w:fldChar w:fldCharType="separate"/>
      </w:r>
      <w:r>
        <w:t>150</w:t>
      </w:r>
      <w:r>
        <w:fldChar w:fldCharType="end"/>
      </w:r>
      <w:r>
        <w:rPr>
          <w:rFonts w:cs="Times New Roman"/>
          <w:smallCaps/>
        </w:rPr>
        <w:t xml:space="preserve">, </w:t>
      </w:r>
      <w:r>
        <w:rPr>
          <w:rFonts w:cs="Times New Roman"/>
        </w:rPr>
        <w:t>at</w:t>
      </w:r>
      <w:r>
        <w:rPr>
          <w:rFonts w:cs="Times New Roman"/>
          <w:smallCaps/>
        </w:rPr>
        <w:t xml:space="preserve"> 139 (</w:t>
      </w:r>
      <w:r>
        <w:rPr>
          <w:rFonts w:cs="Times New Roman"/>
        </w:rPr>
        <w:t>describing the precautionary principle as a “philosophy of anticipated action”).</w:t>
      </w:r>
    </w:p>
  </w:footnote>
  <w:footnote w:id="191">
    <w:p w14:paraId="7B5355B5" w14:textId="77777777" w:rsidR="006152E8" w:rsidRDefault="006152E8" w:rsidP="002573FC">
      <w:pPr>
        <w:pStyle w:val="Textpoznpodarou"/>
        <w:jc w:val="both"/>
        <w:rPr>
          <w:rFonts w:cs="Times New Roman"/>
        </w:rPr>
      </w:pPr>
      <w:r>
        <w:tab/>
      </w:r>
      <w:r>
        <w:rPr>
          <w:rStyle w:val="Znakapoznpodarou"/>
        </w:rPr>
        <w:footnoteRef/>
      </w:r>
      <w:r>
        <w:t xml:space="preserve"> </w:t>
      </w:r>
      <w:r>
        <w:tab/>
      </w:r>
      <w:r>
        <w:rPr>
          <w:i/>
        </w:rPr>
        <w:t xml:space="preserve">See </w:t>
      </w:r>
      <w:r>
        <w:t xml:space="preserve">Cass Sunstein, </w:t>
      </w:r>
      <w:r>
        <w:rPr>
          <w:i/>
        </w:rPr>
        <w:t xml:space="preserve">Irreversible and Catastrophic, </w:t>
      </w:r>
      <w:r>
        <w:t xml:space="preserve">91 </w:t>
      </w:r>
      <w:r>
        <w:rPr>
          <w:rFonts w:cs="Times New Roman"/>
          <w:smallCaps/>
        </w:rPr>
        <w:t>Cornell L. Rev. 841, 842 (2006) (</w:t>
      </w:r>
      <w:r>
        <w:rPr>
          <w:rFonts w:cs="Times New Roman"/>
        </w:rPr>
        <w:t>pointing out that since greenhouse gases remain in the atmosphere for “up to a century . . . global warming may be irreversible, at least for all practicable purposes”).</w:t>
      </w:r>
    </w:p>
  </w:footnote>
  <w:footnote w:id="192">
    <w:p w14:paraId="470C08E6" w14:textId="3687471C" w:rsidR="006152E8" w:rsidRDefault="006152E8" w:rsidP="00C237DA">
      <w:pPr>
        <w:pStyle w:val="Textpoznpodarou"/>
        <w:jc w:val="both"/>
      </w:pPr>
      <w:r>
        <w:tab/>
      </w:r>
      <w:r>
        <w:rPr>
          <w:rStyle w:val="Znakapoznpodarou"/>
        </w:rPr>
        <w:footnoteRef/>
      </w:r>
      <w:r>
        <w:tab/>
      </w:r>
      <w:r>
        <w:rPr>
          <w:i/>
        </w:rPr>
        <w:t>See</w:t>
      </w:r>
      <w:r>
        <w:t xml:space="preserve"> Christian Gollier, </w:t>
      </w:r>
      <w:r>
        <w:rPr>
          <w:i/>
        </w:rPr>
        <w:t xml:space="preserve">Debating about (sic) the Discount Rate:  The Basic Economic Ingredients, </w:t>
      </w:r>
      <w:r>
        <w:t xml:space="preserve">11 </w:t>
      </w:r>
      <w:r>
        <w:rPr>
          <w:rFonts w:cs="Times New Roman"/>
          <w:smallCaps/>
        </w:rPr>
        <w:t xml:space="preserve">Perspektiven der Wirtschaftspolitik 38, 38 (2010) </w:t>
      </w:r>
      <w:r>
        <w:rPr>
          <w:rFonts w:cs="Times New Roman"/>
        </w:rPr>
        <w:t>(pointing out that discounting at Nordhaus’ preferred rate of 5% suggests that none of the big projects reducing emissions are socially desirable, whilst discounting at Stern’s preferred rate of 1.4% suggests immediate actions to fight climate disruption).</w:t>
      </w:r>
      <w:r>
        <w:t xml:space="preserve"> </w:t>
      </w:r>
    </w:p>
  </w:footnote>
  <w:footnote w:id="193">
    <w:p w14:paraId="33BE3B0B" w14:textId="77777777" w:rsidR="006152E8" w:rsidRDefault="006152E8" w:rsidP="00C237DA">
      <w:pPr>
        <w:pStyle w:val="Textpoznpodarou"/>
        <w:jc w:val="both"/>
      </w:pPr>
      <w:r>
        <w:tab/>
      </w:r>
      <w:r>
        <w:rPr>
          <w:rStyle w:val="Znakapoznpodarou"/>
        </w:rPr>
        <w:footnoteRef/>
      </w:r>
      <w:r>
        <w:tab/>
      </w:r>
      <w:r>
        <w:rPr>
          <w:i/>
        </w:rPr>
        <w:t>See</w:t>
      </w:r>
      <w:r>
        <w:t xml:space="preserve"> Christian Gollier &amp; Martin L. Weitzman, </w:t>
      </w:r>
      <w:r>
        <w:rPr>
          <w:i/>
        </w:rPr>
        <w:t xml:space="preserve">How Should the Future be Discounted When Discount Rates are Uncertain, </w:t>
      </w:r>
      <w:r>
        <w:t xml:space="preserve">107 </w:t>
      </w:r>
      <w:r>
        <w:rPr>
          <w:rFonts w:cs="Times New Roman"/>
          <w:smallCaps/>
        </w:rPr>
        <w:t>Econ. Letters 350, 350 (2011) (</w:t>
      </w:r>
      <w:r>
        <w:rPr>
          <w:rFonts w:cs="Times New Roman"/>
        </w:rPr>
        <w:t>stating that small differences in discount rates can have an enormous influence on valuation of climate disruption’s cost).</w:t>
      </w:r>
      <w:r>
        <w:t xml:space="preserve"> </w:t>
      </w:r>
    </w:p>
  </w:footnote>
  <w:footnote w:id="194">
    <w:p w14:paraId="23EBE685" w14:textId="5412E73D" w:rsidR="006152E8" w:rsidRDefault="006152E8" w:rsidP="00B506B0">
      <w:pPr>
        <w:pStyle w:val="Textpoznpodarou"/>
        <w:jc w:val="both"/>
      </w:pPr>
      <w:r>
        <w:tab/>
      </w:r>
      <w:r>
        <w:rPr>
          <w:rStyle w:val="Znakapoznpodarou"/>
        </w:rPr>
        <w:footnoteRef/>
      </w:r>
      <w:r>
        <w:tab/>
      </w:r>
      <w:r>
        <w:rPr>
          <w:i/>
        </w:rPr>
        <w:t xml:space="preserve">See </w:t>
      </w:r>
      <w:r>
        <w:t xml:space="preserve">Ackerman &amp; Stanton, 2010 </w:t>
      </w:r>
      <w:r>
        <w:rPr>
          <w:i/>
        </w:rPr>
        <w:t xml:space="preserve">Social Costs, supra </w:t>
      </w:r>
      <w:r>
        <w:t xml:space="preserve">note </w:t>
      </w:r>
      <w:r>
        <w:fldChar w:fldCharType="begin"/>
      </w:r>
      <w:r>
        <w:instrText xml:space="preserve"> NOTEREF _Ref298330272 \h </w:instrText>
      </w:r>
      <w:r>
        <w:fldChar w:fldCharType="separate"/>
      </w:r>
      <w:r>
        <w:t>167</w:t>
      </w:r>
      <w:r>
        <w:fldChar w:fldCharType="end"/>
      </w:r>
      <w:r>
        <w:t xml:space="preserve">, at 11 (pointing out that with discounting “the farther into the future that costs take place, the less these costs are assumed to matter”); </w:t>
      </w:r>
      <w:r>
        <w:rPr>
          <w:i/>
        </w:rPr>
        <w:t>see, e.g.,</w:t>
      </w:r>
      <w:r>
        <w:t xml:space="preserve">; Amy Sinden, </w:t>
      </w:r>
      <w:r>
        <w:rPr>
          <w:i/>
        </w:rPr>
        <w:t xml:space="preserve">The Abandonment of Justice, in </w:t>
      </w:r>
      <w:r>
        <w:rPr>
          <w:smallCaps/>
        </w:rPr>
        <w:t xml:space="preserve">Economic Thought, </w:t>
      </w:r>
      <w:r>
        <w:rPr>
          <w:i/>
        </w:rPr>
        <w:t xml:space="preserve">supra </w:t>
      </w:r>
      <w:r>
        <w:t>note</w:t>
      </w:r>
      <w:r>
        <w:rPr>
          <w:i/>
        </w:rPr>
        <w:t xml:space="preserve"> </w:t>
      </w:r>
      <w:r>
        <w:fldChar w:fldCharType="begin"/>
      </w:r>
      <w:r>
        <w:instrText xml:space="preserve"> NOTEREF _Ref319657139 \h </w:instrText>
      </w:r>
      <w:r>
        <w:fldChar w:fldCharType="separate"/>
      </w:r>
      <w:r>
        <w:t>2</w:t>
      </w:r>
      <w:r>
        <w:fldChar w:fldCharType="end"/>
      </w:r>
      <w:r>
        <w:t xml:space="preserve">, at 120 (pointing out that application of a 5% discount rate to a dollar value for the death of a billion people 500 years from now produces a present value equivalent to the death of one person today); Kysar, </w:t>
      </w:r>
      <w:r>
        <w:rPr>
          <w:i/>
        </w:rPr>
        <w:t>supra</w:t>
      </w:r>
      <w:r>
        <w:t xml:space="preserve"> note </w:t>
      </w:r>
      <w:r>
        <w:fldChar w:fldCharType="begin"/>
      </w:r>
      <w:r>
        <w:instrText xml:space="preserve"> NOTEREF _Ref325619035 \h </w:instrText>
      </w:r>
      <w:r>
        <w:fldChar w:fldCharType="separate"/>
      </w:r>
      <w:r>
        <w:t>14</w:t>
      </w:r>
      <w:r>
        <w:fldChar w:fldCharType="end"/>
      </w:r>
      <w:r>
        <w:t>, at 578 (pointing out that one million lives discounted over 145 years at 10% is “worth” less than a single life today).</w:t>
      </w:r>
    </w:p>
  </w:footnote>
  <w:footnote w:id="195">
    <w:p w14:paraId="2BF747C5" w14:textId="77777777" w:rsidR="006152E8" w:rsidRDefault="006152E8" w:rsidP="00B506B0">
      <w:pPr>
        <w:pStyle w:val="Textpoznpodarou"/>
        <w:jc w:val="both"/>
        <w:rPr>
          <w:i/>
        </w:rPr>
      </w:pPr>
      <w:r>
        <w:tab/>
      </w:r>
      <w:r>
        <w:rPr>
          <w:rStyle w:val="Znakapoznpodarou"/>
        </w:rPr>
        <w:footnoteRef/>
      </w:r>
      <w:r>
        <w:t xml:space="preserve"> </w:t>
      </w:r>
      <w:r>
        <w:tab/>
      </w:r>
      <w:r>
        <w:rPr>
          <w:i/>
        </w:rPr>
        <w:t>See</w:t>
      </w:r>
      <w:r>
        <w:t xml:space="preserve"> Ackerman &amp; Stanton, 2010 </w:t>
      </w:r>
      <w:r>
        <w:rPr>
          <w:i/>
        </w:rPr>
        <w:t xml:space="preserve">Social Costs, supra </w:t>
      </w:r>
      <w:r>
        <w:t xml:space="preserve">note </w:t>
      </w:r>
      <w:r>
        <w:fldChar w:fldCharType="begin"/>
      </w:r>
      <w:r>
        <w:instrText xml:space="preserve"> NOTEREF _Ref298330272 \h </w:instrText>
      </w:r>
      <w:r>
        <w:fldChar w:fldCharType="separate"/>
      </w:r>
      <w:r>
        <w:t>167</w:t>
      </w:r>
      <w:r>
        <w:fldChar w:fldCharType="end"/>
      </w:r>
      <w:r>
        <w:t xml:space="preserve">, at 8-10 (explaining how the IWG selected its models and how they differ from models that received short shrift); </w:t>
      </w:r>
      <w:r>
        <w:rPr>
          <w:i/>
        </w:rPr>
        <w:t>see also</w:t>
      </w:r>
      <w:r>
        <w:t xml:space="preserve"> Nordhaus, </w:t>
      </w:r>
      <w:r>
        <w:rPr>
          <w:i/>
        </w:rPr>
        <w:t>supra</w:t>
      </w:r>
      <w:r>
        <w:t xml:space="preserve"> note </w:t>
      </w:r>
      <w:r>
        <w:fldChar w:fldCharType="begin"/>
      </w:r>
      <w:r>
        <w:instrText xml:space="preserve"> NOTEREF _Ref330973409 \h </w:instrText>
      </w:r>
      <w:r>
        <w:fldChar w:fldCharType="separate"/>
      </w:r>
      <w:r>
        <w:t>15</w:t>
      </w:r>
      <w:r>
        <w:fldChar w:fldCharType="end"/>
      </w:r>
      <w:r>
        <w:t>, at 22-23 (criticizing the meta-analysis underlying the IWC’s work).</w:t>
      </w:r>
    </w:p>
  </w:footnote>
  <w:footnote w:id="196">
    <w:p w14:paraId="48892709" w14:textId="77777777" w:rsidR="006152E8" w:rsidRDefault="006152E8" w:rsidP="00B506B0">
      <w:pPr>
        <w:pStyle w:val="Textpoznpodarou"/>
      </w:pPr>
      <w:r>
        <w:tab/>
      </w:r>
      <w:r>
        <w:rPr>
          <w:rStyle w:val="Znakapoznpodarou"/>
        </w:rPr>
        <w:footnoteRef/>
      </w:r>
      <w:r>
        <w:t xml:space="preserve"> </w:t>
      </w:r>
      <w:r>
        <w:tab/>
      </w:r>
      <w:r>
        <w:rPr>
          <w:i/>
        </w:rPr>
        <w:t>See</w:t>
      </w:r>
      <w:r>
        <w:t xml:space="preserve"> Cole, </w:t>
      </w:r>
      <w:r>
        <w:rPr>
          <w:i/>
        </w:rPr>
        <w:t xml:space="preserve">supra </w:t>
      </w:r>
      <w:r>
        <w:t>note</w:t>
      </w:r>
      <w:r>
        <w:rPr>
          <w:smallCaps/>
        </w:rPr>
        <w:t xml:space="preserve"> </w:t>
      </w:r>
      <w:r>
        <w:rPr>
          <w:smallCaps/>
        </w:rPr>
        <w:fldChar w:fldCharType="begin"/>
      </w:r>
      <w:r>
        <w:rPr>
          <w:smallCaps/>
        </w:rPr>
        <w:instrText xml:space="preserve"> NOTEREF _Ref196962137 \h </w:instrText>
      </w:r>
      <w:r>
        <w:rPr>
          <w:smallCaps/>
        </w:rPr>
      </w:r>
      <w:r>
        <w:rPr>
          <w:smallCaps/>
        </w:rPr>
        <w:fldChar w:fldCharType="separate"/>
      </w:r>
      <w:r>
        <w:rPr>
          <w:smallCaps/>
        </w:rPr>
        <w:t>184</w:t>
      </w:r>
      <w:r>
        <w:rPr>
          <w:smallCaps/>
        </w:rPr>
        <w:fldChar w:fldCharType="end"/>
      </w:r>
      <w:r>
        <w:rPr>
          <w:smallCaps/>
        </w:rPr>
        <w:t xml:space="preserve">, </w:t>
      </w:r>
      <w:r>
        <w:t xml:space="preserve">at </w:t>
      </w:r>
      <w:r>
        <w:rPr>
          <w:smallCaps/>
        </w:rPr>
        <w:t>60-62 (</w:t>
      </w:r>
      <w:r>
        <w:t xml:space="preserve">discussing the </w:t>
      </w:r>
      <w:r>
        <w:rPr>
          <w:i/>
        </w:rPr>
        <w:t>Stern Review</w:t>
      </w:r>
      <w:r>
        <w:t>’s choice of discount rate).</w:t>
      </w:r>
    </w:p>
  </w:footnote>
  <w:footnote w:id="197">
    <w:p w14:paraId="50AB4F46" w14:textId="77777777" w:rsidR="006152E8" w:rsidRDefault="006152E8" w:rsidP="00C237DA">
      <w:pPr>
        <w:pStyle w:val="Textpoznpodarou"/>
        <w:jc w:val="both"/>
        <w:rPr>
          <w:rFonts w:cs="Times New Roman"/>
        </w:rPr>
      </w:pPr>
      <w:r>
        <w:tab/>
      </w:r>
      <w:r>
        <w:rPr>
          <w:rStyle w:val="Znakapoznpodarou"/>
        </w:rPr>
        <w:footnoteRef/>
      </w:r>
      <w:r>
        <w:t xml:space="preserve">   </w:t>
      </w:r>
      <w:r>
        <w:rPr>
          <w:i/>
        </w:rPr>
        <w:t>See</w:t>
      </w:r>
      <w:r>
        <w:t xml:space="preserve"> Christian Gollier, </w:t>
      </w:r>
      <w:r>
        <w:rPr>
          <w:i/>
        </w:rPr>
        <w:t xml:space="preserve">Discounting with Fat-Tailed Growth, </w:t>
      </w:r>
      <w:r>
        <w:t xml:space="preserve">37 </w:t>
      </w:r>
      <w:r>
        <w:rPr>
          <w:rFonts w:cs="Times New Roman"/>
          <w:smallCaps/>
        </w:rPr>
        <w:t>J. Risk &amp; Uncertainty 171, 173 (2008) (</w:t>
      </w:r>
      <w:r>
        <w:rPr>
          <w:rFonts w:cs="Times New Roman"/>
        </w:rPr>
        <w:t xml:space="preserve">pointing out that the “Ramsey rule” derives the “socially efficient discount rate” from “the product of the real growth rate .  .  . times the marginal utility of consumption”); Farber,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_Ref204822993 \h </w:instrText>
      </w:r>
      <w:r>
        <w:rPr>
          <w:rFonts w:cs="Times New Roman"/>
        </w:rPr>
      </w:r>
      <w:r>
        <w:rPr>
          <w:rFonts w:cs="Times New Roman"/>
        </w:rPr>
        <w:fldChar w:fldCharType="separate"/>
      </w:r>
      <w:r>
        <w:rPr>
          <w:rFonts w:cs="Times New Roman"/>
        </w:rPr>
        <w:t>66</w:t>
      </w:r>
      <w:r>
        <w:rPr>
          <w:rFonts w:cs="Times New Roman"/>
        </w:rPr>
        <w:fldChar w:fldCharType="end"/>
      </w:r>
      <w:r>
        <w:rPr>
          <w:rFonts w:cs="Times New Roman"/>
        </w:rPr>
        <w:t>, at 1389 (noting that nobody could have predicted the growth of personal computers, the internet, or the invention and implosion of financial derivatives, all of which influenced economic growth).</w:t>
      </w:r>
    </w:p>
  </w:footnote>
  <w:footnote w:id="198">
    <w:p w14:paraId="570D0373" w14:textId="32E592F7" w:rsidR="006152E8" w:rsidRDefault="006152E8" w:rsidP="00C237DA">
      <w:pPr>
        <w:pStyle w:val="Textpoznpodarou"/>
        <w:jc w:val="both"/>
      </w:pPr>
      <w:r>
        <w:tab/>
      </w:r>
      <w:r>
        <w:rPr>
          <w:rStyle w:val="Znakapoznpodarou"/>
        </w:rPr>
        <w:footnoteRef/>
      </w:r>
      <w:r>
        <w:t xml:space="preserve">   </w:t>
      </w:r>
      <w:r>
        <w:rPr>
          <w:i/>
        </w:rPr>
        <w:t>See</w:t>
      </w:r>
      <w:r>
        <w:t xml:space="preserve"> id. at 173 (noting that concerns about natural resource scarcity lead some to forecast negative economic growth).</w:t>
      </w:r>
    </w:p>
  </w:footnote>
  <w:footnote w:id="199">
    <w:p w14:paraId="10B7AAF9" w14:textId="2209E47C" w:rsidR="006152E8" w:rsidRDefault="006152E8" w:rsidP="002573FC">
      <w:pPr>
        <w:pStyle w:val="Textpoznpodarou"/>
        <w:jc w:val="both"/>
      </w:pPr>
      <w:r>
        <w:tab/>
      </w:r>
      <w:r>
        <w:rPr>
          <w:rStyle w:val="Znakapoznpodarou"/>
        </w:rPr>
        <w:footnoteRef/>
      </w:r>
      <w:r>
        <w:tab/>
      </w:r>
      <w:r>
        <w:rPr>
          <w:i/>
        </w:rPr>
        <w:t xml:space="preserve">See, e.g., </w:t>
      </w:r>
      <w:r>
        <w:t xml:space="preserve">EPA Guidelines, </w:t>
      </w:r>
      <w:r w:rsidRPr="00744767">
        <w:rPr>
          <w:i/>
        </w:rPr>
        <w:t>supra</w:t>
      </w:r>
      <w:r>
        <w:t xml:space="preserve"> note </w:t>
      </w:r>
      <w:r>
        <w:fldChar w:fldCharType="begin"/>
      </w:r>
      <w:r>
        <w:instrText xml:space="preserve"> NOTEREF _Ref209086725 \h </w:instrText>
      </w:r>
      <w:r>
        <w:fldChar w:fldCharType="separate"/>
      </w:r>
      <w:r>
        <w:t>32</w:t>
      </w:r>
      <w:r>
        <w:fldChar w:fldCharType="end"/>
      </w:r>
      <w:r>
        <w:t>, at 6-17 (noting that an assumption of declining economic growth, perhaps due to resource constraints, leads to “declining discount rates”).</w:t>
      </w:r>
    </w:p>
  </w:footnote>
  <w:footnote w:id="200">
    <w:p w14:paraId="294A3682" w14:textId="34ECA225" w:rsidR="006152E8" w:rsidRDefault="006152E8" w:rsidP="00C237DA">
      <w:pPr>
        <w:pStyle w:val="Textpoznpodarou"/>
        <w:jc w:val="both"/>
      </w:pPr>
      <w:r>
        <w:tab/>
      </w:r>
      <w:r>
        <w:rPr>
          <w:rStyle w:val="Znakapoznpodarou"/>
        </w:rPr>
        <w:footnoteRef/>
      </w:r>
      <w:r>
        <w:tab/>
      </w:r>
      <w:r>
        <w:rPr>
          <w:i/>
        </w:rPr>
        <w:t xml:space="preserve">See </w:t>
      </w:r>
      <w:r>
        <w:t xml:space="preserve">Cole, </w:t>
      </w:r>
      <w:r>
        <w:rPr>
          <w:i/>
        </w:rPr>
        <w:t>supra</w:t>
      </w:r>
      <w:r>
        <w:t xml:space="preserve"> note </w:t>
      </w:r>
      <w:r>
        <w:fldChar w:fldCharType="begin"/>
      </w:r>
      <w:r>
        <w:instrText xml:space="preserve"> NOTEREF _Ref202934220 \h </w:instrText>
      </w:r>
      <w:r>
        <w:fldChar w:fldCharType="separate"/>
      </w:r>
      <w:r>
        <w:t>151</w:t>
      </w:r>
      <w:r>
        <w:fldChar w:fldCharType="end"/>
      </w:r>
      <w:r>
        <w:t xml:space="preserve"> (noting that the value for “g”</w:t>
      </w:r>
      <w:r>
        <w:softHyphen/>
        <w:t xml:space="preserve">, which measures economic growth, could be a negative number in light of “catastrophic climate change”); Christian Grolier, </w:t>
      </w:r>
      <w:r>
        <w:rPr>
          <w:i/>
        </w:rPr>
        <w:t xml:space="preserve">On the Underestimation of the Precautionary Effect on Discounting, </w:t>
      </w:r>
      <w:r>
        <w:t xml:space="preserve">2, CESifo working paper:  Energy and Climate Econ. No. 3536, http://hdl.handle.net/10419/49477 (2011) (uncertain economic growth produces a precautionary effect reducing the discount rate); Gollier &amp; Weitzman, </w:t>
      </w:r>
      <w:r>
        <w:rPr>
          <w:i/>
        </w:rPr>
        <w:t>supra</w:t>
      </w:r>
      <w:r>
        <w:t xml:space="preserve"> note </w:t>
      </w:r>
      <w:r>
        <w:fldChar w:fldCharType="begin"/>
      </w:r>
      <w:r>
        <w:instrText xml:space="preserve"> NOTEREF _Ref330976980 \h </w:instrText>
      </w:r>
      <w:r>
        <w:fldChar w:fldCharType="separate"/>
      </w:r>
      <w:r>
        <w:t>191</w:t>
      </w:r>
      <w:r>
        <w:fldChar w:fldCharType="end"/>
      </w:r>
      <w:r>
        <w:t>, at 353 (arguing for a discount rate that declines over time toward its lowest possible value).</w:t>
      </w:r>
    </w:p>
  </w:footnote>
  <w:footnote w:id="201">
    <w:p w14:paraId="1F19EA00" w14:textId="14459AE4" w:rsidR="006152E8" w:rsidRDefault="006152E8" w:rsidP="00B506B0">
      <w:pPr>
        <w:pStyle w:val="Textpoznpodarou"/>
        <w:jc w:val="both"/>
      </w:pPr>
      <w:r>
        <w:tab/>
      </w:r>
      <w:r>
        <w:rPr>
          <w:rStyle w:val="Znakapoznpodarou"/>
        </w:rPr>
        <w:footnoteRef/>
      </w:r>
      <w:r>
        <w:tab/>
      </w:r>
      <w:r>
        <w:rPr>
          <w:i/>
        </w:rPr>
        <w:t xml:space="preserve">See, e.g., </w:t>
      </w:r>
      <w:r>
        <w:t xml:space="preserve">David Santillo, Paul Johnston, &amp; Ruth Stringer, </w:t>
      </w:r>
      <w:r w:rsidRPr="001C7668">
        <w:rPr>
          <w:i/>
        </w:rPr>
        <w:t>The Precautionary Principle in Practice:  A Mandate for Anticipatory Preventative Action, in</w:t>
      </w:r>
      <w:r>
        <w:t xml:space="preserve"> </w:t>
      </w:r>
      <w:r>
        <w:rPr>
          <w:smallCaps/>
        </w:rPr>
        <w:t xml:space="preserve">Protecting, </w:t>
      </w:r>
      <w:r>
        <w:rPr>
          <w:i/>
        </w:rPr>
        <w:t>supra</w:t>
      </w:r>
      <w:r>
        <w:t xml:space="preserve"> note </w:t>
      </w:r>
      <w:r>
        <w:fldChar w:fldCharType="begin"/>
      </w:r>
      <w:r>
        <w:instrText xml:space="preserve"> NOTEREF _Ref200094667 \h </w:instrText>
      </w:r>
      <w:r>
        <w:fldChar w:fldCharType="separate"/>
      </w:r>
      <w:r>
        <w:t>76</w:t>
      </w:r>
      <w:r>
        <w:fldChar w:fldCharType="end"/>
      </w:r>
      <w:r>
        <w:t xml:space="preserve">, 36, 48 (urging resistance to making the precautionary principle “subject to cost-benefit analysis”).  </w:t>
      </w:r>
    </w:p>
  </w:footnote>
  <w:footnote w:id="202">
    <w:p w14:paraId="25636EC2" w14:textId="4440CACF" w:rsidR="006152E8" w:rsidRDefault="006152E8" w:rsidP="003D07D5">
      <w:pPr>
        <w:pStyle w:val="Textpoznpodarou"/>
        <w:jc w:val="both"/>
      </w:pPr>
      <w:r>
        <w:tab/>
      </w:r>
      <w:r>
        <w:rPr>
          <w:rStyle w:val="Znakapoznpodarou"/>
        </w:rPr>
        <w:footnoteRef/>
      </w:r>
      <w:r>
        <w:t xml:space="preserve"> </w:t>
      </w:r>
      <w:r>
        <w:tab/>
      </w:r>
      <w:r>
        <w:rPr>
          <w:rFonts w:cs="Times New Roman"/>
          <w:smallCaps/>
        </w:rPr>
        <w:t>Richard Revesz &amp; Michael Livermore, Rethinking Rationality:  How Cost-Benefit Analysis can Better Protect our Environment and Our Health 192 (2008) (</w:t>
      </w:r>
      <w:r>
        <w:rPr>
          <w:rFonts w:cs="Times New Roman"/>
        </w:rPr>
        <w:t>calling on “proregulatory interests” to participate in improving CBA).</w:t>
      </w:r>
    </w:p>
  </w:footnote>
  <w:footnote w:id="203">
    <w:p w14:paraId="4032D47F" w14:textId="77777777" w:rsidR="006152E8" w:rsidRDefault="006152E8" w:rsidP="00B506B0">
      <w:pPr>
        <w:jc w:val="both"/>
        <w:rPr>
          <w:sz w:val="20"/>
          <w:szCs w:val="20"/>
        </w:rPr>
      </w:pPr>
      <w:r>
        <w:tab/>
      </w:r>
      <w:r>
        <w:rPr>
          <w:rStyle w:val="Znakapoznpodarou"/>
          <w:sz w:val="20"/>
          <w:szCs w:val="20"/>
        </w:rPr>
        <w:footnoteRef/>
      </w:r>
      <w:r>
        <w:rPr>
          <w:sz w:val="20"/>
          <w:szCs w:val="20"/>
        </w:rPr>
        <w:t xml:space="preserve"> </w:t>
      </w:r>
      <w:r>
        <w:rPr>
          <w:i/>
          <w:sz w:val="20"/>
          <w:szCs w:val="20"/>
        </w:rPr>
        <w:t>See</w:t>
      </w:r>
      <w:r>
        <w:t xml:space="preserve"> </w:t>
      </w:r>
      <w:r>
        <w:rPr>
          <w:sz w:val="20"/>
          <w:szCs w:val="20"/>
        </w:rPr>
        <w:t xml:space="preserve">Harold Hongju Koh, </w:t>
      </w:r>
      <w:r>
        <w:rPr>
          <w:i/>
          <w:sz w:val="20"/>
          <w:szCs w:val="20"/>
        </w:rPr>
        <w:t>Is International Law Really State Law</w:t>
      </w:r>
      <w:r>
        <w:rPr>
          <w:sz w:val="20"/>
          <w:szCs w:val="20"/>
        </w:rPr>
        <w:t xml:space="preserve">?, 111 </w:t>
      </w:r>
      <w:r>
        <w:rPr>
          <w:rFonts w:cs="Times New Roman"/>
          <w:smallCaps/>
          <w:sz w:val="20"/>
          <w:szCs w:val="20"/>
        </w:rPr>
        <w:t>Harv. L. Rev.</w:t>
      </w:r>
      <w:r>
        <w:rPr>
          <w:sz w:val="20"/>
          <w:szCs w:val="20"/>
        </w:rPr>
        <w:t xml:space="preserve"> 1824, 1831 (1998) (describing long standing precedent making international law part of our law); </w:t>
      </w:r>
      <w:r>
        <w:rPr>
          <w:i/>
          <w:sz w:val="20"/>
          <w:szCs w:val="20"/>
        </w:rPr>
        <w:t xml:space="preserve">see, e.g., </w:t>
      </w:r>
      <w:r>
        <w:rPr>
          <w:sz w:val="20"/>
          <w:szCs w:val="20"/>
        </w:rPr>
        <w:t>The Paquete Habana, 175 U.S. 677, 700 (1900).</w:t>
      </w:r>
    </w:p>
  </w:footnote>
  <w:footnote w:id="204">
    <w:p w14:paraId="790EE573" w14:textId="77777777" w:rsidR="006152E8" w:rsidRDefault="006152E8" w:rsidP="00B506B0">
      <w:pPr>
        <w:pStyle w:val="Textpoznpodarou"/>
        <w:jc w:val="both"/>
        <w:rPr>
          <w:rFonts w:cs="Times New Roman"/>
        </w:rPr>
      </w:pPr>
      <w:r>
        <w:tab/>
      </w:r>
      <w:r>
        <w:rPr>
          <w:rStyle w:val="Znakapoznpodarou"/>
        </w:rPr>
        <w:footnoteRef/>
      </w:r>
      <w:r>
        <w:t xml:space="preserve"> </w:t>
      </w:r>
      <w:r>
        <w:tab/>
      </w:r>
      <w:r>
        <w:rPr>
          <w:i/>
        </w:rPr>
        <w:t>Cf.</w:t>
      </w:r>
      <w:r>
        <w:t xml:space="preserve"> Curtis A Bradley &amp; Jack L. Goldsmith, </w:t>
      </w:r>
      <w:r>
        <w:rPr>
          <w:i/>
        </w:rPr>
        <w:t xml:space="preserve">Customary International Law as Federal Common Law:  A Critique of the Modern Position, </w:t>
      </w:r>
      <w:r>
        <w:t xml:space="preserve">110 </w:t>
      </w:r>
      <w:r>
        <w:rPr>
          <w:rFonts w:cs="Times New Roman"/>
          <w:smallCaps/>
        </w:rPr>
        <w:t>Harv. L. Rev. 815, 870 (1997) (</w:t>
      </w:r>
      <w:r>
        <w:rPr>
          <w:rFonts w:cs="Times New Roman"/>
        </w:rPr>
        <w:t xml:space="preserve">arguing that absent federal political branch authorization, </w:t>
      </w:r>
      <w:r>
        <w:rPr>
          <w:rFonts w:cs="Times New Roman"/>
          <w:i/>
        </w:rPr>
        <w:t>customary</w:t>
      </w:r>
      <w:r>
        <w:rPr>
          <w:rFonts w:cs="Times New Roman"/>
        </w:rPr>
        <w:t xml:space="preserve"> international law does not count as federal law).</w:t>
      </w:r>
    </w:p>
  </w:footnote>
  <w:footnote w:id="205">
    <w:p w14:paraId="4B855A66" w14:textId="78BF6BF1" w:rsidR="006152E8" w:rsidRDefault="006152E8" w:rsidP="00B506B0">
      <w:pPr>
        <w:pStyle w:val="Textpoznpodarou"/>
        <w:jc w:val="both"/>
      </w:pPr>
      <w:r>
        <w:tab/>
      </w:r>
      <w:r>
        <w:rPr>
          <w:rStyle w:val="Znakapoznpodarou"/>
        </w:rPr>
        <w:footnoteRef/>
      </w:r>
      <w:r>
        <w:tab/>
      </w:r>
      <w:r>
        <w:rPr>
          <w:i/>
        </w:rPr>
        <w:t xml:space="preserve">See, e.g., </w:t>
      </w:r>
      <w:r>
        <w:rPr>
          <w:i/>
          <w:iCs/>
        </w:rPr>
        <w:t xml:space="preserve">Annex VI to the Protocol of Environmental Protection to the Antarctic Treaty </w:t>
      </w:r>
      <w:r>
        <w:rPr>
          <w:iCs/>
        </w:rPr>
        <w:t xml:space="preserve">[hereinafter </w:t>
      </w:r>
      <w:r>
        <w:rPr>
          <w:i/>
          <w:iCs/>
        </w:rPr>
        <w:t>Annex VI</w:t>
      </w:r>
      <w:r>
        <w:rPr>
          <w:iCs/>
        </w:rPr>
        <w:t>]</w:t>
      </w:r>
      <w:r>
        <w:rPr>
          <w:i/>
          <w:iCs/>
        </w:rPr>
        <w:t xml:space="preserve">, </w:t>
      </w:r>
      <w:r>
        <w:rPr>
          <w:iCs/>
        </w:rPr>
        <w:t>Preamble &amp;</w:t>
      </w:r>
      <w:r>
        <w:rPr>
          <w:i/>
          <w:iCs/>
        </w:rPr>
        <w:t xml:space="preserve"> </w:t>
      </w:r>
      <w:r>
        <w:t xml:space="preserve">art. 3, Jun. 14, 2005, S. Treaty Doc. No. 111-2; </w:t>
      </w:r>
      <w:r>
        <w:rPr>
          <w:i/>
          <w:iCs/>
        </w:rPr>
        <w:t xml:space="preserve">International Convention on the Control of Harmful Anti-Fouling Systems on Ships </w:t>
      </w:r>
      <w:r>
        <w:rPr>
          <w:iCs/>
        </w:rPr>
        <w:t xml:space="preserve">[hereinafter </w:t>
      </w:r>
      <w:r>
        <w:rPr>
          <w:i/>
          <w:iCs/>
        </w:rPr>
        <w:t>Antifouling Convention</w:t>
      </w:r>
      <w:r>
        <w:rPr>
          <w:iCs/>
        </w:rPr>
        <w:t>]</w:t>
      </w:r>
      <w:r>
        <w:rPr>
          <w:i/>
          <w:iCs/>
        </w:rPr>
        <w:t xml:space="preserve">, </w:t>
      </w:r>
      <w:r>
        <w:t xml:space="preserve">art. 6.5, Oct. 18, 2001, S. Treaty Doc. No. 110-13; </w:t>
      </w:r>
      <w:r>
        <w:rPr>
          <w:i/>
          <w:iCs/>
        </w:rPr>
        <w:t xml:space="preserve">Convention on the Conservation and Management of Highly Migratory Fish Stocks in the Western and Central Pacific Ocean </w:t>
      </w:r>
      <w:r>
        <w:rPr>
          <w:iCs/>
        </w:rPr>
        <w:t xml:space="preserve">[hereinafter </w:t>
      </w:r>
      <w:r>
        <w:rPr>
          <w:i/>
          <w:iCs/>
        </w:rPr>
        <w:t>Fish Stocks</w:t>
      </w:r>
      <w:r>
        <w:rPr>
          <w:iCs/>
        </w:rPr>
        <w:t>],</w:t>
      </w:r>
      <w:r>
        <w:t xml:space="preserve"> art. 5, Sep. 5, 2000, T.I.A.S. No. 13,115, 2275 U.N.T.S. 43, 48-49; </w:t>
      </w:r>
      <w:r>
        <w:rPr>
          <w:i/>
          <w:iCs/>
        </w:rPr>
        <w:t>Basel Convention on the Control of Transboundary Movements of Hazardous Wastes and their Disposal</w:t>
      </w:r>
      <w:r>
        <w:t xml:space="preserve"> Preamble, Mar. 22, 1989, 1673 U.N.T.S. 57, 126</w:t>
      </w:r>
      <w:r>
        <w:rPr>
          <w:iCs/>
        </w:rPr>
        <w:t xml:space="preserve"> </w:t>
      </w:r>
      <w:r w:rsidRPr="00E72283">
        <w:rPr>
          <w:iCs/>
        </w:rPr>
        <w:t>(</w:t>
      </w:r>
      <w:r>
        <w:rPr>
          <w:iCs/>
        </w:rPr>
        <w:t xml:space="preserve">regulating hazardous waste based on a “risk of damage to human health and the environment”); </w:t>
      </w:r>
      <w:r>
        <w:rPr>
          <w:i/>
          <w:iCs/>
        </w:rPr>
        <w:t xml:space="preserve">Montreal Protocol, supra </w:t>
      </w:r>
      <w:r>
        <w:rPr>
          <w:iCs/>
        </w:rPr>
        <w:t xml:space="preserve">note </w:t>
      </w:r>
      <w:r>
        <w:rPr>
          <w:iCs/>
        </w:rPr>
        <w:fldChar w:fldCharType="begin"/>
      </w:r>
      <w:r>
        <w:rPr>
          <w:iCs/>
        </w:rPr>
        <w:instrText xml:space="preserve"> NOTEREF _Ref327350303 \h </w:instrText>
      </w:r>
      <w:r>
        <w:rPr>
          <w:iCs/>
        </w:rPr>
      </w:r>
      <w:r>
        <w:rPr>
          <w:iCs/>
        </w:rPr>
        <w:fldChar w:fldCharType="separate"/>
      </w:r>
      <w:r>
        <w:rPr>
          <w:iCs/>
        </w:rPr>
        <w:t>114</w:t>
      </w:r>
      <w:r>
        <w:rPr>
          <w:iCs/>
        </w:rPr>
        <w:fldChar w:fldCharType="end"/>
      </w:r>
      <w:r>
        <w:rPr>
          <w:iCs/>
        </w:rPr>
        <w:t xml:space="preserve">, </w:t>
      </w:r>
      <w:r>
        <w:t>Preamble,</w:t>
      </w:r>
      <w:r>
        <w:rPr>
          <w:i/>
          <w:iCs/>
        </w:rPr>
        <w:t xml:space="preserve"> </w:t>
      </w:r>
      <w:r>
        <w:t xml:space="preserve">1522 U.N.T.S. at 29 (declaring a determination to take “precautionary measures” to “protect the ozone layer”); </w:t>
      </w:r>
      <w:r>
        <w:rPr>
          <w:i/>
          <w:iCs/>
        </w:rPr>
        <w:t>Convention on the Conservation of Antarctic Marine Living Resources</w:t>
      </w:r>
      <w:r>
        <w:t xml:space="preserve"> art. 2.3(c), Aug. 1, 1980, 1329 U.N.T.S. 47; </w:t>
      </w:r>
      <w:r>
        <w:rPr>
          <w:i/>
        </w:rPr>
        <w:t>see also</w:t>
      </w:r>
      <w:r>
        <w:t xml:space="preserve"> </w:t>
      </w:r>
      <w:r>
        <w:rPr>
          <w:i/>
          <w:iCs/>
        </w:rPr>
        <w:t xml:space="preserve">Vienna Convention for the Protection of the Ozone Layer, </w:t>
      </w:r>
      <w:r>
        <w:rPr>
          <w:iCs/>
        </w:rPr>
        <w:t xml:space="preserve">Preamble, </w:t>
      </w:r>
      <w:r>
        <w:t xml:space="preserve">Mar. 22, 1985, </w:t>
      </w:r>
      <w:r>
        <w:rPr>
          <w:rFonts w:cs="Times New Roman"/>
          <w:szCs w:val="20"/>
        </w:rPr>
        <w:t>T.I.A.S. No. 11,097,</w:t>
      </w:r>
      <w:r>
        <w:t xml:space="preserve"> 1513 U.N.T.S. 293, 324 (acknowledging precautionary measures undertaken prior to enactment).  </w:t>
      </w:r>
    </w:p>
  </w:footnote>
  <w:footnote w:id="206">
    <w:p w14:paraId="55E9CB01" w14:textId="064F6CE6" w:rsidR="006152E8" w:rsidRDefault="006152E8" w:rsidP="00B506B0">
      <w:pPr>
        <w:pStyle w:val="Textpoznpodarou"/>
        <w:jc w:val="both"/>
      </w:pPr>
      <w:r>
        <w:tab/>
      </w:r>
      <w:r>
        <w:rPr>
          <w:rStyle w:val="Znakapoznpodarou"/>
        </w:rPr>
        <w:footnoteRef/>
      </w:r>
      <w:r>
        <w:tab/>
        <w:t xml:space="preserve"> </w:t>
      </w:r>
      <w:r>
        <w:rPr>
          <w:i/>
        </w:rPr>
        <w:t>Compare, Framework Convention</w:t>
      </w:r>
      <w:r>
        <w:t xml:space="preserve">, </w:t>
      </w:r>
      <w:r w:rsidRPr="0071218F">
        <w:rPr>
          <w:i/>
        </w:rPr>
        <w:t>supra</w:t>
      </w:r>
      <w:r>
        <w:t xml:space="preserve"> note </w:t>
      </w:r>
      <w:r>
        <w:fldChar w:fldCharType="begin"/>
      </w:r>
      <w:r>
        <w:instrText xml:space="preserve"> NOTEREF _Ref216517260 \h </w:instrText>
      </w:r>
      <w:r>
        <w:fldChar w:fldCharType="separate"/>
      </w:r>
      <w:r>
        <w:t>105</w:t>
      </w:r>
      <w:r>
        <w:fldChar w:fldCharType="end"/>
      </w:r>
      <w:r>
        <w:t xml:space="preserve">, preamble </w:t>
      </w:r>
      <w:r>
        <w:rPr>
          <w:i/>
        </w:rPr>
        <w:t>with</w:t>
      </w:r>
      <w:r>
        <w:t xml:space="preserve"> </w:t>
      </w:r>
      <w:r>
        <w:rPr>
          <w:i/>
        </w:rPr>
        <w:t xml:space="preserve">Annex VI, </w:t>
      </w:r>
      <w:r>
        <w:t xml:space="preserve">supra note </w:t>
      </w:r>
      <w:r>
        <w:fldChar w:fldCharType="begin"/>
      </w:r>
      <w:r>
        <w:instrText xml:space="preserve"> NOTEREF _Ref216517111 \h </w:instrText>
      </w:r>
      <w:r>
        <w:fldChar w:fldCharType="separate"/>
      </w:r>
      <w:r>
        <w:t>203</w:t>
      </w:r>
      <w:r>
        <w:fldChar w:fldCharType="end"/>
      </w:r>
      <w:r>
        <w:t>, art. 3 (requiring “reasonable preventive measures . . . to reduce the risk of environmental emergencies” and their impacts)</w:t>
      </w:r>
      <w:r>
        <w:rPr>
          <w:i/>
        </w:rPr>
        <w:t xml:space="preserve">; Fish Stocks, </w:t>
      </w:r>
      <w:r w:rsidRPr="0071218F">
        <w:rPr>
          <w:i/>
        </w:rPr>
        <w:t xml:space="preserve">supra </w:t>
      </w:r>
      <w:r w:rsidRPr="0071218F">
        <w:t>note</w:t>
      </w:r>
      <w:r>
        <w:rPr>
          <w:i/>
        </w:rPr>
        <w:t xml:space="preserve"> </w:t>
      </w:r>
      <w:r>
        <w:fldChar w:fldCharType="begin"/>
      </w:r>
      <w:r>
        <w:rPr>
          <w:i/>
        </w:rPr>
        <w:instrText xml:space="preserve"> NOTEREF _Ref216517111 \h </w:instrText>
      </w:r>
      <w:r>
        <w:fldChar w:fldCharType="separate"/>
      </w:r>
      <w:r>
        <w:rPr>
          <w:i/>
        </w:rPr>
        <w:t>203</w:t>
      </w:r>
      <w:r>
        <w:fldChar w:fldCharType="end"/>
      </w:r>
      <w:r>
        <w:t>,</w:t>
      </w:r>
      <w:r>
        <w:rPr>
          <w:i/>
        </w:rPr>
        <w:t xml:space="preserve"> </w:t>
      </w:r>
      <w:r>
        <w:t xml:space="preserve">art. 5, T.I.A.S. No. 13,115 at 4, 2275 U.N.T.S. at 49 (requiring application of the precautionary approach); </w:t>
      </w:r>
      <w:r>
        <w:rPr>
          <w:i/>
        </w:rPr>
        <w:t xml:space="preserve">Vienna Convention, </w:t>
      </w:r>
      <w:r w:rsidRPr="0071218F">
        <w:rPr>
          <w:i/>
        </w:rPr>
        <w:t>supra</w:t>
      </w:r>
      <w:r>
        <w:t xml:space="preserve"> note </w:t>
      </w:r>
      <w:r>
        <w:fldChar w:fldCharType="begin"/>
      </w:r>
      <w:r>
        <w:instrText xml:space="preserve"> NOTEREF _Ref216517111 \h </w:instrText>
      </w:r>
      <w:r>
        <w:fldChar w:fldCharType="separate"/>
      </w:r>
      <w:r>
        <w:t>203</w:t>
      </w:r>
      <w:r>
        <w:fldChar w:fldCharType="end"/>
      </w:r>
      <w:r>
        <w:t xml:space="preserve">, art. 2, 1513 U.N.T.S. at 326 (requiring parties to “take appropriate measures . . . to protect . . . against adverse effects . . . </w:t>
      </w:r>
      <w:r>
        <w:rPr>
          <w:i/>
        </w:rPr>
        <w:t>likely</w:t>
      </w:r>
      <w:r>
        <w:t xml:space="preserve"> to result from” ozone modification) [emphasis added]; </w:t>
      </w:r>
      <w:r>
        <w:rPr>
          <w:i/>
        </w:rPr>
        <w:t>Antifouling Convention,</w:t>
      </w:r>
      <w:r>
        <w:t xml:space="preserve"> </w:t>
      </w:r>
      <w:r w:rsidRPr="0071218F">
        <w:rPr>
          <w:i/>
        </w:rPr>
        <w:t>supra</w:t>
      </w:r>
      <w:r>
        <w:t xml:space="preserve"> note </w:t>
      </w:r>
      <w:r>
        <w:fldChar w:fldCharType="begin"/>
      </w:r>
      <w:r>
        <w:instrText xml:space="preserve"> NOTEREF _Ref216517111 \h </w:instrText>
      </w:r>
      <w:r>
        <w:fldChar w:fldCharType="separate"/>
      </w:r>
      <w:r>
        <w:t>203</w:t>
      </w:r>
      <w:r>
        <w:fldChar w:fldCharType="end"/>
      </w:r>
      <w:r>
        <w:t>,</w:t>
      </w:r>
      <w:r>
        <w:rPr>
          <w:i/>
        </w:rPr>
        <w:t xml:space="preserve"> </w:t>
      </w:r>
      <w:r>
        <w:t>art. 6(5) (stating that lack of certainty about irreversible damage will not prevent listing of an antifouling system in the treaty).</w:t>
      </w:r>
    </w:p>
  </w:footnote>
  <w:footnote w:id="207">
    <w:p w14:paraId="051DB7F0" w14:textId="55190A85" w:rsidR="006152E8" w:rsidRDefault="006152E8" w:rsidP="00B506B0">
      <w:pPr>
        <w:pStyle w:val="Textpoznpodarou"/>
      </w:pPr>
      <w:r>
        <w:tab/>
      </w:r>
      <w:r>
        <w:rPr>
          <w:rStyle w:val="Znakapoznpodarou"/>
        </w:rPr>
        <w:footnoteRef/>
      </w:r>
      <w:r>
        <w:tab/>
      </w:r>
      <w:r>
        <w:rPr>
          <w:i/>
        </w:rPr>
        <w:t>See</w:t>
      </w:r>
      <w:r>
        <w:t xml:space="preserve"> Vienna Convention on the Law of Treaties, art. 31, § 1, May 23, 1969, 1155 U.N.T.S. 331, 340 (demanding that a treaty be interpreted “in light of its object and purpose”).  </w:t>
      </w:r>
    </w:p>
  </w:footnote>
  <w:footnote w:id="208">
    <w:p w14:paraId="60262C1B" w14:textId="6F646418" w:rsidR="006152E8" w:rsidRDefault="006152E8" w:rsidP="003C7333">
      <w:pPr>
        <w:pStyle w:val="Textpoznpodarou"/>
        <w:jc w:val="both"/>
        <w:rPr>
          <w:rFonts w:cs="Times New Roman"/>
        </w:rPr>
      </w:pPr>
      <w:r>
        <w:tab/>
      </w:r>
      <w:r>
        <w:rPr>
          <w:rStyle w:val="Znakapoznpodarou"/>
        </w:rPr>
        <w:footnoteRef/>
      </w:r>
      <w:r>
        <w:tab/>
      </w:r>
      <w:r>
        <w:rPr>
          <w:i/>
        </w:rPr>
        <w:t xml:space="preserve">See, e.g., </w:t>
      </w:r>
      <w:r>
        <w:t xml:space="preserve">Robert W. Hahn &amp; Cass R. Sunstein, </w:t>
      </w:r>
      <w:r>
        <w:rPr>
          <w:i/>
        </w:rPr>
        <w:t xml:space="preserve">A New Executive Order for Improving Federal Regulation?:  Deeper and Wider Cost-Benefit Analysis, </w:t>
      </w:r>
      <w:r>
        <w:t xml:space="preserve">150 </w:t>
      </w:r>
      <w:r>
        <w:rPr>
          <w:smallCaps/>
        </w:rPr>
        <w:t>U. Penn. L. Rev. 1489, 1498 (2002) (</w:t>
      </w:r>
      <w:r>
        <w:t xml:space="preserve">arguing for CBA that takes qualitative information into account) </w:t>
      </w:r>
      <w:r>
        <w:rPr>
          <w:smallCaps/>
        </w:rPr>
        <w:t xml:space="preserve"> </w:t>
      </w:r>
      <w:r>
        <w:rPr>
          <w:i/>
        </w:rPr>
        <w:t xml:space="preserve">Cf. </w:t>
      </w:r>
      <w:r>
        <w:t xml:space="preserve"> Arden Rowell, </w:t>
      </w:r>
      <w:r>
        <w:rPr>
          <w:i/>
        </w:rPr>
        <w:t xml:space="preserve">Partial Valuation in Cost-Benefit Analysis, </w:t>
      </w:r>
      <w:r>
        <w:t xml:space="preserve">64 </w:t>
      </w:r>
      <w:r>
        <w:rPr>
          <w:rFonts w:cs="Times New Roman"/>
          <w:smallCaps/>
        </w:rPr>
        <w:t>Admin. L. Rev. 723, 729-30 (2012) (</w:t>
      </w:r>
      <w:r>
        <w:rPr>
          <w:rFonts w:cs="Times New Roman"/>
        </w:rPr>
        <w:t xml:space="preserve">arguing for only counting quantifiable benefits in CBA).  Arden, however, concedes that decisionmakers should ultimately take non-monetizable outcomes into account.  Id. at 741-42 (suggesting that CBA should not be “the sole determinant of legal policy” and that revealing nonquantifiable benefits aids transparency).  </w:t>
      </w:r>
    </w:p>
  </w:footnote>
  <w:footnote w:id="209">
    <w:p w14:paraId="35843D6D" w14:textId="7755FF72" w:rsidR="006152E8" w:rsidRDefault="006152E8" w:rsidP="003C7333">
      <w:pPr>
        <w:pStyle w:val="Textpoznpodarou"/>
        <w:jc w:val="both"/>
      </w:pPr>
      <w:r>
        <w:tab/>
      </w:r>
      <w:r>
        <w:rPr>
          <w:rStyle w:val="Znakapoznpodarou"/>
        </w:rPr>
        <w:footnoteRef/>
      </w:r>
      <w:r>
        <w:tab/>
      </w:r>
      <w:r>
        <w:rPr>
          <w:smallCaps/>
        </w:rPr>
        <w:t xml:space="preserve"> </w:t>
      </w:r>
      <w:r>
        <w:rPr>
          <w:i/>
          <w:smallCaps/>
        </w:rPr>
        <w:t>S</w:t>
      </w:r>
      <w:r>
        <w:rPr>
          <w:i/>
        </w:rPr>
        <w:t xml:space="preserve">ee </w:t>
      </w:r>
      <w:r>
        <w:t xml:space="preserve">Hahn &amp; Sunstein, supra note </w:t>
      </w:r>
      <w:r>
        <w:fldChar w:fldCharType="begin"/>
      </w:r>
      <w:r>
        <w:instrText xml:space="preserve"> NOTEREF _Ref214069971 \h </w:instrText>
      </w:r>
      <w:r>
        <w:fldChar w:fldCharType="separate"/>
      </w:r>
      <w:r>
        <w:t>206</w:t>
      </w:r>
      <w:r>
        <w:fldChar w:fldCharType="end"/>
      </w:r>
      <w:r>
        <w:t xml:space="preserve">, at 1498 (describing CBA as providing a “full accounting” of action’s consequences both quantitatively and qualitatively). </w:t>
      </w:r>
    </w:p>
  </w:footnote>
  <w:footnote w:id="210">
    <w:p w14:paraId="3376F14F" w14:textId="77777777" w:rsidR="006152E8" w:rsidRDefault="006152E8" w:rsidP="00B506B0">
      <w:pPr>
        <w:pStyle w:val="Textpoznpodarou"/>
        <w:jc w:val="both"/>
      </w:pPr>
      <w:r>
        <w:tab/>
      </w:r>
      <w:r>
        <w:rPr>
          <w:rStyle w:val="Znakapoznpodarou"/>
        </w:rPr>
        <w:footnoteRef/>
      </w:r>
      <w:r>
        <w:tab/>
      </w:r>
      <w:r>
        <w:rPr>
          <w:i/>
        </w:rPr>
        <w:t xml:space="preserve">See </w:t>
      </w:r>
      <w:r>
        <w:t xml:space="preserve">Wagner, </w:t>
      </w:r>
      <w:r>
        <w:rPr>
          <w:i/>
        </w:rPr>
        <w:t>supra</w:t>
      </w:r>
      <w:r>
        <w:t xml:space="preserve"> note </w:t>
      </w:r>
      <w:r>
        <w:fldChar w:fldCharType="begin"/>
      </w:r>
      <w:r>
        <w:instrText xml:space="preserve"> NOTEREF _Ref326227451 \h </w:instrText>
      </w:r>
      <w:r>
        <w:fldChar w:fldCharType="separate"/>
      </w:r>
      <w:r>
        <w:t>60</w:t>
      </w:r>
      <w:r>
        <w:fldChar w:fldCharType="end"/>
      </w:r>
      <w:r>
        <w:t xml:space="preserve">, at 1627-28  (explaining that scientific expertise is needed to distinguish scientifically resolvable questions from policy questions embedded in risk assessment). </w:t>
      </w:r>
    </w:p>
  </w:footnote>
  <w:footnote w:id="211">
    <w:p w14:paraId="751433F2" w14:textId="4807B67A" w:rsidR="006152E8" w:rsidRDefault="006152E8" w:rsidP="00B506B0">
      <w:pPr>
        <w:pStyle w:val="Textpoznpodarou"/>
        <w:jc w:val="both"/>
      </w:pPr>
      <w:r>
        <w:tab/>
      </w:r>
      <w:r>
        <w:rPr>
          <w:rStyle w:val="Znakapoznpodarou"/>
        </w:rPr>
        <w:footnoteRef/>
      </w:r>
      <w:r>
        <w:tab/>
      </w:r>
      <w:r w:rsidRPr="000074F6">
        <w:rPr>
          <w:i/>
        </w:rPr>
        <w:t xml:space="preserve">See </w:t>
      </w:r>
      <w:r>
        <w:t xml:space="preserve">EPA Guidelines, </w:t>
      </w:r>
      <w:r w:rsidRPr="000074F6">
        <w:rPr>
          <w:i/>
        </w:rPr>
        <w:t>supra</w:t>
      </w:r>
      <w:r>
        <w:t xml:space="preserve"> note </w:t>
      </w:r>
      <w:r>
        <w:fldChar w:fldCharType="begin"/>
      </w:r>
      <w:r>
        <w:instrText xml:space="preserve"> NOTEREF _Ref209086725 \h </w:instrText>
      </w:r>
      <w:r>
        <w:fldChar w:fldCharType="separate"/>
      </w:r>
      <w:r>
        <w:t>32</w:t>
      </w:r>
      <w:r>
        <w:fldChar w:fldCharType="end"/>
      </w:r>
      <w:r>
        <w:t xml:space="preserve">, at 7-3 (stating that collaboration with scientific experts is necessary to evaluating environmental benefits).  </w:t>
      </w:r>
      <w:r w:rsidRPr="000074F6">
        <w:rPr>
          <w:i/>
        </w:rPr>
        <w:t>Cf</w:t>
      </w:r>
      <w:r>
        <w:rPr>
          <w:i/>
        </w:rPr>
        <w:t xml:space="preserve">. </w:t>
      </w:r>
      <w:r>
        <w:t xml:space="preserve">id. at 1634-35 (criticizing scientists who resolve policy questions embedded in risk assessment as if they were scientifically resolvable in isolation from “designated policymakers”). </w:t>
      </w:r>
    </w:p>
  </w:footnote>
  <w:footnote w:id="212">
    <w:p w14:paraId="2319B95C" w14:textId="2C3422B7" w:rsidR="006152E8" w:rsidRDefault="006152E8" w:rsidP="00B506B0">
      <w:pPr>
        <w:pStyle w:val="Textpoznpodarou"/>
        <w:jc w:val="both"/>
        <w:rPr>
          <w:rFonts w:cs="Times New Roman"/>
          <w:smallCaps/>
        </w:rPr>
      </w:pPr>
      <w:r>
        <w:tab/>
      </w:r>
      <w:r>
        <w:rPr>
          <w:rStyle w:val="Znakapoznpodarou"/>
        </w:rPr>
        <w:footnoteRef/>
      </w:r>
      <w:r>
        <w:tab/>
      </w:r>
      <w:r>
        <w:rPr>
          <w:i/>
        </w:rPr>
        <w:t>See</w:t>
      </w:r>
      <w:r>
        <w:t xml:space="preserve"> Laurence H. Tribe, </w:t>
      </w:r>
      <w:r>
        <w:rPr>
          <w:i/>
        </w:rPr>
        <w:t xml:space="preserve">Policy Science:  Analysis or Ideology?, </w:t>
      </w:r>
      <w:r>
        <w:t xml:space="preserve">2 </w:t>
      </w:r>
      <w:r>
        <w:rPr>
          <w:rFonts w:cs="Times New Roman"/>
          <w:smallCaps/>
        </w:rPr>
        <w:t>Phil. Pub. Aff. 66, 96-96 (1972).</w:t>
      </w:r>
    </w:p>
  </w:footnote>
  <w:footnote w:id="213">
    <w:p w14:paraId="2CE8CE5F" w14:textId="1ACD73E0" w:rsidR="006152E8" w:rsidRDefault="006152E8" w:rsidP="00B506B0">
      <w:pPr>
        <w:pStyle w:val="Textpoznpodarou"/>
        <w:jc w:val="both"/>
      </w:pPr>
      <w:r>
        <w:tab/>
      </w:r>
      <w:r>
        <w:rPr>
          <w:rStyle w:val="Znakapoznpodarou"/>
        </w:rPr>
        <w:footnoteRef/>
      </w:r>
      <w:r>
        <w:tab/>
      </w:r>
      <w:r>
        <w:rPr>
          <w:i/>
          <w:szCs w:val="20"/>
        </w:rPr>
        <w:t xml:space="preserve">See, e.g., </w:t>
      </w:r>
      <w:r>
        <w:rPr>
          <w:szCs w:val="20"/>
        </w:rPr>
        <w:t xml:space="preserve">Regulatory Impact Analysis for the Proposed Standards of Performance for Greenhouse Gas Emissions for New Stationary Sources:  Electric Utility Generating Units [hereinafter NSPS RIA] 5-23 (2012) (discussing the limitations of the IWG’s calculation of the social cost of carbon); CAFE II RIA, </w:t>
      </w:r>
      <w:r w:rsidRPr="001C7668">
        <w:rPr>
          <w:i/>
        </w:rPr>
        <w:t>supra</w:t>
      </w:r>
      <w:r>
        <w:rPr>
          <w:szCs w:val="20"/>
        </w:rPr>
        <w:t xml:space="preserve"> note </w:t>
      </w:r>
      <w:r>
        <w:rPr>
          <w:szCs w:val="20"/>
        </w:rPr>
        <w:fldChar w:fldCharType="begin"/>
      </w:r>
      <w:r>
        <w:rPr>
          <w:szCs w:val="20"/>
        </w:rPr>
        <w:instrText xml:space="preserve"> NOTEREF _Ref199486308 \h </w:instrText>
      </w:r>
      <w:r>
        <w:rPr>
          <w:szCs w:val="20"/>
        </w:rPr>
      </w:r>
      <w:r>
        <w:rPr>
          <w:szCs w:val="20"/>
        </w:rPr>
        <w:fldChar w:fldCharType="separate"/>
      </w:r>
      <w:r>
        <w:rPr>
          <w:szCs w:val="20"/>
        </w:rPr>
        <w:t>16</w:t>
      </w:r>
      <w:r>
        <w:rPr>
          <w:szCs w:val="20"/>
        </w:rPr>
        <w:fldChar w:fldCharType="end"/>
      </w:r>
      <w:r>
        <w:rPr>
          <w:szCs w:val="20"/>
        </w:rPr>
        <w:t>, at 7-12 (describing the social cost of carbon estimates as incomplete and noting that non-carbon dioxide greenhouse gas related benefits have not been quantified);</w:t>
      </w:r>
      <w:r>
        <w:t xml:space="preserve"> </w:t>
      </w:r>
      <w:r>
        <w:rPr>
          <w:rFonts w:cs="Times New Roman"/>
          <w:szCs w:val="20"/>
        </w:rPr>
        <w:t>Final Rulemaking to Establish Greenhouse Gas Emissions Standards and Fuel Efficiency   Standards for Medium</w:t>
      </w:r>
      <w:r>
        <w:rPr>
          <w:szCs w:val="20"/>
        </w:rPr>
        <w:t xml:space="preserve">- </w:t>
      </w:r>
      <w:r>
        <w:rPr>
          <w:rFonts w:cs="Times New Roman"/>
          <w:szCs w:val="20"/>
        </w:rPr>
        <w:t>and Heavy</w:t>
      </w:r>
      <w:r>
        <w:rPr>
          <w:szCs w:val="20"/>
        </w:rPr>
        <w:t>-</w:t>
      </w:r>
      <w:r>
        <w:rPr>
          <w:rFonts w:cs="Times New Roman"/>
          <w:szCs w:val="20"/>
        </w:rPr>
        <w:t xml:space="preserve">Duty Engines and Vehicles: Regulatory Impact Analysis [hereinafter Truck RIA], 8-77 – 8-79 (2011) (listing the monetized and non-monetized benefits of reductions in toxics and criteria pollutants); </w:t>
      </w:r>
      <w:r>
        <w:rPr>
          <w:szCs w:val="20"/>
        </w:rPr>
        <w:t>Final Rulemaking to Establish Light-Duty Vehicle Greenhouse Gas Emissions Standards and Corporate Average Fuel Economy Standards:  Regulatory Impact Analysis [hereinafter CAFE I RIA], ES-2 n. 4 (2010) (noting that the monetized greenhouse gas reduction benefit in the executive summary’s table excludes non-CO</w:t>
      </w:r>
      <w:r>
        <w:rPr>
          <w:szCs w:val="20"/>
          <w:vertAlign w:val="subscript"/>
        </w:rPr>
        <w:t xml:space="preserve">2 </w:t>
      </w:r>
      <w:r>
        <w:rPr>
          <w:szCs w:val="20"/>
        </w:rPr>
        <w:t>benefits)</w:t>
      </w:r>
    </w:p>
  </w:footnote>
  <w:footnote w:id="214">
    <w:p w14:paraId="7A41E514" w14:textId="77777777" w:rsidR="006152E8" w:rsidRDefault="006152E8" w:rsidP="00B506B0">
      <w:pPr>
        <w:pStyle w:val="Textpoznpodarou"/>
        <w:jc w:val="both"/>
      </w:pPr>
      <w:r>
        <w:tab/>
      </w:r>
      <w:r>
        <w:rPr>
          <w:rStyle w:val="Znakapoznpodarou"/>
        </w:rPr>
        <w:footnoteRef/>
      </w:r>
      <w:r>
        <w:tab/>
      </w:r>
      <w:r>
        <w:rPr>
          <w:i/>
        </w:rPr>
        <w:t xml:space="preserve">See, e.g., </w:t>
      </w:r>
      <w:r>
        <w:t xml:space="preserve">CAFE II RIA, </w:t>
      </w:r>
      <w:r w:rsidRPr="001C7668">
        <w:rPr>
          <w:i/>
        </w:rPr>
        <w:t>supra</w:t>
      </w:r>
      <w:r>
        <w:t xml:space="preserve"> note </w:t>
      </w:r>
      <w:r>
        <w:fldChar w:fldCharType="begin"/>
      </w:r>
      <w:r>
        <w:instrText xml:space="preserve"> NOTEREF _Ref199486308 \h </w:instrText>
      </w:r>
      <w:r>
        <w:fldChar w:fldCharType="separate"/>
      </w:r>
      <w:r>
        <w:t>16</w:t>
      </w:r>
      <w:r>
        <w:fldChar w:fldCharType="end"/>
      </w:r>
      <w:r>
        <w:t xml:space="preserve">, at 6-1 – 6-26 (qualitatively describing the impacts of criteria pollution and toxics limited by the rule); Truck RIA, </w:t>
      </w:r>
      <w:r>
        <w:rPr>
          <w:i/>
        </w:rPr>
        <w:t>supra</w:t>
      </w:r>
      <w:r>
        <w:t xml:space="preserve"> note </w:t>
      </w:r>
      <w:r>
        <w:fldChar w:fldCharType="begin"/>
      </w:r>
      <w:r>
        <w:instrText xml:space="preserve"> NOTEREF _Ref199485618 \h </w:instrText>
      </w:r>
      <w:r>
        <w:fldChar w:fldCharType="separate"/>
      </w:r>
      <w:r>
        <w:t>211</w:t>
      </w:r>
      <w:r>
        <w:fldChar w:fldCharType="end"/>
      </w:r>
      <w:r>
        <w:t xml:space="preserve">, at 8-1 – 8-32 (same); CAFE I RIA, </w:t>
      </w:r>
      <w:r>
        <w:rPr>
          <w:i/>
        </w:rPr>
        <w:t>supra</w:t>
      </w:r>
      <w:r>
        <w:t xml:space="preserve"> note </w:t>
      </w:r>
      <w:r>
        <w:fldChar w:fldCharType="begin"/>
      </w:r>
      <w:r>
        <w:instrText xml:space="preserve"> NOTEREF _Ref199485618 \h </w:instrText>
      </w:r>
      <w:r>
        <w:fldChar w:fldCharType="separate"/>
      </w:r>
      <w:r>
        <w:t>211</w:t>
      </w:r>
      <w:r>
        <w:fldChar w:fldCharType="end"/>
      </w:r>
      <w:r>
        <w:t xml:space="preserve">, at 7-1- 7-13, 7-89 – 7-90  (describing effects of air toxics and criteria pollutants and then providing a table listing non-monetized benefits). </w:t>
      </w:r>
    </w:p>
  </w:footnote>
  <w:footnote w:id="215">
    <w:p w14:paraId="4CFE36E9" w14:textId="180579E7" w:rsidR="006152E8" w:rsidRDefault="006152E8" w:rsidP="00B506B0">
      <w:pPr>
        <w:pStyle w:val="Textpoznpodarou"/>
        <w:jc w:val="both"/>
      </w:pPr>
      <w:r>
        <w:tab/>
      </w:r>
      <w:r>
        <w:rPr>
          <w:rStyle w:val="Znakapoznpodarou"/>
        </w:rPr>
        <w:footnoteRef/>
      </w:r>
      <w:r>
        <w:tab/>
      </w:r>
      <w:r>
        <w:rPr>
          <w:i/>
        </w:rPr>
        <w:t xml:space="preserve">See, e.g., </w:t>
      </w:r>
      <w:r>
        <w:t xml:space="preserve">CAFE II RIA, </w:t>
      </w:r>
      <w:r>
        <w:rPr>
          <w:i/>
        </w:rPr>
        <w:t>supra</w:t>
      </w:r>
      <w:r>
        <w:t xml:space="preserve"> note </w:t>
      </w:r>
      <w:r>
        <w:fldChar w:fldCharType="begin"/>
      </w:r>
      <w:r>
        <w:instrText xml:space="preserve"> NOTEREF _Ref199486308 \h </w:instrText>
      </w:r>
      <w:r>
        <w:fldChar w:fldCharType="separate"/>
      </w:r>
      <w:r>
        <w:t>16</w:t>
      </w:r>
      <w:r>
        <w:fldChar w:fldCharType="end"/>
      </w:r>
      <w:r>
        <w:t xml:space="preserve"> at vi (presenting a table early in the executive summary showing quantified costs and benefits with no mention of nonquantified benefits); Truck RIA, </w:t>
      </w:r>
      <w:r>
        <w:rPr>
          <w:i/>
        </w:rPr>
        <w:t>supra</w:t>
      </w:r>
      <w:r>
        <w:t xml:space="preserve"> note </w:t>
      </w:r>
      <w:r>
        <w:fldChar w:fldCharType="begin"/>
      </w:r>
      <w:r>
        <w:instrText xml:space="preserve"> NOTEREF _Ref199485618 \h </w:instrText>
      </w:r>
      <w:r>
        <w:fldChar w:fldCharType="separate"/>
      </w:r>
      <w:r>
        <w:t>211</w:t>
      </w:r>
      <w:r>
        <w:fldChar w:fldCharType="end"/>
      </w:r>
      <w:r>
        <w:t xml:space="preserve">, at </w:t>
      </w:r>
      <w:r>
        <w:rPr>
          <w:rFonts w:cs="Times New Roman"/>
          <w:szCs w:val="20"/>
        </w:rPr>
        <w:t>ES-1 – ES-2 (same);</w:t>
      </w:r>
      <w:r>
        <w:t xml:space="preserve"> Truck RIA, </w:t>
      </w:r>
      <w:r>
        <w:rPr>
          <w:i/>
        </w:rPr>
        <w:t>supra</w:t>
      </w:r>
      <w:r>
        <w:t xml:space="preserve"> note </w:t>
      </w:r>
      <w:r>
        <w:fldChar w:fldCharType="begin"/>
      </w:r>
      <w:r>
        <w:instrText xml:space="preserve"> NOTEREF _Ref199485618 \h </w:instrText>
      </w:r>
      <w:r>
        <w:fldChar w:fldCharType="separate"/>
      </w:r>
      <w:r>
        <w:t>211</w:t>
      </w:r>
      <w:r>
        <w:fldChar w:fldCharType="end"/>
      </w:r>
      <w:r>
        <w:t xml:space="preserve">, at ES 1CAFE I RIA, </w:t>
      </w:r>
      <w:r>
        <w:rPr>
          <w:i/>
        </w:rPr>
        <w:t xml:space="preserve">supra </w:t>
      </w:r>
      <w:r>
        <w:t xml:space="preserve">note </w:t>
      </w:r>
      <w:r>
        <w:fldChar w:fldCharType="begin"/>
      </w:r>
      <w:r>
        <w:instrText xml:space="preserve"> NOTEREF _Ref199485618 \h </w:instrText>
      </w:r>
      <w:r>
        <w:fldChar w:fldCharType="separate"/>
      </w:r>
      <w:r>
        <w:t>211</w:t>
      </w:r>
      <w:r>
        <w:fldChar w:fldCharType="end"/>
      </w:r>
      <w:r>
        <w:t>, at ES-2 (presenting a table early in the executive summary showing quantified costs and benefits with only a brief and very incomplete mention of omitted benefits in a footnote).</w:t>
      </w:r>
    </w:p>
  </w:footnote>
  <w:footnote w:id="216">
    <w:p w14:paraId="4F8D7238" w14:textId="306BF16C" w:rsidR="006152E8" w:rsidRDefault="006152E8" w:rsidP="00B506B0">
      <w:pPr>
        <w:pStyle w:val="Textpoznpodarou"/>
        <w:jc w:val="both"/>
      </w:pPr>
      <w:r>
        <w:tab/>
      </w:r>
      <w:r>
        <w:rPr>
          <w:rStyle w:val="Znakapoznpodarou"/>
        </w:rPr>
        <w:footnoteRef/>
      </w:r>
      <w:r>
        <w:tab/>
      </w:r>
      <w:r>
        <w:rPr>
          <w:i/>
        </w:rPr>
        <w:t>See, e.g.,</w:t>
      </w:r>
      <w:r>
        <w:t xml:space="preserve"> CAFE II RIA, </w:t>
      </w:r>
      <w:r>
        <w:rPr>
          <w:i/>
        </w:rPr>
        <w:t>supra</w:t>
      </w:r>
      <w:r>
        <w:t xml:space="preserve"> note </w:t>
      </w:r>
      <w:r>
        <w:fldChar w:fldCharType="begin"/>
      </w:r>
      <w:r>
        <w:instrText xml:space="preserve"> NOTEREF _Ref199486308 \h </w:instrText>
      </w:r>
      <w:r>
        <w:fldChar w:fldCharType="separate"/>
      </w:r>
      <w:r>
        <w:t>16</w:t>
      </w:r>
      <w:r>
        <w:fldChar w:fldCharType="end"/>
      </w:r>
      <w:r>
        <w:t xml:space="preserve">, at 6-43 – 7-10 (describing some benefits of reduced climate disruption qualitatively, but then presenting the monetized benefits with no clear or comprehensive indication of what is left out of the monetization). </w:t>
      </w:r>
    </w:p>
  </w:footnote>
  <w:footnote w:id="217">
    <w:p w14:paraId="0063A591" w14:textId="77777777" w:rsidR="006152E8" w:rsidRDefault="006152E8" w:rsidP="00B506B0">
      <w:pPr>
        <w:pStyle w:val="Textpoznpodarou"/>
        <w:jc w:val="both"/>
      </w:pPr>
      <w:r>
        <w:tab/>
      </w:r>
      <w:r>
        <w:rPr>
          <w:rStyle w:val="Znakapoznpodarou"/>
        </w:rPr>
        <w:footnoteRef/>
      </w:r>
      <w:r>
        <w:tab/>
      </w:r>
      <w:r>
        <w:rPr>
          <w:i/>
        </w:rPr>
        <w:t xml:space="preserve">Cf. </w:t>
      </w:r>
      <w:r>
        <w:t xml:space="preserve">Truck RIA, </w:t>
      </w:r>
      <w:r w:rsidRPr="00793944">
        <w:rPr>
          <w:i/>
        </w:rPr>
        <w:t>supra</w:t>
      </w:r>
      <w:r>
        <w:t xml:space="preserve"> note </w:t>
      </w:r>
      <w:r>
        <w:fldChar w:fldCharType="begin"/>
      </w:r>
      <w:r>
        <w:instrText xml:space="preserve"> NOTEREF _Ref199485618 \h </w:instrText>
      </w:r>
      <w:r>
        <w:fldChar w:fldCharType="separate"/>
      </w:r>
      <w:r>
        <w:t>211</w:t>
      </w:r>
      <w:r>
        <w:fldChar w:fldCharType="end"/>
      </w:r>
      <w:r>
        <w:t>, at 8-78 – 8-79 (providing a table distinguishing between quantified and non-quantified impacts, but containing no indication of their relative importance).</w:t>
      </w:r>
      <w:r>
        <w:tab/>
        <w:t xml:space="preserve"> </w:t>
      </w:r>
    </w:p>
  </w:footnote>
  <w:footnote w:id="218">
    <w:p w14:paraId="5E19E9BB" w14:textId="7B42EAF4" w:rsidR="006152E8" w:rsidRDefault="006152E8">
      <w:pPr>
        <w:pStyle w:val="Textpoznpodarou"/>
      </w:pPr>
      <w:r>
        <w:tab/>
      </w:r>
      <w:r>
        <w:rPr>
          <w:rStyle w:val="Znakapoznpodarou"/>
        </w:rPr>
        <w:footnoteRef/>
      </w:r>
      <w:r>
        <w:tab/>
      </w:r>
      <w:r>
        <w:rPr>
          <w:i/>
        </w:rPr>
        <w:t>See</w:t>
      </w:r>
      <w:r>
        <w:t xml:space="preserve"> EPA Guidelines, </w:t>
      </w:r>
      <w:r>
        <w:rPr>
          <w:i/>
        </w:rPr>
        <w:t>supra</w:t>
      </w:r>
      <w:r>
        <w:t xml:space="preserve"> note </w:t>
      </w:r>
      <w:r>
        <w:fldChar w:fldCharType="begin"/>
      </w:r>
      <w:r>
        <w:instrText xml:space="preserve"> NOTEREF _Ref209086725 \h </w:instrText>
      </w:r>
      <w:r>
        <w:fldChar w:fldCharType="separate"/>
      </w:r>
      <w:r>
        <w:t>32</w:t>
      </w:r>
      <w:r>
        <w:fldChar w:fldCharType="end"/>
      </w:r>
      <w:r>
        <w:t xml:space="preserve">, at 11-4 (presenting a table that indicates whether a benefit has been quantified and whether it has been monetized). </w:t>
      </w:r>
    </w:p>
  </w:footnote>
  <w:footnote w:id="219">
    <w:p w14:paraId="18F49B96" w14:textId="0B90E843" w:rsidR="006152E8" w:rsidRDefault="006152E8" w:rsidP="003C7333">
      <w:pPr>
        <w:pStyle w:val="Textpoznpodarou"/>
        <w:jc w:val="both"/>
      </w:pPr>
      <w:r>
        <w:tab/>
      </w:r>
      <w:r>
        <w:rPr>
          <w:rStyle w:val="Znakapoznpodarou"/>
        </w:rPr>
        <w:footnoteRef/>
      </w:r>
      <w:r>
        <w:tab/>
        <w:t xml:space="preserve">EPA’s guidance does not say anything about how to order the benefits within broad categories and even suggests putting nonquantifiables last in one summary table, whilst I endorse an ordering by importance.  </w:t>
      </w:r>
      <w:r>
        <w:rPr>
          <w:i/>
        </w:rPr>
        <w:t>See</w:t>
      </w:r>
      <w:r>
        <w:t xml:space="preserve"> id. at 11-4, 11-7 (using categories of health, environmental, and other benefits).  Furthermore, EPA says nothing about where this table appears, whilst I endorse putting this before any summation of costs and benefits, except where all of the significant costs and benefits have been monetized.  </w:t>
      </w:r>
      <w:r>
        <w:rPr>
          <w:i/>
        </w:rPr>
        <w:t xml:space="preserve">Cf. </w:t>
      </w:r>
      <w:r>
        <w:t>id. at 11-3 (presenting these tables as simply “templates for presenting information” albeit with a goal of communicating “full richness of benefit and cost information instead of focusing narrowly on what can be put in dollar terms”).</w:t>
      </w:r>
    </w:p>
  </w:footnote>
  <w:footnote w:id="220">
    <w:p w14:paraId="3B5C9FF6" w14:textId="43F9CFD0" w:rsidR="006152E8" w:rsidRDefault="006152E8" w:rsidP="003D07D5">
      <w:pPr>
        <w:pStyle w:val="Textpoznpodarou"/>
        <w:jc w:val="both"/>
      </w:pPr>
      <w:r>
        <w:tab/>
      </w:r>
      <w:r>
        <w:rPr>
          <w:rStyle w:val="Znakapoznpodarou"/>
        </w:rPr>
        <w:footnoteRef/>
      </w:r>
      <w:r>
        <w:tab/>
      </w:r>
      <w:r>
        <w:rPr>
          <w:i/>
        </w:rPr>
        <w:t>See</w:t>
      </w:r>
      <w:r>
        <w:t xml:space="preserve"> Driesen, </w:t>
      </w:r>
      <w:r>
        <w:rPr>
          <w:i/>
        </w:rPr>
        <w:t xml:space="preserve">Neutral, </w:t>
      </w:r>
      <w:r w:rsidRPr="008D54E5">
        <w:rPr>
          <w:i/>
        </w:rPr>
        <w:t>supra</w:t>
      </w:r>
      <w:r>
        <w:t xml:space="preserve"> note </w:t>
      </w:r>
      <w:r>
        <w:fldChar w:fldCharType="begin"/>
      </w:r>
      <w:r>
        <w:instrText xml:space="preserve"> NOTEREF _Ref322954156 \h </w:instrText>
      </w:r>
      <w:r>
        <w:fldChar w:fldCharType="separate"/>
      </w:r>
      <w:r>
        <w:t>17</w:t>
      </w:r>
      <w:r>
        <w:fldChar w:fldCharType="end"/>
      </w:r>
      <w:r>
        <w:t>, at 365 (explaining that construction runoff is one of the largest known sources of bacterial contamination).</w:t>
      </w:r>
    </w:p>
  </w:footnote>
  <w:footnote w:id="221">
    <w:p w14:paraId="5031179E" w14:textId="1D680C02" w:rsidR="006152E8" w:rsidRPr="0057447A" w:rsidRDefault="006152E8" w:rsidP="003C7333">
      <w:pPr>
        <w:pStyle w:val="Textpoznpodarou"/>
        <w:jc w:val="both"/>
      </w:pPr>
      <w:r>
        <w:tab/>
      </w:r>
      <w:r>
        <w:rPr>
          <w:rStyle w:val="Znakapoznpodarou"/>
        </w:rPr>
        <w:footnoteRef/>
      </w:r>
      <w:r>
        <w:tab/>
      </w:r>
      <w:r>
        <w:rPr>
          <w:i/>
        </w:rPr>
        <w:t>See</w:t>
      </w:r>
      <w:r>
        <w:t xml:space="preserve"> id. at 374 (explaining that EPA could not monetize recreational, biodiversity and health benefits, but did monetize the benefit of “avoided dredging and water storage and treatment costs”).</w:t>
      </w:r>
    </w:p>
  </w:footnote>
  <w:footnote w:id="222">
    <w:p w14:paraId="16BDF901" w14:textId="243A2B39" w:rsidR="006152E8" w:rsidRDefault="006152E8" w:rsidP="003C7333">
      <w:pPr>
        <w:pStyle w:val="Textpoznpodarou"/>
        <w:jc w:val="both"/>
      </w:pPr>
      <w:r>
        <w:tab/>
      </w:r>
      <w:r>
        <w:rPr>
          <w:rStyle w:val="Znakapoznpodarou"/>
        </w:rPr>
        <w:footnoteRef/>
      </w:r>
      <w:r>
        <w:tab/>
      </w:r>
      <w:r>
        <w:rPr>
          <w:i/>
        </w:rPr>
        <w:t xml:space="preserve">Cf. </w:t>
      </w:r>
      <w:r>
        <w:t xml:space="preserve">EPA Guidelines, </w:t>
      </w:r>
      <w:r w:rsidRPr="00793944">
        <w:rPr>
          <w:i/>
        </w:rPr>
        <w:t>supra</w:t>
      </w:r>
      <w:r>
        <w:t xml:space="preserve"> note </w:t>
      </w:r>
      <w:r>
        <w:fldChar w:fldCharType="begin"/>
      </w:r>
      <w:r>
        <w:instrText xml:space="preserve"> NOTEREF _Ref209086725 \h </w:instrText>
      </w:r>
      <w:r>
        <w:fldChar w:fldCharType="separate"/>
      </w:r>
      <w:r>
        <w:t>32</w:t>
      </w:r>
      <w:r>
        <w:fldChar w:fldCharType="end"/>
      </w:r>
      <w:r>
        <w:t xml:space="preserve">, at 7-49 (stating that CBA should explain why non-quantified effects may be important).  </w:t>
      </w:r>
    </w:p>
  </w:footnote>
  <w:footnote w:id="223">
    <w:p w14:paraId="09D34947" w14:textId="77777777" w:rsidR="006152E8" w:rsidRDefault="006152E8" w:rsidP="00B506B0">
      <w:pPr>
        <w:pStyle w:val="Textpoznpodarou"/>
        <w:jc w:val="both"/>
      </w:pPr>
      <w:r>
        <w:tab/>
      </w:r>
      <w:r>
        <w:rPr>
          <w:rStyle w:val="Znakapoznpodarou"/>
        </w:rPr>
        <w:footnoteRef/>
      </w:r>
      <w:r>
        <w:tab/>
      </w:r>
      <w:r>
        <w:rPr>
          <w:i/>
        </w:rPr>
        <w:t xml:space="preserve">See, e.g., </w:t>
      </w:r>
      <w:r>
        <w:t xml:space="preserve">CAFE I RIA, </w:t>
      </w:r>
      <w:r>
        <w:rPr>
          <w:i/>
        </w:rPr>
        <w:t>supra</w:t>
      </w:r>
      <w:r>
        <w:t xml:space="preserve"> note </w:t>
      </w:r>
      <w:r>
        <w:fldChar w:fldCharType="begin"/>
      </w:r>
      <w:r>
        <w:instrText xml:space="preserve"> NOTEREF _Ref199485618 \h </w:instrText>
      </w:r>
      <w:r>
        <w:fldChar w:fldCharType="separate"/>
      </w:r>
      <w:r>
        <w:t>211</w:t>
      </w:r>
      <w:r>
        <w:fldChar w:fldCharType="end"/>
      </w:r>
      <w:r>
        <w:t xml:space="preserve">, at 7-1- 7-13, 7-89 – 7-90  (providing a basic description of pollutant’s effects in one place and a list of the non-monetized effects in another). </w:t>
      </w:r>
    </w:p>
  </w:footnote>
  <w:footnote w:id="224">
    <w:p w14:paraId="695CE2A4" w14:textId="3237FFA2" w:rsidR="006152E8" w:rsidRDefault="006152E8" w:rsidP="003C7333">
      <w:pPr>
        <w:pStyle w:val="Textpoznpodarou"/>
        <w:jc w:val="both"/>
      </w:pPr>
      <w:r>
        <w:tab/>
      </w:r>
      <w:r>
        <w:rPr>
          <w:rStyle w:val="Znakapoznpodarou"/>
        </w:rPr>
        <w:footnoteRef/>
      </w:r>
      <w:r>
        <w:tab/>
      </w:r>
      <w:r>
        <w:rPr>
          <w:i/>
        </w:rPr>
        <w:t xml:space="preserve">See </w:t>
      </w:r>
      <w:r>
        <w:t xml:space="preserve">OMB, Circular A-4, 47 (2003) (recommending a form of CBA reporting that requires listing of nonquantifiables in a key table); EPA Guidelines, </w:t>
      </w:r>
      <w:r w:rsidRPr="00616D67">
        <w:rPr>
          <w:i/>
        </w:rPr>
        <w:t xml:space="preserve">supra </w:t>
      </w:r>
      <w:r>
        <w:t xml:space="preserve">note </w:t>
      </w:r>
      <w:r>
        <w:fldChar w:fldCharType="begin"/>
      </w:r>
      <w:r>
        <w:instrText xml:space="preserve"> NOTEREF _Ref209086725 \h </w:instrText>
      </w:r>
      <w:r>
        <w:fldChar w:fldCharType="separate"/>
      </w:r>
      <w:r>
        <w:t>32</w:t>
      </w:r>
      <w:r>
        <w:fldChar w:fldCharType="end"/>
      </w:r>
      <w:r>
        <w:t xml:space="preserve">, at </w:t>
      </w:r>
      <w:r w:rsidRPr="00616D67">
        <w:t>11</w:t>
      </w:r>
      <w:r>
        <w:t xml:space="preserve">-3 (recommending assessment of whether non-monetized costs and benefits “would materially alter the net benefit calculation”).  The apparent failure of these reforms to induce OIRA to give nonquantifiables substantial weight when justified by the science suggests that the further reforms I have proposed may not suffice.    </w:t>
      </w:r>
    </w:p>
  </w:footnote>
  <w:footnote w:id="225">
    <w:p w14:paraId="09AED29C" w14:textId="77777777" w:rsidR="006152E8" w:rsidRDefault="006152E8" w:rsidP="00B506B0">
      <w:pPr>
        <w:pStyle w:val="Textpoznpodarou"/>
      </w:pPr>
      <w:r>
        <w:tab/>
      </w:r>
      <w:r>
        <w:rPr>
          <w:rStyle w:val="Znakapoznpodarou"/>
        </w:rPr>
        <w:footnoteRef/>
      </w:r>
      <w:r>
        <w:tab/>
        <w:t xml:space="preserve">Cass R. Sunstein, </w:t>
      </w:r>
      <w:r>
        <w:rPr>
          <w:i/>
        </w:rPr>
        <w:t xml:space="preserve">Constitutionalism After the New Deal, </w:t>
      </w:r>
      <w:r>
        <w:t xml:space="preserve">101 </w:t>
      </w:r>
      <w:r>
        <w:rPr>
          <w:rFonts w:cs="Times New Roman"/>
          <w:smallCaps/>
        </w:rPr>
        <w:t>Harv. L. Rev. 421, 458-59 (1987) (</w:t>
      </w:r>
      <w:r>
        <w:rPr>
          <w:rFonts w:cs="Times New Roman"/>
        </w:rPr>
        <w:t xml:space="preserve">suggesting that concerns about antiregulatory bias at OMB could justify removing the regulatory review function from that institution); Lisa Schultz Bressman &amp; Michael P. Vandenbergh, </w:t>
      </w:r>
      <w:r>
        <w:rPr>
          <w:rFonts w:cs="Times New Roman"/>
          <w:i/>
        </w:rPr>
        <w:t xml:space="preserve">Inside the Administrative State:  A Critical Look at the Practice of Presidential Control, </w:t>
      </w:r>
      <w:r>
        <w:rPr>
          <w:rFonts w:cs="Times New Roman"/>
        </w:rPr>
        <w:t xml:space="preserve">105 </w:t>
      </w:r>
      <w:r>
        <w:rPr>
          <w:rFonts w:cs="Times New Roman"/>
          <w:smallCaps/>
        </w:rPr>
        <w:t xml:space="preserve">Mich. L. Rev. 47, 74-75 </w:t>
      </w:r>
      <w:r>
        <w:rPr>
          <w:rFonts w:cs="Times New Roman"/>
        </w:rPr>
        <w:t>(2006) (discussing the antiregulatory bias of OIRA’s permanent staff).</w:t>
      </w:r>
      <w:r>
        <w:t xml:space="preserve"> </w:t>
      </w:r>
    </w:p>
  </w:footnote>
  <w:footnote w:id="226">
    <w:p w14:paraId="01CB30C0" w14:textId="3BF615E1" w:rsidR="006152E8" w:rsidRDefault="006152E8" w:rsidP="003C7333">
      <w:pPr>
        <w:pStyle w:val="Textpoznpodarou"/>
        <w:jc w:val="both"/>
      </w:pPr>
      <w:r>
        <w:tab/>
      </w:r>
      <w:r>
        <w:rPr>
          <w:rStyle w:val="Znakapoznpodarou"/>
        </w:rPr>
        <w:footnoteRef/>
      </w:r>
      <w:r>
        <w:t xml:space="preserve"> </w:t>
      </w:r>
      <w:r>
        <w:tab/>
        <w:t xml:space="preserve">EPA Guidelines, </w:t>
      </w:r>
      <w:r>
        <w:rPr>
          <w:i/>
        </w:rPr>
        <w:t>supra</w:t>
      </w:r>
      <w:r>
        <w:t xml:space="preserve"> note </w:t>
      </w:r>
      <w:r>
        <w:fldChar w:fldCharType="begin"/>
      </w:r>
      <w:r>
        <w:instrText xml:space="preserve"> NOTEREF _Ref209086725 \h </w:instrText>
      </w:r>
      <w:r>
        <w:fldChar w:fldCharType="separate"/>
      </w:r>
      <w:r>
        <w:t>32</w:t>
      </w:r>
      <w:r>
        <w:fldChar w:fldCharType="end"/>
      </w:r>
      <w:r>
        <w:t>, at 1-1 (noting that executive order 12866 “directs federal agencies” to prepare CBA).</w:t>
      </w:r>
    </w:p>
  </w:footnote>
  <w:footnote w:id="227">
    <w:p w14:paraId="12D253CD" w14:textId="381992DA" w:rsidR="006152E8" w:rsidRDefault="006152E8" w:rsidP="00B506B0">
      <w:pPr>
        <w:pStyle w:val="Textpoznpodarou"/>
        <w:jc w:val="both"/>
      </w:pPr>
      <w:r>
        <w:tab/>
      </w:r>
      <w:r>
        <w:rPr>
          <w:rStyle w:val="Znakapoznpodarou"/>
        </w:rPr>
        <w:footnoteRef/>
      </w:r>
      <w:r>
        <w:tab/>
      </w:r>
      <w:r>
        <w:rPr>
          <w:rFonts w:cs="Times New Roman"/>
        </w:rPr>
        <w:t xml:space="preserve">The courts, however, have suggested that a true cost-benefit test governs the Toxics Substances Control Act (TSCA) and the Federal Insecticide Fungicide and Rodenticide Act (FIFRA).  </w:t>
      </w:r>
      <w:r>
        <w:rPr>
          <w:rFonts w:cs="Times New Roman"/>
          <w:i/>
        </w:rPr>
        <w:t xml:space="preserve">See </w:t>
      </w:r>
      <w:r>
        <w:rPr>
          <w:rFonts w:cs="Times New Roman"/>
        </w:rPr>
        <w:t>Corrosion Proof Fittings v. EPA, 947 F.2d 1201, 1217 (5</w:t>
      </w:r>
      <w:r w:rsidRPr="00AD1BAF">
        <w:rPr>
          <w:rFonts w:cs="Times New Roman"/>
          <w:vertAlign w:val="superscript"/>
        </w:rPr>
        <w:t>th</w:t>
      </w:r>
      <w:r>
        <w:rPr>
          <w:rFonts w:cs="Times New Roman"/>
        </w:rPr>
        <w:t xml:space="preserve"> Cir. 1991) (requiring consideration of each regulatory option’s costs and benefits); Environmental Defense Fund v. EPA, 548 F.2d 998, 1012-18 (D.C. Cir. 1976) (holding that the proponent of pesticide registration must show that the pesticide’s benefits outweigh the risks). By doing so they have thoroughly paralyzed these statutes’ implementation</w:t>
      </w:r>
      <w:r>
        <w:t xml:space="preserve">. </w:t>
      </w:r>
      <w:r>
        <w:rPr>
          <w:i/>
        </w:rPr>
        <w:t>See</w:t>
      </w:r>
      <w:r>
        <w:t xml:space="preserve"> Thomas O. McGarity, </w:t>
      </w:r>
      <w:r>
        <w:rPr>
          <w:i/>
        </w:rPr>
        <w:t>supra</w:t>
      </w:r>
      <w:r>
        <w:t xml:space="preserve"> note </w:t>
      </w:r>
      <w:r>
        <w:fldChar w:fldCharType="begin"/>
      </w:r>
      <w:r>
        <w:instrText xml:space="preserve"> NOTEREF _Ref340752106 \h </w:instrText>
      </w:r>
      <w:r>
        <w:fldChar w:fldCharType="separate"/>
      </w:r>
      <w:r>
        <w:t>161</w:t>
      </w:r>
      <w:r>
        <w:fldChar w:fldCharType="end"/>
      </w:r>
      <w:r>
        <w:t xml:space="preserve">, at 2343 (noting that CBA has “thoroughly stymied government action” under TSCA and FIFRA); </w:t>
      </w:r>
      <w:r>
        <w:rPr>
          <w:i/>
        </w:rPr>
        <w:t>see, e.g.,</w:t>
      </w:r>
      <w:r>
        <w:t xml:space="preserve"> Jason Scott Johnston, </w:t>
      </w:r>
      <w:r>
        <w:rPr>
          <w:i/>
        </w:rPr>
        <w:t xml:space="preserve">A Game Theoretic Analysis of Alternative Institutions for Regulatory Cost-Benefit Analysis, </w:t>
      </w:r>
      <w:r>
        <w:t xml:space="preserve">150 </w:t>
      </w:r>
      <w:r>
        <w:rPr>
          <w:rFonts w:cs="Times New Roman"/>
          <w:smallCaps/>
        </w:rPr>
        <w:t>U. Penn. L. Rev. 1343, 1392 (2002) (</w:t>
      </w:r>
      <w:r>
        <w:rPr>
          <w:rFonts w:cs="Times New Roman"/>
        </w:rPr>
        <w:t xml:space="preserve">noting that EPA had only reregistered 2 of 19,000 older pesticides by 1992); Donald T. Hornstein, </w:t>
      </w:r>
      <w:r>
        <w:rPr>
          <w:rFonts w:cs="Times New Roman"/>
          <w:i/>
        </w:rPr>
        <w:t xml:space="preserve">Lessons from Federal Pesticide Regulation on the Paradigms and Politics of Environmental Reform, </w:t>
      </w:r>
      <w:r>
        <w:rPr>
          <w:rFonts w:cs="Times New Roman"/>
        </w:rPr>
        <w:t xml:space="preserve">10 </w:t>
      </w:r>
      <w:r>
        <w:rPr>
          <w:rFonts w:cs="Times New Roman"/>
          <w:smallCaps/>
        </w:rPr>
        <w:t xml:space="preserve">Yale J. on Reg. 369, 436-37 </w:t>
      </w:r>
      <w:r>
        <w:rPr>
          <w:rFonts w:cs="Times New Roman"/>
        </w:rPr>
        <w:t>n. 395 (1993).</w:t>
      </w:r>
      <w:r>
        <w:t xml:space="preserve"> </w:t>
      </w:r>
    </w:p>
  </w:footnote>
  <w:footnote w:id="228">
    <w:p w14:paraId="29E59F57" w14:textId="77777777" w:rsidR="006152E8" w:rsidRDefault="006152E8" w:rsidP="00C237DA">
      <w:pPr>
        <w:pStyle w:val="Textpoznpodarou"/>
        <w:jc w:val="both"/>
      </w:pPr>
      <w:r>
        <w:tab/>
      </w:r>
      <w:r>
        <w:rPr>
          <w:rStyle w:val="Znakapoznpodarou"/>
        </w:rPr>
        <w:footnoteRef/>
      </w:r>
      <w:r>
        <w:tab/>
      </w:r>
      <w:r>
        <w:rPr>
          <w:i/>
        </w:rPr>
        <w:t xml:space="preserve">See, e.g., </w:t>
      </w:r>
      <w:r>
        <w:t xml:space="preserve">Whitman v. American Trucking Ass’ns, 531 U.S. 457, 465 (2001) (finding that the Clean Air Act precludes the consideration of cost in setting health protective National Ambient Air Quality Standards). </w:t>
      </w:r>
    </w:p>
  </w:footnote>
  <w:footnote w:id="229">
    <w:p w14:paraId="5D47FE9C" w14:textId="39792217" w:rsidR="006152E8" w:rsidRDefault="006152E8" w:rsidP="00C91E68">
      <w:pPr>
        <w:pStyle w:val="Textpoznpodarou"/>
        <w:jc w:val="both"/>
      </w:pPr>
      <w:r>
        <w:tab/>
      </w:r>
      <w:r>
        <w:rPr>
          <w:rStyle w:val="Znakapoznpodarou"/>
        </w:rPr>
        <w:footnoteRef/>
      </w:r>
      <w:r>
        <w:tab/>
      </w:r>
      <w:r>
        <w:rPr>
          <w:i/>
        </w:rPr>
        <w:t>See</w:t>
      </w:r>
      <w:r>
        <w:t xml:space="preserve"> Driesen, </w:t>
      </w:r>
      <w:r w:rsidRPr="00C91E68">
        <w:rPr>
          <w:i/>
        </w:rPr>
        <w:t>supra</w:t>
      </w:r>
      <w:r>
        <w:t xml:space="preserve"> note </w:t>
      </w:r>
      <w:r>
        <w:fldChar w:fldCharType="begin"/>
      </w:r>
      <w:r>
        <w:instrText xml:space="preserve"> NOTEREF _Ref334598518 \h </w:instrText>
      </w:r>
      <w:r>
        <w:fldChar w:fldCharType="separate"/>
      </w:r>
      <w:r>
        <w:t>98</w:t>
      </w:r>
      <w:r>
        <w:fldChar w:fldCharType="end"/>
      </w:r>
      <w:r>
        <w:t>, at 20-25 (providing numerous examples of feasibility-based statutory provisions).</w:t>
      </w:r>
    </w:p>
  </w:footnote>
  <w:footnote w:id="230">
    <w:p w14:paraId="691EA492" w14:textId="77777777" w:rsidR="006152E8" w:rsidRDefault="006152E8" w:rsidP="00C237DA">
      <w:pPr>
        <w:pStyle w:val="Textpoznpodarou"/>
        <w:jc w:val="both"/>
      </w:pPr>
      <w:r>
        <w:tab/>
      </w:r>
      <w:r>
        <w:rPr>
          <w:rStyle w:val="Znakapoznpodarou"/>
        </w:rPr>
        <w:footnoteRef/>
      </w:r>
      <w:r>
        <w:tab/>
      </w:r>
      <w:r>
        <w:rPr>
          <w:i/>
        </w:rPr>
        <w:t xml:space="preserve">Compare </w:t>
      </w:r>
      <w:r>
        <w:t xml:space="preserve">American Textile Mfrs. v. Donovan, 452 U.S. 490, 509 (1981) (interpreting the Occupational Safety and Health Act to require feasibility analysis and preclude CBA) </w:t>
      </w:r>
      <w:r>
        <w:rPr>
          <w:i/>
        </w:rPr>
        <w:t xml:space="preserve">with </w:t>
      </w:r>
      <w:r>
        <w:t xml:space="preserve">Entergy Corp. v. Riverkeeper, 556 U.S. 208, 219, 226 (2009) (interpreting the best technology available mandate in the Clean Water Act as not demanding maximum feasible reductions and permitting limited use of CBA). </w:t>
      </w:r>
    </w:p>
  </w:footnote>
  <w:footnote w:id="231">
    <w:p w14:paraId="579C5851" w14:textId="77777777" w:rsidR="006152E8" w:rsidRDefault="006152E8" w:rsidP="00C237DA">
      <w:pPr>
        <w:pStyle w:val="Textpoznpodarou"/>
        <w:jc w:val="both"/>
      </w:pPr>
      <w:r>
        <w:tab/>
      </w:r>
      <w:r>
        <w:rPr>
          <w:rStyle w:val="Znakapoznpodarou"/>
        </w:rPr>
        <w:footnoteRef/>
      </w:r>
      <w:r>
        <w:tab/>
      </w:r>
      <w:r>
        <w:rPr>
          <w:i/>
        </w:rPr>
        <w:t>See</w:t>
      </w:r>
      <w:r>
        <w:t xml:space="preserve"> </w:t>
      </w:r>
      <w:r>
        <w:rPr>
          <w:i/>
        </w:rPr>
        <w:t>Riverkeeper</w:t>
      </w:r>
      <w:r>
        <w:t xml:space="preserve">, 556 U.S. at 223-24 (approving CBA’s use to avoid extreme disparities between costs and benefits, but leaving open the question of whether comparing total costs to total benefits more broadly is permissible).   </w:t>
      </w:r>
    </w:p>
  </w:footnote>
  <w:footnote w:id="232">
    <w:p w14:paraId="0FDDCE9E" w14:textId="0EF83496" w:rsidR="006152E8" w:rsidRDefault="006152E8" w:rsidP="003C7333">
      <w:pPr>
        <w:pStyle w:val="Textpoznpodarou"/>
        <w:jc w:val="both"/>
      </w:pPr>
      <w:r>
        <w:tab/>
      </w:r>
      <w:r>
        <w:rPr>
          <w:rStyle w:val="Znakapoznpodarou"/>
        </w:rPr>
        <w:footnoteRef/>
      </w:r>
      <w:r>
        <w:tab/>
      </w:r>
      <w:r>
        <w:rPr>
          <w:i/>
        </w:rPr>
        <w:t>See generally</w:t>
      </w:r>
      <w:r>
        <w:t xml:space="preserve"> EPA Guidelines, supra note </w:t>
      </w:r>
      <w:r>
        <w:fldChar w:fldCharType="begin"/>
      </w:r>
      <w:r>
        <w:instrText xml:space="preserve"> NOTEREF _Ref209086725 \h </w:instrText>
      </w:r>
      <w:r>
        <w:fldChar w:fldCharType="separate"/>
      </w:r>
      <w:r>
        <w:t>32</w:t>
      </w:r>
      <w:r>
        <w:fldChar w:fldCharType="end"/>
      </w:r>
      <w:r>
        <w:t>, at 1-2 (characterizing CBA as “but one component” of a decisionmaking process that also involves concerns about enforceability, technical feasibility, affordability, politics, and ethics).</w:t>
      </w:r>
    </w:p>
  </w:footnote>
  <w:footnote w:id="233">
    <w:p w14:paraId="6421145F" w14:textId="64B66239" w:rsidR="006152E8" w:rsidRDefault="006152E8" w:rsidP="003C7333">
      <w:pPr>
        <w:pStyle w:val="Textpoznpodarou"/>
        <w:jc w:val="both"/>
      </w:pPr>
      <w:r>
        <w:tab/>
      </w:r>
      <w:r>
        <w:rPr>
          <w:rStyle w:val="Znakapoznpodarou"/>
        </w:rPr>
        <w:footnoteRef/>
      </w:r>
      <w:r>
        <w:tab/>
      </w:r>
      <w:r>
        <w:rPr>
          <w:i/>
        </w:rPr>
        <w:t>See</w:t>
      </w:r>
      <w:r>
        <w:t xml:space="preserve"> Adam M. Finkel, </w:t>
      </w:r>
      <w:r>
        <w:rPr>
          <w:i/>
        </w:rPr>
        <w:t xml:space="preserve">Who’s Exaggerating, </w:t>
      </w:r>
      <w:r>
        <w:t xml:space="preserve">17 </w:t>
      </w:r>
      <w:r>
        <w:rPr>
          <w:rFonts w:cs="Times New Roman"/>
          <w:smallCaps/>
        </w:rPr>
        <w:t>Discover 48, 49 (</w:t>
      </w:r>
      <w:r>
        <w:rPr>
          <w:rFonts w:cs="Times New Roman"/>
        </w:rPr>
        <w:t xml:space="preserve">1996) (pointing out that risk assessors traditionally focus on a reasonable worst case); </w:t>
      </w:r>
      <w:r w:rsidRPr="003C096A">
        <w:rPr>
          <w:rFonts w:cs="Times New Roman"/>
          <w:smallCaps/>
        </w:rPr>
        <w:t>Perspectives on the Precautionary Principle</w:t>
      </w:r>
      <w:r>
        <w:rPr>
          <w:rFonts w:cs="Times New Roman"/>
        </w:rPr>
        <w:t xml:space="preserve"> 41-42 (</w:t>
      </w:r>
      <w:r w:rsidRPr="003C096A">
        <w:rPr>
          <w:rFonts w:cs="Times New Roman"/>
        </w:rPr>
        <w:t>R</w:t>
      </w:r>
      <w:r>
        <w:rPr>
          <w:rFonts w:cs="Times New Roman"/>
        </w:rPr>
        <w:t xml:space="preserve">onnie Harding &amp; Elizabeth Fisher eds. </w:t>
      </w:r>
      <w:r w:rsidRPr="003C096A">
        <w:rPr>
          <w:rFonts w:cs="Times New Roman"/>
        </w:rPr>
        <w:t>1999</w:t>
      </w:r>
      <w:r>
        <w:rPr>
          <w:rFonts w:cs="Times New Roman"/>
        </w:rPr>
        <w:t>) (arguing that the precautionary principle endorses or requires worst-case analysis).</w:t>
      </w:r>
      <w:r>
        <w:t xml:space="preserve">  </w:t>
      </w:r>
    </w:p>
  </w:footnote>
  <w:footnote w:id="234">
    <w:p w14:paraId="55C2543E" w14:textId="0F1F0357" w:rsidR="006152E8" w:rsidRDefault="006152E8" w:rsidP="003C7333">
      <w:pPr>
        <w:pStyle w:val="Textpoznpodarou"/>
        <w:jc w:val="both"/>
      </w:pPr>
      <w:r>
        <w:tab/>
      </w:r>
      <w:r>
        <w:rPr>
          <w:rStyle w:val="Znakapoznpodarou"/>
        </w:rPr>
        <w:footnoteRef/>
      </w:r>
      <w:r>
        <w:tab/>
      </w:r>
      <w:r>
        <w:rPr>
          <w:i/>
        </w:rPr>
        <w:t xml:space="preserve">See generally </w:t>
      </w:r>
      <w:r w:rsidRPr="00375DF9">
        <w:rPr>
          <w:rFonts w:cs="Times New Roman"/>
          <w:szCs w:val="20"/>
        </w:rPr>
        <w:t xml:space="preserve">Edward A. Fitzgerald, </w:t>
      </w:r>
      <w:r w:rsidRPr="00375DF9">
        <w:rPr>
          <w:rFonts w:ascii="Times" w:hAnsi="Times" w:cs="Times"/>
          <w:i/>
          <w:iCs/>
          <w:szCs w:val="20"/>
        </w:rPr>
        <w:t>The Rise and Fall of Worst-</w:t>
      </w:r>
      <w:r>
        <w:rPr>
          <w:rFonts w:ascii="Times" w:hAnsi="Times" w:cs="Times"/>
          <w:i/>
          <w:iCs/>
          <w:szCs w:val="20"/>
        </w:rPr>
        <w:t>C</w:t>
      </w:r>
      <w:r w:rsidRPr="00375DF9">
        <w:rPr>
          <w:rFonts w:ascii="Times" w:hAnsi="Times" w:cs="Times"/>
          <w:i/>
          <w:iCs/>
          <w:szCs w:val="20"/>
        </w:rPr>
        <w:t xml:space="preserve">ase Analysis, </w:t>
      </w:r>
      <w:r w:rsidRPr="00375DF9">
        <w:rPr>
          <w:rFonts w:cs="Times New Roman"/>
          <w:szCs w:val="20"/>
        </w:rPr>
        <w:t xml:space="preserve">18 U. </w:t>
      </w:r>
      <w:r w:rsidRPr="00375DF9">
        <w:rPr>
          <w:rFonts w:cs="Times New Roman"/>
          <w:smallCaps/>
          <w:szCs w:val="20"/>
        </w:rPr>
        <w:t>Dayton L. Rev</w:t>
      </w:r>
      <w:r w:rsidRPr="00375DF9">
        <w:rPr>
          <w:rFonts w:cs="Times New Roman"/>
          <w:szCs w:val="20"/>
        </w:rPr>
        <w:t>. 1, 9-10 (1992).</w:t>
      </w:r>
      <w:r>
        <w:t xml:space="preserve"> </w:t>
      </w:r>
    </w:p>
  </w:footnote>
  <w:footnote w:id="235">
    <w:p w14:paraId="38CD3EA7" w14:textId="77777777" w:rsidR="006152E8" w:rsidRPr="00375DF9" w:rsidRDefault="006152E8">
      <w:pPr>
        <w:pStyle w:val="Textpoznpodarou"/>
      </w:pPr>
      <w:r>
        <w:tab/>
      </w:r>
      <w:r>
        <w:rPr>
          <w:rStyle w:val="Znakapoznpodarou"/>
        </w:rPr>
        <w:footnoteRef/>
      </w:r>
      <w:r>
        <w:t xml:space="preserve"> </w:t>
      </w:r>
      <w:r>
        <w:tab/>
      </w:r>
      <w:r>
        <w:rPr>
          <w:i/>
        </w:rPr>
        <w:t>See</w:t>
      </w:r>
      <w:r>
        <w:t xml:space="preserve"> id. at 2, 43.  </w:t>
      </w:r>
    </w:p>
  </w:footnote>
  <w:footnote w:id="236">
    <w:p w14:paraId="5784F1A3" w14:textId="17F84363" w:rsidR="006152E8" w:rsidRPr="00824E10" w:rsidRDefault="006152E8" w:rsidP="00824E10">
      <w:pPr>
        <w:rPr>
          <w:rFonts w:cs="Times New Roman"/>
        </w:rPr>
      </w:pPr>
      <w:r>
        <w:tab/>
      </w:r>
      <w:r w:rsidRPr="00B1528F">
        <w:rPr>
          <w:rStyle w:val="Znakapoznpodarou"/>
          <w:sz w:val="20"/>
          <w:szCs w:val="20"/>
        </w:rPr>
        <w:footnoteRef/>
      </w:r>
      <w:r>
        <w:tab/>
      </w:r>
      <w:r w:rsidRPr="00824E10">
        <w:rPr>
          <w:rFonts w:cs="Times New Roman"/>
          <w:smallCaps/>
          <w:sz w:val="20"/>
        </w:rPr>
        <w:t>Posner</w:t>
      </w:r>
      <w:r>
        <w:rPr>
          <w:rFonts w:cs="Times New Roman"/>
          <w:smallCaps/>
          <w:sz w:val="20"/>
        </w:rPr>
        <w:t>,</w:t>
      </w:r>
      <w:r>
        <w:rPr>
          <w:rFonts w:cs="Times New Roman"/>
        </w:rPr>
        <w:t xml:space="preserve"> </w:t>
      </w:r>
      <w:r w:rsidRPr="001152CC">
        <w:rPr>
          <w:rFonts w:cs="Times New Roman"/>
          <w:sz w:val="20"/>
        </w:rPr>
        <w:t>supra note</w:t>
      </w:r>
      <w:r>
        <w:rPr>
          <w:rFonts w:cs="Times New Roman"/>
          <w:sz w:val="20"/>
        </w:rPr>
        <w:t xml:space="preserve"> </w:t>
      </w:r>
      <w:r>
        <w:rPr>
          <w:rFonts w:cs="Times New Roman"/>
          <w:sz w:val="20"/>
        </w:rPr>
        <w:fldChar w:fldCharType="begin"/>
      </w:r>
      <w:r>
        <w:rPr>
          <w:rFonts w:cs="Times New Roman"/>
          <w:sz w:val="20"/>
        </w:rPr>
        <w:instrText xml:space="preserve"> NOTEREF _Ref221176033 \h </w:instrText>
      </w:r>
      <w:r>
        <w:rPr>
          <w:rFonts w:cs="Times New Roman"/>
          <w:sz w:val="20"/>
        </w:rPr>
      </w:r>
      <w:r>
        <w:rPr>
          <w:rFonts w:cs="Times New Roman"/>
          <w:sz w:val="20"/>
        </w:rPr>
        <w:fldChar w:fldCharType="separate"/>
      </w:r>
      <w:r>
        <w:rPr>
          <w:rFonts w:cs="Times New Roman"/>
          <w:sz w:val="20"/>
        </w:rPr>
        <w:t>1</w:t>
      </w:r>
      <w:r>
        <w:rPr>
          <w:rFonts w:cs="Times New Roman"/>
          <w:sz w:val="20"/>
        </w:rPr>
        <w:fldChar w:fldCharType="end"/>
      </w:r>
      <w:r>
        <w:rPr>
          <w:rFonts w:cs="Times New Roman"/>
          <w:sz w:val="20"/>
        </w:rPr>
        <w:t xml:space="preserve">, at </w:t>
      </w:r>
      <w:r>
        <w:rPr>
          <w:rFonts w:cs="Times New Roman"/>
          <w:smallCaps/>
          <w:sz w:val="20"/>
        </w:rPr>
        <w:t>52-53</w:t>
      </w:r>
      <w:r w:rsidRPr="00824E10">
        <w:rPr>
          <w:rFonts w:cs="Times New Roman"/>
          <w:sz w:val="20"/>
          <w:szCs w:val="20"/>
        </w:rPr>
        <w:t>.</w:t>
      </w:r>
    </w:p>
  </w:footnote>
  <w:footnote w:id="237">
    <w:p w14:paraId="75C9E087" w14:textId="269F14D0" w:rsidR="006152E8" w:rsidRDefault="006152E8" w:rsidP="003C7333">
      <w:pPr>
        <w:pStyle w:val="Textpoznpodarou"/>
        <w:jc w:val="both"/>
      </w:pPr>
      <w:r>
        <w:tab/>
      </w:r>
      <w:r>
        <w:rPr>
          <w:rStyle w:val="Znakapoznpodarou"/>
        </w:rPr>
        <w:footnoteRef/>
      </w:r>
      <w:r>
        <w:tab/>
      </w:r>
      <w:r>
        <w:rPr>
          <w:i/>
        </w:rPr>
        <w:t xml:space="preserve">See, e.g., </w:t>
      </w:r>
      <w:r>
        <w:t xml:space="preserve">Cass R. Sunstein, </w:t>
      </w:r>
      <w:r>
        <w:rPr>
          <w:i/>
        </w:rPr>
        <w:t xml:space="preserve">Probability Neglect:  Emotions, Worst Case Analysis, and Law, </w:t>
      </w:r>
      <w:r>
        <w:t xml:space="preserve">112 </w:t>
      </w:r>
      <w:r>
        <w:rPr>
          <w:smallCaps/>
        </w:rPr>
        <w:t>Yale L. J. 61, 98 (2002) (</w:t>
      </w:r>
      <w:r>
        <w:t>linking worst case analysis to excessive alarm over highly improbably scenarios)</w:t>
      </w:r>
      <w:r>
        <w:rPr>
          <w:smallCaps/>
        </w:rPr>
        <w:t xml:space="preserve">; </w:t>
      </w:r>
      <w:r>
        <w:t xml:space="preserve">Alan K. Simpson, </w:t>
      </w:r>
      <w:r>
        <w:rPr>
          <w:i/>
        </w:rPr>
        <w:t xml:space="preserve">“Worst Case” Analysis:  A Study in Reckless, Wasteful Conjecture, </w:t>
      </w:r>
      <w:r>
        <w:t xml:space="preserve">25 </w:t>
      </w:r>
      <w:r>
        <w:rPr>
          <w:smallCaps/>
        </w:rPr>
        <w:t>Land &amp; Water L. Rev. 99, 100 (1990) (</w:t>
      </w:r>
      <w:r>
        <w:t xml:space="preserve">complaining about worst case analysis focused on “scenarios that were unlikely to exist in the real world”); Allan D. Brock, </w:t>
      </w:r>
      <w:r>
        <w:rPr>
          <w:i/>
        </w:rPr>
        <w:t xml:space="preserve">Abolishing the Worst Case Analysis, </w:t>
      </w:r>
      <w:r>
        <w:t xml:space="preserve">2 </w:t>
      </w:r>
      <w:r>
        <w:rPr>
          <w:smallCaps/>
        </w:rPr>
        <w:t xml:space="preserve">Nat. Resources &amp; Env’t 22, 67 (1986) </w:t>
      </w:r>
      <w:r>
        <w:t xml:space="preserve">(objecting to worst case analysis as focused on “the worst possible consequences that can be imagined”); Melissa P. Corrado, Note, </w:t>
      </w:r>
      <w:r>
        <w:rPr>
          <w:i/>
        </w:rPr>
        <w:t xml:space="preserve">The National Environmental Policy Act and the Revised CEQ Regulations:  A Fate Worse than the “Worst Case Analysis?”, </w:t>
      </w:r>
      <w:r>
        <w:t xml:space="preserve">60 </w:t>
      </w:r>
      <w:r>
        <w:rPr>
          <w:smallCaps/>
        </w:rPr>
        <w:t>St. John’s L. Rev. 500, 506 (1985) (</w:t>
      </w:r>
      <w:r>
        <w:t xml:space="preserve">complaining about “unlimited and . . . exaggerated speculation”) </w:t>
      </w:r>
    </w:p>
  </w:footnote>
  <w:footnote w:id="238">
    <w:p w14:paraId="6222A29A" w14:textId="6A3D7A5B" w:rsidR="006152E8" w:rsidRDefault="006152E8" w:rsidP="003C7333">
      <w:pPr>
        <w:pStyle w:val="Textpoznpodarou"/>
        <w:jc w:val="both"/>
      </w:pPr>
      <w:r>
        <w:tab/>
      </w:r>
      <w:r>
        <w:rPr>
          <w:rStyle w:val="Znakapoznpodarou"/>
        </w:rPr>
        <w:footnoteRef/>
      </w:r>
      <w:r>
        <w:tab/>
      </w:r>
      <w:r>
        <w:rPr>
          <w:i/>
        </w:rPr>
        <w:t xml:space="preserve">See </w:t>
      </w:r>
      <w:r>
        <w:t xml:space="preserve">Ackerman </w:t>
      </w:r>
      <w:r>
        <w:rPr>
          <w:i/>
        </w:rPr>
        <w:t>et al., supra</w:t>
      </w:r>
      <w:r>
        <w:t xml:space="preserve"> note </w:t>
      </w:r>
      <w:r>
        <w:fldChar w:fldCharType="begin"/>
      </w:r>
      <w:r>
        <w:instrText xml:space="preserve"> NOTEREF _Ref340747853 \h </w:instrText>
      </w:r>
      <w:r>
        <w:fldChar w:fldCharType="separate"/>
      </w:r>
      <w:r>
        <w:t>171</w:t>
      </w:r>
      <w:r>
        <w:fldChar w:fldCharType="end"/>
      </w:r>
      <w:r>
        <w:t xml:space="preserve">, at 2720 (pointing out that we cannot learn enough to know how likely the worst-case possibilities are for climate disruption); </w:t>
      </w:r>
      <w:r>
        <w:rPr>
          <w:i/>
        </w:rPr>
        <w:t xml:space="preserve">see generally </w:t>
      </w:r>
      <w:r>
        <w:t xml:space="preserve">Weitzman, </w:t>
      </w:r>
      <w:r>
        <w:rPr>
          <w:i/>
        </w:rPr>
        <w:t>supra</w:t>
      </w:r>
      <w:r>
        <w:t xml:space="preserve"> note </w:t>
      </w:r>
      <w:r>
        <w:fldChar w:fldCharType="begin"/>
      </w:r>
      <w:r>
        <w:instrText xml:space="preserve"> NOTEREF _Ref335384505 \h </w:instrText>
      </w:r>
      <w:r>
        <w:fldChar w:fldCharType="separate"/>
      </w:r>
      <w:r>
        <w:t>178</w:t>
      </w:r>
      <w:r>
        <w:fldChar w:fldCharType="end"/>
      </w:r>
      <w:r>
        <w:t xml:space="preserve">, at 2 (claiming that even standard approaches to modeling climate change that employ Monte Carlo analysis probably do not adequately account for “fat-tailed” risk). </w:t>
      </w:r>
    </w:p>
  </w:footnote>
  <w:footnote w:id="239">
    <w:p w14:paraId="0342D1C2" w14:textId="3E35D8CC" w:rsidR="006152E8" w:rsidRDefault="006152E8">
      <w:pPr>
        <w:pStyle w:val="Textpoznpodarou"/>
      </w:pPr>
      <w:r>
        <w:tab/>
      </w:r>
      <w:r>
        <w:rPr>
          <w:rStyle w:val="Znakapoznpodarou"/>
        </w:rPr>
        <w:footnoteRef/>
      </w:r>
      <w:r>
        <w:tab/>
      </w:r>
      <w:r>
        <w:rPr>
          <w:i/>
        </w:rPr>
        <w:t>See</w:t>
      </w:r>
      <w:r>
        <w:t xml:space="preserve"> </w:t>
      </w:r>
      <w:r>
        <w:rPr>
          <w:smallCaps/>
        </w:rPr>
        <w:t>Cass R. Sunstein, Worst Case Scenarios 119 (2007) (</w:t>
      </w:r>
      <w:r>
        <w:t xml:space="preserve">suggesting that in cases of true uncertainty regulators should act to avoid potential catastrophes, even when the probabilities of a catastrophe occurring are unknown); Sunstein, </w:t>
      </w:r>
      <w:r>
        <w:rPr>
          <w:i/>
        </w:rPr>
        <w:t xml:space="preserve">supra </w:t>
      </w:r>
      <w:r w:rsidRPr="004D10E2">
        <w:t>note</w:t>
      </w:r>
      <w:r>
        <w:t xml:space="preserve"> </w:t>
      </w:r>
      <w:r>
        <w:fldChar w:fldCharType="begin"/>
      </w:r>
      <w:r>
        <w:instrText xml:space="preserve"> NOTEREF _Ref214331180 \h </w:instrText>
      </w:r>
      <w:r>
        <w:fldChar w:fldCharType="separate"/>
      </w:r>
      <w:r>
        <w:t>235</w:t>
      </w:r>
      <w:r>
        <w:fldChar w:fldCharType="end"/>
      </w:r>
      <w:r>
        <w:t xml:space="preserve">, </w:t>
      </w:r>
      <w:r w:rsidRPr="004D10E2">
        <w:t>at</w:t>
      </w:r>
      <w:r>
        <w:t xml:space="preserve"> 98 (suggesting that worst case analysis makes sense under conditions of uncertainty rather than risk); David Dana, </w:t>
      </w:r>
      <w:r>
        <w:rPr>
          <w:i/>
        </w:rPr>
        <w:t xml:space="preserve">The Contextual Rationality of the Precautionary Principle, </w:t>
      </w:r>
      <w:r>
        <w:t xml:space="preserve">35 </w:t>
      </w:r>
      <w:r>
        <w:rPr>
          <w:smallCaps/>
        </w:rPr>
        <w:t>Queen’s L. J. 67, 75 (2009) (</w:t>
      </w:r>
      <w:r>
        <w:t xml:space="preserve">pointing out that people tend to be risk adverse in the sense of eager to avoid serious losses). </w:t>
      </w:r>
    </w:p>
  </w:footnote>
  <w:footnote w:id="240">
    <w:p w14:paraId="2686F9B5" w14:textId="1F592DB8" w:rsidR="006152E8" w:rsidRDefault="006152E8" w:rsidP="003C7333">
      <w:pPr>
        <w:pStyle w:val="Textpoznpodarou"/>
        <w:jc w:val="both"/>
      </w:pPr>
      <w:r>
        <w:tab/>
      </w:r>
      <w:r>
        <w:rPr>
          <w:rStyle w:val="Znakapoznpodarou"/>
        </w:rPr>
        <w:footnoteRef/>
      </w:r>
      <w:r>
        <w:tab/>
      </w:r>
      <w:r>
        <w:rPr>
          <w:i/>
        </w:rPr>
        <w:t>See</w:t>
      </w:r>
      <w:r>
        <w:t xml:space="preserve"> Margaret R. Taylor, </w:t>
      </w:r>
      <w:r>
        <w:rPr>
          <w:i/>
        </w:rPr>
        <w:t xml:space="preserve">Innovation Under Cap and Trade, </w:t>
      </w:r>
      <w:r>
        <w:t xml:space="preserve">PNAS 3 </w:t>
      </w:r>
      <w:r>
        <w:rPr>
          <w:smallCaps/>
        </w:rPr>
        <w:t>(2013) (</w:t>
      </w:r>
      <w:r>
        <w:t>finding that regulators overestimated the costs of sulfur dioxide and nitrogen oxide regulations authorizing trading programs)</w:t>
      </w:r>
      <w:r>
        <w:rPr>
          <w:smallCaps/>
        </w:rPr>
        <w:t xml:space="preserve">; </w:t>
      </w:r>
      <w:r>
        <w:t xml:space="preserve">Larry Dale </w:t>
      </w:r>
      <w:r>
        <w:rPr>
          <w:i/>
        </w:rPr>
        <w:t xml:space="preserve">et al., Retrospective Analysis of Appliance Price Trends, </w:t>
      </w:r>
      <w:r>
        <w:t xml:space="preserve">37 </w:t>
      </w:r>
      <w:r>
        <w:rPr>
          <w:smallCaps/>
        </w:rPr>
        <w:t xml:space="preserve">Energy Pol’y </w:t>
      </w:r>
      <w:r>
        <w:t>597, 598-99  (2009) (finding that energy regulators forecast price increases from regulations improving energy efficiency, but that actual market data shows price declines);</w:t>
      </w:r>
      <w:r>
        <w:rPr>
          <w:i/>
        </w:rPr>
        <w:t xml:space="preserve"> </w:t>
      </w:r>
      <w:r w:rsidRPr="006B08C6">
        <w:t>Winston</w:t>
      </w:r>
      <w:r>
        <w:t xml:space="preserve"> Harrington, Richard D. Morgenstern, &amp; Peter Nelson, </w:t>
      </w:r>
      <w:r>
        <w:rPr>
          <w:i/>
        </w:rPr>
        <w:t xml:space="preserve">On the Accuracy of Regulatory Cost Estimates, </w:t>
      </w:r>
      <w:r>
        <w:t xml:space="preserve">19 </w:t>
      </w:r>
      <w:r>
        <w:rPr>
          <w:smallCaps/>
        </w:rPr>
        <w:t>J. Pol’y Analysis &amp; Mgmt.</w:t>
      </w:r>
      <w:r>
        <w:t xml:space="preserve"> 297, 306 (2000) (finding a consistent tendency to overestimate regulatory costs).</w:t>
      </w:r>
    </w:p>
  </w:footnote>
  <w:footnote w:id="241">
    <w:p w14:paraId="05687F13" w14:textId="39DE4711" w:rsidR="006152E8" w:rsidRDefault="006152E8" w:rsidP="00BE6FAA">
      <w:pPr>
        <w:pStyle w:val="Textpoznpodarou"/>
        <w:jc w:val="both"/>
      </w:pPr>
      <w:r>
        <w:tab/>
      </w:r>
      <w:r>
        <w:rPr>
          <w:rStyle w:val="Znakapoznpodarou"/>
        </w:rPr>
        <w:footnoteRef/>
      </w:r>
      <w:r>
        <w:tab/>
      </w:r>
      <w:r w:rsidRPr="008E7831">
        <w:rPr>
          <w:rFonts w:cs="Times New Roman"/>
          <w:i/>
          <w:szCs w:val="20"/>
        </w:rPr>
        <w:t>Cf.</w:t>
      </w:r>
      <w:r>
        <w:rPr>
          <w:rFonts w:cs="Times New Roman"/>
          <w:szCs w:val="20"/>
        </w:rPr>
        <w:t xml:space="preserve"> Daniel A. Farber, </w:t>
      </w:r>
      <w:r w:rsidRPr="00BE6FAA">
        <w:rPr>
          <w:i/>
          <w:szCs w:val="20"/>
        </w:rPr>
        <w:t>Probabilities Behaving Badly:  Complexity Theory and Environmental Uncertainty</w:t>
      </w:r>
      <w:r w:rsidRPr="008E7831">
        <w:rPr>
          <w:rFonts w:cs="Times New Roman"/>
          <w:szCs w:val="20"/>
        </w:rPr>
        <w:t xml:space="preserve">, 37 </w:t>
      </w:r>
      <w:r w:rsidRPr="008E7831">
        <w:rPr>
          <w:szCs w:val="20"/>
        </w:rPr>
        <w:t>U.C. Davis L. Rev</w:t>
      </w:r>
      <w:r w:rsidRPr="008E7831">
        <w:rPr>
          <w:rFonts w:cs="Times New Roman"/>
          <w:szCs w:val="20"/>
        </w:rPr>
        <w:t xml:space="preserve">. 145, 171 (2003) (noting that uncertainty may not be symmetrical, as we may know more about the future price of reducing fossil fuel use than we do about the magnitude of future climate disruption). </w:t>
      </w:r>
      <w:r>
        <w:t xml:space="preserve"> </w:t>
      </w:r>
    </w:p>
  </w:footnote>
  <w:footnote w:id="242">
    <w:p w14:paraId="329ACB6C" w14:textId="41B18F1C" w:rsidR="006152E8" w:rsidRPr="003C7333" w:rsidRDefault="006152E8" w:rsidP="003C7333">
      <w:pPr>
        <w:autoSpaceDE w:val="0"/>
        <w:autoSpaceDN w:val="0"/>
        <w:adjustRightInd w:val="0"/>
        <w:jc w:val="both"/>
        <w:rPr>
          <w:rFonts w:cs="Times New Roman"/>
          <w:sz w:val="20"/>
          <w:szCs w:val="20"/>
        </w:rPr>
      </w:pPr>
      <w:r>
        <w:tab/>
      </w:r>
      <w:r w:rsidRPr="00A12960">
        <w:rPr>
          <w:rStyle w:val="Znakapoznpodarou"/>
          <w:sz w:val="20"/>
          <w:szCs w:val="20"/>
        </w:rPr>
        <w:footnoteRef/>
      </w:r>
      <w:r>
        <w:t xml:space="preserve"> </w:t>
      </w:r>
      <w:r w:rsidRPr="002742D5">
        <w:rPr>
          <w:i/>
          <w:sz w:val="20"/>
          <w:szCs w:val="20"/>
        </w:rPr>
        <w:t>See</w:t>
      </w:r>
      <w:r w:rsidRPr="002742D5">
        <w:rPr>
          <w:sz w:val="20"/>
          <w:szCs w:val="20"/>
        </w:rPr>
        <w:t xml:space="preserve"> Bernardo Barreto &amp; Socrates Kypreos</w:t>
      </w:r>
      <w:r>
        <w:t xml:space="preserve">, </w:t>
      </w:r>
      <w:r>
        <w:rPr>
          <w:rFonts w:cs="Times New Roman"/>
          <w:i/>
          <w:iCs/>
          <w:sz w:val="20"/>
          <w:szCs w:val="20"/>
        </w:rPr>
        <w:t>Emissions Trading and Technology Deployment in an Energy-Systems “Bottom-up” Model with Technology</w:t>
      </w:r>
      <w:r>
        <w:t xml:space="preserve"> </w:t>
      </w:r>
      <w:r>
        <w:rPr>
          <w:rFonts w:cs="Times New Roman"/>
          <w:i/>
          <w:iCs/>
          <w:sz w:val="20"/>
          <w:szCs w:val="20"/>
        </w:rPr>
        <w:t xml:space="preserve">Learning, </w:t>
      </w:r>
      <w:r>
        <w:rPr>
          <w:rFonts w:cs="Times New Roman"/>
          <w:sz w:val="20"/>
          <w:szCs w:val="20"/>
        </w:rPr>
        <w:t>158 E</w:t>
      </w:r>
      <w:r>
        <w:rPr>
          <w:rFonts w:cs="Times New Roman"/>
          <w:sz w:val="16"/>
          <w:szCs w:val="16"/>
        </w:rPr>
        <w:t>UR</w:t>
      </w:r>
      <w:r>
        <w:rPr>
          <w:rFonts w:cs="Times New Roman"/>
          <w:sz w:val="20"/>
          <w:szCs w:val="20"/>
        </w:rPr>
        <w:t>. J. O</w:t>
      </w:r>
      <w:r>
        <w:rPr>
          <w:rFonts w:cs="Times New Roman"/>
          <w:sz w:val="16"/>
          <w:szCs w:val="16"/>
        </w:rPr>
        <w:t xml:space="preserve">PERATIONAL </w:t>
      </w:r>
      <w:r>
        <w:rPr>
          <w:rFonts w:cs="Times New Roman"/>
          <w:sz w:val="20"/>
          <w:szCs w:val="20"/>
        </w:rPr>
        <w:t>R</w:t>
      </w:r>
      <w:r>
        <w:rPr>
          <w:rFonts w:cs="Times New Roman"/>
          <w:sz w:val="16"/>
          <w:szCs w:val="16"/>
        </w:rPr>
        <w:t>ES</w:t>
      </w:r>
      <w:r>
        <w:rPr>
          <w:rFonts w:cs="Times New Roman"/>
          <w:sz w:val="20"/>
          <w:szCs w:val="20"/>
        </w:rPr>
        <w:t>. 243, 246-48 (2004) (estimating an 86% progress ratio for solar photovoltaics, representing the rate of cost decline per doubling of production).</w:t>
      </w:r>
    </w:p>
  </w:footnote>
  <w:footnote w:id="243">
    <w:p w14:paraId="0C38A123" w14:textId="1398FFE8" w:rsidR="006152E8" w:rsidRPr="00EF5D4B" w:rsidRDefault="006152E8" w:rsidP="00BE6FAA">
      <w:pPr>
        <w:pStyle w:val="Textpoznpodarou"/>
        <w:jc w:val="both"/>
        <w:rPr>
          <w:i/>
        </w:rPr>
      </w:pPr>
      <w:r>
        <w:tab/>
      </w:r>
      <w:r>
        <w:rPr>
          <w:rStyle w:val="Znakapoznpodarou"/>
        </w:rPr>
        <w:footnoteRef/>
      </w:r>
      <w:r>
        <w:tab/>
      </w:r>
      <w:r>
        <w:rPr>
          <w:i/>
        </w:rPr>
        <w:t>Cf.</w:t>
      </w:r>
      <w:r>
        <w:t xml:space="preserve"> </w:t>
      </w:r>
      <w:r>
        <w:rPr>
          <w:smallCaps/>
        </w:rPr>
        <w:t xml:space="preserve">Sunstein, </w:t>
      </w:r>
      <w:r>
        <w:rPr>
          <w:i/>
        </w:rPr>
        <w:t>supra</w:t>
      </w:r>
      <w:r>
        <w:t xml:space="preserve"> note </w:t>
      </w:r>
      <w:r>
        <w:fldChar w:fldCharType="begin"/>
      </w:r>
      <w:r>
        <w:instrText xml:space="preserve"> NOTEREF _Ref214332468 \h </w:instrText>
      </w:r>
      <w:r>
        <w:fldChar w:fldCharType="separate"/>
      </w:r>
      <w:r>
        <w:t>237</w:t>
      </w:r>
      <w:r>
        <w:fldChar w:fldCharType="end"/>
      </w:r>
      <w:r>
        <w:t xml:space="preserve">, at 181-82 (suggesting that irreversibility may justify special steps).  </w:t>
      </w:r>
      <w:r>
        <w:rPr>
          <w:i/>
        </w:rPr>
        <w:t xml:space="preserve"> </w:t>
      </w:r>
    </w:p>
  </w:footnote>
  <w:footnote w:id="244">
    <w:p w14:paraId="22D54596" w14:textId="78399EB1" w:rsidR="006152E8" w:rsidRDefault="006152E8" w:rsidP="003C7333">
      <w:pPr>
        <w:pStyle w:val="Textpoznpodarou"/>
        <w:jc w:val="both"/>
      </w:pPr>
      <w:r>
        <w:tab/>
      </w:r>
      <w:r>
        <w:rPr>
          <w:rStyle w:val="Znakapoznpodarou"/>
        </w:rPr>
        <w:footnoteRef/>
      </w:r>
      <w:r>
        <w:tab/>
      </w:r>
      <w:r>
        <w:rPr>
          <w:i/>
        </w:rPr>
        <w:t>See</w:t>
      </w:r>
      <w:r>
        <w:t xml:space="preserve"> </w:t>
      </w:r>
      <w:r>
        <w:rPr>
          <w:smallCaps/>
        </w:rPr>
        <w:t>id.</w:t>
      </w:r>
      <w:r>
        <w:t xml:space="preserve"> at 151 (pointing out that efforts to avoid catastrophes can themselves have catastrophic consequences); </w:t>
      </w:r>
      <w:r>
        <w:rPr>
          <w:i/>
        </w:rPr>
        <w:t xml:space="preserve">see generally </w:t>
      </w:r>
      <w:r>
        <w:t xml:space="preserve">Cross, </w:t>
      </w:r>
      <w:r w:rsidRPr="000F1905">
        <w:rPr>
          <w:i/>
        </w:rPr>
        <w:t xml:space="preserve">supra </w:t>
      </w:r>
      <w:r w:rsidRPr="000F1905">
        <w:t>note</w:t>
      </w:r>
      <w:r>
        <w:t xml:space="preserve"> </w:t>
      </w:r>
      <w:r>
        <w:fldChar w:fldCharType="begin"/>
      </w:r>
      <w:r>
        <w:instrText xml:space="preserve"> NOTEREF _Ref214331791 \h </w:instrText>
      </w:r>
      <w:r>
        <w:fldChar w:fldCharType="separate"/>
      </w:r>
      <w:r>
        <w:t>5</w:t>
      </w:r>
      <w:r>
        <w:fldChar w:fldCharType="end"/>
      </w:r>
      <w:r>
        <w:t xml:space="preserve">, at 859-60 (pointing out that precautionary measures can create adverse health consequences). </w:t>
      </w:r>
    </w:p>
  </w:footnote>
  <w:footnote w:id="245">
    <w:p w14:paraId="77E90350" w14:textId="6F9E1E6D" w:rsidR="006152E8" w:rsidRDefault="006152E8" w:rsidP="003C7333">
      <w:pPr>
        <w:pStyle w:val="Textpoznpodarou"/>
        <w:jc w:val="both"/>
      </w:pPr>
      <w:r>
        <w:tab/>
      </w:r>
      <w:r>
        <w:rPr>
          <w:rStyle w:val="Znakapoznpodarou"/>
        </w:rPr>
        <w:footnoteRef/>
      </w:r>
      <w:r>
        <w:tab/>
      </w:r>
      <w:r>
        <w:rPr>
          <w:i/>
        </w:rPr>
        <w:t xml:space="preserve">Cf. </w:t>
      </w:r>
      <w:r>
        <w:rPr>
          <w:smallCaps/>
        </w:rPr>
        <w:t xml:space="preserve">Sunstein, </w:t>
      </w:r>
      <w:r>
        <w:rPr>
          <w:rFonts w:cs="Times New Roman"/>
          <w:i/>
        </w:rPr>
        <w:t>supra</w:t>
      </w:r>
      <w:r>
        <w:rPr>
          <w:rFonts w:cs="Times New Roman"/>
        </w:rPr>
        <w:t xml:space="preserve"> note </w:t>
      </w:r>
      <w:r>
        <w:rPr>
          <w:rFonts w:cs="Times New Roman"/>
        </w:rPr>
        <w:fldChar w:fldCharType="begin"/>
      </w:r>
      <w:r>
        <w:rPr>
          <w:rFonts w:cs="Times New Roman"/>
        </w:rPr>
        <w:instrText xml:space="preserve"> NOTEREF _Ref214331180 \h </w:instrText>
      </w:r>
      <w:r>
        <w:rPr>
          <w:rFonts w:cs="Times New Roman"/>
        </w:rPr>
      </w:r>
      <w:r>
        <w:rPr>
          <w:rFonts w:cs="Times New Roman"/>
        </w:rPr>
        <w:fldChar w:fldCharType="separate"/>
      </w:r>
      <w:r>
        <w:rPr>
          <w:rFonts w:cs="Times New Roman"/>
        </w:rPr>
        <w:t>235</w:t>
      </w:r>
      <w:r>
        <w:rPr>
          <w:rFonts w:cs="Times New Roman"/>
        </w:rPr>
        <w:fldChar w:fldCharType="end"/>
      </w:r>
      <w:r>
        <w:rPr>
          <w:rFonts w:cs="Times New Roman"/>
        </w:rPr>
        <w:t>,</w:t>
      </w:r>
      <w:r>
        <w:t xml:space="preserve"> at 139 (suggesting consideration of a worst case’s potential to create large secondary social, cultural, and economics losses)</w:t>
      </w:r>
    </w:p>
  </w:footnote>
  <w:footnote w:id="246">
    <w:p w14:paraId="23F50F1E" w14:textId="0EF10DEA" w:rsidR="006152E8" w:rsidRDefault="006152E8" w:rsidP="00C237DA">
      <w:pPr>
        <w:pStyle w:val="Textpoznpodarou"/>
        <w:jc w:val="both"/>
      </w:pPr>
      <w:r>
        <w:tab/>
      </w:r>
      <w:r>
        <w:rPr>
          <w:rStyle w:val="Znakapoznpodarou"/>
        </w:rPr>
        <w:footnoteRef/>
      </w:r>
      <w:r>
        <w:tab/>
      </w:r>
      <w:r>
        <w:rPr>
          <w:i/>
        </w:rPr>
        <w:t xml:space="preserve">Accord </w:t>
      </w:r>
      <w:r>
        <w:t xml:space="preserve">Richard Pildes &amp; Cass Sunstein, </w:t>
      </w:r>
      <w:r>
        <w:rPr>
          <w:i/>
        </w:rPr>
        <w:t>Reinventing the Regulatory State,</w:t>
      </w:r>
      <w:r>
        <w:t xml:space="preserve"> 62 U.</w:t>
      </w:r>
      <w:r>
        <w:rPr>
          <w:i/>
        </w:rPr>
        <w:t xml:space="preserve"> </w:t>
      </w:r>
      <w:r>
        <w:rPr>
          <w:smallCaps/>
        </w:rPr>
        <w:t xml:space="preserve">Chi. L. Rev. 1, </w:t>
      </w:r>
      <w:r>
        <w:t>48 (1995) (suggesting that estimates of benefit ranges are appropriate to account for scientific uncertainty).</w:t>
      </w:r>
    </w:p>
  </w:footnote>
  <w:footnote w:id="247">
    <w:p w14:paraId="2079CFD4" w14:textId="6E245659" w:rsidR="006152E8" w:rsidRDefault="006152E8">
      <w:pPr>
        <w:pStyle w:val="Textpoznpodarou"/>
      </w:pPr>
      <w:r>
        <w:tab/>
      </w:r>
      <w:r>
        <w:rPr>
          <w:rStyle w:val="Znakapoznpodarou"/>
        </w:rPr>
        <w:footnoteRef/>
      </w:r>
      <w:r>
        <w:tab/>
      </w:r>
      <w:r>
        <w:rPr>
          <w:i/>
        </w:rPr>
        <w:t xml:space="preserve">See, e.g., </w:t>
      </w:r>
      <w:r>
        <w:t>Adler &amp; Posner,</w:t>
      </w:r>
      <w:r w:rsidRPr="007A60C4">
        <w:rPr>
          <w:i/>
        </w:rPr>
        <w:t xml:space="preserve"> supra</w:t>
      </w:r>
      <w:r>
        <w:rPr>
          <w:i/>
        </w:rPr>
        <w:t xml:space="preserve"> </w:t>
      </w:r>
      <w:r>
        <w:t xml:space="preserve">note </w:t>
      </w:r>
      <w:r>
        <w:fldChar w:fldCharType="begin"/>
      </w:r>
      <w:r>
        <w:instrText xml:space="preserve"> NOTEREF _Ref330895119 \h </w:instrText>
      </w:r>
      <w:r>
        <w:fldChar w:fldCharType="separate"/>
      </w:r>
      <w:r>
        <w:t>33</w:t>
      </w:r>
      <w:r>
        <w:fldChar w:fldCharType="end"/>
      </w:r>
      <w:r>
        <w:t xml:space="preserve">, at 196 (distinguishing their defense of CBA as advancing  “overall well-being from an account based on preferences). </w:t>
      </w:r>
    </w:p>
  </w:footnote>
  <w:footnote w:id="248">
    <w:p w14:paraId="147B7417" w14:textId="5FE40082" w:rsidR="006152E8" w:rsidRDefault="006152E8" w:rsidP="003C7333">
      <w:pPr>
        <w:pStyle w:val="Textpoznpodarou"/>
        <w:jc w:val="both"/>
      </w:pPr>
      <w:r>
        <w:tab/>
      </w:r>
      <w:r>
        <w:rPr>
          <w:rStyle w:val="Znakapoznpodarou"/>
        </w:rPr>
        <w:footnoteRef/>
      </w:r>
      <w:r>
        <w:tab/>
        <w:t xml:space="preserve">This position about fully informing regulators does not depend on a particular position about how regulators should respond to the information.  In this respect, even though this Article relies heavily on Cass Sunstein in justifying CBA based on a worst case, this Article does not address many of his ultimate positions about what regulators should do in response to worst case analysis. </w:t>
      </w:r>
    </w:p>
  </w:footnote>
  <w:footnote w:id="249">
    <w:p w14:paraId="0B51B6C3" w14:textId="77777777" w:rsidR="006152E8" w:rsidRDefault="006152E8" w:rsidP="00C237DA">
      <w:pPr>
        <w:pStyle w:val="Textpoznpodarou"/>
        <w:jc w:val="both"/>
        <w:rPr>
          <w:rFonts w:cs="Times New Roman"/>
        </w:rPr>
      </w:pPr>
      <w:r>
        <w:tab/>
      </w:r>
      <w:r>
        <w:rPr>
          <w:rStyle w:val="Znakapoznpodarou"/>
        </w:rPr>
        <w:footnoteRef/>
      </w:r>
      <w:r>
        <w:t xml:space="preserve"> </w:t>
      </w:r>
      <w:r>
        <w:tab/>
      </w:r>
      <w:r>
        <w:rPr>
          <w:i/>
        </w:rPr>
        <w:t xml:space="preserve">See generally, </w:t>
      </w:r>
      <w:r>
        <w:t xml:space="preserve">Cass R. Sunstein, </w:t>
      </w:r>
      <w:r>
        <w:rPr>
          <w:i/>
        </w:rPr>
        <w:t xml:space="preserve">Incommensurability and Valuation in the Law, </w:t>
      </w:r>
      <w:r>
        <w:t xml:space="preserve">92 </w:t>
      </w:r>
      <w:r>
        <w:rPr>
          <w:rFonts w:cs="Times New Roman"/>
          <w:smallCaps/>
        </w:rPr>
        <w:t>Mich. L. Rev. 779, 841-42 (1994) (</w:t>
      </w:r>
      <w:r>
        <w:rPr>
          <w:rFonts w:cs="Times New Roman"/>
        </w:rPr>
        <w:t>arguing that reducing all consequences to a dollar value without giving a good sense of the qualitative consequences underlying the numbers renders analysis obtuse and makes effects people care about invisible).</w:t>
      </w:r>
    </w:p>
  </w:footnote>
  <w:footnote w:id="250">
    <w:p w14:paraId="58DD078B" w14:textId="42E12BAE" w:rsidR="006152E8" w:rsidRDefault="006152E8" w:rsidP="00C237DA">
      <w:pPr>
        <w:pStyle w:val="Textpoznpodarou"/>
        <w:jc w:val="both"/>
      </w:pPr>
      <w:r>
        <w:tab/>
      </w:r>
      <w:r>
        <w:rPr>
          <w:rStyle w:val="Znakapoznpodarou"/>
        </w:rPr>
        <w:footnoteRef/>
      </w:r>
      <w:r>
        <w:tab/>
        <w:t xml:space="preserve">For the sake of simplicity I ignore the declining marginal utility of money, which would change the shape of the utility function.  </w:t>
      </w:r>
      <w:r>
        <w:tab/>
        <w:t xml:space="preserve"> </w:t>
      </w:r>
    </w:p>
  </w:footnote>
  <w:footnote w:id="251">
    <w:p w14:paraId="156E0409" w14:textId="01D6BE47" w:rsidR="006152E8" w:rsidRDefault="006152E8" w:rsidP="003C7333">
      <w:pPr>
        <w:pStyle w:val="Textpoznpodarou"/>
        <w:jc w:val="both"/>
      </w:pPr>
      <w:r>
        <w:tab/>
      </w:r>
      <w:r>
        <w:rPr>
          <w:rStyle w:val="Znakapoznpodarou"/>
        </w:rPr>
        <w:footnoteRef/>
      </w:r>
      <w:r>
        <w:tab/>
      </w:r>
      <w:r>
        <w:rPr>
          <w:i/>
        </w:rPr>
        <w:t xml:space="preserve">Cf. </w:t>
      </w:r>
      <w:r>
        <w:rPr>
          <w:rFonts w:cs="Times New Roman"/>
          <w:smallCaps/>
        </w:rPr>
        <w:t xml:space="preserve">Fisher, </w:t>
      </w:r>
      <w:r w:rsidRPr="00952CDA">
        <w:rPr>
          <w:rFonts w:cs="Times New Roman"/>
        </w:rPr>
        <w:t>supra</w:t>
      </w:r>
      <w:r>
        <w:rPr>
          <w:rFonts w:cs="Times New Roman"/>
        </w:rPr>
        <w:t xml:space="preserve"> note </w:t>
      </w:r>
      <w:r>
        <w:rPr>
          <w:rFonts w:cs="Times New Roman"/>
        </w:rPr>
        <w:fldChar w:fldCharType="begin"/>
      </w:r>
      <w:r>
        <w:rPr>
          <w:rFonts w:cs="Times New Roman"/>
        </w:rPr>
        <w:instrText xml:space="preserve"> NOTEREF _Ref340828207 \h </w:instrText>
      </w:r>
      <w:r>
        <w:rPr>
          <w:rFonts w:cs="Times New Roman"/>
        </w:rPr>
      </w:r>
      <w:r>
        <w:rPr>
          <w:rFonts w:cs="Times New Roman"/>
        </w:rPr>
        <w:fldChar w:fldCharType="separate"/>
      </w:r>
      <w:r>
        <w:rPr>
          <w:rFonts w:cs="Times New Roman"/>
        </w:rPr>
        <w:t>115</w:t>
      </w:r>
      <w:r>
        <w:rPr>
          <w:rFonts w:cs="Times New Roman"/>
        </w:rPr>
        <w:fldChar w:fldCharType="end"/>
      </w:r>
      <w:r>
        <w:rPr>
          <w:rFonts w:cs="Times New Roman"/>
        </w:rPr>
        <w:t xml:space="preserve">, at </w:t>
      </w:r>
      <w:r w:rsidRPr="00952CDA">
        <w:rPr>
          <w:rFonts w:cs="Times New Roman"/>
          <w:smallCaps/>
        </w:rPr>
        <w:t>148</w:t>
      </w:r>
      <w:r>
        <w:rPr>
          <w:rFonts w:cs="Times New Roman"/>
          <w:smallCaps/>
        </w:rPr>
        <w:t xml:space="preserve">-151 </w:t>
      </w:r>
      <w:r>
        <w:rPr>
          <w:rFonts w:cs="Times New Roman"/>
        </w:rPr>
        <w:t>(discussing Australian cases interpreting the precautionary principle as requiring evaluation of the “risk-weighted consequences” of a proposed action).</w:t>
      </w:r>
      <w:r>
        <w:t xml:space="preserve"> </w:t>
      </w:r>
    </w:p>
  </w:footnote>
  <w:footnote w:id="252">
    <w:p w14:paraId="32773BE2" w14:textId="7DEDC9D2" w:rsidR="006152E8" w:rsidRPr="00AE797A" w:rsidRDefault="006152E8" w:rsidP="00C237DA">
      <w:pPr>
        <w:pStyle w:val="Textpoznpodarou"/>
        <w:jc w:val="both"/>
        <w:rPr>
          <w:i/>
        </w:rPr>
      </w:pPr>
      <w:r>
        <w:tab/>
      </w:r>
      <w:r>
        <w:rPr>
          <w:rStyle w:val="Znakapoznpodarou"/>
        </w:rPr>
        <w:footnoteRef/>
      </w:r>
      <w:r>
        <w:tab/>
        <w:t xml:space="preserve">One might question the idea that the governments agreeing to the precautionary principle used the word “uncertainty” as a term of economic art. </w:t>
      </w:r>
      <w:r>
        <w:rPr>
          <w:i/>
        </w:rPr>
        <w:t>See</w:t>
      </w:r>
      <w:r>
        <w:t xml:space="preserve"> Nash, </w:t>
      </w:r>
      <w:r>
        <w:rPr>
          <w:i/>
        </w:rPr>
        <w:t xml:space="preserve">supra </w:t>
      </w:r>
      <w:r>
        <w:t xml:space="preserve">note </w:t>
      </w:r>
      <w:r>
        <w:fldChar w:fldCharType="begin"/>
      </w:r>
      <w:r>
        <w:instrText xml:space="preserve"> NOTEREF _Ref323735230 \h </w:instrText>
      </w:r>
      <w:r>
        <w:fldChar w:fldCharType="separate"/>
      </w:r>
      <w:r>
        <w:t>61</w:t>
      </w:r>
      <w:r>
        <w:fldChar w:fldCharType="end"/>
      </w:r>
      <w:r>
        <w:rPr>
          <w:rFonts w:cs="Times New Roman"/>
          <w:smallCaps/>
        </w:rPr>
        <w:t xml:space="preserve">, </w:t>
      </w:r>
      <w:r>
        <w:rPr>
          <w:rFonts w:cs="Times New Roman"/>
        </w:rPr>
        <w:t>at</w:t>
      </w:r>
      <w:r>
        <w:rPr>
          <w:rFonts w:cs="Times New Roman"/>
          <w:smallCaps/>
        </w:rPr>
        <w:t xml:space="preserve"> 194 (</w:t>
      </w:r>
      <w:r>
        <w:rPr>
          <w:rFonts w:cs="Times New Roman"/>
        </w:rPr>
        <w:t>stating that the precautionary principle calls for a “cautionary approach” to both “risk and uncertainty”).</w:t>
      </w:r>
      <w:r>
        <w:t xml:space="preserve">  </w:t>
      </w:r>
    </w:p>
  </w:footnote>
  <w:footnote w:id="253">
    <w:p w14:paraId="23412585" w14:textId="77777777" w:rsidR="006152E8" w:rsidRDefault="006152E8" w:rsidP="00C237DA">
      <w:pPr>
        <w:pStyle w:val="Textpoznpodarou"/>
        <w:jc w:val="both"/>
      </w:pPr>
      <w:r>
        <w:tab/>
      </w:r>
      <w:r>
        <w:rPr>
          <w:rStyle w:val="Znakapoznpodarou"/>
        </w:rPr>
        <w:footnoteRef/>
      </w:r>
      <w:r>
        <w:tab/>
      </w:r>
      <w:r>
        <w:rPr>
          <w:i/>
        </w:rPr>
        <w:t xml:space="preserve">See </w:t>
      </w:r>
      <w:r>
        <w:t xml:space="preserve">Gollier, </w:t>
      </w:r>
      <w:r>
        <w:rPr>
          <w:i/>
        </w:rPr>
        <w:t>supra</w:t>
      </w:r>
      <w:r>
        <w:t xml:space="preserve"> note </w:t>
      </w:r>
      <w:r>
        <w:fldChar w:fldCharType="begin"/>
      </w:r>
      <w:r>
        <w:instrText xml:space="preserve"> NOTEREF _Ref329009609 \h </w:instrText>
      </w:r>
      <w:r>
        <w:fldChar w:fldCharType="separate"/>
      </w:r>
      <w:r>
        <w:t>195</w:t>
      </w:r>
      <w:r>
        <w:fldChar w:fldCharType="end"/>
      </w:r>
      <w:r>
        <w:t xml:space="preserve">, at 173, 185 (suggesting that uncertainty about economic growth rates casts doubt on large discount rates dependent upon assumptions of economic growth). </w:t>
      </w:r>
    </w:p>
  </w:footnote>
  <w:footnote w:id="254">
    <w:p w14:paraId="10A99B27" w14:textId="450C8ECF" w:rsidR="006152E8" w:rsidRDefault="006152E8">
      <w:pPr>
        <w:pStyle w:val="Textpoznpodarou"/>
      </w:pPr>
      <w:r>
        <w:tab/>
      </w:r>
      <w:r>
        <w:rPr>
          <w:rStyle w:val="Znakapoznpodarou"/>
        </w:rPr>
        <w:footnoteRef/>
      </w:r>
      <w:r>
        <w:tab/>
        <w:t>I am grateful to John Applegate for suggesting that I make these points explicit.</w:t>
      </w:r>
    </w:p>
  </w:footnote>
  <w:footnote w:id="255">
    <w:p w14:paraId="1194517D" w14:textId="44296BCC" w:rsidR="00DC0869" w:rsidRDefault="00DC0869" w:rsidP="00DC0869">
      <w:pPr>
        <w:pStyle w:val="Textpoznpodarou"/>
        <w:jc w:val="both"/>
      </w:pPr>
      <w:r>
        <w:tab/>
      </w:r>
      <w:r>
        <w:rPr>
          <w:rStyle w:val="Znakapoznpodarou"/>
        </w:rPr>
        <w:footnoteRef/>
      </w:r>
      <w:r>
        <w:tab/>
      </w:r>
      <w:r>
        <w:rPr>
          <w:i/>
        </w:rPr>
        <w:t>See, e.g.</w:t>
      </w:r>
      <w:r>
        <w:t xml:space="preserve">, Rebecca M. Bratspies, </w:t>
      </w:r>
      <w:r>
        <w:rPr>
          <w:i/>
        </w:rPr>
        <w:t xml:space="preserve">Regulatory Trust, </w:t>
      </w:r>
      <w:r>
        <w:t xml:space="preserve">51 </w:t>
      </w:r>
      <w:r>
        <w:rPr>
          <w:rFonts w:cs="Times New Roman"/>
          <w:smallCaps/>
        </w:rPr>
        <w:t>Ariz. L. Rev. 575, 617 (2009) (</w:t>
      </w:r>
      <w:r>
        <w:rPr>
          <w:rFonts w:cs="Times New Roman"/>
        </w:rPr>
        <w:t xml:space="preserve">criticizing CBA for treating all harms and benefits as “fungible”).  </w:t>
      </w:r>
      <w:r>
        <w:rPr>
          <w:i/>
        </w:rPr>
        <w:t xml:space="preserve">Cf. </w:t>
      </w:r>
      <w:r>
        <w:t xml:space="preserve">Adam Finkel, </w:t>
      </w:r>
      <w:r>
        <w:rPr>
          <w:i/>
        </w:rPr>
        <w:t xml:space="preserve">Protecting People in Spite of-or Thanks to-the Veil of Ignorance, </w:t>
      </w:r>
      <w:r>
        <w:rPr>
          <w:i/>
          <w:iCs/>
        </w:rPr>
        <w:t>in</w:t>
      </w:r>
      <w:r>
        <w:t xml:space="preserve"> </w:t>
      </w:r>
      <w:r w:rsidRPr="008858B4">
        <w:rPr>
          <w:rFonts w:cs="Times New Roman"/>
          <w:smallCaps/>
        </w:rPr>
        <w:t>G</w:t>
      </w:r>
      <w:r w:rsidRPr="008858B4">
        <w:rPr>
          <w:rFonts w:cs="Times New Roman"/>
          <w:smallCaps/>
          <w:szCs w:val="20"/>
        </w:rPr>
        <w:t>enomics And</w:t>
      </w:r>
      <w:r w:rsidRPr="008858B4">
        <w:rPr>
          <w:rFonts w:cs="Times New Roman"/>
          <w:smallCaps/>
        </w:rPr>
        <w:t xml:space="preserve"> E</w:t>
      </w:r>
      <w:r w:rsidRPr="008858B4">
        <w:rPr>
          <w:rFonts w:cs="Times New Roman"/>
          <w:smallCaps/>
          <w:szCs w:val="20"/>
        </w:rPr>
        <w:t>nvironmental</w:t>
      </w:r>
      <w:r w:rsidRPr="008858B4">
        <w:rPr>
          <w:rFonts w:cs="Times New Roman"/>
          <w:smallCaps/>
        </w:rPr>
        <w:t xml:space="preserve"> R</w:t>
      </w:r>
      <w:r w:rsidRPr="008858B4">
        <w:rPr>
          <w:rFonts w:cs="Times New Roman"/>
          <w:smallCaps/>
          <w:szCs w:val="20"/>
        </w:rPr>
        <w:t>egulation</w:t>
      </w:r>
      <w:r w:rsidRPr="008858B4">
        <w:rPr>
          <w:rFonts w:cs="Times New Roman"/>
          <w:smallCaps/>
        </w:rPr>
        <w:t>: S</w:t>
      </w:r>
      <w:r w:rsidRPr="008858B4">
        <w:rPr>
          <w:rFonts w:cs="Times New Roman"/>
          <w:smallCaps/>
          <w:szCs w:val="20"/>
        </w:rPr>
        <w:t>cience</w:t>
      </w:r>
      <w:r w:rsidRPr="008858B4">
        <w:rPr>
          <w:rFonts w:cs="Times New Roman"/>
          <w:smallCaps/>
        </w:rPr>
        <w:t>, E</w:t>
      </w:r>
      <w:r w:rsidRPr="008858B4">
        <w:rPr>
          <w:rFonts w:cs="Times New Roman"/>
          <w:smallCaps/>
          <w:szCs w:val="20"/>
        </w:rPr>
        <w:t>thics, And</w:t>
      </w:r>
      <w:r w:rsidRPr="008858B4">
        <w:rPr>
          <w:rFonts w:cs="Times New Roman"/>
          <w:smallCaps/>
        </w:rPr>
        <w:t xml:space="preserve"> L</w:t>
      </w:r>
      <w:r w:rsidRPr="008858B4">
        <w:rPr>
          <w:rFonts w:cs="Times New Roman"/>
          <w:smallCaps/>
          <w:szCs w:val="20"/>
        </w:rPr>
        <w:t>aw</w:t>
      </w:r>
      <w:r w:rsidRPr="008858B4">
        <w:t xml:space="preserve"> </w:t>
      </w:r>
      <w:r>
        <w:t xml:space="preserve">290, 327 (Richard R. Sharp, Gary E. Marchant, &amp; Jamie A. Grodsky, eds., 2008) </w:t>
      </w:r>
      <w:r>
        <w:rPr>
          <w:rFonts w:cs="Times New Roman"/>
          <w:smallCaps/>
        </w:rPr>
        <w:t>(</w:t>
      </w:r>
      <w:r>
        <w:rPr>
          <w:rFonts w:cs="Times New Roman"/>
        </w:rPr>
        <w:t>suggesting that we should protect people who face above average risks from environmental hazards).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95277"/>
      <w:docPartObj>
        <w:docPartGallery w:val="Page Numbers (Top of Page)"/>
        <w:docPartUnique/>
      </w:docPartObj>
    </w:sdtPr>
    <w:sdtEndPr>
      <w:rPr>
        <w:noProof/>
      </w:rPr>
    </w:sdtEndPr>
    <w:sdtContent>
      <w:p w14:paraId="0796A813" w14:textId="4639FAA4" w:rsidR="006152E8" w:rsidRDefault="006152E8">
        <w:pPr>
          <w:pStyle w:val="Zhlav"/>
          <w:jc w:val="right"/>
        </w:pPr>
        <w:r>
          <w:fldChar w:fldCharType="begin"/>
        </w:r>
        <w:r>
          <w:instrText xml:space="preserve"> PAGE   \* MERGEFORMAT </w:instrText>
        </w:r>
        <w:r>
          <w:fldChar w:fldCharType="separate"/>
        </w:r>
        <w:r w:rsidR="00BC5A61">
          <w:rPr>
            <w:noProof/>
          </w:rPr>
          <w:t>28</w:t>
        </w:r>
        <w:r>
          <w:rPr>
            <w:noProof/>
          </w:rPr>
          <w:fldChar w:fldCharType="end"/>
        </w:r>
      </w:p>
    </w:sdtContent>
  </w:sdt>
  <w:p w14:paraId="4A31AD1E" w14:textId="3B09F206" w:rsidR="006152E8" w:rsidRPr="00F4207C" w:rsidRDefault="006152E8" w:rsidP="00F4207C">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36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B0"/>
    <w:rsid w:val="000074F6"/>
    <w:rsid w:val="0001155A"/>
    <w:rsid w:val="000163D0"/>
    <w:rsid w:val="000357F4"/>
    <w:rsid w:val="00043BD8"/>
    <w:rsid w:val="00053682"/>
    <w:rsid w:val="0006575E"/>
    <w:rsid w:val="000657C6"/>
    <w:rsid w:val="00097445"/>
    <w:rsid w:val="000A61DE"/>
    <w:rsid w:val="000B23CD"/>
    <w:rsid w:val="000C30F2"/>
    <w:rsid w:val="000E536A"/>
    <w:rsid w:val="000E670F"/>
    <w:rsid w:val="000F1905"/>
    <w:rsid w:val="00101850"/>
    <w:rsid w:val="00105BC4"/>
    <w:rsid w:val="00110A52"/>
    <w:rsid w:val="00110C03"/>
    <w:rsid w:val="0011204E"/>
    <w:rsid w:val="00112989"/>
    <w:rsid w:val="001152CC"/>
    <w:rsid w:val="00122E7F"/>
    <w:rsid w:val="001279DB"/>
    <w:rsid w:val="00131364"/>
    <w:rsid w:val="001355A1"/>
    <w:rsid w:val="00143E96"/>
    <w:rsid w:val="0014584F"/>
    <w:rsid w:val="00160FD6"/>
    <w:rsid w:val="00161E0F"/>
    <w:rsid w:val="001A1248"/>
    <w:rsid w:val="001B08C4"/>
    <w:rsid w:val="001B78EC"/>
    <w:rsid w:val="001B7D1A"/>
    <w:rsid w:val="001C7668"/>
    <w:rsid w:val="001C77B5"/>
    <w:rsid w:val="001D36BF"/>
    <w:rsid w:val="001E1E8C"/>
    <w:rsid w:val="00203CDD"/>
    <w:rsid w:val="0024336D"/>
    <w:rsid w:val="002435CB"/>
    <w:rsid w:val="0024415E"/>
    <w:rsid w:val="002453C5"/>
    <w:rsid w:val="00245AEF"/>
    <w:rsid w:val="002573FC"/>
    <w:rsid w:val="002578B8"/>
    <w:rsid w:val="00272243"/>
    <w:rsid w:val="002742D5"/>
    <w:rsid w:val="002751BE"/>
    <w:rsid w:val="002A79E3"/>
    <w:rsid w:val="002B4BBF"/>
    <w:rsid w:val="002B5EC6"/>
    <w:rsid w:val="002C3FE9"/>
    <w:rsid w:val="002C51B3"/>
    <w:rsid w:val="002F7852"/>
    <w:rsid w:val="0031700E"/>
    <w:rsid w:val="0034541A"/>
    <w:rsid w:val="00355900"/>
    <w:rsid w:val="003668B7"/>
    <w:rsid w:val="00372173"/>
    <w:rsid w:val="00375DF9"/>
    <w:rsid w:val="0039074C"/>
    <w:rsid w:val="00392D83"/>
    <w:rsid w:val="0039663E"/>
    <w:rsid w:val="003C096A"/>
    <w:rsid w:val="003C5332"/>
    <w:rsid w:val="003C7333"/>
    <w:rsid w:val="003D0078"/>
    <w:rsid w:val="003D07D5"/>
    <w:rsid w:val="003E47FA"/>
    <w:rsid w:val="003F67D1"/>
    <w:rsid w:val="00422D80"/>
    <w:rsid w:val="00460470"/>
    <w:rsid w:val="00482196"/>
    <w:rsid w:val="004846C4"/>
    <w:rsid w:val="004A239A"/>
    <w:rsid w:val="004B039F"/>
    <w:rsid w:val="004C0207"/>
    <w:rsid w:val="004C734C"/>
    <w:rsid w:val="004D10E2"/>
    <w:rsid w:val="004E3EDB"/>
    <w:rsid w:val="004F56A3"/>
    <w:rsid w:val="004F683C"/>
    <w:rsid w:val="005077ED"/>
    <w:rsid w:val="005079D3"/>
    <w:rsid w:val="00521857"/>
    <w:rsid w:val="005373D2"/>
    <w:rsid w:val="0055090A"/>
    <w:rsid w:val="00552A5B"/>
    <w:rsid w:val="00553EA7"/>
    <w:rsid w:val="005717D6"/>
    <w:rsid w:val="0057447A"/>
    <w:rsid w:val="00597799"/>
    <w:rsid w:val="005A26EF"/>
    <w:rsid w:val="005A2909"/>
    <w:rsid w:val="005A3A77"/>
    <w:rsid w:val="005A4A4D"/>
    <w:rsid w:val="005A5302"/>
    <w:rsid w:val="005B06C9"/>
    <w:rsid w:val="005B1B85"/>
    <w:rsid w:val="005E5A8D"/>
    <w:rsid w:val="005F2ED2"/>
    <w:rsid w:val="006152E8"/>
    <w:rsid w:val="00616D67"/>
    <w:rsid w:val="0061726B"/>
    <w:rsid w:val="006371A6"/>
    <w:rsid w:val="006479B7"/>
    <w:rsid w:val="00663A3E"/>
    <w:rsid w:val="006712B5"/>
    <w:rsid w:val="00674514"/>
    <w:rsid w:val="006A440D"/>
    <w:rsid w:val="006B08C6"/>
    <w:rsid w:val="006B26EF"/>
    <w:rsid w:val="006C5FB2"/>
    <w:rsid w:val="006E0AB4"/>
    <w:rsid w:val="006E665B"/>
    <w:rsid w:val="0071218F"/>
    <w:rsid w:val="00723972"/>
    <w:rsid w:val="00741AB1"/>
    <w:rsid w:val="00744767"/>
    <w:rsid w:val="0076354E"/>
    <w:rsid w:val="0076556C"/>
    <w:rsid w:val="0077411E"/>
    <w:rsid w:val="007768D9"/>
    <w:rsid w:val="00783F6E"/>
    <w:rsid w:val="00793944"/>
    <w:rsid w:val="00796150"/>
    <w:rsid w:val="007A60C4"/>
    <w:rsid w:val="007B0BCA"/>
    <w:rsid w:val="007C56ED"/>
    <w:rsid w:val="007D6D29"/>
    <w:rsid w:val="007E79CB"/>
    <w:rsid w:val="007F455E"/>
    <w:rsid w:val="008039E9"/>
    <w:rsid w:val="00804D34"/>
    <w:rsid w:val="00824E10"/>
    <w:rsid w:val="00860886"/>
    <w:rsid w:val="008851FF"/>
    <w:rsid w:val="008858B4"/>
    <w:rsid w:val="00887C30"/>
    <w:rsid w:val="00891D27"/>
    <w:rsid w:val="008A091D"/>
    <w:rsid w:val="008A31B3"/>
    <w:rsid w:val="008D54E5"/>
    <w:rsid w:val="008E66B2"/>
    <w:rsid w:val="008E7831"/>
    <w:rsid w:val="009008CE"/>
    <w:rsid w:val="0091742C"/>
    <w:rsid w:val="00924E6C"/>
    <w:rsid w:val="00931AF9"/>
    <w:rsid w:val="00952CDA"/>
    <w:rsid w:val="00954F54"/>
    <w:rsid w:val="0095565C"/>
    <w:rsid w:val="0095602A"/>
    <w:rsid w:val="0097585E"/>
    <w:rsid w:val="009814C2"/>
    <w:rsid w:val="00994660"/>
    <w:rsid w:val="009A1612"/>
    <w:rsid w:val="009B7309"/>
    <w:rsid w:val="009D0436"/>
    <w:rsid w:val="009D77ED"/>
    <w:rsid w:val="009E7EAF"/>
    <w:rsid w:val="009F4121"/>
    <w:rsid w:val="009F749D"/>
    <w:rsid w:val="00A12960"/>
    <w:rsid w:val="00A16AE9"/>
    <w:rsid w:val="00A30CCB"/>
    <w:rsid w:val="00A75B4C"/>
    <w:rsid w:val="00A7793A"/>
    <w:rsid w:val="00AA6C00"/>
    <w:rsid w:val="00AC2DE4"/>
    <w:rsid w:val="00AD1BAF"/>
    <w:rsid w:val="00AD726A"/>
    <w:rsid w:val="00AE0BF6"/>
    <w:rsid w:val="00AE51AF"/>
    <w:rsid w:val="00AE797A"/>
    <w:rsid w:val="00AF60B4"/>
    <w:rsid w:val="00B02085"/>
    <w:rsid w:val="00B02EF8"/>
    <w:rsid w:val="00B1528F"/>
    <w:rsid w:val="00B27974"/>
    <w:rsid w:val="00B31FA5"/>
    <w:rsid w:val="00B33D3B"/>
    <w:rsid w:val="00B36BA7"/>
    <w:rsid w:val="00B419E4"/>
    <w:rsid w:val="00B43F88"/>
    <w:rsid w:val="00B45054"/>
    <w:rsid w:val="00B506B0"/>
    <w:rsid w:val="00B75DC8"/>
    <w:rsid w:val="00B77514"/>
    <w:rsid w:val="00B83101"/>
    <w:rsid w:val="00BC09B4"/>
    <w:rsid w:val="00BC14F7"/>
    <w:rsid w:val="00BC3272"/>
    <w:rsid w:val="00BC5A61"/>
    <w:rsid w:val="00BD55A1"/>
    <w:rsid w:val="00BE6FAA"/>
    <w:rsid w:val="00BF1DD4"/>
    <w:rsid w:val="00C07A23"/>
    <w:rsid w:val="00C237DA"/>
    <w:rsid w:val="00C34783"/>
    <w:rsid w:val="00C3628A"/>
    <w:rsid w:val="00C37068"/>
    <w:rsid w:val="00C4353F"/>
    <w:rsid w:val="00C556CA"/>
    <w:rsid w:val="00C8210A"/>
    <w:rsid w:val="00C83671"/>
    <w:rsid w:val="00C87755"/>
    <w:rsid w:val="00C91E68"/>
    <w:rsid w:val="00CA03A8"/>
    <w:rsid w:val="00CB0BD2"/>
    <w:rsid w:val="00CD48F5"/>
    <w:rsid w:val="00CE70B6"/>
    <w:rsid w:val="00CE78E4"/>
    <w:rsid w:val="00CF4704"/>
    <w:rsid w:val="00CF7246"/>
    <w:rsid w:val="00D05202"/>
    <w:rsid w:val="00D13DAC"/>
    <w:rsid w:val="00D22570"/>
    <w:rsid w:val="00D30254"/>
    <w:rsid w:val="00D32D0F"/>
    <w:rsid w:val="00D41395"/>
    <w:rsid w:val="00D61819"/>
    <w:rsid w:val="00D866AB"/>
    <w:rsid w:val="00D87F34"/>
    <w:rsid w:val="00D93F30"/>
    <w:rsid w:val="00D968F8"/>
    <w:rsid w:val="00DB4394"/>
    <w:rsid w:val="00DC0869"/>
    <w:rsid w:val="00DC6DF8"/>
    <w:rsid w:val="00DD5738"/>
    <w:rsid w:val="00DE1A04"/>
    <w:rsid w:val="00DE2F6B"/>
    <w:rsid w:val="00DF5594"/>
    <w:rsid w:val="00E12576"/>
    <w:rsid w:val="00E15DF2"/>
    <w:rsid w:val="00E25F74"/>
    <w:rsid w:val="00E31014"/>
    <w:rsid w:val="00E321AA"/>
    <w:rsid w:val="00E4050B"/>
    <w:rsid w:val="00E50223"/>
    <w:rsid w:val="00E714BA"/>
    <w:rsid w:val="00E72283"/>
    <w:rsid w:val="00E76AFD"/>
    <w:rsid w:val="00EA0FF4"/>
    <w:rsid w:val="00EA5063"/>
    <w:rsid w:val="00EA5829"/>
    <w:rsid w:val="00EC3286"/>
    <w:rsid w:val="00EC4F3D"/>
    <w:rsid w:val="00ED2FD9"/>
    <w:rsid w:val="00ED5FCB"/>
    <w:rsid w:val="00EE1BAD"/>
    <w:rsid w:val="00EF5D4B"/>
    <w:rsid w:val="00F06579"/>
    <w:rsid w:val="00F10D3A"/>
    <w:rsid w:val="00F4207C"/>
    <w:rsid w:val="00F470EB"/>
    <w:rsid w:val="00F53982"/>
    <w:rsid w:val="00F62726"/>
    <w:rsid w:val="00F62A2A"/>
    <w:rsid w:val="00F75D7B"/>
    <w:rsid w:val="00F82F88"/>
    <w:rsid w:val="00F832FC"/>
    <w:rsid w:val="00FA6C33"/>
    <w:rsid w:val="00FF1F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8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6B0"/>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4B039F"/>
    <w:rPr>
      <w:sz w:val="20"/>
    </w:rPr>
  </w:style>
  <w:style w:type="character" w:customStyle="1" w:styleId="TextpoznpodarouChar">
    <w:name w:val="Text pozn. pod čarou Char"/>
    <w:link w:val="Textpoznpodarou"/>
    <w:uiPriority w:val="99"/>
    <w:rsid w:val="004B039F"/>
    <w:rPr>
      <w:rFonts w:ascii="Times New Roman" w:hAnsi="Times New Roman"/>
      <w:sz w:val="20"/>
    </w:rPr>
  </w:style>
  <w:style w:type="character" w:customStyle="1" w:styleId="FormtovanvHTMLChar">
    <w:name w:val="Formátovaný v HTML Char"/>
    <w:basedOn w:val="Standardnpsmoodstavce"/>
    <w:link w:val="FormtovanvHTML"/>
    <w:uiPriority w:val="99"/>
    <w:semiHidden/>
    <w:rsid w:val="00B506B0"/>
    <w:rPr>
      <w:rFonts w:ascii="Courier New" w:eastAsia="Times New Roman" w:hAnsi="Courier New" w:cs="Courier"/>
      <w:sz w:val="20"/>
      <w:szCs w:val="20"/>
    </w:rPr>
  </w:style>
  <w:style w:type="paragraph" w:styleId="FormtovanvHTML">
    <w:name w:val="HTML Preformatted"/>
    <w:basedOn w:val="Normln"/>
    <w:link w:val="FormtovanvHTMLChar"/>
    <w:uiPriority w:val="99"/>
    <w:semiHidden/>
    <w:unhideWhenUsed/>
    <w:rsid w:val="00B5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w:sz w:val="20"/>
      <w:szCs w:val="20"/>
    </w:rPr>
  </w:style>
  <w:style w:type="character" w:customStyle="1" w:styleId="TextkomenteChar">
    <w:name w:val="Text komentáře Char"/>
    <w:basedOn w:val="Standardnpsmoodstavce"/>
    <w:link w:val="Textkomente"/>
    <w:uiPriority w:val="99"/>
    <w:semiHidden/>
    <w:rsid w:val="00B506B0"/>
    <w:rPr>
      <w:rFonts w:ascii="Times New Roman" w:hAnsi="Times New Roman"/>
      <w:sz w:val="20"/>
      <w:szCs w:val="20"/>
    </w:rPr>
  </w:style>
  <w:style w:type="paragraph" w:styleId="Textkomente">
    <w:name w:val="annotation text"/>
    <w:basedOn w:val="Normln"/>
    <w:link w:val="TextkomenteChar"/>
    <w:uiPriority w:val="99"/>
    <w:semiHidden/>
    <w:unhideWhenUsed/>
    <w:rsid w:val="00B506B0"/>
    <w:rPr>
      <w:sz w:val="20"/>
      <w:szCs w:val="20"/>
    </w:rPr>
  </w:style>
  <w:style w:type="character" w:customStyle="1" w:styleId="ZhlavChar">
    <w:name w:val="Záhlaví Char"/>
    <w:basedOn w:val="Standardnpsmoodstavce"/>
    <w:link w:val="Zhlav"/>
    <w:uiPriority w:val="99"/>
    <w:rsid w:val="00B506B0"/>
    <w:rPr>
      <w:rFonts w:ascii="Times New Roman" w:hAnsi="Times New Roman"/>
    </w:rPr>
  </w:style>
  <w:style w:type="paragraph" w:styleId="Zhlav">
    <w:name w:val="header"/>
    <w:basedOn w:val="Normln"/>
    <w:link w:val="ZhlavChar"/>
    <w:uiPriority w:val="99"/>
    <w:unhideWhenUsed/>
    <w:rsid w:val="00B506B0"/>
    <w:pPr>
      <w:tabs>
        <w:tab w:val="center" w:pos="4680"/>
        <w:tab w:val="right" w:pos="9360"/>
      </w:tabs>
    </w:pPr>
  </w:style>
  <w:style w:type="character" w:customStyle="1" w:styleId="ZpatChar">
    <w:name w:val="Zápatí Char"/>
    <w:basedOn w:val="Standardnpsmoodstavce"/>
    <w:link w:val="Zpat"/>
    <w:uiPriority w:val="99"/>
    <w:rsid w:val="00B506B0"/>
    <w:rPr>
      <w:rFonts w:ascii="Times New Roman" w:hAnsi="Times New Roman"/>
    </w:rPr>
  </w:style>
  <w:style w:type="paragraph" w:styleId="Zpat">
    <w:name w:val="footer"/>
    <w:basedOn w:val="Normln"/>
    <w:link w:val="ZpatChar"/>
    <w:uiPriority w:val="99"/>
    <w:unhideWhenUsed/>
    <w:rsid w:val="00B506B0"/>
    <w:pPr>
      <w:tabs>
        <w:tab w:val="center" w:pos="4680"/>
        <w:tab w:val="right" w:pos="9360"/>
      </w:tabs>
    </w:pPr>
  </w:style>
  <w:style w:type="character" w:customStyle="1" w:styleId="RozloendokumentuChar">
    <w:name w:val="Rozložení dokumentu Char"/>
    <w:basedOn w:val="Standardnpsmoodstavce"/>
    <w:link w:val="Rozloendokumentu"/>
    <w:uiPriority w:val="99"/>
    <w:semiHidden/>
    <w:rsid w:val="00B506B0"/>
    <w:rPr>
      <w:rFonts w:ascii="Lucida Grande" w:hAnsi="Lucida Grande"/>
    </w:rPr>
  </w:style>
  <w:style w:type="paragraph" w:styleId="Rozloendokumentu">
    <w:name w:val="Document Map"/>
    <w:basedOn w:val="Normln"/>
    <w:link w:val="RozloendokumentuChar"/>
    <w:uiPriority w:val="99"/>
    <w:semiHidden/>
    <w:unhideWhenUsed/>
    <w:rsid w:val="00B506B0"/>
    <w:rPr>
      <w:rFonts w:ascii="Lucida Grande" w:hAnsi="Lucida Grande"/>
    </w:rPr>
  </w:style>
  <w:style w:type="character" w:customStyle="1" w:styleId="TextbublinyChar">
    <w:name w:val="Text bubliny Char"/>
    <w:basedOn w:val="Standardnpsmoodstavce"/>
    <w:link w:val="Textbubliny"/>
    <w:uiPriority w:val="99"/>
    <w:semiHidden/>
    <w:rsid w:val="00B506B0"/>
    <w:rPr>
      <w:rFonts w:ascii="Tahoma" w:hAnsi="Tahoma"/>
      <w:sz w:val="16"/>
      <w:szCs w:val="16"/>
    </w:rPr>
  </w:style>
  <w:style w:type="paragraph" w:styleId="Textbubliny">
    <w:name w:val="Balloon Text"/>
    <w:basedOn w:val="Normln"/>
    <w:link w:val="TextbublinyChar"/>
    <w:uiPriority w:val="99"/>
    <w:semiHidden/>
    <w:unhideWhenUsed/>
    <w:rsid w:val="00B506B0"/>
    <w:rPr>
      <w:rFonts w:ascii="Tahoma" w:hAnsi="Tahoma"/>
      <w:sz w:val="16"/>
      <w:szCs w:val="16"/>
    </w:rPr>
  </w:style>
  <w:style w:type="character" w:styleId="Znakapoznpodarou">
    <w:name w:val="footnote reference"/>
    <w:basedOn w:val="Standardnpsmoodstavce"/>
    <w:uiPriority w:val="99"/>
    <w:unhideWhenUsed/>
    <w:rsid w:val="00B506B0"/>
    <w:rPr>
      <w:vertAlign w:val="superscript"/>
    </w:rPr>
  </w:style>
  <w:style w:type="character" w:customStyle="1" w:styleId="term">
    <w:name w:val="term"/>
    <w:basedOn w:val="Standardnpsmoodstavce"/>
    <w:rsid w:val="002B5EC6"/>
  </w:style>
  <w:style w:type="paragraph" w:styleId="Seznam">
    <w:name w:val="List"/>
    <w:basedOn w:val="Normln"/>
    <w:rsid w:val="006712B5"/>
    <w:pPr>
      <w:ind w:left="360" w:hanging="360"/>
      <w:contextualSpacing/>
    </w:pPr>
    <w:rPr>
      <w:rFonts w:eastAsia="Times New Roman" w:cs="Times New Roman"/>
      <w:szCs w:val="20"/>
    </w:rPr>
  </w:style>
  <w:style w:type="paragraph" w:styleId="Revize">
    <w:name w:val="Revision"/>
    <w:hidden/>
    <w:uiPriority w:val="99"/>
    <w:semiHidden/>
    <w:rsid w:val="007B0BC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6B0"/>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4B039F"/>
    <w:rPr>
      <w:sz w:val="20"/>
    </w:rPr>
  </w:style>
  <w:style w:type="character" w:customStyle="1" w:styleId="TextpoznpodarouChar">
    <w:name w:val="Text pozn. pod čarou Char"/>
    <w:link w:val="Textpoznpodarou"/>
    <w:uiPriority w:val="99"/>
    <w:rsid w:val="004B039F"/>
    <w:rPr>
      <w:rFonts w:ascii="Times New Roman" w:hAnsi="Times New Roman"/>
      <w:sz w:val="20"/>
    </w:rPr>
  </w:style>
  <w:style w:type="character" w:customStyle="1" w:styleId="FormtovanvHTMLChar">
    <w:name w:val="Formátovaný v HTML Char"/>
    <w:basedOn w:val="Standardnpsmoodstavce"/>
    <w:link w:val="FormtovanvHTML"/>
    <w:uiPriority w:val="99"/>
    <w:semiHidden/>
    <w:rsid w:val="00B506B0"/>
    <w:rPr>
      <w:rFonts w:ascii="Courier New" w:eastAsia="Times New Roman" w:hAnsi="Courier New" w:cs="Courier"/>
      <w:sz w:val="20"/>
      <w:szCs w:val="20"/>
    </w:rPr>
  </w:style>
  <w:style w:type="paragraph" w:styleId="FormtovanvHTML">
    <w:name w:val="HTML Preformatted"/>
    <w:basedOn w:val="Normln"/>
    <w:link w:val="FormtovanvHTMLChar"/>
    <w:uiPriority w:val="99"/>
    <w:semiHidden/>
    <w:unhideWhenUsed/>
    <w:rsid w:val="00B5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w:sz w:val="20"/>
      <w:szCs w:val="20"/>
    </w:rPr>
  </w:style>
  <w:style w:type="character" w:customStyle="1" w:styleId="TextkomenteChar">
    <w:name w:val="Text komentáře Char"/>
    <w:basedOn w:val="Standardnpsmoodstavce"/>
    <w:link w:val="Textkomente"/>
    <w:uiPriority w:val="99"/>
    <w:semiHidden/>
    <w:rsid w:val="00B506B0"/>
    <w:rPr>
      <w:rFonts w:ascii="Times New Roman" w:hAnsi="Times New Roman"/>
      <w:sz w:val="20"/>
      <w:szCs w:val="20"/>
    </w:rPr>
  </w:style>
  <w:style w:type="paragraph" w:styleId="Textkomente">
    <w:name w:val="annotation text"/>
    <w:basedOn w:val="Normln"/>
    <w:link w:val="TextkomenteChar"/>
    <w:uiPriority w:val="99"/>
    <w:semiHidden/>
    <w:unhideWhenUsed/>
    <w:rsid w:val="00B506B0"/>
    <w:rPr>
      <w:sz w:val="20"/>
      <w:szCs w:val="20"/>
    </w:rPr>
  </w:style>
  <w:style w:type="character" w:customStyle="1" w:styleId="ZhlavChar">
    <w:name w:val="Záhlaví Char"/>
    <w:basedOn w:val="Standardnpsmoodstavce"/>
    <w:link w:val="Zhlav"/>
    <w:uiPriority w:val="99"/>
    <w:rsid w:val="00B506B0"/>
    <w:rPr>
      <w:rFonts w:ascii="Times New Roman" w:hAnsi="Times New Roman"/>
    </w:rPr>
  </w:style>
  <w:style w:type="paragraph" w:styleId="Zhlav">
    <w:name w:val="header"/>
    <w:basedOn w:val="Normln"/>
    <w:link w:val="ZhlavChar"/>
    <w:uiPriority w:val="99"/>
    <w:unhideWhenUsed/>
    <w:rsid w:val="00B506B0"/>
    <w:pPr>
      <w:tabs>
        <w:tab w:val="center" w:pos="4680"/>
        <w:tab w:val="right" w:pos="9360"/>
      </w:tabs>
    </w:pPr>
  </w:style>
  <w:style w:type="character" w:customStyle="1" w:styleId="ZpatChar">
    <w:name w:val="Zápatí Char"/>
    <w:basedOn w:val="Standardnpsmoodstavce"/>
    <w:link w:val="Zpat"/>
    <w:uiPriority w:val="99"/>
    <w:rsid w:val="00B506B0"/>
    <w:rPr>
      <w:rFonts w:ascii="Times New Roman" w:hAnsi="Times New Roman"/>
    </w:rPr>
  </w:style>
  <w:style w:type="paragraph" w:styleId="Zpat">
    <w:name w:val="footer"/>
    <w:basedOn w:val="Normln"/>
    <w:link w:val="ZpatChar"/>
    <w:uiPriority w:val="99"/>
    <w:unhideWhenUsed/>
    <w:rsid w:val="00B506B0"/>
    <w:pPr>
      <w:tabs>
        <w:tab w:val="center" w:pos="4680"/>
        <w:tab w:val="right" w:pos="9360"/>
      </w:tabs>
    </w:pPr>
  </w:style>
  <w:style w:type="character" w:customStyle="1" w:styleId="RozloendokumentuChar">
    <w:name w:val="Rozložení dokumentu Char"/>
    <w:basedOn w:val="Standardnpsmoodstavce"/>
    <w:link w:val="Rozloendokumentu"/>
    <w:uiPriority w:val="99"/>
    <w:semiHidden/>
    <w:rsid w:val="00B506B0"/>
    <w:rPr>
      <w:rFonts w:ascii="Lucida Grande" w:hAnsi="Lucida Grande"/>
    </w:rPr>
  </w:style>
  <w:style w:type="paragraph" w:styleId="Rozloendokumentu">
    <w:name w:val="Document Map"/>
    <w:basedOn w:val="Normln"/>
    <w:link w:val="RozloendokumentuChar"/>
    <w:uiPriority w:val="99"/>
    <w:semiHidden/>
    <w:unhideWhenUsed/>
    <w:rsid w:val="00B506B0"/>
    <w:rPr>
      <w:rFonts w:ascii="Lucida Grande" w:hAnsi="Lucida Grande"/>
    </w:rPr>
  </w:style>
  <w:style w:type="character" w:customStyle="1" w:styleId="TextbublinyChar">
    <w:name w:val="Text bubliny Char"/>
    <w:basedOn w:val="Standardnpsmoodstavce"/>
    <w:link w:val="Textbubliny"/>
    <w:uiPriority w:val="99"/>
    <w:semiHidden/>
    <w:rsid w:val="00B506B0"/>
    <w:rPr>
      <w:rFonts w:ascii="Tahoma" w:hAnsi="Tahoma"/>
      <w:sz w:val="16"/>
      <w:szCs w:val="16"/>
    </w:rPr>
  </w:style>
  <w:style w:type="paragraph" w:styleId="Textbubliny">
    <w:name w:val="Balloon Text"/>
    <w:basedOn w:val="Normln"/>
    <w:link w:val="TextbublinyChar"/>
    <w:uiPriority w:val="99"/>
    <w:semiHidden/>
    <w:unhideWhenUsed/>
    <w:rsid w:val="00B506B0"/>
    <w:rPr>
      <w:rFonts w:ascii="Tahoma" w:hAnsi="Tahoma"/>
      <w:sz w:val="16"/>
      <w:szCs w:val="16"/>
    </w:rPr>
  </w:style>
  <w:style w:type="character" w:styleId="Znakapoznpodarou">
    <w:name w:val="footnote reference"/>
    <w:basedOn w:val="Standardnpsmoodstavce"/>
    <w:uiPriority w:val="99"/>
    <w:unhideWhenUsed/>
    <w:rsid w:val="00B506B0"/>
    <w:rPr>
      <w:vertAlign w:val="superscript"/>
    </w:rPr>
  </w:style>
  <w:style w:type="character" w:customStyle="1" w:styleId="term">
    <w:name w:val="term"/>
    <w:basedOn w:val="Standardnpsmoodstavce"/>
    <w:rsid w:val="002B5EC6"/>
  </w:style>
  <w:style w:type="paragraph" w:styleId="Seznam">
    <w:name w:val="List"/>
    <w:basedOn w:val="Normln"/>
    <w:rsid w:val="006712B5"/>
    <w:pPr>
      <w:ind w:left="360" w:hanging="360"/>
      <w:contextualSpacing/>
    </w:pPr>
    <w:rPr>
      <w:rFonts w:eastAsia="Times New Roman" w:cs="Times New Roman"/>
      <w:szCs w:val="20"/>
    </w:rPr>
  </w:style>
  <w:style w:type="paragraph" w:styleId="Revize">
    <w:name w:val="Revision"/>
    <w:hidden/>
    <w:uiPriority w:val="99"/>
    <w:semiHidden/>
    <w:rsid w:val="007B0BC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7407">
      <w:bodyDiv w:val="1"/>
      <w:marLeft w:val="0"/>
      <w:marRight w:val="0"/>
      <w:marTop w:val="0"/>
      <w:marBottom w:val="0"/>
      <w:divBdr>
        <w:top w:val="none" w:sz="0" w:space="0" w:color="auto"/>
        <w:left w:val="none" w:sz="0" w:space="0" w:color="auto"/>
        <w:bottom w:val="none" w:sz="0" w:space="0" w:color="auto"/>
        <w:right w:val="none" w:sz="0" w:space="0" w:color="auto"/>
      </w:divBdr>
    </w:div>
    <w:div w:id="1375693373">
      <w:bodyDiv w:val="1"/>
      <w:marLeft w:val="0"/>
      <w:marRight w:val="0"/>
      <w:marTop w:val="0"/>
      <w:marBottom w:val="0"/>
      <w:divBdr>
        <w:top w:val="none" w:sz="0" w:space="0" w:color="auto"/>
        <w:left w:val="none" w:sz="0" w:space="0" w:color="auto"/>
        <w:bottom w:val="none" w:sz="0" w:space="0" w:color="auto"/>
        <w:right w:val="none" w:sz="0" w:space="0" w:color="auto"/>
      </w:divBdr>
    </w:div>
    <w:div w:id="1795518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2012-09-14T00:00:00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2ADBA-8A45-48BD-BC89-F2549AC6A0E9}">
  <ds:schemaRefs>
    <ds:schemaRef ds:uri="http://schemas.openxmlformats.org/officeDocument/2006/bibliography"/>
  </ds:schemaRefs>
</ds:datastoreItem>
</file>

<file path=customXml/itemProps3.xml><?xml version="1.0" encoding="utf-8"?>
<ds:datastoreItem xmlns:ds="http://schemas.openxmlformats.org/officeDocument/2006/customXml" ds:itemID="{0065F0AE-C1E3-4D9C-AF67-01918FD3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14188</Words>
  <Characters>83714</Characters>
  <Application>Microsoft Office Word</Application>
  <DocSecurity>0</DocSecurity>
  <Lines>697</Lines>
  <Paragraphs>195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Draft:  Please do not Quote or Cite</vt:lpstr>
      <vt:lpstr>Draft:  Please do not Quote or Cite</vt:lpstr>
    </vt:vector>
  </TitlesOfParts>
  <Company>Syracuse University</Company>
  <LinksUpToDate>false</LinksUpToDate>
  <CharactersWithSpaces>97707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Please do not Quote or Cite</dc:title>
  <dc:creator>David Driesen</dc:creator>
  <cp:lastModifiedBy>Jana Soukopová</cp:lastModifiedBy>
  <cp:revision>2</cp:revision>
  <cp:lastPrinted>2013-01-31T15:18:00Z</cp:lastPrinted>
  <dcterms:created xsi:type="dcterms:W3CDTF">2014-03-23T09:13:00Z</dcterms:created>
  <dcterms:modified xsi:type="dcterms:W3CDTF">2014-03-23T09:13:00Z</dcterms:modified>
</cp:coreProperties>
</file>