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EC" w:rsidRDefault="00512CEC" w:rsidP="00512CEC">
      <w:pPr>
        <w:jc w:val="both"/>
        <w:rPr>
          <w:b/>
          <w:color w:val="000000"/>
          <w:sz w:val="32"/>
          <w:szCs w:val="32"/>
          <w:u w:val="single"/>
        </w:rPr>
      </w:pPr>
      <w:bookmarkStart w:id="0" w:name="_GoBack"/>
      <w:bookmarkEnd w:id="0"/>
      <w:r w:rsidRPr="00B565E0">
        <w:rPr>
          <w:b/>
          <w:color w:val="000000"/>
          <w:sz w:val="32"/>
          <w:szCs w:val="32"/>
          <w:u w:val="single"/>
        </w:rPr>
        <w:t xml:space="preserve">Příklady – </w:t>
      </w:r>
      <w:r>
        <w:rPr>
          <w:b/>
          <w:color w:val="000000"/>
          <w:sz w:val="32"/>
          <w:szCs w:val="32"/>
          <w:u w:val="single"/>
        </w:rPr>
        <w:t>Základy soukromého práva</w:t>
      </w:r>
      <w:r w:rsidRPr="00B565E0">
        <w:rPr>
          <w:b/>
          <w:color w:val="000000"/>
          <w:sz w:val="32"/>
          <w:szCs w:val="32"/>
          <w:u w:val="single"/>
        </w:rPr>
        <w:t xml:space="preserve"> – témata č. I</w:t>
      </w:r>
      <w:r>
        <w:rPr>
          <w:b/>
          <w:color w:val="000000"/>
          <w:sz w:val="32"/>
          <w:szCs w:val="32"/>
          <w:u w:val="single"/>
        </w:rPr>
        <w:t>II</w:t>
      </w:r>
      <w:r w:rsidRPr="00B565E0">
        <w:rPr>
          <w:b/>
          <w:color w:val="000000"/>
          <w:sz w:val="32"/>
          <w:szCs w:val="32"/>
          <w:u w:val="single"/>
        </w:rPr>
        <w:t xml:space="preserve">., </w:t>
      </w:r>
      <w:r>
        <w:rPr>
          <w:b/>
          <w:color w:val="000000"/>
          <w:sz w:val="32"/>
          <w:szCs w:val="32"/>
          <w:u w:val="single"/>
        </w:rPr>
        <w:t>IV</w:t>
      </w:r>
      <w:r w:rsidRPr="00B565E0">
        <w:rPr>
          <w:b/>
          <w:color w:val="000000"/>
          <w:sz w:val="32"/>
          <w:szCs w:val="32"/>
          <w:u w:val="single"/>
        </w:rPr>
        <w:t>.</w:t>
      </w:r>
    </w:p>
    <w:p w:rsidR="00512CEC" w:rsidRDefault="00512CEC" w:rsidP="00512CEC">
      <w:pPr>
        <w:jc w:val="both"/>
        <w:rPr>
          <w:b/>
          <w:color w:val="000000"/>
          <w:sz w:val="32"/>
          <w:szCs w:val="32"/>
          <w:u w:val="single"/>
        </w:rPr>
      </w:pPr>
    </w:p>
    <w:p w:rsidR="00512CEC" w:rsidRDefault="00512CEC" w:rsidP="00512CEC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Kvalifikujte následující předměty soukromoprávních vztahů podle příslušných ustanovení NOZ a určete, o jaký druh předmětu se jedná:</w:t>
      </w:r>
    </w:p>
    <w:p w:rsidR="001A61F4" w:rsidRDefault="001A61F4" w:rsidP="001A61F4">
      <w:pPr>
        <w:pStyle w:val="Odstavecseseznamem"/>
        <w:ind w:left="360"/>
        <w:jc w:val="both"/>
        <w:rPr>
          <w:color w:val="000000"/>
        </w:rPr>
      </w:pPr>
    </w:p>
    <w:p w:rsidR="00512CEC" w:rsidRPr="00C4618A" w:rsidRDefault="00512CEC" w:rsidP="001A61F4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i/>
          <w:color w:val="000000"/>
        </w:rPr>
      </w:pPr>
      <w:r w:rsidRPr="00C4618A">
        <w:rPr>
          <w:i/>
          <w:color w:val="000000"/>
        </w:rPr>
        <w:t>Jízdní kolo</w:t>
      </w:r>
    </w:p>
    <w:p w:rsidR="00512CEC" w:rsidRPr="00C4618A" w:rsidRDefault="00512CEC" w:rsidP="001A61F4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i/>
          <w:color w:val="000000"/>
        </w:rPr>
      </w:pPr>
      <w:r w:rsidRPr="00C4618A">
        <w:rPr>
          <w:i/>
          <w:color w:val="000000"/>
        </w:rPr>
        <w:t>Pozemek</w:t>
      </w:r>
    </w:p>
    <w:p w:rsidR="00512CEC" w:rsidRPr="00C4618A" w:rsidRDefault="00512CEC" w:rsidP="001A61F4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i/>
          <w:color w:val="000000"/>
        </w:rPr>
      </w:pPr>
      <w:r w:rsidRPr="00C4618A">
        <w:rPr>
          <w:i/>
          <w:color w:val="000000"/>
        </w:rPr>
        <w:t>Pes Azor</w:t>
      </w:r>
    </w:p>
    <w:p w:rsidR="00512CEC" w:rsidRPr="00C4618A" w:rsidRDefault="00512CEC" w:rsidP="001A61F4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i/>
          <w:color w:val="000000"/>
        </w:rPr>
      </w:pPr>
      <w:r w:rsidRPr="00C4618A">
        <w:rPr>
          <w:i/>
          <w:color w:val="000000"/>
        </w:rPr>
        <w:t>Elektrická energie</w:t>
      </w:r>
    </w:p>
    <w:p w:rsidR="00512CEC" w:rsidRPr="00C4618A" w:rsidRDefault="00512CEC" w:rsidP="001A61F4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i/>
          <w:color w:val="000000"/>
        </w:rPr>
      </w:pPr>
      <w:r w:rsidRPr="00C4618A">
        <w:rPr>
          <w:i/>
          <w:color w:val="000000"/>
        </w:rPr>
        <w:t>Akcie Karlovarských minerálních vod, a.s.</w:t>
      </w:r>
    </w:p>
    <w:p w:rsidR="00512CEC" w:rsidRPr="00C4618A" w:rsidRDefault="00512CEC" w:rsidP="001A61F4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i/>
          <w:color w:val="000000"/>
        </w:rPr>
      </w:pPr>
      <w:r w:rsidRPr="00C4618A">
        <w:rPr>
          <w:i/>
          <w:color w:val="000000"/>
        </w:rPr>
        <w:t>Vlastnické právo ke stavbě</w:t>
      </w:r>
    </w:p>
    <w:p w:rsidR="00512CEC" w:rsidRPr="00C4618A" w:rsidRDefault="00512CEC" w:rsidP="001A61F4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i/>
          <w:color w:val="000000"/>
        </w:rPr>
      </w:pPr>
      <w:r w:rsidRPr="00C4618A">
        <w:rPr>
          <w:i/>
          <w:color w:val="000000"/>
        </w:rPr>
        <w:t>Právo autora na licenční odměnu</w:t>
      </w:r>
    </w:p>
    <w:p w:rsidR="00512CEC" w:rsidRPr="00C4618A" w:rsidRDefault="00512CEC" w:rsidP="001A61F4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i/>
          <w:color w:val="000000"/>
        </w:rPr>
      </w:pPr>
      <w:r w:rsidRPr="00C4618A">
        <w:rPr>
          <w:i/>
          <w:color w:val="000000"/>
        </w:rPr>
        <w:t>Právo na ochranu jména a cti fyzické osoby</w:t>
      </w:r>
    </w:p>
    <w:p w:rsidR="00512CEC" w:rsidRPr="00C4618A" w:rsidRDefault="00512CEC" w:rsidP="001A61F4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i/>
          <w:color w:val="000000"/>
        </w:rPr>
      </w:pPr>
      <w:r w:rsidRPr="00C4618A">
        <w:rPr>
          <w:i/>
          <w:color w:val="000000"/>
        </w:rPr>
        <w:t xml:space="preserve">Vajíčko (tzn. </w:t>
      </w:r>
      <w:r w:rsidR="00C4618A" w:rsidRPr="00C4618A">
        <w:rPr>
          <w:i/>
          <w:color w:val="000000"/>
        </w:rPr>
        <w:t>ženská pohlavní b</w:t>
      </w:r>
      <w:r w:rsidRPr="00C4618A">
        <w:rPr>
          <w:i/>
          <w:color w:val="000000"/>
        </w:rPr>
        <w:t>uňka)</w:t>
      </w:r>
    </w:p>
    <w:p w:rsidR="00512CEC" w:rsidRPr="00C4618A" w:rsidRDefault="00512CEC" w:rsidP="001A61F4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i/>
          <w:color w:val="000000"/>
        </w:rPr>
      </w:pPr>
      <w:r w:rsidRPr="00C4618A">
        <w:rPr>
          <w:i/>
          <w:color w:val="000000"/>
        </w:rPr>
        <w:t>Škoda Auto, a.s., závod Kvasiny</w:t>
      </w:r>
    </w:p>
    <w:p w:rsidR="00512CEC" w:rsidRPr="00C4618A" w:rsidRDefault="00512CEC" w:rsidP="001A61F4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i/>
          <w:color w:val="000000"/>
        </w:rPr>
      </w:pPr>
      <w:r w:rsidRPr="00C4618A">
        <w:rPr>
          <w:i/>
          <w:color w:val="000000"/>
        </w:rPr>
        <w:t>Jabloň na zahradě pana Nováka</w:t>
      </w:r>
    </w:p>
    <w:p w:rsidR="00C4618A" w:rsidRPr="00C4618A" w:rsidRDefault="00C4618A" w:rsidP="001A61F4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i/>
          <w:color w:val="000000"/>
        </w:rPr>
      </w:pPr>
      <w:r>
        <w:rPr>
          <w:i/>
          <w:color w:val="000000"/>
        </w:rPr>
        <w:t>Tzv. právo stavby</w:t>
      </w:r>
    </w:p>
    <w:p w:rsidR="00512CEC" w:rsidRPr="00C4618A" w:rsidRDefault="00512CEC" w:rsidP="00512CEC">
      <w:pPr>
        <w:pStyle w:val="Odstavecseseznamem"/>
        <w:jc w:val="both"/>
        <w:rPr>
          <w:i/>
          <w:color w:val="000000"/>
        </w:rPr>
      </w:pPr>
    </w:p>
    <w:p w:rsidR="00512CEC" w:rsidRDefault="00C4618A" w:rsidP="00512CEC">
      <w:pPr>
        <w:pStyle w:val="Odstavecseseznamem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Posuďte, zda jsou následující právní jednání právně relevantní a platná:</w:t>
      </w:r>
    </w:p>
    <w:p w:rsidR="00C4618A" w:rsidRDefault="00C4618A" w:rsidP="00C4618A">
      <w:pPr>
        <w:pStyle w:val="Odstavecseseznamem"/>
        <w:ind w:left="360"/>
        <w:jc w:val="both"/>
        <w:rPr>
          <w:color w:val="000000"/>
        </w:rPr>
      </w:pPr>
    </w:p>
    <w:p w:rsidR="00C4618A" w:rsidRPr="00C4618A" w:rsidRDefault="00C4618A" w:rsidP="00C4618A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C4618A">
        <w:rPr>
          <w:i/>
          <w:color w:val="000000"/>
        </w:rPr>
        <w:t>Pan Fík (prodávající) uzavřel v hostinci s panem Jonatánem (kupující) ústní kupní smlouvu o převodu zánovního osobního automobilu</w:t>
      </w:r>
      <w:r w:rsidR="004570F6">
        <w:rPr>
          <w:i/>
          <w:color w:val="000000"/>
        </w:rPr>
        <w:t xml:space="preserve"> Škoda Fabia II 1,2 TSI</w:t>
      </w:r>
      <w:r w:rsidRPr="00C4618A">
        <w:rPr>
          <w:i/>
          <w:color w:val="000000"/>
        </w:rPr>
        <w:t xml:space="preserve"> za cenu </w:t>
      </w:r>
      <w:r w:rsidR="004570F6">
        <w:rPr>
          <w:i/>
          <w:color w:val="000000"/>
        </w:rPr>
        <w:t>5</w:t>
      </w:r>
      <w:r w:rsidRPr="00C4618A">
        <w:rPr>
          <w:i/>
          <w:color w:val="000000"/>
        </w:rPr>
        <w:t xml:space="preserve">000 Kč. Pan Jonatán okamžitě zaplatil kupní cenu a všichni to řádně oslavili. Druhý den si pan Jonatán přišel pro auto, ale pan Fík odmítl auto vydat s tím, že šlo o žert, že neměli s kamarády peníze na pivo. Kamarádi mu prý vše dosvědčí. </w:t>
      </w:r>
    </w:p>
    <w:p w:rsidR="00C4618A" w:rsidRPr="00C4618A" w:rsidRDefault="00C4618A" w:rsidP="00C4618A">
      <w:pPr>
        <w:pStyle w:val="Odstavecseseznamem"/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C4618A" w:rsidRPr="00C4618A" w:rsidRDefault="00C4618A" w:rsidP="00C4618A">
      <w:pPr>
        <w:pStyle w:val="Odstavecseseznamem"/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C4618A">
        <w:rPr>
          <w:color w:val="000000"/>
        </w:rPr>
        <w:t>Posuďte situaci pana Jonatána a navrhněte možnost právní obrany</w:t>
      </w:r>
      <w:r>
        <w:rPr>
          <w:color w:val="000000"/>
        </w:rPr>
        <w:t>.</w:t>
      </w:r>
    </w:p>
    <w:p w:rsidR="00C4618A" w:rsidRDefault="00C4618A" w:rsidP="00C4618A">
      <w:pPr>
        <w:pStyle w:val="Odstavecseseznamem"/>
        <w:ind w:left="360"/>
        <w:jc w:val="both"/>
        <w:rPr>
          <w:color w:val="000000"/>
        </w:rPr>
      </w:pPr>
    </w:p>
    <w:p w:rsidR="00C4618A" w:rsidRPr="004570F6" w:rsidRDefault="00C4618A" w:rsidP="00C4618A">
      <w:pPr>
        <w:pStyle w:val="Odstavecseseznamem"/>
        <w:numPr>
          <w:ilvl w:val="0"/>
          <w:numId w:val="4"/>
        </w:numPr>
        <w:jc w:val="both"/>
        <w:rPr>
          <w:i/>
          <w:color w:val="000000"/>
        </w:rPr>
      </w:pPr>
      <w:r w:rsidRPr="004570F6">
        <w:rPr>
          <w:i/>
          <w:color w:val="000000"/>
        </w:rPr>
        <w:t>Strany ABC, s. r.o.</w:t>
      </w:r>
      <w:r w:rsidR="004570F6" w:rsidRPr="004570F6">
        <w:rPr>
          <w:i/>
          <w:color w:val="000000"/>
        </w:rPr>
        <w:t xml:space="preserve"> (poskytovatel)</w:t>
      </w:r>
      <w:r w:rsidRPr="004570F6">
        <w:rPr>
          <w:i/>
          <w:color w:val="000000"/>
        </w:rPr>
        <w:t xml:space="preserve"> a XYZ, a.s.</w:t>
      </w:r>
      <w:r w:rsidR="004570F6" w:rsidRPr="004570F6">
        <w:rPr>
          <w:i/>
          <w:color w:val="000000"/>
        </w:rPr>
        <w:t xml:space="preserve"> (objednatel)</w:t>
      </w:r>
      <w:r w:rsidRPr="004570F6">
        <w:rPr>
          <w:i/>
          <w:color w:val="000000"/>
        </w:rPr>
        <w:t xml:space="preserve"> spolu uzavřely smlouvu o poskytování poradenských služeb, v níž se zavázaly, že </w:t>
      </w:r>
      <w:r w:rsidR="004570F6" w:rsidRPr="004570F6">
        <w:rPr>
          <w:i/>
          <w:color w:val="000000"/>
        </w:rPr>
        <w:t xml:space="preserve">poskytovatel bude poradenství poskytovat vždy písemně. Mezi stranami se však vyvinula několikaletá praxe, při níž poskytovatel sděloval požadované informace telefonicky nebo </w:t>
      </w:r>
      <w:r w:rsidR="004570F6">
        <w:rPr>
          <w:i/>
          <w:color w:val="000000"/>
        </w:rPr>
        <w:t>při osobních schůzkách příslušných zaměstnanců obou společností</w:t>
      </w:r>
      <w:r w:rsidR="004570F6" w:rsidRPr="004570F6">
        <w:rPr>
          <w:i/>
          <w:color w:val="000000"/>
        </w:rPr>
        <w:t xml:space="preserve">. Objednatel po několika letech podal na poskytovatele žalobu na uložení povinnosti poskytnout objednané stanovisko, ačkoliv mu bylo sděleno telefonicky. </w:t>
      </w:r>
    </w:p>
    <w:p w:rsidR="004570F6" w:rsidRDefault="004570F6" w:rsidP="004570F6">
      <w:pPr>
        <w:ind w:left="360"/>
        <w:jc w:val="both"/>
        <w:rPr>
          <w:color w:val="000000"/>
        </w:rPr>
      </w:pPr>
    </w:p>
    <w:p w:rsidR="004570F6" w:rsidRDefault="004570F6" w:rsidP="004570F6">
      <w:pPr>
        <w:ind w:left="708"/>
        <w:jc w:val="both"/>
        <w:rPr>
          <w:color w:val="000000"/>
        </w:rPr>
      </w:pPr>
      <w:r>
        <w:rPr>
          <w:color w:val="000000"/>
        </w:rPr>
        <w:t xml:space="preserve">Posuďte situaci z hlediska pravidel pro právní jednání a navrhněte možnost obrany poskytovatele. </w:t>
      </w:r>
    </w:p>
    <w:p w:rsidR="001A61F4" w:rsidRDefault="001A61F4" w:rsidP="001A61F4">
      <w:pPr>
        <w:jc w:val="both"/>
        <w:rPr>
          <w:color w:val="000000"/>
        </w:rPr>
      </w:pPr>
    </w:p>
    <w:p w:rsidR="001A61F4" w:rsidRDefault="001A61F4" w:rsidP="001A61F4">
      <w:pPr>
        <w:pStyle w:val="Odstavecseseznamem"/>
        <w:numPr>
          <w:ilvl w:val="0"/>
          <w:numId w:val="4"/>
        </w:numPr>
        <w:jc w:val="both"/>
        <w:rPr>
          <w:i/>
          <w:color w:val="000000"/>
        </w:rPr>
      </w:pPr>
      <w:r w:rsidRPr="001A61F4">
        <w:rPr>
          <w:i/>
          <w:color w:val="000000"/>
        </w:rPr>
        <w:t xml:space="preserve">David S. prodal Karlovi R. starou egyptskou vázu a ujistil jej, že se jedná o starožitnost vysoké hodnoty. Karel R. si později nechal prohlédnout vázu znalcem a zjistil, že se jedná o zdařilý padělek. </w:t>
      </w:r>
    </w:p>
    <w:p w:rsidR="001A61F4" w:rsidRPr="001A61F4" w:rsidRDefault="001A61F4" w:rsidP="001A61F4">
      <w:pPr>
        <w:pStyle w:val="Odstavecseseznamem"/>
        <w:jc w:val="both"/>
        <w:rPr>
          <w:i/>
          <w:color w:val="000000"/>
        </w:rPr>
      </w:pPr>
    </w:p>
    <w:p w:rsidR="001A61F4" w:rsidRPr="001A61F4" w:rsidRDefault="001A61F4" w:rsidP="001A61F4">
      <w:pPr>
        <w:pStyle w:val="Odstavecseseznamem"/>
        <w:jc w:val="both"/>
        <w:rPr>
          <w:color w:val="000000"/>
        </w:rPr>
      </w:pPr>
      <w:r w:rsidRPr="001A61F4">
        <w:rPr>
          <w:color w:val="000000"/>
        </w:rPr>
        <w:t>Posuďte danou situaci a nastiňte možnost řešení.</w:t>
      </w:r>
    </w:p>
    <w:p w:rsidR="001A61F4" w:rsidRPr="001A61F4" w:rsidRDefault="001A61F4" w:rsidP="001A61F4">
      <w:pPr>
        <w:pStyle w:val="Odstavecseseznamem"/>
        <w:rPr>
          <w:color w:val="000000"/>
        </w:rPr>
      </w:pPr>
    </w:p>
    <w:p w:rsidR="001A61F4" w:rsidRDefault="001A61F4" w:rsidP="001A61F4">
      <w:pPr>
        <w:pStyle w:val="Odstavecseseznamem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Strany si v nájemní smlouvě dohodly, že nájemce může v bytě provozovat noční diskotéku</w:t>
      </w:r>
      <w:r w:rsidR="00A87183">
        <w:rPr>
          <w:color w:val="000000"/>
        </w:rPr>
        <w:t>, za což bude k nájemnému měsíčně připlácet pronajímateli 10 procent ze svého zisku. Nájemce po čase přestal odvádět pronajímateli tuto částku, a proto pronajímatel podal žalobu na zaplacení.</w:t>
      </w:r>
    </w:p>
    <w:p w:rsidR="00A87183" w:rsidRDefault="00A87183" w:rsidP="00A87183">
      <w:pPr>
        <w:pStyle w:val="Odstavecseseznamem"/>
        <w:jc w:val="both"/>
        <w:rPr>
          <w:color w:val="000000"/>
        </w:rPr>
      </w:pPr>
    </w:p>
    <w:p w:rsidR="00A87183" w:rsidRPr="001A61F4" w:rsidRDefault="00A87183" w:rsidP="00A87183">
      <w:pPr>
        <w:pStyle w:val="Odstavecseseznamem"/>
        <w:jc w:val="both"/>
        <w:rPr>
          <w:color w:val="000000"/>
        </w:rPr>
      </w:pPr>
      <w:r>
        <w:rPr>
          <w:color w:val="000000"/>
        </w:rPr>
        <w:t xml:space="preserve">Zabývejte se platností takového ujednání a posuďte, zda by pronajímatel byl úspěšný. </w:t>
      </w:r>
    </w:p>
    <w:p w:rsidR="004570F6" w:rsidRDefault="004570F6" w:rsidP="004570F6">
      <w:pPr>
        <w:jc w:val="both"/>
        <w:rPr>
          <w:color w:val="000000"/>
        </w:rPr>
      </w:pPr>
    </w:p>
    <w:p w:rsidR="004570F6" w:rsidRDefault="004570F6" w:rsidP="001A61F4">
      <w:pPr>
        <w:jc w:val="both"/>
        <w:rPr>
          <w:color w:val="000000"/>
        </w:rPr>
      </w:pPr>
    </w:p>
    <w:p w:rsidR="001A61F4" w:rsidRPr="001A61F4" w:rsidRDefault="001A61F4" w:rsidP="001A61F4">
      <w:pPr>
        <w:pStyle w:val="Odstavecseseznamem"/>
        <w:numPr>
          <w:ilvl w:val="0"/>
          <w:numId w:val="1"/>
        </w:numPr>
        <w:jc w:val="both"/>
        <w:rPr>
          <w:i/>
          <w:color w:val="000000"/>
        </w:rPr>
      </w:pPr>
      <w:r w:rsidRPr="001A61F4">
        <w:rPr>
          <w:i/>
          <w:color w:val="000000"/>
        </w:rPr>
        <w:t xml:space="preserve">Otec uzavřel se svou dcerou </w:t>
      </w:r>
      <w:r w:rsidRPr="001A61F4">
        <w:rPr>
          <w:i/>
          <w:color w:val="000000"/>
        </w:rPr>
        <w:t>smlouvu</w:t>
      </w:r>
      <w:r w:rsidRPr="001A61F4">
        <w:rPr>
          <w:i/>
          <w:color w:val="000000"/>
        </w:rPr>
        <w:t xml:space="preserve"> o tom, že jí umožňuje užívání svého osobního automobilu Seat Ibiza. V</w:t>
      </w:r>
      <w:r w:rsidRPr="001A61F4">
        <w:rPr>
          <w:i/>
          <w:color w:val="000000"/>
        </w:rPr>
        <w:t>e smlouvě</w:t>
      </w:r>
      <w:r w:rsidRPr="001A61F4">
        <w:rPr>
          <w:i/>
          <w:color w:val="000000"/>
        </w:rPr>
        <w:t xml:space="preserve"> bylo konstatováno, že se sjednává na dobu neurčitou, avšak užívání skončí dnem, kdy si dcera zakoupí vlastní automobil. </w:t>
      </w:r>
    </w:p>
    <w:p w:rsidR="001A61F4" w:rsidRDefault="001A61F4" w:rsidP="001A61F4">
      <w:pPr>
        <w:pStyle w:val="Odstavecseseznamem"/>
        <w:ind w:left="360"/>
        <w:jc w:val="both"/>
        <w:rPr>
          <w:color w:val="000000"/>
        </w:rPr>
      </w:pPr>
    </w:p>
    <w:p w:rsidR="001A61F4" w:rsidRPr="001A61F4" w:rsidRDefault="001A61F4" w:rsidP="001A61F4">
      <w:pPr>
        <w:pStyle w:val="Odstavecseseznamem"/>
        <w:ind w:left="360"/>
        <w:jc w:val="both"/>
        <w:rPr>
          <w:color w:val="000000"/>
        </w:rPr>
      </w:pPr>
      <w:r>
        <w:rPr>
          <w:color w:val="000000"/>
        </w:rPr>
        <w:t>P</w:t>
      </w:r>
      <w:r w:rsidRPr="001A61F4">
        <w:rPr>
          <w:color w:val="000000"/>
        </w:rPr>
        <w:t xml:space="preserve">osuďte charakter ujednání ohledně doby užívání automobilu. </w:t>
      </w:r>
    </w:p>
    <w:p w:rsidR="001A61F4" w:rsidRDefault="001A61F4" w:rsidP="001A61F4">
      <w:pPr>
        <w:jc w:val="both"/>
        <w:rPr>
          <w:color w:val="000000"/>
        </w:rPr>
      </w:pPr>
    </w:p>
    <w:p w:rsidR="00A87183" w:rsidRPr="00940253" w:rsidRDefault="00940253" w:rsidP="00940253">
      <w:pPr>
        <w:pStyle w:val="Odstavecseseznamem"/>
        <w:numPr>
          <w:ilvl w:val="0"/>
          <w:numId w:val="1"/>
        </w:numPr>
        <w:jc w:val="both"/>
        <w:rPr>
          <w:i/>
          <w:color w:val="000000"/>
        </w:rPr>
      </w:pPr>
      <w:r w:rsidRPr="00940253">
        <w:rPr>
          <w:i/>
          <w:color w:val="000000"/>
        </w:rPr>
        <w:t xml:space="preserve">Strany si ve smlouvě o zápůjčce dohodly, že právo věřitele na plnění dlužné částky se promlčí ve lhůtě 1 roku ode dne, kdy mohlo být uplatněno poprvé. Dluh měl být splacen ke dni 31. 1. 2013. Jelikož nebylo plněno podle smlouvy, podal věřitel žalobu dne 1. 3. 2014 a domáhal se vrácení dlužné částky. Dlužník proti tomu namítl </w:t>
      </w:r>
      <w:r>
        <w:rPr>
          <w:i/>
          <w:color w:val="000000"/>
        </w:rPr>
        <w:t>promlčení svého dluhu</w:t>
      </w:r>
      <w:r w:rsidRPr="00940253">
        <w:rPr>
          <w:i/>
          <w:color w:val="000000"/>
        </w:rPr>
        <w:t xml:space="preserve">. </w:t>
      </w:r>
      <w:r>
        <w:rPr>
          <w:i/>
          <w:color w:val="000000"/>
        </w:rPr>
        <w:t>Věřitel oproti tomu argumentoval neplatností ujednání o promlčení pro rozpor se zákonem a dobrými mravy.</w:t>
      </w:r>
    </w:p>
    <w:p w:rsidR="00940253" w:rsidRDefault="00940253" w:rsidP="00940253">
      <w:pPr>
        <w:jc w:val="both"/>
        <w:rPr>
          <w:color w:val="000000"/>
        </w:rPr>
      </w:pPr>
    </w:p>
    <w:p w:rsidR="00940253" w:rsidRDefault="00940253" w:rsidP="00940253">
      <w:pPr>
        <w:ind w:left="360"/>
        <w:jc w:val="both"/>
        <w:rPr>
          <w:color w:val="000000"/>
        </w:rPr>
      </w:pPr>
      <w:r>
        <w:rPr>
          <w:color w:val="000000"/>
        </w:rPr>
        <w:t xml:space="preserve">Posuďte případ podle ustanovení NOZ o promlčení a platnosti právních jednání a určete, která ze stran bude podle Vašeho názoru úspěšná a proč. Mělo by na běh promlčení vliv, pokud by věřitel v mezičase postoupil pohledávku společnosti </w:t>
      </w:r>
      <w:proofErr w:type="spellStart"/>
      <w:r>
        <w:rPr>
          <w:color w:val="000000"/>
        </w:rPr>
        <w:t>NavalPrachy</w:t>
      </w:r>
      <w:proofErr w:type="spellEnd"/>
      <w:r>
        <w:rPr>
          <w:color w:val="000000"/>
        </w:rPr>
        <w:t>, s.r.o.?</w:t>
      </w:r>
    </w:p>
    <w:p w:rsidR="00940253" w:rsidRDefault="00940253" w:rsidP="00940253">
      <w:pPr>
        <w:jc w:val="both"/>
        <w:rPr>
          <w:color w:val="000000"/>
        </w:rPr>
      </w:pPr>
    </w:p>
    <w:p w:rsidR="00441787" w:rsidRPr="00441787" w:rsidRDefault="00441787" w:rsidP="00441787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41787">
        <w:rPr>
          <w:i/>
          <w:color w:val="000000"/>
        </w:rPr>
        <w:t>Pan František H. si půjčil od svého bratra Adolfa H. čás</w:t>
      </w:r>
      <w:r w:rsidRPr="00441787">
        <w:rPr>
          <w:i/>
          <w:color w:val="000000"/>
        </w:rPr>
        <w:t xml:space="preserve">tku 20 000 Kč na koupi osobního </w:t>
      </w:r>
      <w:r w:rsidRPr="00441787">
        <w:rPr>
          <w:i/>
          <w:color w:val="000000"/>
        </w:rPr>
        <w:t xml:space="preserve">automobilu. Smlouva o půjčce byla uzavřena 3. 1. </w:t>
      </w:r>
      <w:r w:rsidRPr="00441787">
        <w:rPr>
          <w:i/>
          <w:color w:val="000000"/>
        </w:rPr>
        <w:t>2014</w:t>
      </w:r>
      <w:r w:rsidRPr="00441787">
        <w:rPr>
          <w:i/>
          <w:color w:val="000000"/>
        </w:rPr>
        <w:t xml:space="preserve"> s tím, že celá částka bude vrácena do 31. 12. </w:t>
      </w:r>
      <w:r w:rsidRPr="00441787">
        <w:rPr>
          <w:i/>
          <w:color w:val="000000"/>
        </w:rPr>
        <w:t>2014</w:t>
      </w:r>
      <w:r w:rsidRPr="00441787">
        <w:rPr>
          <w:i/>
          <w:color w:val="000000"/>
        </w:rPr>
        <w:t xml:space="preserve">. František H. v dohodnuté době peníze nevrátil, i když jej bratr několikrát upomínal; své jednání odůvodňoval nepříznivou finanční situací. Dne 1. 1. </w:t>
      </w:r>
      <w:r w:rsidRPr="00441787">
        <w:rPr>
          <w:i/>
          <w:color w:val="000000"/>
        </w:rPr>
        <w:t>2017</w:t>
      </w:r>
      <w:r w:rsidRPr="00441787">
        <w:rPr>
          <w:i/>
          <w:color w:val="000000"/>
        </w:rPr>
        <w:t xml:space="preserve"> František H. </w:t>
      </w:r>
      <w:r w:rsidRPr="00441787">
        <w:rPr>
          <w:i/>
          <w:color w:val="000000"/>
        </w:rPr>
        <w:t xml:space="preserve">písemně </w:t>
      </w:r>
      <w:r w:rsidRPr="00441787">
        <w:rPr>
          <w:i/>
          <w:color w:val="000000"/>
        </w:rPr>
        <w:t xml:space="preserve">uznal, že svému bratrovi dluží částku 20 000 Kč z titulu půjčky uzavřené dne </w:t>
      </w:r>
      <w:r w:rsidRPr="00441787">
        <w:rPr>
          <w:i/>
          <w:color w:val="000000"/>
        </w:rPr>
        <w:t>3. 1. 2014</w:t>
      </w:r>
      <w:r w:rsidRPr="00441787">
        <w:rPr>
          <w:i/>
          <w:color w:val="000000"/>
        </w:rPr>
        <w:t xml:space="preserve"> a že ji vrátí do 30. 6. </w:t>
      </w:r>
      <w:r w:rsidRPr="00441787">
        <w:rPr>
          <w:i/>
          <w:color w:val="000000"/>
        </w:rPr>
        <w:t>2017</w:t>
      </w:r>
      <w:r w:rsidRPr="00441787">
        <w:rPr>
          <w:i/>
          <w:color w:val="000000"/>
        </w:rPr>
        <w:t xml:space="preserve">. Vzhledem k tomu, že ani v této lhůtě František H. půjčenou částku nevrátil, podal Adolf H. dne 10. 8. </w:t>
      </w:r>
      <w:r w:rsidRPr="00441787">
        <w:rPr>
          <w:i/>
          <w:color w:val="000000"/>
        </w:rPr>
        <w:t>2017</w:t>
      </w:r>
      <w:r w:rsidRPr="00441787">
        <w:rPr>
          <w:i/>
          <w:color w:val="000000"/>
        </w:rPr>
        <w:t xml:space="preserve"> žalobu, kterou se domáhal vrácení dlužné částky. František H. v řízení před soudem vznesl</w:t>
      </w:r>
      <w:r w:rsidRPr="00441787">
        <w:rPr>
          <w:i/>
          <w:color w:val="000000"/>
        </w:rPr>
        <w:t xml:space="preserve"> </w:t>
      </w:r>
      <w:r w:rsidRPr="00441787">
        <w:rPr>
          <w:i/>
          <w:color w:val="000000"/>
        </w:rPr>
        <w:t>námitku promlčení.</w:t>
      </w:r>
      <w:r w:rsidRPr="00441787">
        <w:rPr>
          <w:color w:val="000000"/>
        </w:rPr>
        <w:t xml:space="preserve"> Zabývejte se otázkami: </w:t>
      </w:r>
    </w:p>
    <w:p w:rsidR="00441787" w:rsidRDefault="00441787" w:rsidP="0044178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Je pro běh promlčecí doby důležité, že dluh měl být splněn jednorázově? Odůvodněte. </w:t>
      </w:r>
    </w:p>
    <w:p w:rsidR="00441787" w:rsidRDefault="00441787" w:rsidP="0044178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Jaký vliv má uznání dluhu na </w:t>
      </w:r>
      <w:proofErr w:type="gramStart"/>
      <w:r>
        <w:rPr>
          <w:color w:val="000000"/>
        </w:rPr>
        <w:t>promlčení ?</w:t>
      </w:r>
      <w:proofErr w:type="gramEnd"/>
    </w:p>
    <w:p w:rsidR="00441787" w:rsidRDefault="00441787" w:rsidP="0044178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Jak dlouhá je v tomto případě promlčecí lhůta? Byla pohledávka promlčena ke dni      10. 8. </w:t>
      </w:r>
      <w:proofErr w:type="gramStart"/>
      <w:r>
        <w:rPr>
          <w:color w:val="000000"/>
        </w:rPr>
        <w:t>1996 ?</w:t>
      </w:r>
      <w:proofErr w:type="gramEnd"/>
      <w:r>
        <w:rPr>
          <w:color w:val="000000"/>
        </w:rPr>
        <w:t xml:space="preserve"> </w:t>
      </w:r>
    </w:p>
    <w:p w:rsidR="00940253" w:rsidRPr="00940253" w:rsidRDefault="00940253" w:rsidP="00441787">
      <w:pPr>
        <w:pStyle w:val="Odstavecseseznamem"/>
        <w:ind w:left="360"/>
        <w:jc w:val="both"/>
        <w:rPr>
          <w:color w:val="000000"/>
        </w:rPr>
      </w:pPr>
    </w:p>
    <w:p w:rsidR="00940253" w:rsidRDefault="00940253" w:rsidP="00940253">
      <w:pPr>
        <w:ind w:left="360"/>
        <w:jc w:val="both"/>
        <w:rPr>
          <w:color w:val="000000"/>
        </w:rPr>
      </w:pPr>
    </w:p>
    <w:p w:rsidR="00940253" w:rsidRPr="00940253" w:rsidRDefault="00940253" w:rsidP="00940253">
      <w:pPr>
        <w:ind w:left="360"/>
        <w:jc w:val="both"/>
        <w:rPr>
          <w:color w:val="000000"/>
        </w:rPr>
      </w:pPr>
    </w:p>
    <w:p w:rsidR="00940253" w:rsidRPr="00940253" w:rsidRDefault="00940253" w:rsidP="00940253">
      <w:pPr>
        <w:pStyle w:val="Odstavecseseznamem"/>
        <w:ind w:left="360"/>
        <w:jc w:val="both"/>
        <w:rPr>
          <w:color w:val="000000"/>
        </w:rPr>
      </w:pPr>
    </w:p>
    <w:p w:rsidR="002745C3" w:rsidRDefault="002745C3"/>
    <w:p w:rsidR="00512CEC" w:rsidRDefault="00512CEC"/>
    <w:sectPr w:rsidR="0051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901"/>
    <w:multiLevelType w:val="multilevel"/>
    <w:tmpl w:val="86200028"/>
    <w:lvl w:ilvl="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</w:lvl>
    <w:lvl w:ilvl="2">
      <w:start w:val="1"/>
      <w:numFmt w:val="lowerRoman"/>
      <w:lvlText w:val="%3)"/>
      <w:lvlJc w:val="left"/>
      <w:pPr>
        <w:tabs>
          <w:tab w:val="num" w:pos="1785"/>
        </w:tabs>
        <w:ind w:left="1785" w:hanging="360"/>
      </w:pPr>
    </w:lvl>
    <w:lvl w:ilvl="3">
      <w:start w:val="1"/>
      <w:numFmt w:val="decimal"/>
      <w:lvlText w:val="(%4)"/>
      <w:lvlJc w:val="left"/>
      <w:pPr>
        <w:tabs>
          <w:tab w:val="num" w:pos="2145"/>
        </w:tabs>
        <w:ind w:left="2145" w:hanging="360"/>
      </w:pPr>
    </w:lvl>
    <w:lvl w:ilvl="4">
      <w:start w:val="1"/>
      <w:numFmt w:val="lowerLetter"/>
      <w:lvlText w:val="(%5)"/>
      <w:lvlJc w:val="left"/>
      <w:pPr>
        <w:tabs>
          <w:tab w:val="num" w:pos="2505"/>
        </w:tabs>
        <w:ind w:left="2505" w:hanging="360"/>
      </w:pPr>
    </w:lvl>
    <w:lvl w:ilvl="5">
      <w:start w:val="1"/>
      <w:numFmt w:val="lowerRoman"/>
      <w:lvlText w:val="(%6)"/>
      <w:lvlJc w:val="left"/>
      <w:pPr>
        <w:tabs>
          <w:tab w:val="num" w:pos="2865"/>
        </w:tabs>
        <w:ind w:left="2865" w:hanging="360"/>
      </w:pPr>
    </w:lvl>
    <w:lvl w:ilvl="6">
      <w:start w:val="1"/>
      <w:numFmt w:val="decimal"/>
      <w:lvlText w:val="%7."/>
      <w:lvlJc w:val="left"/>
      <w:pPr>
        <w:tabs>
          <w:tab w:val="num" w:pos="3225"/>
        </w:tabs>
        <w:ind w:left="3225" w:hanging="360"/>
      </w:pPr>
    </w:lvl>
    <w:lvl w:ilvl="7">
      <w:start w:val="1"/>
      <w:numFmt w:val="lowerLetter"/>
      <w:lvlText w:val="%8."/>
      <w:lvlJc w:val="left"/>
      <w:pPr>
        <w:tabs>
          <w:tab w:val="num" w:pos="3585"/>
        </w:tabs>
        <w:ind w:left="3585" w:hanging="360"/>
      </w:pPr>
    </w:lvl>
    <w:lvl w:ilvl="8">
      <w:start w:val="1"/>
      <w:numFmt w:val="lowerRoman"/>
      <w:lvlText w:val="%9."/>
      <w:lvlJc w:val="left"/>
      <w:pPr>
        <w:tabs>
          <w:tab w:val="num" w:pos="3945"/>
        </w:tabs>
        <w:ind w:left="3945" w:hanging="360"/>
      </w:pPr>
    </w:lvl>
  </w:abstractNum>
  <w:abstractNum w:abstractNumId="1">
    <w:nsid w:val="0AF46408"/>
    <w:multiLevelType w:val="hybridMultilevel"/>
    <w:tmpl w:val="7D72E5A2"/>
    <w:lvl w:ilvl="0" w:tplc="2676CB7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B1E06"/>
    <w:multiLevelType w:val="hybridMultilevel"/>
    <w:tmpl w:val="AAA622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D36AD"/>
    <w:multiLevelType w:val="hybridMultilevel"/>
    <w:tmpl w:val="926252F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B341D5"/>
    <w:multiLevelType w:val="multilevel"/>
    <w:tmpl w:val="6FC677D4"/>
    <w:lvl w:ilvl="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</w:lvl>
    <w:lvl w:ilvl="2">
      <w:start w:val="1"/>
      <w:numFmt w:val="lowerRoman"/>
      <w:lvlText w:val="%3)"/>
      <w:lvlJc w:val="left"/>
      <w:pPr>
        <w:tabs>
          <w:tab w:val="num" w:pos="1785"/>
        </w:tabs>
        <w:ind w:left="1785" w:hanging="360"/>
      </w:pPr>
    </w:lvl>
    <w:lvl w:ilvl="3">
      <w:start w:val="1"/>
      <w:numFmt w:val="decimal"/>
      <w:lvlText w:val="(%4)"/>
      <w:lvlJc w:val="left"/>
      <w:pPr>
        <w:tabs>
          <w:tab w:val="num" w:pos="2145"/>
        </w:tabs>
        <w:ind w:left="2145" w:hanging="360"/>
      </w:pPr>
    </w:lvl>
    <w:lvl w:ilvl="4">
      <w:start w:val="1"/>
      <w:numFmt w:val="lowerLetter"/>
      <w:lvlText w:val="(%5)"/>
      <w:lvlJc w:val="left"/>
      <w:pPr>
        <w:tabs>
          <w:tab w:val="num" w:pos="2505"/>
        </w:tabs>
        <w:ind w:left="2505" w:hanging="360"/>
      </w:pPr>
    </w:lvl>
    <w:lvl w:ilvl="5">
      <w:start w:val="1"/>
      <w:numFmt w:val="lowerRoman"/>
      <w:lvlText w:val="(%6)"/>
      <w:lvlJc w:val="left"/>
      <w:pPr>
        <w:tabs>
          <w:tab w:val="num" w:pos="2865"/>
        </w:tabs>
        <w:ind w:left="2865" w:hanging="360"/>
      </w:pPr>
    </w:lvl>
    <w:lvl w:ilvl="6">
      <w:start w:val="1"/>
      <w:numFmt w:val="decimal"/>
      <w:lvlText w:val="%7."/>
      <w:lvlJc w:val="left"/>
      <w:pPr>
        <w:tabs>
          <w:tab w:val="num" w:pos="3225"/>
        </w:tabs>
        <w:ind w:left="3225" w:hanging="360"/>
      </w:pPr>
    </w:lvl>
    <w:lvl w:ilvl="7">
      <w:start w:val="1"/>
      <w:numFmt w:val="lowerLetter"/>
      <w:lvlText w:val="%8."/>
      <w:lvlJc w:val="left"/>
      <w:pPr>
        <w:tabs>
          <w:tab w:val="num" w:pos="3585"/>
        </w:tabs>
        <w:ind w:left="3585" w:hanging="360"/>
      </w:pPr>
    </w:lvl>
    <w:lvl w:ilvl="8">
      <w:start w:val="1"/>
      <w:numFmt w:val="lowerRoman"/>
      <w:lvlText w:val="%9."/>
      <w:lvlJc w:val="left"/>
      <w:pPr>
        <w:tabs>
          <w:tab w:val="num" w:pos="3945"/>
        </w:tabs>
        <w:ind w:left="3945" w:hanging="360"/>
      </w:pPr>
    </w:lvl>
  </w:abstractNum>
  <w:abstractNum w:abstractNumId="5">
    <w:nsid w:val="1DD65383"/>
    <w:multiLevelType w:val="multilevel"/>
    <w:tmpl w:val="239A33F6"/>
    <w:lvl w:ilvl="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decimal"/>
      <w:lvlText w:val="%3."/>
      <w:lvlJc w:val="left"/>
      <w:pPr>
        <w:tabs>
          <w:tab w:val="num" w:pos="2505"/>
        </w:tabs>
        <w:ind w:left="2505" w:hanging="36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decimal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decimal"/>
      <w:lvlText w:val="%6."/>
      <w:lvlJc w:val="left"/>
      <w:pPr>
        <w:tabs>
          <w:tab w:val="num" w:pos="4665"/>
        </w:tabs>
        <w:ind w:left="4665" w:hanging="36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decimal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decimal"/>
      <w:lvlText w:val="%9."/>
      <w:lvlJc w:val="left"/>
      <w:pPr>
        <w:tabs>
          <w:tab w:val="num" w:pos="6825"/>
        </w:tabs>
        <w:ind w:left="6825" w:hanging="360"/>
      </w:pPr>
    </w:lvl>
  </w:abstractNum>
  <w:abstractNum w:abstractNumId="6">
    <w:nsid w:val="7CD53D0A"/>
    <w:multiLevelType w:val="hybridMultilevel"/>
    <w:tmpl w:val="DCCC2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EC"/>
    <w:rsid w:val="00000F06"/>
    <w:rsid w:val="00082B6D"/>
    <w:rsid w:val="00184A5D"/>
    <w:rsid w:val="001A61F4"/>
    <w:rsid w:val="002745C3"/>
    <w:rsid w:val="002D77B6"/>
    <w:rsid w:val="00441787"/>
    <w:rsid w:val="004570F6"/>
    <w:rsid w:val="00512CEC"/>
    <w:rsid w:val="00574B14"/>
    <w:rsid w:val="00940253"/>
    <w:rsid w:val="009E16B8"/>
    <w:rsid w:val="00A25F33"/>
    <w:rsid w:val="00A839C2"/>
    <w:rsid w:val="00A87183"/>
    <w:rsid w:val="00AD3CFE"/>
    <w:rsid w:val="00C4618A"/>
    <w:rsid w:val="00CB5AB2"/>
    <w:rsid w:val="00CF789D"/>
    <w:rsid w:val="00D30614"/>
    <w:rsid w:val="00D51C3B"/>
    <w:rsid w:val="00DE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B02C5-1920-4A32-BDBD-4EDA5DCA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618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Hlouch</dc:creator>
  <cp:lastModifiedBy>Lukáš Hlouch</cp:lastModifiedBy>
  <cp:revision>2</cp:revision>
  <dcterms:created xsi:type="dcterms:W3CDTF">2014-03-13T09:00:00Z</dcterms:created>
  <dcterms:modified xsi:type="dcterms:W3CDTF">2014-03-13T11:03:00Z</dcterms:modified>
</cp:coreProperties>
</file>