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C2" w:rsidRPr="00161A86" w:rsidRDefault="000D0FC2" w:rsidP="00161A8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61A86">
        <w:rPr>
          <w:rFonts w:ascii="Times New Roman" w:hAnsi="Times New Roman"/>
          <w:b/>
          <w:sz w:val="28"/>
          <w:szCs w:val="28"/>
        </w:rPr>
        <w:t>BEZPLATNÁ PRÁVNÍ POMOC</w:t>
      </w:r>
    </w:p>
    <w:p w:rsidR="000D0FC2" w:rsidRPr="007F048B" w:rsidRDefault="000D0FC2" w:rsidP="000327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048B">
        <w:rPr>
          <w:rFonts w:ascii="Times New Roman" w:hAnsi="Times New Roman"/>
          <w:sz w:val="24"/>
          <w:szCs w:val="24"/>
        </w:rPr>
        <w:t xml:space="preserve">Poskytnutí bezplatné právní pomoci je jedním ze základních požadavků moderního demokratického státu. A to zejména jako jeden z prvků práva na spravedlivý proces. Toto základní lidské právo je deklarováno </w:t>
      </w:r>
      <w:r w:rsidRPr="00585469">
        <w:rPr>
          <w:rFonts w:ascii="Times New Roman" w:hAnsi="Times New Roman"/>
          <w:i/>
          <w:sz w:val="24"/>
          <w:szCs w:val="24"/>
        </w:rPr>
        <w:t xml:space="preserve">Evropskou </w:t>
      </w:r>
      <w:r w:rsidR="007852E5" w:rsidRPr="00585469">
        <w:rPr>
          <w:rFonts w:ascii="Times New Roman" w:hAnsi="Times New Roman"/>
          <w:i/>
          <w:sz w:val="24"/>
          <w:szCs w:val="24"/>
        </w:rPr>
        <w:t>úmluvou o lidských</w:t>
      </w:r>
      <w:r w:rsidRPr="00585469">
        <w:rPr>
          <w:rFonts w:ascii="Times New Roman" w:hAnsi="Times New Roman"/>
          <w:i/>
          <w:sz w:val="24"/>
          <w:szCs w:val="24"/>
        </w:rPr>
        <w:t xml:space="preserve"> právech (</w:t>
      </w:r>
      <w:r>
        <w:rPr>
          <w:rFonts w:ascii="Times New Roman" w:hAnsi="Times New Roman"/>
          <w:sz w:val="24"/>
          <w:szCs w:val="24"/>
        </w:rPr>
        <w:t xml:space="preserve">čl.6 odst.3) </w:t>
      </w:r>
      <w:r w:rsidRPr="007F048B">
        <w:rPr>
          <w:rFonts w:ascii="Times New Roman" w:hAnsi="Times New Roman"/>
          <w:sz w:val="24"/>
          <w:szCs w:val="24"/>
        </w:rPr>
        <w:t xml:space="preserve">nebo </w:t>
      </w:r>
      <w:r w:rsidRPr="00585469">
        <w:rPr>
          <w:rFonts w:ascii="Times New Roman" w:hAnsi="Times New Roman"/>
          <w:i/>
          <w:sz w:val="24"/>
          <w:szCs w:val="24"/>
        </w:rPr>
        <w:t xml:space="preserve">Mezinárodním </w:t>
      </w:r>
      <w:r w:rsidR="007852E5" w:rsidRPr="00585469">
        <w:rPr>
          <w:rFonts w:ascii="Times New Roman" w:hAnsi="Times New Roman"/>
          <w:i/>
          <w:sz w:val="24"/>
          <w:szCs w:val="24"/>
        </w:rPr>
        <w:t>paktem o občanských</w:t>
      </w:r>
      <w:r w:rsidRPr="00585469">
        <w:rPr>
          <w:rFonts w:ascii="Times New Roman" w:hAnsi="Times New Roman"/>
          <w:i/>
          <w:sz w:val="24"/>
          <w:szCs w:val="24"/>
        </w:rPr>
        <w:t xml:space="preserve"> a politických právech</w:t>
      </w:r>
      <w:r w:rsidRPr="007F048B">
        <w:rPr>
          <w:rFonts w:ascii="Times New Roman" w:hAnsi="Times New Roman"/>
          <w:sz w:val="24"/>
          <w:szCs w:val="24"/>
        </w:rPr>
        <w:t xml:space="preserve">. V obou případech je přitom garantováno </w:t>
      </w:r>
      <w:r w:rsidRPr="00585469">
        <w:rPr>
          <w:rFonts w:ascii="Times New Roman" w:hAnsi="Times New Roman"/>
          <w:i/>
          <w:sz w:val="24"/>
          <w:szCs w:val="24"/>
        </w:rPr>
        <w:t>právo obviněného na právní pomoc</w:t>
      </w:r>
      <w:r w:rsidRPr="007F048B">
        <w:rPr>
          <w:rFonts w:ascii="Times New Roman" w:hAnsi="Times New Roman"/>
          <w:sz w:val="24"/>
          <w:szCs w:val="24"/>
        </w:rPr>
        <w:t xml:space="preserve">, tedy nikoliv právo na právní pomoc tomu, kdo </w:t>
      </w:r>
      <w:r>
        <w:rPr>
          <w:rFonts w:ascii="Times New Roman" w:hAnsi="Times New Roman"/>
          <w:sz w:val="24"/>
          <w:szCs w:val="24"/>
        </w:rPr>
        <w:t>ne</w:t>
      </w:r>
      <w:r w:rsidRPr="007F048B">
        <w:rPr>
          <w:rFonts w:ascii="Times New Roman" w:hAnsi="Times New Roman"/>
          <w:sz w:val="24"/>
          <w:szCs w:val="24"/>
        </w:rPr>
        <w:t xml:space="preserve">byl obviněn z trestného činu. A tedy z povahy věci pouze v případě probíhajícího soudního řízení. </w:t>
      </w:r>
    </w:p>
    <w:p w:rsidR="000D0FC2" w:rsidRPr="007F048B" w:rsidRDefault="000D0FC2" w:rsidP="007F048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8B">
        <w:rPr>
          <w:rFonts w:ascii="Times New Roman" w:hAnsi="Times New Roman"/>
          <w:sz w:val="24"/>
          <w:szCs w:val="24"/>
        </w:rPr>
        <w:t xml:space="preserve">Také </w:t>
      </w:r>
      <w:r w:rsidRPr="00585469">
        <w:rPr>
          <w:rFonts w:ascii="Times New Roman" w:hAnsi="Times New Roman"/>
          <w:i/>
          <w:sz w:val="24"/>
          <w:szCs w:val="24"/>
        </w:rPr>
        <w:t>Listina základních práv a svobod</w:t>
      </w:r>
      <w:r w:rsidRPr="007F048B">
        <w:rPr>
          <w:rFonts w:ascii="Times New Roman" w:hAnsi="Times New Roman"/>
          <w:sz w:val="24"/>
          <w:szCs w:val="24"/>
        </w:rPr>
        <w:t xml:space="preserve"> deklaruje právo na bezplatnou právní pomoc pouze ve vazbě na </w:t>
      </w:r>
      <w:r w:rsidRPr="00585469">
        <w:rPr>
          <w:rFonts w:ascii="Times New Roman" w:hAnsi="Times New Roman"/>
          <w:i/>
          <w:sz w:val="24"/>
          <w:szCs w:val="24"/>
        </w:rPr>
        <w:t>řízení před soudem</w:t>
      </w:r>
      <w:r w:rsidRPr="007F048B">
        <w:rPr>
          <w:rFonts w:ascii="Times New Roman" w:hAnsi="Times New Roman"/>
          <w:sz w:val="24"/>
          <w:szCs w:val="24"/>
        </w:rPr>
        <w:t xml:space="preserve"> (čl. 37 LZPS).</w:t>
      </w:r>
    </w:p>
    <w:p w:rsidR="000D0FC2" w:rsidRPr="007F048B" w:rsidRDefault="000D0FC2" w:rsidP="007F048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048B">
        <w:rPr>
          <w:rFonts w:ascii="Times New Roman" w:hAnsi="Times New Roman"/>
          <w:b/>
          <w:sz w:val="24"/>
          <w:szCs w:val="24"/>
          <w:u w:val="single"/>
        </w:rPr>
        <w:t>Kdy mám tedy před soudem právo na bezplatnou právní pomoc?</w:t>
      </w:r>
    </w:p>
    <w:p w:rsidR="000D0FC2" w:rsidRPr="007F048B" w:rsidRDefault="000D0FC2" w:rsidP="007F048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F048B">
        <w:rPr>
          <w:rFonts w:ascii="Times New Roman" w:hAnsi="Times New Roman"/>
          <w:b/>
          <w:sz w:val="24"/>
          <w:szCs w:val="24"/>
        </w:rPr>
        <w:t>V občanském soudním řízení:</w:t>
      </w:r>
    </w:p>
    <w:p w:rsidR="000D0FC2" w:rsidRPr="00585469" w:rsidRDefault="000D0FC2" w:rsidP="005854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1E6C">
        <w:rPr>
          <w:rFonts w:ascii="Times New Roman" w:hAnsi="Times New Roman"/>
          <w:i/>
          <w:sz w:val="24"/>
          <w:szCs w:val="24"/>
        </w:rPr>
        <w:t xml:space="preserve">Kdy se jedná o občanské </w:t>
      </w:r>
      <w:r>
        <w:rPr>
          <w:rFonts w:ascii="Times New Roman" w:hAnsi="Times New Roman"/>
          <w:i/>
          <w:sz w:val="24"/>
          <w:szCs w:val="24"/>
        </w:rPr>
        <w:t xml:space="preserve">soudní </w:t>
      </w:r>
      <w:r w:rsidRPr="00AA1E6C">
        <w:rPr>
          <w:rFonts w:ascii="Times New Roman" w:hAnsi="Times New Roman"/>
          <w:i/>
          <w:sz w:val="24"/>
          <w:szCs w:val="24"/>
        </w:rPr>
        <w:t xml:space="preserve">řízení? </w:t>
      </w:r>
      <w:r w:rsidRPr="00585469">
        <w:rPr>
          <w:rFonts w:ascii="Times New Roman" w:hAnsi="Times New Roman"/>
          <w:sz w:val="24"/>
          <w:szCs w:val="24"/>
        </w:rPr>
        <w:t>Zjednodušeně řečeno, pokud se soudíte s jinou soukromou nebo právnickou osobou. Např. soudíte-li se se sousedem, zaměstnavatelem, manželem nebo někým, kdo vám způsobil škodu.</w:t>
      </w:r>
    </w:p>
    <w:p w:rsidR="000D0FC2" w:rsidRPr="007F048B" w:rsidRDefault="000D0FC2" w:rsidP="007F048B">
      <w:pPr>
        <w:spacing w:line="360" w:lineRule="auto"/>
        <w:rPr>
          <w:rFonts w:ascii="Times New Roman" w:hAnsi="Times New Roman"/>
          <w:sz w:val="24"/>
          <w:szCs w:val="24"/>
        </w:rPr>
      </w:pPr>
      <w:r w:rsidRPr="00585469">
        <w:rPr>
          <w:rFonts w:ascii="Times New Roman" w:hAnsi="Times New Roman"/>
          <w:i/>
          <w:sz w:val="24"/>
          <w:szCs w:val="24"/>
        </w:rPr>
        <w:t>Občanský soudní řád</w:t>
      </w:r>
      <w:r w:rsidRPr="007F048B">
        <w:rPr>
          <w:rFonts w:ascii="Times New Roman" w:hAnsi="Times New Roman"/>
          <w:sz w:val="24"/>
          <w:szCs w:val="24"/>
        </w:rPr>
        <w:t xml:space="preserve"> (§ 30 odst. 1) stanovuje právo účastníka na právního zá</w:t>
      </w:r>
      <w:r>
        <w:rPr>
          <w:rFonts w:ascii="Times New Roman" w:hAnsi="Times New Roman"/>
          <w:sz w:val="24"/>
          <w:szCs w:val="24"/>
        </w:rPr>
        <w:t>stupce. Ale to pouze za následujících</w:t>
      </w:r>
      <w:r w:rsidRPr="007F048B">
        <w:rPr>
          <w:rFonts w:ascii="Times New Roman" w:hAnsi="Times New Roman"/>
          <w:sz w:val="24"/>
          <w:szCs w:val="24"/>
        </w:rPr>
        <w:t xml:space="preserve"> podmínek:</w:t>
      </w:r>
    </w:p>
    <w:p w:rsidR="000D0FC2" w:rsidRPr="007F048B" w:rsidRDefault="000D0FC2" w:rsidP="008F7C0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048B">
        <w:rPr>
          <w:rFonts w:ascii="Times New Roman" w:hAnsi="Times New Roman"/>
          <w:sz w:val="24"/>
          <w:szCs w:val="24"/>
        </w:rPr>
        <w:t xml:space="preserve">Pokud účastník splňuje předpoklady, aby byl </w:t>
      </w:r>
      <w:r w:rsidRPr="00585469">
        <w:rPr>
          <w:rFonts w:ascii="Times New Roman" w:hAnsi="Times New Roman"/>
          <w:i/>
          <w:sz w:val="24"/>
          <w:szCs w:val="24"/>
        </w:rPr>
        <w:t>soudem osvobozen od soudních poplatků.</w:t>
      </w:r>
      <w:r>
        <w:rPr>
          <w:rFonts w:ascii="Times New Roman" w:hAnsi="Times New Roman"/>
          <w:sz w:val="24"/>
          <w:szCs w:val="24"/>
        </w:rPr>
        <w:t xml:space="preserve"> Tyto předpoklady jsou dány především odůvodněnými poměry účastníka (výše a druh příjmů, vlastnictví věcí větší hodnoty, vyživovací povinnosti, dluhy). Také se nesmí jednat o svévolné a zřejmě bezúspěšné uplatňování nebo bránění práva a zároveň zde musejí být dány zvláště závažné důvody k osvobození od soudních poplatků. Soudy k tomuto účelu používají formuláře, které vám soudce zašle poté, co obdrží vaši žádost o osvobození od soudních poplatků nebo žádost o ustanovení právního zástupce.</w:t>
      </w:r>
    </w:p>
    <w:p w:rsidR="000D0FC2" w:rsidRPr="007F048B" w:rsidRDefault="000D0FC2" w:rsidP="007F048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F048B">
        <w:rPr>
          <w:rFonts w:ascii="Times New Roman" w:hAnsi="Times New Roman"/>
          <w:sz w:val="24"/>
          <w:szCs w:val="24"/>
        </w:rPr>
        <w:t xml:space="preserve">Zástupce je </w:t>
      </w:r>
      <w:r w:rsidRPr="00585469">
        <w:rPr>
          <w:rFonts w:ascii="Times New Roman" w:hAnsi="Times New Roman"/>
          <w:i/>
          <w:sz w:val="24"/>
          <w:szCs w:val="24"/>
        </w:rPr>
        <w:t xml:space="preserve">nezbytně potřebný k ochraně zájmů </w:t>
      </w:r>
      <w:r w:rsidRPr="007F048B">
        <w:rPr>
          <w:rFonts w:ascii="Times New Roman" w:hAnsi="Times New Roman"/>
          <w:sz w:val="24"/>
          <w:szCs w:val="24"/>
        </w:rPr>
        <w:t>účastníka.</w:t>
      </w:r>
    </w:p>
    <w:p w:rsidR="000D0FC2" w:rsidRPr="007F048B" w:rsidRDefault="000D0FC2" w:rsidP="005854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048B">
        <w:rPr>
          <w:rFonts w:ascii="Times New Roman" w:hAnsi="Times New Roman"/>
          <w:sz w:val="24"/>
          <w:szCs w:val="24"/>
        </w:rPr>
        <w:t xml:space="preserve">Tímto zástupcem může být advokát, notář nebo jiný právník. Vyžaduje-li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7F048B">
        <w:rPr>
          <w:rFonts w:ascii="Times New Roman" w:hAnsi="Times New Roman"/>
          <w:sz w:val="24"/>
          <w:szCs w:val="24"/>
        </w:rPr>
        <w:t>však ochrana zájmů účastníka nebo jedná-li se o řízení, v němž je zastoupení advokátem povinné, ustanoví soud advokáta.</w:t>
      </w:r>
    </w:p>
    <w:p w:rsidR="000D0FC2" w:rsidRPr="007F048B" w:rsidRDefault="000D0FC2" w:rsidP="007F048B">
      <w:pPr>
        <w:pStyle w:val="Normlnweb"/>
        <w:spacing w:line="360" w:lineRule="auto"/>
        <w:rPr>
          <w:b/>
        </w:rPr>
      </w:pPr>
      <w:r w:rsidRPr="007F048B">
        <w:rPr>
          <w:b/>
        </w:rPr>
        <w:lastRenderedPageBreak/>
        <w:t xml:space="preserve"> Ve správním soudním řízení:</w:t>
      </w:r>
    </w:p>
    <w:p w:rsidR="000D0FC2" w:rsidRPr="00585469" w:rsidRDefault="000D0FC2" w:rsidP="008F7C02">
      <w:pPr>
        <w:pStyle w:val="Normlnweb"/>
        <w:spacing w:line="360" w:lineRule="auto"/>
        <w:jc w:val="both"/>
      </w:pPr>
      <w:r w:rsidRPr="008F7C02">
        <w:rPr>
          <w:i/>
        </w:rPr>
        <w:t xml:space="preserve">Kdy se jedná o správní soudní řízení? </w:t>
      </w:r>
      <w:r w:rsidRPr="00585469">
        <w:t>Zjednodušeně řečeno, pokud se soudíte se státem, ale nejedná se o trestný čin. Např. s magistrátem, policií, ministerstvem. Následující úprava bezplatné právní pomoci však zahrnuje pouze soudní řešení, nikoliv jednání se správními orgány před počátkem soudního řízení.</w:t>
      </w:r>
    </w:p>
    <w:p w:rsidR="000D0FC2" w:rsidRPr="007F048B" w:rsidRDefault="000D0FC2" w:rsidP="008F7C02">
      <w:pPr>
        <w:pStyle w:val="Normlnweb"/>
        <w:spacing w:line="360" w:lineRule="auto"/>
        <w:jc w:val="both"/>
      </w:pPr>
      <w:bookmarkStart w:id="0" w:name="_GoBack"/>
      <w:bookmarkEnd w:id="0"/>
      <w:r w:rsidRPr="00585469">
        <w:rPr>
          <w:i/>
        </w:rPr>
        <w:t>Soudní řád správní</w:t>
      </w:r>
      <w:r w:rsidRPr="007F048B">
        <w:t xml:space="preserve"> (§ 35 </w:t>
      </w:r>
      <w:r w:rsidR="007852E5" w:rsidRPr="007F048B">
        <w:t>odst. 8) upravuje</w:t>
      </w:r>
      <w:r w:rsidRPr="007F048B">
        <w:t xml:space="preserve"> možnost ustanovit účastníkovi zástupce. Opět je nutné splnit podmínky stanovené zákonem </w:t>
      </w:r>
      <w:r w:rsidRPr="00585469">
        <w:rPr>
          <w:i/>
        </w:rPr>
        <w:t>obdobným způsobem</w:t>
      </w:r>
      <w:r w:rsidRPr="007F048B">
        <w:t xml:space="preserve"> jako u občanského soudního řízení (nezbytnost pro ochranu zájmů, osvobození od soudních poplatků). Takto</w:t>
      </w:r>
      <w:r>
        <w:t xml:space="preserve"> může být zdarma</w:t>
      </w:r>
      <w:r w:rsidRPr="007F048B">
        <w:t xml:space="preserve"> stanoven advokát, notář, patentový nebo daňový poradce.</w:t>
      </w:r>
    </w:p>
    <w:p w:rsidR="000D0FC2" w:rsidRPr="007F048B" w:rsidRDefault="000D0FC2" w:rsidP="007F048B">
      <w:pPr>
        <w:pStyle w:val="Normlnweb"/>
        <w:spacing w:line="360" w:lineRule="auto"/>
        <w:rPr>
          <w:b/>
        </w:rPr>
      </w:pPr>
      <w:r w:rsidRPr="007F048B">
        <w:rPr>
          <w:b/>
        </w:rPr>
        <w:t>V trestním soudním řízení:</w:t>
      </w:r>
    </w:p>
    <w:p w:rsidR="000D0FC2" w:rsidRPr="00585469" w:rsidRDefault="000D0FC2" w:rsidP="00161A86">
      <w:pPr>
        <w:pStyle w:val="Normlnweb"/>
        <w:spacing w:line="360" w:lineRule="auto"/>
        <w:jc w:val="both"/>
      </w:pPr>
      <w:r w:rsidRPr="008F7C02">
        <w:rPr>
          <w:i/>
        </w:rPr>
        <w:t xml:space="preserve">Kdy se jedná o trestní soudní řízení? </w:t>
      </w:r>
      <w:r w:rsidRPr="00585469">
        <w:t xml:space="preserve">Zjednodušeně řečeno, pokud jste obviněni z trestného činu. Nebo pokud jste </w:t>
      </w:r>
      <w:r>
        <w:t>obětí trestného činu či jinak zúčastněná osoba</w:t>
      </w:r>
      <w:r w:rsidRPr="00585469">
        <w:t>.</w:t>
      </w:r>
    </w:p>
    <w:p w:rsidR="000D0FC2" w:rsidRPr="008F7C02" w:rsidRDefault="000D0FC2" w:rsidP="008F7C02">
      <w:pPr>
        <w:pStyle w:val="Normlnweb"/>
        <w:numPr>
          <w:ilvl w:val="0"/>
          <w:numId w:val="6"/>
        </w:numPr>
        <w:spacing w:line="360" w:lineRule="auto"/>
        <w:rPr>
          <w:u w:val="single"/>
        </w:rPr>
      </w:pPr>
      <w:r w:rsidRPr="008F7C02">
        <w:rPr>
          <w:u w:val="single"/>
        </w:rPr>
        <w:t>Jsem obviněn z trestného činu:</w:t>
      </w:r>
    </w:p>
    <w:p w:rsidR="000D0FC2" w:rsidRPr="007F048B" w:rsidRDefault="000D0FC2" w:rsidP="00161A86">
      <w:pPr>
        <w:pStyle w:val="Normlnweb"/>
        <w:spacing w:line="360" w:lineRule="auto"/>
        <w:jc w:val="both"/>
      </w:pPr>
      <w:r w:rsidRPr="00585469">
        <w:rPr>
          <w:i/>
        </w:rPr>
        <w:t>Trestní řád</w:t>
      </w:r>
      <w:r w:rsidRPr="007F048B">
        <w:t xml:space="preserve"> (§ 33  odst.2, 3 a 4) rozlišuje přiznání nároku na obhájce a ustanovení obhájce.</w:t>
      </w:r>
    </w:p>
    <w:p w:rsidR="000D0FC2" w:rsidRPr="007F048B" w:rsidRDefault="000D0FC2" w:rsidP="00161A86">
      <w:pPr>
        <w:pStyle w:val="Normlnweb"/>
        <w:spacing w:line="360" w:lineRule="auto"/>
        <w:jc w:val="both"/>
      </w:pPr>
      <w:r w:rsidRPr="007F048B">
        <w:t>Vznik nároku na bezplatného obhájce nebo obhájce za sníženou cenu:</w:t>
      </w:r>
    </w:p>
    <w:p w:rsidR="000D0FC2" w:rsidRPr="007F048B" w:rsidRDefault="000D0FC2" w:rsidP="00161A86">
      <w:pPr>
        <w:pStyle w:val="Normlnweb"/>
        <w:numPr>
          <w:ilvl w:val="0"/>
          <w:numId w:val="4"/>
        </w:numPr>
        <w:spacing w:line="360" w:lineRule="auto"/>
        <w:jc w:val="both"/>
      </w:pPr>
      <w:r w:rsidRPr="007F048B">
        <w:t>nutno osvědčit nedostatek pros</w:t>
      </w:r>
      <w:r>
        <w:t>tředků k úhradě vlastní obhajoby</w:t>
      </w:r>
    </w:p>
    <w:p w:rsidR="000D0FC2" w:rsidRPr="007F048B" w:rsidRDefault="000D0FC2" w:rsidP="00161A86">
      <w:pPr>
        <w:pStyle w:val="Normlnweb"/>
        <w:numPr>
          <w:ilvl w:val="0"/>
          <w:numId w:val="4"/>
        </w:numPr>
        <w:spacing w:line="360" w:lineRule="auto"/>
        <w:jc w:val="both"/>
      </w:pPr>
      <w:r>
        <w:t>o tomto nároku lze rozhodnout</w:t>
      </w:r>
      <w:r w:rsidRPr="007F048B">
        <w:t xml:space="preserve"> i v přípravném řízení </w:t>
      </w:r>
    </w:p>
    <w:p w:rsidR="000D0FC2" w:rsidRPr="007F048B" w:rsidRDefault="000D0FC2" w:rsidP="00161A86">
      <w:pPr>
        <w:pStyle w:val="Normlnweb"/>
        <w:numPr>
          <w:ilvl w:val="0"/>
          <w:numId w:val="4"/>
        </w:numPr>
        <w:spacing w:line="360" w:lineRule="auto"/>
        <w:jc w:val="both"/>
      </w:pPr>
      <w:r w:rsidRPr="007F048B">
        <w:t>pokud to vyžaduje ochrana práv obviněného, lze toto rozhodnutí vydat i bez návrhu obviněného</w:t>
      </w:r>
    </w:p>
    <w:p w:rsidR="000D0FC2" w:rsidRPr="007F048B" w:rsidRDefault="000D0FC2" w:rsidP="00161A86">
      <w:pPr>
        <w:pStyle w:val="Normlnweb"/>
        <w:spacing w:line="360" w:lineRule="auto"/>
        <w:jc w:val="both"/>
      </w:pPr>
      <w:r w:rsidRPr="007F048B">
        <w:t>Ustanovení obhájce:</w:t>
      </w:r>
    </w:p>
    <w:p w:rsidR="000D0FC2" w:rsidRPr="007F048B" w:rsidRDefault="000D0FC2" w:rsidP="00161A86">
      <w:pPr>
        <w:pStyle w:val="Normlnweb"/>
        <w:numPr>
          <w:ilvl w:val="0"/>
          <w:numId w:val="4"/>
        </w:numPr>
        <w:spacing w:line="360" w:lineRule="auto"/>
        <w:jc w:val="both"/>
      </w:pPr>
      <w:r w:rsidRPr="007F048B">
        <w:t>neprodleně po vzniku nároku, tj. po právní moci rozhodnutí o přiznání nároku na bezplatnou obhajobu (nebo obhajobu za sníženou cenu)</w:t>
      </w:r>
    </w:p>
    <w:p w:rsidR="000D0FC2" w:rsidRDefault="000D0FC2" w:rsidP="00161A86">
      <w:pPr>
        <w:pStyle w:val="Normlnweb"/>
        <w:spacing w:line="360" w:lineRule="auto"/>
        <w:jc w:val="both"/>
      </w:pPr>
      <w:r w:rsidRPr="007F048B">
        <w:t>Obhájcem je v trestním řízení vždy advokát.</w:t>
      </w:r>
    </w:p>
    <w:p w:rsidR="000D0FC2" w:rsidRDefault="000D0FC2" w:rsidP="00161A86">
      <w:pPr>
        <w:pStyle w:val="Normlnweb"/>
        <w:spacing w:line="360" w:lineRule="auto"/>
        <w:jc w:val="both"/>
      </w:pPr>
    </w:p>
    <w:p w:rsidR="000D0FC2" w:rsidRPr="007F048B" w:rsidRDefault="000D0FC2" w:rsidP="00161A86">
      <w:pPr>
        <w:pStyle w:val="Normlnweb"/>
        <w:spacing w:line="360" w:lineRule="auto"/>
        <w:jc w:val="both"/>
      </w:pPr>
    </w:p>
    <w:p w:rsidR="000D0FC2" w:rsidRPr="008F7C02" w:rsidRDefault="000D0FC2" w:rsidP="00161A86">
      <w:pPr>
        <w:pStyle w:val="Normlnweb"/>
        <w:numPr>
          <w:ilvl w:val="0"/>
          <w:numId w:val="6"/>
        </w:numPr>
        <w:spacing w:line="360" w:lineRule="auto"/>
        <w:jc w:val="both"/>
        <w:rPr>
          <w:u w:val="single"/>
        </w:rPr>
      </w:pPr>
      <w:r w:rsidRPr="008F7C02">
        <w:rPr>
          <w:u w:val="single"/>
        </w:rPr>
        <w:lastRenderedPageBreak/>
        <w:t>Jsem poškozený trestným činem nebo osoba zúčastněná:</w:t>
      </w:r>
    </w:p>
    <w:p w:rsidR="000D0FC2" w:rsidRPr="007F048B" w:rsidRDefault="000D0FC2" w:rsidP="00427295">
      <w:pPr>
        <w:pStyle w:val="Normlnweb"/>
        <w:spacing w:line="360" w:lineRule="auto"/>
        <w:jc w:val="both"/>
      </w:pPr>
      <w:r w:rsidRPr="00585469">
        <w:rPr>
          <w:i/>
        </w:rPr>
        <w:t>Trestní řád</w:t>
      </w:r>
      <w:r w:rsidRPr="007F048B">
        <w:t xml:space="preserve"> (§ 50, 51 a 51 a) říká, že se zúčastněná osoba a poškozený mohou dát zastupovat </w:t>
      </w:r>
      <w:r w:rsidRPr="00427295">
        <w:rPr>
          <w:i/>
        </w:rPr>
        <w:t>zmocněncem</w:t>
      </w:r>
      <w:r w:rsidRPr="007F048B">
        <w:t xml:space="preserve">. Tímto zmocněncem může být i právnická osoba a není nutné, aby měla právní vzdělání. Může se ale jednat i o advokáta nebo jiného právníka. Zmocněnec poškozeného může být současně </w:t>
      </w:r>
      <w:r w:rsidRPr="00427295">
        <w:rPr>
          <w:i/>
        </w:rPr>
        <w:t>důvěrníkem</w:t>
      </w:r>
      <w:r w:rsidRPr="007F048B">
        <w:t xml:space="preserve"> podle zákona o obětech trestných činů (viz</w:t>
      </w:r>
      <w:r>
        <w:t xml:space="preserve"> </w:t>
      </w:r>
      <w:r w:rsidRPr="007F048B">
        <w:t>dále). Zmocněncem nemůže být osoba, které se řízení týká v tom smyslu, že by byla zároveň znalcem, svědkem nebo tlumočníkem v řízení.</w:t>
      </w:r>
    </w:p>
    <w:p w:rsidR="000D0FC2" w:rsidRPr="007F048B" w:rsidRDefault="000D0FC2" w:rsidP="00161A86">
      <w:pPr>
        <w:pStyle w:val="Normlnweb"/>
        <w:spacing w:line="360" w:lineRule="auto"/>
        <w:jc w:val="both"/>
      </w:pPr>
      <w:r w:rsidRPr="00427295">
        <w:rPr>
          <w:i/>
        </w:rPr>
        <w:t>Bezplatnou právní pomoc</w:t>
      </w:r>
      <w:r w:rsidRPr="007F048B">
        <w:t xml:space="preserve"> nabízí trestní řád pouze </w:t>
      </w:r>
      <w:r w:rsidRPr="00427295">
        <w:rPr>
          <w:i/>
        </w:rPr>
        <w:t>osobám</w:t>
      </w:r>
      <w:r w:rsidRPr="007F048B">
        <w:t xml:space="preserve"> </w:t>
      </w:r>
      <w:r w:rsidRPr="00427295">
        <w:rPr>
          <w:i/>
        </w:rPr>
        <w:t>poškozeným</w:t>
      </w:r>
      <w:r w:rsidRPr="007F048B">
        <w:t xml:space="preserve"> (nikoliv zúčastněným) a to za následujících podmínek:</w:t>
      </w:r>
    </w:p>
    <w:p w:rsidR="000D0FC2" w:rsidRPr="007F048B" w:rsidRDefault="000D0FC2" w:rsidP="00161A86">
      <w:pPr>
        <w:pStyle w:val="Normlnweb"/>
        <w:numPr>
          <w:ilvl w:val="0"/>
          <w:numId w:val="4"/>
        </w:numPr>
        <w:spacing w:line="360" w:lineRule="auto"/>
        <w:jc w:val="both"/>
      </w:pPr>
      <w:r w:rsidRPr="007F048B">
        <w:t xml:space="preserve">poškozený je </w:t>
      </w:r>
      <w:r w:rsidRPr="00427295">
        <w:rPr>
          <w:i/>
        </w:rPr>
        <w:t>zvlášť zranitelnou obětí</w:t>
      </w:r>
      <w:r w:rsidRPr="007F048B">
        <w:t xml:space="preserve"> podle zákona o obětech trestných činů (viz. dále)</w:t>
      </w:r>
    </w:p>
    <w:p w:rsidR="000D0FC2" w:rsidRPr="007F048B" w:rsidRDefault="000D0FC2" w:rsidP="00161A86">
      <w:pPr>
        <w:pStyle w:val="Normlnweb"/>
        <w:numPr>
          <w:ilvl w:val="0"/>
          <w:numId w:val="4"/>
        </w:numPr>
        <w:spacing w:line="360" w:lineRule="auto"/>
        <w:jc w:val="both"/>
      </w:pPr>
      <w:r w:rsidRPr="007F048B">
        <w:t xml:space="preserve">poškozenému byla způsobena úmyslným trestným činem </w:t>
      </w:r>
      <w:r w:rsidRPr="00427295">
        <w:rPr>
          <w:i/>
        </w:rPr>
        <w:t>těžká újma na zdraví</w:t>
      </w:r>
    </w:p>
    <w:p w:rsidR="000D0FC2" w:rsidRPr="007F048B" w:rsidRDefault="000D0FC2" w:rsidP="00161A86">
      <w:pPr>
        <w:pStyle w:val="Normlnweb"/>
        <w:numPr>
          <w:ilvl w:val="0"/>
          <w:numId w:val="4"/>
        </w:numPr>
        <w:spacing w:line="360" w:lineRule="auto"/>
        <w:jc w:val="both"/>
      </w:pPr>
      <w:r w:rsidRPr="007F048B">
        <w:t xml:space="preserve">poškozený je </w:t>
      </w:r>
      <w:r w:rsidRPr="00427295">
        <w:rPr>
          <w:i/>
        </w:rPr>
        <w:t>pozůstalým po oběti,</w:t>
      </w:r>
      <w:r w:rsidRPr="007F048B">
        <w:t xml:space="preserve"> které byla trestným činem způsobena smrt</w:t>
      </w:r>
    </w:p>
    <w:p w:rsidR="000D0FC2" w:rsidRDefault="000D0FC2" w:rsidP="00427295">
      <w:pPr>
        <w:pStyle w:val="Normlnweb"/>
        <w:spacing w:line="360" w:lineRule="auto"/>
        <w:jc w:val="both"/>
      </w:pPr>
      <w:r w:rsidRPr="007F048B">
        <w:t>Stačí, když je splněna některá z</w:t>
      </w:r>
      <w:r>
        <w:t xml:space="preserve"> </w:t>
      </w:r>
      <w:r w:rsidRPr="007F048B">
        <w:t xml:space="preserve">výše uvedených podmínek. Zároveň musí mít poškozený </w:t>
      </w:r>
      <w:r w:rsidRPr="00427295">
        <w:rPr>
          <w:i/>
        </w:rPr>
        <w:t>nedostatek prostředků</w:t>
      </w:r>
      <w:r w:rsidRPr="007F048B">
        <w:t xml:space="preserve">, aby si hradil náklady vzniklé přibráním zmocněnce. Soud opět může rozhodnout buď o bezplatné právní pomoci poskytované zmocněncem, nebo o snížené odměně zmocněnci. </w:t>
      </w:r>
    </w:p>
    <w:p w:rsidR="000D0FC2" w:rsidRPr="007F048B" w:rsidRDefault="000D0FC2" w:rsidP="00427295">
      <w:pPr>
        <w:pStyle w:val="Normlnweb"/>
        <w:spacing w:line="360" w:lineRule="auto"/>
        <w:jc w:val="both"/>
      </w:pPr>
      <w:r w:rsidRPr="00427295">
        <w:rPr>
          <w:i/>
        </w:rPr>
        <w:t>Nezletilé děti</w:t>
      </w:r>
      <w:r w:rsidRPr="007F048B">
        <w:t xml:space="preserve"> mají nárok na bezplatnou právní pomoc poskytovanou zmocněncem i bez předchozích podmínek. Neplatí to však u trestného činu zanedbání povinné výživy.</w:t>
      </w:r>
    </w:p>
    <w:p w:rsidR="000D0FC2" w:rsidRDefault="000D0FC2" w:rsidP="00035157">
      <w:pPr>
        <w:pStyle w:val="Normlnweb"/>
        <w:spacing w:line="360" w:lineRule="auto"/>
        <w:jc w:val="both"/>
        <w:rPr>
          <w:i/>
        </w:rPr>
      </w:pPr>
      <w:r w:rsidRPr="007F048B">
        <w:t>Za zmocněnce si můžete zvolit vámi vybranou osobu. Pokud tak neučiníte, ustanoví vám soud advokáta.</w:t>
      </w:r>
      <w:r>
        <w:t xml:space="preserve"> Je vhodné mít na paměti, že trestní řízení je řízení, kde oběť není stranou sporu. Jedná se o řízení mezi obviněným a státem, resp. státním zástupcem. Tedy není vždy nezbytně nutné mít právní zastoupení, důležitá je spíše psychologická podpora. Proto je vhodné vybírat si zmocněnce, ke kterému máte důvěru.</w:t>
      </w:r>
    </w:p>
    <w:p w:rsidR="000D0FC2" w:rsidRPr="00035157" w:rsidRDefault="000D0FC2" w:rsidP="00035157">
      <w:pPr>
        <w:pStyle w:val="Normlnweb"/>
        <w:spacing w:line="360" w:lineRule="auto"/>
        <w:jc w:val="both"/>
        <w:rPr>
          <w:i/>
        </w:rPr>
      </w:pPr>
      <w:r w:rsidRPr="00427295">
        <w:rPr>
          <w:b/>
        </w:rPr>
        <w:t>Co když se jedná o přeshraniční soudní řízení?</w:t>
      </w:r>
    </w:p>
    <w:p w:rsidR="000D0FC2" w:rsidRPr="007F048B" w:rsidRDefault="000D0FC2" w:rsidP="0003515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85469">
        <w:rPr>
          <w:rFonts w:ascii="Times New Roman" w:hAnsi="Times New Roman"/>
          <w:i/>
          <w:sz w:val="24"/>
          <w:szCs w:val="24"/>
          <w:lang w:eastAsia="cs-CZ"/>
        </w:rPr>
        <w:t>Zákon o mezinárodním právu soukromém</w:t>
      </w:r>
      <w:r w:rsidRPr="007F048B">
        <w:rPr>
          <w:rFonts w:ascii="Times New Roman" w:hAnsi="Times New Roman"/>
          <w:sz w:val="24"/>
          <w:szCs w:val="24"/>
          <w:lang w:eastAsia="cs-CZ"/>
        </w:rPr>
        <w:t xml:space="preserve"> (§ 10) ga</w:t>
      </w:r>
      <w:r>
        <w:rPr>
          <w:rFonts w:ascii="Times New Roman" w:hAnsi="Times New Roman"/>
          <w:sz w:val="24"/>
          <w:szCs w:val="24"/>
          <w:lang w:eastAsia="cs-CZ"/>
        </w:rPr>
        <w:t>rantuje bezplatnou právní pomoc</w:t>
      </w:r>
      <w:r w:rsidRPr="007F048B">
        <w:rPr>
          <w:rFonts w:ascii="Times New Roman" w:hAnsi="Times New Roman"/>
          <w:sz w:val="24"/>
          <w:szCs w:val="24"/>
          <w:lang w:eastAsia="cs-CZ"/>
        </w:rPr>
        <w:t xml:space="preserve"> v rámci Evropské unie a dalších států, u nichž je zajištěna vzájemnost. </w:t>
      </w:r>
    </w:p>
    <w:p w:rsidR="000D0FC2" w:rsidRPr="007F048B" w:rsidRDefault="000D0FC2" w:rsidP="0003515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F048B">
        <w:rPr>
          <w:rFonts w:ascii="Times New Roman" w:hAnsi="Times New Roman"/>
          <w:sz w:val="24"/>
          <w:szCs w:val="24"/>
          <w:lang w:eastAsia="cs-CZ"/>
        </w:rPr>
        <w:lastRenderedPageBreak/>
        <w:t xml:space="preserve">Pokud jste účastníkem řízení, které je vedeno u </w:t>
      </w:r>
      <w:r w:rsidRPr="00035157">
        <w:rPr>
          <w:rFonts w:ascii="Times New Roman" w:hAnsi="Times New Roman"/>
          <w:i/>
          <w:sz w:val="24"/>
          <w:szCs w:val="24"/>
          <w:lang w:eastAsia="cs-CZ"/>
        </w:rPr>
        <w:t>českého soudu</w:t>
      </w:r>
      <w:r w:rsidRPr="007F048B">
        <w:rPr>
          <w:rFonts w:ascii="Times New Roman" w:hAnsi="Times New Roman"/>
          <w:sz w:val="24"/>
          <w:szCs w:val="24"/>
          <w:lang w:eastAsia="cs-CZ"/>
        </w:rPr>
        <w:t xml:space="preserve">, potom budete žádat o bezplatnou právní pomoc daný soud. Ten ji posoudí obdobně jako u sporu bez přeshraničního prvku. Pokud je řízení vedeno před </w:t>
      </w:r>
      <w:r w:rsidRPr="00035157">
        <w:rPr>
          <w:rFonts w:ascii="Times New Roman" w:hAnsi="Times New Roman"/>
          <w:i/>
          <w:sz w:val="24"/>
          <w:szCs w:val="24"/>
          <w:lang w:eastAsia="cs-CZ"/>
        </w:rPr>
        <w:t>zahraničním soudem</w:t>
      </w:r>
      <w:r w:rsidRPr="007F048B">
        <w:rPr>
          <w:rFonts w:ascii="Times New Roman" w:hAnsi="Times New Roman"/>
          <w:sz w:val="24"/>
          <w:szCs w:val="24"/>
          <w:lang w:eastAsia="cs-CZ"/>
        </w:rPr>
        <w:t xml:space="preserve">, je třeba tuto žádost podat na mezinárodním odboru </w:t>
      </w:r>
      <w:r w:rsidRPr="00035157">
        <w:rPr>
          <w:rFonts w:ascii="Times New Roman" w:hAnsi="Times New Roman"/>
          <w:i/>
          <w:sz w:val="24"/>
          <w:szCs w:val="24"/>
          <w:lang w:eastAsia="cs-CZ"/>
        </w:rPr>
        <w:t>Ministerstva spravedlnosti ČR.</w:t>
      </w:r>
    </w:p>
    <w:p w:rsidR="000D0FC2" w:rsidRPr="00035157" w:rsidRDefault="000D0FC2" w:rsidP="000351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lang w:eastAsia="cs-CZ"/>
        </w:rPr>
      </w:pPr>
      <w:r w:rsidRPr="00035157">
        <w:rPr>
          <w:rFonts w:ascii="Times New Roman" w:hAnsi="Times New Roman"/>
          <w:b/>
          <w:color w:val="000000"/>
          <w:sz w:val="24"/>
          <w:szCs w:val="24"/>
          <w:u w:val="single"/>
          <w:lang w:eastAsia="cs-CZ"/>
        </w:rPr>
        <w:t>Co když nejsem účastníkem soudního řízení, ale potřebuji bezplatnou právní pomoc?</w:t>
      </w:r>
    </w:p>
    <w:p w:rsidR="000D0FC2" w:rsidRPr="007F048B" w:rsidRDefault="000D0FC2" w:rsidP="007F048B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0D0FC2" w:rsidRPr="007F048B" w:rsidRDefault="000D0FC2" w:rsidP="005854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Často je potřeba zajistit si odbornou právní pomoc ještě před začátkem soudního řízení. V takovém případě je možné obrátit se na několik poskytovatelů bezplatné právní pomoci:</w:t>
      </w:r>
    </w:p>
    <w:p w:rsidR="000D0FC2" w:rsidRPr="007F048B" w:rsidRDefault="000D0FC2" w:rsidP="007F048B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0D0FC2" w:rsidRPr="00585469" w:rsidRDefault="000D0FC2" w:rsidP="00585469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585469">
        <w:rPr>
          <w:rFonts w:ascii="Times New Roman" w:hAnsi="Times New Roman"/>
          <w:b/>
          <w:color w:val="000000"/>
          <w:sz w:val="24"/>
          <w:szCs w:val="24"/>
          <w:lang w:eastAsia="cs-CZ"/>
        </w:rPr>
        <w:t>Česká advokátní komora</w:t>
      </w:r>
    </w:p>
    <w:p w:rsidR="000D0FC2" w:rsidRPr="007F048B" w:rsidRDefault="000D0FC2" w:rsidP="000351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585469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lang w:eastAsia="cs-CZ"/>
        </w:rPr>
        <w:t>Zákon o advokacii</w:t>
      </w:r>
      <w:r w:rsidRPr="007F048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( </w:t>
      </w:r>
      <w:r w:rsidRPr="007F048B">
        <w:rPr>
          <w:rFonts w:ascii="Times New Roman" w:hAnsi="Times New Roman"/>
          <w:sz w:val="24"/>
          <w:szCs w:val="24"/>
        </w:rPr>
        <w:t xml:space="preserve">§ 18 odst. 2, § 19, § 20) umožňuje využití bezplatné právní pomoci ještě </w:t>
      </w:r>
      <w:r w:rsidRPr="00241EA5">
        <w:rPr>
          <w:rFonts w:ascii="Times New Roman" w:hAnsi="Times New Roman"/>
          <w:i/>
          <w:sz w:val="24"/>
          <w:szCs w:val="24"/>
        </w:rPr>
        <w:t>před začátkem soudního řízení</w:t>
      </w:r>
      <w:r w:rsidRPr="007F048B">
        <w:rPr>
          <w:rFonts w:ascii="Times New Roman" w:hAnsi="Times New Roman"/>
          <w:sz w:val="24"/>
          <w:szCs w:val="24"/>
        </w:rPr>
        <w:t>. Podmínky pro poskytnutí bezplatné právní pomoci nebo právní pomoci za sníženou cenu advokátní komorou jsou následující:</w:t>
      </w:r>
    </w:p>
    <w:p w:rsidR="000D0FC2" w:rsidRPr="007F048B" w:rsidRDefault="000D0FC2" w:rsidP="00241EA5">
      <w:pPr>
        <w:pStyle w:val="Odstavecseseznamem"/>
        <w:numPr>
          <w:ilvl w:val="0"/>
          <w:numId w:val="4"/>
        </w:numPr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7F048B">
        <w:rPr>
          <w:rFonts w:ascii="Times New Roman" w:hAnsi="Times New Roman"/>
          <w:sz w:val="24"/>
          <w:szCs w:val="24"/>
        </w:rPr>
        <w:t>zatím vám nebyla poskytnuta bezplatná právní pomoc podle jiného právního předpisu</w:t>
      </w:r>
    </w:p>
    <w:p w:rsidR="000D0FC2" w:rsidRPr="007F048B" w:rsidRDefault="000D0FC2" w:rsidP="00241EA5">
      <w:pPr>
        <w:pStyle w:val="Odstavecseseznamem"/>
        <w:numPr>
          <w:ilvl w:val="0"/>
          <w:numId w:val="4"/>
        </w:numPr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7F048B">
        <w:rPr>
          <w:rFonts w:ascii="Times New Roman" w:hAnsi="Times New Roman"/>
          <w:sz w:val="24"/>
          <w:szCs w:val="24"/>
        </w:rPr>
        <w:t>2 advokáti odmítli vaši žádost o bezplatnou právní pomoc</w:t>
      </w:r>
    </w:p>
    <w:p w:rsidR="000D0FC2" w:rsidRPr="007F048B" w:rsidRDefault="000D0FC2" w:rsidP="00241EA5">
      <w:pPr>
        <w:pStyle w:val="Odstavecseseznamem"/>
        <w:numPr>
          <w:ilvl w:val="0"/>
          <w:numId w:val="4"/>
        </w:numPr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7F048B">
        <w:rPr>
          <w:rFonts w:ascii="Times New Roman" w:hAnsi="Times New Roman"/>
          <w:sz w:val="24"/>
          <w:szCs w:val="24"/>
        </w:rPr>
        <w:t>je třeba podat žádost a sdělit své příjmové a majetkové poměry</w:t>
      </w:r>
    </w:p>
    <w:p w:rsidR="000D0FC2" w:rsidRDefault="000D0FC2" w:rsidP="00161A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F048B">
        <w:rPr>
          <w:rFonts w:ascii="Times New Roman" w:hAnsi="Times New Roman"/>
          <w:sz w:val="24"/>
          <w:szCs w:val="24"/>
        </w:rPr>
        <w:t>Pokud vám advokátní komora vyhoví, ustanoví advokáta a tomu přesně určí rozsah služeb, které vám smí poskytnout.</w:t>
      </w:r>
      <w:r>
        <w:rPr>
          <w:rFonts w:ascii="Times New Roman" w:hAnsi="Times New Roman"/>
          <w:sz w:val="24"/>
          <w:szCs w:val="24"/>
        </w:rPr>
        <w:t xml:space="preserve"> Takto ustanovený advokát může odmítnout službu vykonávat pouze v následujících případech:</w:t>
      </w:r>
    </w:p>
    <w:p w:rsidR="000D0FC2" w:rsidRDefault="000D0FC2" w:rsidP="00161A8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již on sám (nebo spolupracující advokát)  poskytl právní služby v téže věci osobě s protikladnými zájmy</w:t>
      </w:r>
    </w:p>
    <w:p w:rsidR="000D0FC2" w:rsidRDefault="000D0FC2" w:rsidP="00161A8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má informaci o klientovi, která by mohla žadatele o bezplatnou právní pomoc neoprávněně zvýhodnit</w:t>
      </w:r>
    </w:p>
    <w:p w:rsidR="000D0FC2" w:rsidRDefault="000D0FC2" w:rsidP="00161A8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se projednávané věci již zúčastnil advokát nebo osoba advokátovi blízká</w:t>
      </w:r>
    </w:p>
    <w:p w:rsidR="000D0FC2" w:rsidRDefault="000D0FC2" w:rsidP="00161A8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jsou zájmy advokáta nebo jeho osoby blízké v rozporu se zájmy žadatele</w:t>
      </w:r>
    </w:p>
    <w:p w:rsidR="000D0FC2" w:rsidRDefault="000D0FC2" w:rsidP="00161A8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dojde k narušení důvěry mezi ustanoveným advokátem a žadatelem (klientem)</w:t>
      </w:r>
    </w:p>
    <w:p w:rsidR="000D0FC2" w:rsidRDefault="000D0FC2" w:rsidP="00161A8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chybí součinnost na straně žadatele (klienta)</w:t>
      </w:r>
    </w:p>
    <w:p w:rsidR="000D0FC2" w:rsidRPr="00241EA5" w:rsidRDefault="000D0FC2" w:rsidP="00161A8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pokud žadatel (klient) žádá advokáta, aby advokát postupoval v rozporu s právním nebo stavovským předpisem (i přes poučení advokátem o této skutečnosti)</w:t>
      </w:r>
    </w:p>
    <w:p w:rsidR="000D0FC2" w:rsidRDefault="000D0FC2" w:rsidP="00241EA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F048B">
        <w:rPr>
          <w:rFonts w:ascii="Times New Roman" w:hAnsi="Times New Roman"/>
          <w:sz w:val="24"/>
          <w:szCs w:val="24"/>
        </w:rPr>
        <w:t xml:space="preserve">Česká advokátní komora poskytuje také </w:t>
      </w:r>
      <w:r w:rsidRPr="00241EA5">
        <w:rPr>
          <w:rFonts w:ascii="Times New Roman" w:hAnsi="Times New Roman"/>
          <w:i/>
          <w:sz w:val="24"/>
          <w:szCs w:val="24"/>
        </w:rPr>
        <w:t>jednorázové právní poradenství</w:t>
      </w:r>
      <w:r w:rsidRPr="007F048B">
        <w:rPr>
          <w:rFonts w:ascii="Times New Roman" w:hAnsi="Times New Roman"/>
          <w:sz w:val="24"/>
          <w:szCs w:val="24"/>
        </w:rPr>
        <w:t xml:space="preserve">. To není upraveno zákonem a je poskytováno jako veřejně prospěšná služba. Na toto právní poradenství </w:t>
      </w:r>
      <w:r w:rsidRPr="00241EA5">
        <w:rPr>
          <w:rFonts w:ascii="Times New Roman" w:hAnsi="Times New Roman"/>
          <w:i/>
          <w:sz w:val="24"/>
          <w:szCs w:val="24"/>
        </w:rPr>
        <w:t>není právní nárok.</w:t>
      </w:r>
      <w:r w:rsidRPr="007F048B">
        <w:rPr>
          <w:rFonts w:ascii="Times New Roman" w:hAnsi="Times New Roman"/>
          <w:sz w:val="24"/>
          <w:szCs w:val="24"/>
        </w:rPr>
        <w:t xml:space="preserve"> Jednotlivá setkání trvají cca 15 min. Je proto vhodné připravit si představení vašeho případu a otázek tak, aby nepřesáhlo více než 2 minuty. Jedině tak vám bude advokát schopen v krátkém čase</w:t>
      </w:r>
      <w:r>
        <w:rPr>
          <w:rFonts w:ascii="Times New Roman" w:hAnsi="Times New Roman"/>
          <w:sz w:val="24"/>
          <w:szCs w:val="24"/>
        </w:rPr>
        <w:t xml:space="preserve"> účinně poradit. Seznam míst a </w:t>
      </w:r>
      <w:r w:rsidRPr="007F048B">
        <w:rPr>
          <w:rFonts w:ascii="Times New Roman" w:hAnsi="Times New Roman"/>
          <w:sz w:val="24"/>
          <w:szCs w:val="24"/>
        </w:rPr>
        <w:t xml:space="preserve">časů poskytování právního poradenství je uveden na webových stránkách České advokátní komory – </w:t>
      </w:r>
      <w:r w:rsidRPr="007D5D9E">
        <w:rPr>
          <w:rFonts w:ascii="Times New Roman" w:hAnsi="Times New Roman"/>
          <w:i/>
          <w:sz w:val="24"/>
          <w:szCs w:val="24"/>
        </w:rPr>
        <w:t>www.cak.cz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D0FC2" w:rsidRPr="00327BBF" w:rsidRDefault="000D0FC2" w:rsidP="00327BB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7BBF">
        <w:rPr>
          <w:rFonts w:ascii="Times New Roman" w:hAnsi="Times New Roman"/>
          <w:b/>
          <w:sz w:val="24"/>
          <w:szCs w:val="24"/>
        </w:rPr>
        <w:t>Občanské poradny a jiné organizace poskytující bezplatnou právní pomoc</w:t>
      </w:r>
    </w:p>
    <w:p w:rsidR="000D0FC2" w:rsidRPr="007F048B" w:rsidRDefault="000D0FC2" w:rsidP="007D5D9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Dalším místem, na které se můžete obrátit s právním dotazem, jsou občanské poradny. Občanské poradny jsou v téměř každém větším městě. Seznam občanských poraden naleznete na webových stránkách </w:t>
      </w:r>
      <w:r w:rsidRPr="007D5D9E">
        <w:rPr>
          <w:rFonts w:ascii="Times New Roman" w:hAnsi="Times New Roman"/>
          <w:i/>
          <w:color w:val="000000"/>
          <w:sz w:val="24"/>
          <w:szCs w:val="24"/>
          <w:lang w:eastAsia="cs-CZ"/>
        </w:rPr>
        <w:t>www.obcanskeporadny.cz</w:t>
      </w:r>
    </w:p>
    <w:p w:rsidR="000D0FC2" w:rsidRPr="007F048B" w:rsidRDefault="000D0FC2" w:rsidP="007F048B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0D0FC2" w:rsidRPr="007F048B" w:rsidRDefault="000D0FC2" w:rsidP="007F048B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Občanské poradny nabízejí bezplatné poradenství v následujících oblastech: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sociální dávky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sociální pomoc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pojištění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pracovně právní vztahy a zaměstnanost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bydlení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rodina a mezilidské vztahy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majetkoprávní vztahy a náhrada škody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finanční a rozpočtová problematika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zdravotnictví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školství a vzdělávání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ekologie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právo životního prostředí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ochrana spotřebitele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základy práva ČR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právní systém EU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občanské soudní řízení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veřejná správa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trestní právo</w:t>
      </w:r>
    </w:p>
    <w:p w:rsidR="000D0FC2" w:rsidRPr="007F048B" w:rsidRDefault="000D0FC2" w:rsidP="007F048B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ústavní právo</w:t>
      </w:r>
    </w:p>
    <w:p w:rsidR="000D0FC2" w:rsidRPr="007F048B" w:rsidRDefault="000D0FC2" w:rsidP="007F048B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0D0FC2" w:rsidRDefault="000D0FC2" w:rsidP="00161A8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Každá občanská poradna má nastavena svá pravidla pro poskytování služeb. Obecně však lze říci, že je možné jejich služby </w:t>
      </w:r>
      <w:r w:rsidRPr="007D5D9E">
        <w:rPr>
          <w:rFonts w:ascii="Times New Roman" w:hAnsi="Times New Roman"/>
          <w:i/>
          <w:color w:val="000000"/>
          <w:sz w:val="24"/>
          <w:szCs w:val="24"/>
          <w:lang w:eastAsia="cs-CZ"/>
        </w:rPr>
        <w:t>využívat opakovaně</w:t>
      </w: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je možné využívat delší časové úseky, než je tomu v případě advokátního bezplatného poradenství a lze se dotazovat také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</w:t>
      </w: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rostřednictvím </w:t>
      </w:r>
      <w:r w:rsidRPr="007D5D9E">
        <w:rPr>
          <w:rFonts w:ascii="Times New Roman" w:hAnsi="Times New Roman"/>
          <w:i/>
          <w:color w:val="000000"/>
          <w:sz w:val="24"/>
          <w:szCs w:val="24"/>
          <w:lang w:eastAsia="cs-CZ"/>
        </w:rPr>
        <w:t xml:space="preserve">telefonu </w:t>
      </w: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nebo </w:t>
      </w:r>
      <w:r w:rsidRPr="007D5D9E">
        <w:rPr>
          <w:rFonts w:ascii="Times New Roman" w:hAnsi="Times New Roman"/>
          <w:i/>
          <w:color w:val="000000"/>
          <w:sz w:val="24"/>
          <w:szCs w:val="24"/>
          <w:lang w:eastAsia="cs-CZ"/>
        </w:rPr>
        <w:t>e-mailu</w:t>
      </w: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Občanské poradny však nabízejí </w:t>
      </w:r>
      <w:r w:rsidRPr="007D5D9E">
        <w:rPr>
          <w:rFonts w:ascii="Times New Roman" w:hAnsi="Times New Roman"/>
          <w:i/>
          <w:color w:val="000000"/>
          <w:sz w:val="24"/>
          <w:szCs w:val="24"/>
          <w:lang w:eastAsia="cs-CZ"/>
        </w:rPr>
        <w:t>pouze poradenství</w:t>
      </w: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>, tj. nezastupují klienty před soudem a nepřipravují za klienta právní podání.</w:t>
      </w:r>
    </w:p>
    <w:p w:rsidR="000D0FC2" w:rsidRDefault="000D0FC2" w:rsidP="007D5D9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0D0FC2" w:rsidRDefault="000D0FC2" w:rsidP="00327B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Odborné právní poradenství lze získat také ve </w:t>
      </w:r>
      <w:r w:rsidRPr="007D5D9E">
        <w:rPr>
          <w:rFonts w:ascii="Times New Roman" w:hAnsi="Times New Roman"/>
          <w:i/>
          <w:color w:val="000000"/>
          <w:sz w:val="24"/>
          <w:szCs w:val="24"/>
          <w:lang w:eastAsia="cs-CZ"/>
        </w:rPr>
        <w:t>specializovaných službách</w:t>
      </w: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– např. poradenská centra pro spotřebitele, oběti domácího násilí, cizince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 osoby zatížené dluhy</w:t>
      </w:r>
      <w:r w:rsidRPr="007F048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atd.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Poradenství těchto center se opět zaměřuje pouze na obecnou orientaci v problematice. V omezené míře tato centra nabízejí také sepis jednodušších právních podání. Doprovod k soudu, resp. zastupování před soudem ale zpravidla není v jejich kompetenci.</w:t>
      </w:r>
    </w:p>
    <w:p w:rsidR="000D0FC2" w:rsidRPr="007D5D9E" w:rsidRDefault="000D0FC2" w:rsidP="007D5D9E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0D0FC2" w:rsidRDefault="000D0FC2" w:rsidP="00327BBF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327BBF">
        <w:rPr>
          <w:rFonts w:ascii="Times New Roman" w:hAnsi="Times New Roman"/>
          <w:b/>
          <w:color w:val="000000"/>
          <w:sz w:val="24"/>
          <w:szCs w:val="24"/>
          <w:lang w:eastAsia="cs-CZ"/>
        </w:rPr>
        <w:t>Subjekty poskytující pomoc obětem trestných činů</w:t>
      </w:r>
    </w:p>
    <w:p w:rsidR="000D0FC2" w:rsidRPr="00327BBF" w:rsidRDefault="000D0FC2" w:rsidP="00327BBF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</w:p>
    <w:p w:rsidR="000D0FC2" w:rsidRDefault="000D0FC2" w:rsidP="00327B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327BBF">
        <w:rPr>
          <w:rFonts w:ascii="Times New Roman" w:hAnsi="Times New Roman"/>
          <w:i/>
          <w:color w:val="000000"/>
          <w:sz w:val="24"/>
          <w:szCs w:val="24"/>
          <w:lang w:eastAsia="cs-CZ"/>
        </w:rPr>
        <w:t>Zákon o obětech trestných činů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zavádí termín subjektů poskytujících pomoc obětem trestných činů. Tyto organizace mohou poskytovat právní informace obětem trestných činů. Kromě organizací může být poskytovatelem také advokát a Probační a mediační služba.</w:t>
      </w:r>
    </w:p>
    <w:p w:rsidR="000D0FC2" w:rsidRDefault="000D0FC2" w:rsidP="00327B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327BBF">
        <w:rPr>
          <w:rFonts w:ascii="Times New Roman" w:hAnsi="Times New Roman"/>
          <w:i/>
          <w:color w:val="000000"/>
          <w:sz w:val="24"/>
          <w:szCs w:val="24"/>
          <w:lang w:eastAsia="cs-CZ"/>
        </w:rPr>
        <w:t>Registr subjektů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poskytujících pomoc obětem trestných činů má na starosti </w:t>
      </w:r>
      <w:r w:rsidRPr="00327BBF">
        <w:rPr>
          <w:rFonts w:ascii="Times New Roman" w:hAnsi="Times New Roman"/>
          <w:i/>
          <w:color w:val="000000"/>
          <w:sz w:val="24"/>
          <w:szCs w:val="24"/>
          <w:lang w:eastAsia="cs-CZ"/>
        </w:rPr>
        <w:t xml:space="preserve">Ministerstvo spravedlnosti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(</w:t>
      </w:r>
      <w:r w:rsidRPr="00327BBF">
        <w:rPr>
          <w:rFonts w:ascii="Times New Roman" w:hAnsi="Times New Roman"/>
          <w:color w:val="000000"/>
          <w:sz w:val="24"/>
          <w:szCs w:val="24"/>
          <w:lang w:eastAsia="cs-CZ"/>
        </w:rPr>
        <w:t>www.justice.cz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).</w:t>
      </w:r>
    </w:p>
    <w:p w:rsidR="000D0FC2" w:rsidRDefault="000D0FC2" w:rsidP="00327B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0D0FC2" w:rsidRPr="00EC071E" w:rsidRDefault="007852E5" w:rsidP="00327BB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cs-CZ"/>
        </w:rPr>
        <w:t xml:space="preserve">Obětí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je fyzická osoba, které bylo nebo mělo být trestným činem ublíženo na zdraví, či jí byla způsobena újma (majetková i nemajetková) nebo je to osoba, na jejíž úkor se pachatel trestným činem obohatil. </w:t>
      </w:r>
      <w:r w:rsidR="000D0FC2">
        <w:rPr>
          <w:rFonts w:ascii="Times New Roman" w:hAnsi="Times New Roman"/>
          <w:color w:val="000000"/>
          <w:sz w:val="24"/>
          <w:szCs w:val="24"/>
          <w:lang w:eastAsia="cs-CZ"/>
        </w:rPr>
        <w:t>Obětí je také příbuzný v pokolení přímém, sourozenec, osvojenec, osvojitel, manžel nebo registrovaný partner nebo druh osoby, které byla trestným činem způsobena smrt.</w:t>
      </w:r>
    </w:p>
    <w:p w:rsidR="000D0FC2" w:rsidRPr="0003276A" w:rsidRDefault="000D0FC2" w:rsidP="00327BBF">
      <w:pPr>
        <w:shd w:val="clear" w:color="auto" w:fill="FFFFF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3276A">
        <w:rPr>
          <w:rFonts w:ascii="Times New Roman" w:hAnsi="Times New Roman"/>
          <w:i/>
          <w:color w:val="000000"/>
          <w:sz w:val="24"/>
          <w:szCs w:val="24"/>
          <w:lang w:eastAsia="cs-CZ"/>
        </w:rPr>
        <w:t xml:space="preserve">Zvlášť zranitelnou obětí </w:t>
      </w:r>
      <w:r w:rsidRPr="0003276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je vždy nezletilé dítě a dále také osoba, která je postižena hendikepem (fyzickým, mentálním, psychickým, smyslovým), oběť trestného činu obchodování s lidmi,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trestného činu </w:t>
      </w:r>
      <w:r w:rsidRPr="0003276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proti lidské důstojnosti v sexuální oblasti nebo trestného činu, který zahrnoval násilí či pohrůžku násilím.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Zvlášť zranitelnou je</w:t>
      </w:r>
      <w:r w:rsidRPr="0003276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také oběť, u které je zvýšené nebezpeční způsobení druhotné újmy zejména s ohledem na její věk, pohlaví, rasu, národnost, sexuální orientaci, náboženské vyznání, zdravotní stav, rozumovou vyspělost, </w:t>
      </w:r>
      <w:r w:rsidRPr="0003276A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 xml:space="preserve">schopnost vyjadřovat se, životní situaci. Zohledňuje se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i</w:t>
      </w:r>
      <w:r w:rsidRPr="0003276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vztah k osobě podezřelé ze spáchání trestného činu nebo závislost na ní.</w:t>
      </w:r>
    </w:p>
    <w:p w:rsidR="000D0FC2" w:rsidRPr="00EC071E" w:rsidRDefault="000D0FC2" w:rsidP="0003276A">
      <w:pPr>
        <w:shd w:val="clear" w:color="auto" w:fill="FFFFF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0D0FC2" w:rsidRDefault="000D0FC2" w:rsidP="0003276A">
      <w:pPr>
        <w:shd w:val="clear" w:color="auto" w:fill="FFFFF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3276A">
        <w:rPr>
          <w:rFonts w:ascii="Times New Roman" w:hAnsi="Times New Roman"/>
          <w:color w:val="000000"/>
          <w:sz w:val="24"/>
          <w:szCs w:val="24"/>
          <w:lang w:eastAsia="cs-CZ"/>
        </w:rPr>
        <w:t>Pro posouzení toho, zda jste obětí trestného činu, není podstatné, jestli byl pachatel zjištěn či odsouzen. Přesto se nesmí jednat o zjevné zneužití postavení oběti.</w:t>
      </w:r>
      <w:r w:rsidRPr="00EC071E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Pokud se považujete za oběť trestného činu, můžete využívat veškerá práva, která vám zákon nabízí, vč. práva na právní informace od poskytovatelů pomoci obětem trestných činů.</w:t>
      </w:r>
    </w:p>
    <w:sectPr w:rsidR="000D0FC2" w:rsidSect="00B2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FE5"/>
    <w:multiLevelType w:val="hybridMultilevel"/>
    <w:tmpl w:val="0090DA9A"/>
    <w:lvl w:ilvl="0" w:tplc="85BC004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720B4B"/>
    <w:multiLevelType w:val="hybridMultilevel"/>
    <w:tmpl w:val="459611E2"/>
    <w:lvl w:ilvl="0" w:tplc="1534C2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7D26"/>
    <w:multiLevelType w:val="hybridMultilevel"/>
    <w:tmpl w:val="BE00B8B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69341E"/>
    <w:multiLevelType w:val="hybridMultilevel"/>
    <w:tmpl w:val="8608694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920D62"/>
    <w:multiLevelType w:val="hybridMultilevel"/>
    <w:tmpl w:val="8BAE08C0"/>
    <w:lvl w:ilvl="0" w:tplc="52F627B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1A395A"/>
    <w:multiLevelType w:val="hybridMultilevel"/>
    <w:tmpl w:val="AF98E69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8A"/>
    <w:rsid w:val="00003733"/>
    <w:rsid w:val="00010C54"/>
    <w:rsid w:val="00020F95"/>
    <w:rsid w:val="0003276A"/>
    <w:rsid w:val="00035157"/>
    <w:rsid w:val="000C176F"/>
    <w:rsid w:val="000D0FC2"/>
    <w:rsid w:val="000E7C95"/>
    <w:rsid w:val="00140A99"/>
    <w:rsid w:val="00161A86"/>
    <w:rsid w:val="00165D47"/>
    <w:rsid w:val="00191293"/>
    <w:rsid w:val="001A4FAB"/>
    <w:rsid w:val="002279BD"/>
    <w:rsid w:val="00241EA5"/>
    <w:rsid w:val="00264584"/>
    <w:rsid w:val="00327BBF"/>
    <w:rsid w:val="00365868"/>
    <w:rsid w:val="00427295"/>
    <w:rsid w:val="004B6F14"/>
    <w:rsid w:val="004E5BEA"/>
    <w:rsid w:val="0056106C"/>
    <w:rsid w:val="00585469"/>
    <w:rsid w:val="0075423E"/>
    <w:rsid w:val="00761132"/>
    <w:rsid w:val="00775B02"/>
    <w:rsid w:val="00782518"/>
    <w:rsid w:val="007852E5"/>
    <w:rsid w:val="007A17EA"/>
    <w:rsid w:val="007D5D9E"/>
    <w:rsid w:val="007F048B"/>
    <w:rsid w:val="00846E21"/>
    <w:rsid w:val="008A22A9"/>
    <w:rsid w:val="008F6BC7"/>
    <w:rsid w:val="008F7C02"/>
    <w:rsid w:val="00941441"/>
    <w:rsid w:val="00AA1E6C"/>
    <w:rsid w:val="00AD41D2"/>
    <w:rsid w:val="00AE7C6D"/>
    <w:rsid w:val="00B15C1E"/>
    <w:rsid w:val="00B2408E"/>
    <w:rsid w:val="00B74B5F"/>
    <w:rsid w:val="00B91AAF"/>
    <w:rsid w:val="00BC598A"/>
    <w:rsid w:val="00E70CA8"/>
    <w:rsid w:val="00EC071E"/>
    <w:rsid w:val="00FB4EAD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3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561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6106C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99"/>
    <w:qFormat/>
    <w:rsid w:val="00BC598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C598A"/>
    <w:rPr>
      <w:rFonts w:cs="Times New Roman"/>
      <w:color w:val="0000FF"/>
      <w:u w:val="single"/>
    </w:rPr>
  </w:style>
  <w:style w:type="paragraph" w:styleId="Bezmezer">
    <w:name w:val="No Spacing"/>
    <w:basedOn w:val="Normln"/>
    <w:uiPriority w:val="99"/>
    <w:qFormat/>
    <w:rsid w:val="00561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56106C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56106C"/>
    <w:rPr>
      <w:rFonts w:cs="Times New Roman"/>
    </w:rPr>
  </w:style>
  <w:style w:type="paragraph" w:customStyle="1" w:styleId="ind1">
    <w:name w:val="ind1"/>
    <w:basedOn w:val="Normln"/>
    <w:uiPriority w:val="99"/>
    <w:rsid w:val="00FE7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FE7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otnote">
    <w:name w:val="footnote"/>
    <w:basedOn w:val="Standardnpsmoodstavce"/>
    <w:uiPriority w:val="99"/>
    <w:rsid w:val="00010C54"/>
    <w:rPr>
      <w:rFonts w:cs="Times New Roman"/>
    </w:rPr>
  </w:style>
  <w:style w:type="character" w:customStyle="1" w:styleId="Caption1">
    <w:name w:val="Caption1"/>
    <w:basedOn w:val="Standardnpsmoodstavce"/>
    <w:uiPriority w:val="99"/>
    <w:rsid w:val="00EC071E"/>
    <w:rPr>
      <w:rFonts w:cs="Times New Roman"/>
    </w:rPr>
  </w:style>
  <w:style w:type="character" w:styleId="Siln">
    <w:name w:val="Strong"/>
    <w:basedOn w:val="Standardnpsmoodstavce"/>
    <w:uiPriority w:val="99"/>
    <w:qFormat/>
    <w:rsid w:val="00EC071E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E7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60B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13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561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6106C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99"/>
    <w:qFormat/>
    <w:rsid w:val="00BC598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C598A"/>
    <w:rPr>
      <w:rFonts w:cs="Times New Roman"/>
      <w:color w:val="0000FF"/>
      <w:u w:val="single"/>
    </w:rPr>
  </w:style>
  <w:style w:type="paragraph" w:styleId="Bezmezer">
    <w:name w:val="No Spacing"/>
    <w:basedOn w:val="Normln"/>
    <w:uiPriority w:val="99"/>
    <w:qFormat/>
    <w:rsid w:val="00561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56106C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56106C"/>
    <w:rPr>
      <w:rFonts w:cs="Times New Roman"/>
    </w:rPr>
  </w:style>
  <w:style w:type="paragraph" w:customStyle="1" w:styleId="ind1">
    <w:name w:val="ind1"/>
    <w:basedOn w:val="Normln"/>
    <w:uiPriority w:val="99"/>
    <w:rsid w:val="00FE7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FE7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ootnote">
    <w:name w:val="footnote"/>
    <w:basedOn w:val="Standardnpsmoodstavce"/>
    <w:uiPriority w:val="99"/>
    <w:rsid w:val="00010C54"/>
    <w:rPr>
      <w:rFonts w:cs="Times New Roman"/>
    </w:rPr>
  </w:style>
  <w:style w:type="character" w:customStyle="1" w:styleId="Caption1">
    <w:name w:val="Caption1"/>
    <w:basedOn w:val="Standardnpsmoodstavce"/>
    <w:uiPriority w:val="99"/>
    <w:rsid w:val="00EC071E"/>
    <w:rPr>
      <w:rFonts w:cs="Times New Roman"/>
    </w:rPr>
  </w:style>
  <w:style w:type="character" w:styleId="Siln">
    <w:name w:val="Strong"/>
    <w:basedOn w:val="Standardnpsmoodstavce"/>
    <w:uiPriority w:val="99"/>
    <w:qFormat/>
    <w:rsid w:val="00EC071E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E7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60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3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1612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Veruna</dc:creator>
  <cp:keywords/>
  <dc:description/>
  <cp:lastModifiedBy>Krajicek Jan</cp:lastModifiedBy>
  <cp:revision>2</cp:revision>
  <dcterms:created xsi:type="dcterms:W3CDTF">2014-07-07T07:18:00Z</dcterms:created>
  <dcterms:modified xsi:type="dcterms:W3CDTF">2014-07-07T07:18:00Z</dcterms:modified>
</cp:coreProperties>
</file>