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C635AC">
        <w:rPr>
          <w:b/>
          <w:sz w:val="36"/>
          <w:szCs w:val="36"/>
        </w:rPr>
        <w:t>Vytváření upomínek a penále</w:t>
      </w:r>
      <w:r w:rsidR="00BB3C2F">
        <w:rPr>
          <w:b/>
          <w:sz w:val="36"/>
          <w:szCs w:val="36"/>
        </w:rPr>
        <w:t xml:space="preserve"> po pro</w:t>
      </w:r>
      <w:r w:rsidR="00C635AC">
        <w:rPr>
          <w:b/>
          <w:sz w:val="36"/>
          <w:szCs w:val="36"/>
        </w:rPr>
        <w:t xml:space="preserve">cvičení </w:t>
      </w:r>
      <w:r w:rsidR="00BB3C2F">
        <w:rPr>
          <w:b/>
          <w:sz w:val="36"/>
          <w:szCs w:val="36"/>
        </w:rPr>
        <w:t xml:space="preserve">problematiky </w:t>
      </w:r>
      <w:r w:rsidR="00C635AC">
        <w:rPr>
          <w:b/>
          <w:sz w:val="36"/>
          <w:szCs w:val="36"/>
        </w:rPr>
        <w:t xml:space="preserve">ve výuce (semináři) </w:t>
      </w:r>
      <w:r w:rsidRPr="00A54F46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C635AC">
        <w:t>14</w:t>
      </w:r>
      <w:r w:rsidR="009402F4">
        <w:t>.</w:t>
      </w:r>
      <w:r w:rsidR="00836145">
        <w:t>10</w:t>
      </w:r>
      <w:r w:rsidR="009402F4">
        <w:t>.201</w:t>
      </w:r>
      <w:r w:rsidR="00BF6E93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C635AC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5D6DDF">
        <w:t xml:space="preserve">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</w:r>
      <w:r w:rsidR="00827E15">
        <w:t>P</w:t>
      </w:r>
      <w:r w:rsidR="0039651B">
        <w:t xml:space="preserve">rocvičování </w:t>
      </w:r>
      <w:r w:rsidR="00827E15">
        <w:t xml:space="preserve">v semináři </w:t>
      </w:r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544E5B">
        <w:t xml:space="preserve">Prezentace mající vazbu na </w:t>
      </w:r>
      <w:r w:rsidR="006977EF">
        <w:t xml:space="preserve">upomínky a penále </w:t>
      </w:r>
    </w:p>
    <w:p w:rsidR="00810829" w:rsidRDefault="00836145">
      <w:r>
        <w:t xml:space="preserve"> </w:t>
      </w:r>
    </w:p>
    <w:p w:rsidR="001E1404" w:rsidRPr="00475BA5" w:rsidRDefault="006977EF">
      <w:r w:rsidRPr="00475BA5">
        <w:rPr>
          <w:i/>
        </w:rPr>
        <w:t>Přiklad navazuje na příklad  Upomínka a penále 20191007, který je uložen ve studijních materiálech a byl probírán den 7.10.2019 od 14:00 do 16:00</w:t>
      </w:r>
      <w:r w:rsidR="00475BA5" w:rsidRPr="00475BA5">
        <w:rPr>
          <w:i/>
        </w:rPr>
        <w:t>.</w:t>
      </w:r>
      <w:r w:rsidRPr="00475BA5">
        <w:t xml:space="preserve">  </w:t>
      </w:r>
    </w:p>
    <w:p w:rsidR="006977EF" w:rsidRDefault="006977EF"/>
    <w:p w:rsidR="006977EF" w:rsidRPr="001A4F4D" w:rsidRDefault="006977EF">
      <w:pPr>
        <w:rPr>
          <w:b/>
        </w:rPr>
      </w:pPr>
      <w:r w:rsidRPr="001A4F4D">
        <w:rPr>
          <w:b/>
        </w:rPr>
        <w:t xml:space="preserve">Příprava dat a objektů </w:t>
      </w:r>
    </w:p>
    <w:p w:rsidR="006977EF" w:rsidRDefault="006977EF" w:rsidP="001E1404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>Vytvoříme nového zákazníka (vyhledávací okno-&gt;Zákaznici-&gt;Přehled zákazníků-&gt;ikony Nový nebo Ctrl-N -&gt;výběr šablony=Zákazník DOMÁCÍ-&gt;OK</w:t>
      </w:r>
    </w:p>
    <w:p w:rsidR="001E1404" w:rsidRDefault="006977EF" w:rsidP="006977EF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Odskok na nově vytvořenou kartu (v naší databázi Z00010) a doplňte název-&gt; </w:t>
      </w:r>
      <w:r w:rsidRPr="006977EF">
        <w:t>ESF software</w:t>
      </w:r>
      <w:r>
        <w:t xml:space="preserve"> </w:t>
      </w:r>
    </w:p>
    <w:p w:rsidR="006977EF" w:rsidRDefault="006977EF" w:rsidP="006977EF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>Do pole Kód platební zadejte nově vytvořenou podmínku 1M (v tabulce Platební podmínky dejte Nový a podmínky vytvořte novou podmínku</w:t>
      </w:r>
      <w:r w:rsidR="00475BA5">
        <w:t>.</w:t>
      </w:r>
      <w:r>
        <w:t xml:space="preserve"> </w:t>
      </w:r>
    </w:p>
    <w:p w:rsidR="00544E5B" w:rsidRDefault="006977EF" w:rsidP="00544E5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276A3CAD" wp14:editId="29E8555D">
            <wp:extent cx="5314286" cy="800000"/>
            <wp:effectExtent l="19050" t="19050" r="2032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80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977EF" w:rsidRDefault="006977EF" w:rsidP="006977EF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>V záložce Platby zobrazte více polí (ikona vpravo dole) a do pole Kód platební podmínky zadejet DOMÁCÍ výběrem s pomocí myši a pot</w:t>
      </w:r>
      <w:r w:rsidR="001A4F4D">
        <w:t xml:space="preserve">vrďte OK </w:t>
      </w:r>
    </w:p>
    <w:p w:rsidR="001A4F4D" w:rsidRDefault="001A4F4D" w:rsidP="006977EF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  <w:rPr>
          <w:b/>
        </w:rPr>
      </w:pPr>
      <w:r>
        <w:t xml:space="preserve">Nastavte Pracovní datum na </w:t>
      </w:r>
      <w:r w:rsidRPr="001A4F4D">
        <w:rPr>
          <w:b/>
        </w:rPr>
        <w:t>1.1.2020</w:t>
      </w:r>
      <w:r w:rsidR="00475BA5">
        <w:rPr>
          <w:b/>
        </w:rPr>
        <w:t xml:space="preserve"> :</w:t>
      </w:r>
      <w:r w:rsidRPr="001A4F4D">
        <w:rPr>
          <w:b/>
        </w:rPr>
        <w:t xml:space="preserve"> </w:t>
      </w:r>
    </w:p>
    <w:p w:rsidR="001A4F4D" w:rsidRDefault="001A4F4D" w:rsidP="001A4F4D">
      <w:pPr>
        <w:spacing w:before="100" w:beforeAutospacing="1" w:after="100" w:afterAutospacing="1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7874276C" wp14:editId="37B200CC">
            <wp:extent cx="1571625" cy="7836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881" cy="79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4D" w:rsidRDefault="001A4F4D" w:rsidP="006977EF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>Menu -&gt;Prodej a Marketing -&gt;Zpracování objednávek Prodejní faktury-&gt;Nový-&gt;Do pole Název zákazníka zadejte  kód nově vytvořeného zákazníka Z00010 a do řádků prodej služby tak jak je to uvedeno ve formuláři níže. Zúčtovací datum dokladu je 1.1.2020, Datum splatnosti 1.2.2020</w:t>
      </w:r>
      <w:r w:rsidR="00475BA5">
        <w:t>.</w:t>
      </w:r>
    </w:p>
    <w:p w:rsidR="006977EF" w:rsidRDefault="001A4F4D" w:rsidP="001A4F4D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2E5E8FC6" wp14:editId="5CD8785E">
            <wp:extent cx="5760720" cy="714375"/>
            <wp:effectExtent l="19050" t="19050" r="11430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77EF" w:rsidRDefault="001A4F4D" w:rsidP="001A4F4D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Fakturu zaúčtuje klávesou F9. </w:t>
      </w:r>
    </w:p>
    <w:p w:rsidR="006977EF" w:rsidRDefault="001A4F4D" w:rsidP="00B56620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V podmínkách upomínky, které najdete nejrychleji s pomocí vyhledávacího okna (hledáte řezětec Podmínky upomínky) zobrazíte podmínky a případně nastavte parametry jak je uvedeno v dalším formuláři. </w:t>
      </w:r>
    </w:p>
    <w:p w:rsidR="001A4F4D" w:rsidRDefault="001A4F4D" w:rsidP="001A4F4D">
      <w:pPr>
        <w:spacing w:before="100" w:beforeAutospacing="1" w:after="100" w:afterAutospacing="1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55933C3D" wp14:editId="57A1BE19">
            <wp:extent cx="4381500" cy="1016168"/>
            <wp:effectExtent l="19050" t="19050" r="19050" b="1270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0892" cy="1029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4F4D" w:rsidRDefault="00475BA5" w:rsidP="001A4F4D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>Na liště zvolte ikonou  Úrovně jejich nastavení  a upravte Lhůty odkladu vždy na 5 dnů (5D). Potvrďte OK.</w:t>
      </w:r>
    </w:p>
    <w:p w:rsidR="00475BA5" w:rsidRDefault="00475BA5" w:rsidP="00475BA5">
      <w:pPr>
        <w:spacing w:before="100" w:beforeAutospacing="1" w:after="100" w:afterAutospacing="1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3398C725" wp14:editId="739500F6">
            <wp:extent cx="3028950" cy="1070381"/>
            <wp:effectExtent l="19050" t="19050" r="19050" b="158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5518" cy="1079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75BA5" w:rsidRDefault="00475BA5" w:rsidP="00475BA5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Nastavte pracovní datum na 7.2.2020 (Splatnost je 1.2. +5 dní odklad=6.2., takže první upomínku musíme vytvořit až 7.2.2020. Ve vyhledávacím okně najděte Upomínky a následně na liště ikonu Vytvořit upomínky. Nastavte data, tak  jak je uvedeno níže ve formuláři a potvrďte OK.        </w:t>
      </w:r>
    </w:p>
    <w:p w:rsidR="00475BA5" w:rsidRDefault="00475BA5" w:rsidP="00475BA5">
      <w:pPr>
        <w:spacing w:before="100" w:beforeAutospacing="1" w:after="100" w:afterAutospacing="1"/>
        <w:jc w:val="left"/>
      </w:pPr>
      <w:r>
        <w:tab/>
      </w:r>
      <w:r>
        <w:rPr>
          <w:noProof/>
          <w:lang w:eastAsia="cs-CZ"/>
        </w:rPr>
        <w:drawing>
          <wp:inline distT="0" distB="0" distL="0" distR="0" wp14:anchorId="50B76E47" wp14:editId="741D8601">
            <wp:extent cx="2486025" cy="1813013"/>
            <wp:effectExtent l="19050" t="19050" r="9525" b="158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586" cy="18243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53EEB" w:rsidRDefault="00475BA5" w:rsidP="00475BA5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Vytvořenou upomínku zobrazte ikonou </w:t>
      </w:r>
      <w:r w:rsidR="00053EEB">
        <w:t>Úpravy. Pokud není ve formuláři pole Částka, tak toto pole zobrazte (pravé tlačítko myši). Zde uvádíme pouze řádky upomínky:</w:t>
      </w:r>
    </w:p>
    <w:p w:rsidR="00053EEB" w:rsidRDefault="00053EEB" w:rsidP="00053EEB">
      <w:pPr>
        <w:spacing w:before="100" w:beforeAutospacing="1" w:after="100" w:afterAutospacing="1"/>
        <w:jc w:val="left"/>
      </w:pPr>
      <w:r>
        <w:t xml:space="preserve"> </w:t>
      </w:r>
      <w:r>
        <w:rPr>
          <w:noProof/>
          <w:lang w:eastAsia="cs-CZ"/>
        </w:rPr>
        <w:t xml:space="preserve"> </w:t>
      </w:r>
      <w:r w:rsidRPr="00053EEB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A9D6F31" wp14:editId="170F9BE0">
            <wp:extent cx="5760720" cy="1031875"/>
            <wp:effectExtent l="19050" t="19050" r="11430" b="158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1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53EEB" w:rsidRDefault="00053EEB" w:rsidP="00053EEB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Upomínku vydejte ikonou Vydání na liště upomínky a potvrďte OK. </w:t>
      </w:r>
    </w:p>
    <w:p w:rsidR="00053EEB" w:rsidRDefault="00053EEB" w:rsidP="00053EEB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Nastavte pracovní datum na 13.2. Jde o to, že 7.2.+5D=12.2., takže druhou upomínku generujeme dne 13.2.2020. Postup  bude stejný jako u předchozího vytváření, pouze nastavte  v příslušných oknech (viz okno v bodě 10)  datum na 13.2.2020. Vytvořenou upomínku si prohlédněte a Vydejte. Pře vydáním vypadá upomínka druhé úrovně takto: </w:t>
      </w:r>
    </w:p>
    <w:p w:rsidR="00053EEB" w:rsidRDefault="00053EEB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E0149EE" wp14:editId="51CB8E23">
            <wp:extent cx="5760720" cy="1031875"/>
            <wp:effectExtent l="19050" t="19050" r="11430" b="158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1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053EEB" w:rsidRDefault="00053EEB" w:rsidP="00053EEB">
      <w:pPr>
        <w:pStyle w:val="Odstavecseseznamem"/>
        <w:numPr>
          <w:ilvl w:val="0"/>
          <w:numId w:val="17"/>
        </w:numPr>
        <w:spacing w:before="100" w:beforeAutospacing="1" w:after="100" w:afterAutospacing="1"/>
        <w:jc w:val="left"/>
      </w:pPr>
      <w:r>
        <w:t xml:space="preserve">Nastavte pracovní datum na 19.2.2020, protože 13.2.+ 5D (odklad) =18.2., takže můžeme vytvářet upomínku 3 úrovně až po tomto dni. Opět upomínku vytvoříte stejně jako předchozí dvě. Poslední upomínku vydejte a prohlédněte (Ctrl-F7) si položky zákazníka Z00010.  </w:t>
      </w:r>
      <w:r w:rsidR="0060367A">
        <w:t xml:space="preserve">Na níže uvedených obrázcích vidíte řádky upomínky </w:t>
      </w:r>
      <w:r>
        <w:t xml:space="preserve"> </w:t>
      </w:r>
      <w:r w:rsidR="0060367A">
        <w:t xml:space="preserve">3 úrovně k datu 19.2.2020 a následně položky zákazníka po vydání této upomínky. </w:t>
      </w:r>
    </w:p>
    <w:p w:rsidR="00475BA5" w:rsidRDefault="00475BA5" w:rsidP="00053EEB">
      <w:pPr>
        <w:spacing w:before="100" w:beforeAutospacing="1" w:after="100" w:afterAutospacing="1"/>
        <w:jc w:val="left"/>
      </w:pPr>
      <w:r>
        <w:t xml:space="preserve"> </w:t>
      </w:r>
      <w:r w:rsidR="0060367A">
        <w:rPr>
          <w:noProof/>
          <w:lang w:eastAsia="cs-CZ"/>
        </w:rPr>
        <w:drawing>
          <wp:inline distT="0" distB="0" distL="0" distR="0" wp14:anchorId="51D07D8E" wp14:editId="6E448608">
            <wp:extent cx="5760720" cy="1616075"/>
            <wp:effectExtent l="19050" t="19050" r="11430" b="222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0367A">
        <w:t xml:space="preserve"> </w:t>
      </w:r>
    </w:p>
    <w:p w:rsidR="0060367A" w:rsidRDefault="0060367A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7ABB052E" wp14:editId="63010834">
            <wp:extent cx="5760720" cy="695960"/>
            <wp:effectExtent l="19050" t="19050" r="1143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367A" w:rsidRDefault="0060367A" w:rsidP="00053EEB">
      <w:pPr>
        <w:spacing w:before="100" w:beforeAutospacing="1" w:after="100" w:afterAutospacing="1"/>
        <w:jc w:val="left"/>
      </w:pPr>
      <w:r>
        <w:t xml:space="preserve">Vytvoříme penále pro zákazníka Z00010, který nám neplatí ani po třech upomínkách. </w:t>
      </w:r>
      <w:r w:rsidR="0058411E">
        <w:t xml:space="preserve">Ve vyhledávacím poli najdete díky vloženému řetězci „penále“ stránku, kde se penále vytváří. Je potřeba nastavit pracovní datum tak, aby </w:t>
      </w:r>
      <w:r w:rsidR="00757AED">
        <w:t xml:space="preserve"> </w:t>
      </w:r>
      <w:r w:rsidR="0058411E">
        <w:t xml:space="preserve">Lhůta odkladu =5D.  </w:t>
      </w:r>
      <w:r w:rsidR="008E25D4">
        <w:t xml:space="preserve">Splatnost penále je pak 1M po jeho vystavení. </w:t>
      </w:r>
      <w:r w:rsidR="00757AED">
        <w:t xml:space="preserve">Období penále e využívá pro výpočet částky. </w:t>
      </w:r>
      <w:r w:rsidR="00D718CF">
        <w:t xml:space="preserve">Pro tento příklad nastavte Minimální částku na </w:t>
      </w:r>
      <w:r w:rsidR="00F1525E">
        <w:t xml:space="preserve">20, protože pro Z00010 bude vypočítaná částka úroku 20,62 a hodnota v tomto akceptuje částky úroků do 21,99. Pro hodnotu 21 se Penále automaticky pro Z00010 už nevytvoří. Pracovní datum nastavte na 1den 26.2.2020, což je den po datu spočítaném takto: 19.2. (splatnost) +5D (lhůta odkladu) </w:t>
      </w:r>
    </w:p>
    <w:p w:rsidR="0060367A" w:rsidRDefault="00F1525E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3ABF343E" wp14:editId="4D475465">
            <wp:extent cx="3949414" cy="2057400"/>
            <wp:effectExtent l="19050" t="19050" r="13335" b="190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5855" cy="2065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525E" w:rsidRDefault="00F1525E" w:rsidP="00053EEB">
      <w:pPr>
        <w:spacing w:before="100" w:beforeAutospacing="1" w:after="100" w:afterAutospacing="1"/>
        <w:jc w:val="left"/>
      </w:pPr>
      <w:r>
        <w:lastRenderedPageBreak/>
        <w:t>Penále se pak vytváří takto:</w:t>
      </w:r>
    </w:p>
    <w:p w:rsidR="00F1525E" w:rsidRDefault="00F1525E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3E133A2A" wp14:editId="66BD7A09">
            <wp:extent cx="3133725" cy="1172384"/>
            <wp:effectExtent l="19050" t="19050" r="9525" b="2794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54684" cy="1180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1525E" w:rsidRDefault="00F1525E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50AE65C6" wp14:editId="0A1F54A6">
            <wp:extent cx="3095238" cy="1866667"/>
            <wp:effectExtent l="19050" t="19050" r="10160" b="196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1525E" w:rsidRDefault="00F1525E" w:rsidP="00053EEB">
      <w:pPr>
        <w:spacing w:before="100" w:beforeAutospacing="1" w:after="100" w:afterAutospacing="1"/>
        <w:jc w:val="left"/>
      </w:pPr>
      <w:r>
        <w:t>Řádky  penále:</w:t>
      </w:r>
    </w:p>
    <w:p w:rsidR="00F1525E" w:rsidRDefault="00F1525E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0DFD9B2" wp14:editId="01BA134D">
            <wp:extent cx="5760720" cy="1616710"/>
            <wp:effectExtent l="19050" t="19050" r="11430" b="215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1525E" w:rsidRPr="00BB3C2F" w:rsidRDefault="00BB3C2F" w:rsidP="00053EEB">
      <w:pPr>
        <w:spacing w:before="100" w:beforeAutospacing="1" w:after="100" w:afterAutospacing="1"/>
        <w:jc w:val="left"/>
        <w:rPr>
          <w:b/>
        </w:rPr>
      </w:pPr>
      <w:r w:rsidRPr="00BB3C2F">
        <w:rPr>
          <w:b/>
        </w:rPr>
        <w:t xml:space="preserve">Ukázky výpočtu prvního řádku penále: 13,56 je 1,5% z částky 916,67. </w:t>
      </w:r>
    </w:p>
    <w:p w:rsidR="00BB3C2F" w:rsidRDefault="00BB3C2F" w:rsidP="00053EEB">
      <w:pPr>
        <w:spacing w:before="100" w:beforeAutospacing="1" w:after="100" w:afterAutospacing="1"/>
        <w:jc w:val="left"/>
      </w:pPr>
      <w:r>
        <w:t xml:space="preserve">Částka 916,67 = 1100 x (doba po splatnosti faktury + 5D odklad)/Období penále)= 1100x(25/30). Podívejte se na položky odkud je vidět, jak se 25 dnů spočítalo (19+5 lhůta odkladu +1 následující den). Po vydání penále budou položky zákazníka: </w:t>
      </w:r>
    </w:p>
    <w:p w:rsidR="00BB3C2F" w:rsidRDefault="00BB3C2F" w:rsidP="00053EEB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146B8C1B" wp14:editId="61D56F14">
            <wp:extent cx="5760720" cy="1315085"/>
            <wp:effectExtent l="19050" t="19050" r="11430" b="184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5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BB3C2F" w:rsidSect="00506725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78" w:rsidRDefault="00120278" w:rsidP="00894429">
      <w:r>
        <w:separator/>
      </w:r>
    </w:p>
  </w:endnote>
  <w:endnote w:type="continuationSeparator" w:id="0">
    <w:p w:rsidR="00120278" w:rsidRDefault="00120278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834377"/>
      <w:docPartObj>
        <w:docPartGallery w:val="Page Numbers (Bottom of Page)"/>
        <w:docPartUnique/>
      </w:docPartObj>
    </w:sdtPr>
    <w:sdtContent>
      <w:p w:rsidR="001A4F4D" w:rsidRDefault="001A4F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2F">
          <w:rPr>
            <w:noProof/>
          </w:rPr>
          <w:t>1</w:t>
        </w:r>
        <w: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78" w:rsidRDefault="00120278" w:rsidP="00894429">
      <w:r>
        <w:separator/>
      </w:r>
    </w:p>
  </w:footnote>
  <w:footnote w:type="continuationSeparator" w:id="0">
    <w:p w:rsidR="00120278" w:rsidRDefault="00120278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2F">
          <w:rPr>
            <w:noProof/>
          </w:rPr>
          <w:t>1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79F5"/>
    <w:multiLevelType w:val="hybridMultilevel"/>
    <w:tmpl w:val="8D3A8460"/>
    <w:lvl w:ilvl="0" w:tplc="CDAE1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32E"/>
    <w:multiLevelType w:val="hybridMultilevel"/>
    <w:tmpl w:val="F8241554"/>
    <w:lvl w:ilvl="0" w:tplc="9D52CA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09A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49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2AD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40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8B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1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4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C81E56"/>
    <w:multiLevelType w:val="hybridMultilevel"/>
    <w:tmpl w:val="F912EC80"/>
    <w:lvl w:ilvl="0" w:tplc="8046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5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0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8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0C3EF2"/>
    <w:multiLevelType w:val="hybridMultilevel"/>
    <w:tmpl w:val="0B42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978FA"/>
    <w:multiLevelType w:val="hybridMultilevel"/>
    <w:tmpl w:val="9D9874C0"/>
    <w:lvl w:ilvl="0" w:tplc="49AEF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7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FD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6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2A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7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MqgFACVvObwtAAAA"/>
  </w:docVars>
  <w:rsids>
    <w:rsidRoot w:val="00810829"/>
    <w:rsid w:val="000121C7"/>
    <w:rsid w:val="0003389E"/>
    <w:rsid w:val="00035464"/>
    <w:rsid w:val="0004083C"/>
    <w:rsid w:val="00047635"/>
    <w:rsid w:val="00053EEB"/>
    <w:rsid w:val="00061801"/>
    <w:rsid w:val="00072E39"/>
    <w:rsid w:val="00077A67"/>
    <w:rsid w:val="000820D8"/>
    <w:rsid w:val="000D2440"/>
    <w:rsid w:val="000D599C"/>
    <w:rsid w:val="00120278"/>
    <w:rsid w:val="00124BCF"/>
    <w:rsid w:val="00126165"/>
    <w:rsid w:val="00131589"/>
    <w:rsid w:val="00133D05"/>
    <w:rsid w:val="00165E0E"/>
    <w:rsid w:val="001A43CF"/>
    <w:rsid w:val="001A4F4D"/>
    <w:rsid w:val="001B58FA"/>
    <w:rsid w:val="001E1404"/>
    <w:rsid w:val="001E7DCF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410756"/>
    <w:rsid w:val="00411947"/>
    <w:rsid w:val="004312D7"/>
    <w:rsid w:val="00444B97"/>
    <w:rsid w:val="00462855"/>
    <w:rsid w:val="00464F1D"/>
    <w:rsid w:val="004755BD"/>
    <w:rsid w:val="00475BA5"/>
    <w:rsid w:val="004A17B4"/>
    <w:rsid w:val="004D2AE0"/>
    <w:rsid w:val="004E2CC2"/>
    <w:rsid w:val="004E6507"/>
    <w:rsid w:val="00506725"/>
    <w:rsid w:val="00520A0A"/>
    <w:rsid w:val="005240DD"/>
    <w:rsid w:val="00526F8D"/>
    <w:rsid w:val="00544E5B"/>
    <w:rsid w:val="005509EB"/>
    <w:rsid w:val="00555D3C"/>
    <w:rsid w:val="005637A0"/>
    <w:rsid w:val="0058411E"/>
    <w:rsid w:val="0059711C"/>
    <w:rsid w:val="005D350F"/>
    <w:rsid w:val="005D6DDF"/>
    <w:rsid w:val="005D7AA6"/>
    <w:rsid w:val="005F61B9"/>
    <w:rsid w:val="0060367A"/>
    <w:rsid w:val="00617060"/>
    <w:rsid w:val="00620D6A"/>
    <w:rsid w:val="006257EC"/>
    <w:rsid w:val="0064726E"/>
    <w:rsid w:val="00692231"/>
    <w:rsid w:val="0069459C"/>
    <w:rsid w:val="006977EF"/>
    <w:rsid w:val="006B79AE"/>
    <w:rsid w:val="006C619A"/>
    <w:rsid w:val="006E4A9F"/>
    <w:rsid w:val="006F2EA0"/>
    <w:rsid w:val="007401BA"/>
    <w:rsid w:val="00753B36"/>
    <w:rsid w:val="00757AED"/>
    <w:rsid w:val="00761D33"/>
    <w:rsid w:val="0078286F"/>
    <w:rsid w:val="007829FA"/>
    <w:rsid w:val="007A3555"/>
    <w:rsid w:val="007A763B"/>
    <w:rsid w:val="0080185E"/>
    <w:rsid w:val="00801928"/>
    <w:rsid w:val="00810829"/>
    <w:rsid w:val="0081775A"/>
    <w:rsid w:val="00820156"/>
    <w:rsid w:val="00827E15"/>
    <w:rsid w:val="008325F6"/>
    <w:rsid w:val="00836145"/>
    <w:rsid w:val="008448E5"/>
    <w:rsid w:val="0085163D"/>
    <w:rsid w:val="008556A2"/>
    <w:rsid w:val="008837D5"/>
    <w:rsid w:val="008900C3"/>
    <w:rsid w:val="00894429"/>
    <w:rsid w:val="00897835"/>
    <w:rsid w:val="008A5459"/>
    <w:rsid w:val="008B02D2"/>
    <w:rsid w:val="008B6A24"/>
    <w:rsid w:val="008D1A5A"/>
    <w:rsid w:val="008E25D4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97867"/>
    <w:rsid w:val="009A33FB"/>
    <w:rsid w:val="009A59BB"/>
    <w:rsid w:val="009A6D59"/>
    <w:rsid w:val="009D7BD2"/>
    <w:rsid w:val="009E3D47"/>
    <w:rsid w:val="00A0180E"/>
    <w:rsid w:val="00A203B5"/>
    <w:rsid w:val="00A54F46"/>
    <w:rsid w:val="00AA01E9"/>
    <w:rsid w:val="00AA423F"/>
    <w:rsid w:val="00AB6A01"/>
    <w:rsid w:val="00AD68B8"/>
    <w:rsid w:val="00AE13B6"/>
    <w:rsid w:val="00B15F23"/>
    <w:rsid w:val="00BA66C9"/>
    <w:rsid w:val="00BB3C2F"/>
    <w:rsid w:val="00BC0CA1"/>
    <w:rsid w:val="00BC5F90"/>
    <w:rsid w:val="00BE4DF9"/>
    <w:rsid w:val="00BF4C7E"/>
    <w:rsid w:val="00BF6E93"/>
    <w:rsid w:val="00C62F77"/>
    <w:rsid w:val="00C635AC"/>
    <w:rsid w:val="00C6586E"/>
    <w:rsid w:val="00C67E09"/>
    <w:rsid w:val="00C77923"/>
    <w:rsid w:val="00CA1B30"/>
    <w:rsid w:val="00CD3EE7"/>
    <w:rsid w:val="00CD4AB0"/>
    <w:rsid w:val="00CD5DB6"/>
    <w:rsid w:val="00CE53D8"/>
    <w:rsid w:val="00D33FE6"/>
    <w:rsid w:val="00D4382D"/>
    <w:rsid w:val="00D56B23"/>
    <w:rsid w:val="00D718CF"/>
    <w:rsid w:val="00D90944"/>
    <w:rsid w:val="00DA74F6"/>
    <w:rsid w:val="00DB014A"/>
    <w:rsid w:val="00DE3131"/>
    <w:rsid w:val="00DF076E"/>
    <w:rsid w:val="00DF323B"/>
    <w:rsid w:val="00E12462"/>
    <w:rsid w:val="00E143B9"/>
    <w:rsid w:val="00E3126A"/>
    <w:rsid w:val="00E76B0C"/>
    <w:rsid w:val="00E8346C"/>
    <w:rsid w:val="00E871B7"/>
    <w:rsid w:val="00EC0533"/>
    <w:rsid w:val="00ED1460"/>
    <w:rsid w:val="00EF2877"/>
    <w:rsid w:val="00F1525E"/>
    <w:rsid w:val="00F23C3F"/>
    <w:rsid w:val="00F34621"/>
    <w:rsid w:val="00F41C21"/>
    <w:rsid w:val="00F600FB"/>
    <w:rsid w:val="00F6136F"/>
    <w:rsid w:val="00F6203B"/>
    <w:rsid w:val="00F67BA3"/>
    <w:rsid w:val="00F96B16"/>
    <w:rsid w:val="00FC5483"/>
    <w:rsid w:val="00FD0DD2"/>
    <w:rsid w:val="00FD0E00"/>
    <w:rsid w:val="00FD45E6"/>
    <w:rsid w:val="00FE4196"/>
    <w:rsid w:val="00FE4F4F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61DE"/>
  <w15:docId w15:val="{54885B22-5695-49C6-8420-91FF78E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6</cp:revision>
  <cp:lastPrinted>2018-10-05T08:41:00Z</cp:lastPrinted>
  <dcterms:created xsi:type="dcterms:W3CDTF">2019-10-08T09:02:00Z</dcterms:created>
  <dcterms:modified xsi:type="dcterms:W3CDTF">2019-10-08T11:17:00Z</dcterms:modified>
</cp:coreProperties>
</file>