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bookmarkStart w:id="0" w:name="_Toc385268423"/>
      <w:bookmarkStart w:id="1" w:name="_Toc385507268"/>
      <w:r w:rsidRPr="00F3546E">
        <w:rPr>
          <w:rFonts w:asciiTheme="minorHAnsi" w:hAnsiTheme="minorHAnsi" w:cs="Arial"/>
          <w:color w:val="0044D2"/>
        </w:rPr>
        <w:t>Peněžní fondy ÚSC</w:t>
      </w:r>
      <w:bookmarkEnd w:id="0"/>
      <w:bookmarkEnd w:id="1"/>
    </w:p>
    <w:p w:rsidR="0058051C" w:rsidRPr="00F3546E" w:rsidRDefault="0058051C" w:rsidP="0058051C">
      <w:pPr>
        <w:rPr>
          <w:rFonts w:asciiTheme="minorHAnsi" w:hAnsiTheme="minorHAnsi" w:cs="Arial"/>
          <w:sz w:val="24"/>
        </w:rPr>
      </w:pPr>
    </w:p>
    <w:p w:rsidR="00547E74" w:rsidRPr="00F3546E" w:rsidRDefault="00547E74" w:rsidP="00547E74">
      <w:pPr>
        <w:jc w:val="both"/>
        <w:rPr>
          <w:rFonts w:asciiTheme="minorHAnsi" w:hAnsiTheme="minorHAnsi" w:cs="Arial"/>
        </w:rPr>
      </w:pPr>
      <w:r w:rsidRPr="00F3546E">
        <w:rPr>
          <w:rFonts w:asciiTheme="minorHAnsi" w:hAnsiTheme="minorHAnsi" w:cs="Arial"/>
        </w:rPr>
        <w:t>Podle zákona č. 250/2000 Sb., o rozpočtových pravidlech územních rozpočtů mohou obce a kraje zřizovat peněžní fondy. Peněžní prostředky fondu lze převést na samostatný běžný účet fondu, ale není povinné zřizovat speciální bankovní účet pro peněžní fond. Dle zákona o obcích je možné peněžní fond zřídit jen na základě rozhodnutí zastupitelstva, které zároveň schvaluje pravidla pro tvorbu a použití fondu. Zůstatek fondu se na rozdíl od běžného rozpočtu převádí do dalšího období a není možné jej použít za jiným účelem, než ke kterému vznikl. Jedná se tedy o účelově vázané rozpočtové prostředky v delším časovém období, než je účetní období.</w:t>
      </w:r>
    </w:p>
    <w:p w:rsidR="00547E74" w:rsidRPr="00F3546E" w:rsidRDefault="00547E74" w:rsidP="00547E74">
      <w:pPr>
        <w:jc w:val="both"/>
        <w:rPr>
          <w:rFonts w:asciiTheme="minorHAnsi" w:hAnsiTheme="minorHAnsi" w:cs="Arial"/>
        </w:rPr>
      </w:pPr>
      <w:r w:rsidRPr="00F3546E">
        <w:rPr>
          <w:rFonts w:asciiTheme="minorHAnsi" w:hAnsiTheme="minorHAnsi" w:cs="Arial"/>
        </w:rPr>
        <w:t>Obce a kraje účtují o svých peněžních fondech na účtu 419 – Ostatní fondy. Ostatní účty z účtové skupiny 41 ÚSC nevyužívají (ale využijí je např. jejich příspěvkové organizace). Dále se účtování peněžních fondů týkají účty 548 – Tvorba fondů a 648 – Použití fondů. Účtování peněžních fondů je řešeno v Českém účetním standardu č. 704. Ustanovení pro ÚSC obsahuje omezení v postupech účtování, kdy bude třeba volit na základě účetních postupů určených v ČÚS č. 704 pro fondy organizačních složek státu nebo pro fondy příspěvkových organizací.</w:t>
      </w:r>
    </w:p>
    <w:p w:rsidR="00547E74" w:rsidRPr="00F3546E" w:rsidRDefault="00547E74" w:rsidP="00547E74">
      <w:pPr>
        <w:jc w:val="both"/>
        <w:rPr>
          <w:rFonts w:asciiTheme="minorHAnsi" w:hAnsiTheme="minorHAnsi" w:cs="Arial"/>
        </w:rPr>
      </w:pPr>
    </w:p>
    <w:p w:rsidR="00547E74" w:rsidRPr="00F3546E" w:rsidRDefault="00DA1C32" w:rsidP="00547E74">
      <w:pPr>
        <w:pStyle w:val="Nadpistabulka"/>
        <w:rPr>
          <w:rFonts w:asciiTheme="minorHAnsi" w:hAnsiTheme="minorHAnsi"/>
        </w:rPr>
      </w:pPr>
      <w:r w:rsidRPr="00F3546E">
        <w:rPr>
          <w:rFonts w:asciiTheme="minorHAnsi" w:hAnsiTheme="minorHAnsi"/>
        </w:rPr>
        <w:t>Příklad 4</w:t>
      </w:r>
      <w:r w:rsidR="00547E74" w:rsidRPr="00F3546E">
        <w:rPr>
          <w:rFonts w:asciiTheme="minorHAnsi" w:hAnsiTheme="minorHAnsi"/>
        </w:rPr>
        <w:t>: Obec zřizuje SOCIÁLNÍ FOND, tvoří ho převodem ze ZBÚ.</w:t>
      </w:r>
    </w:p>
    <w:tbl>
      <w:tblPr>
        <w:tblStyle w:val="Mkatabulky"/>
        <w:tblW w:w="9639" w:type="dxa"/>
        <w:tblInd w:w="108" w:type="dxa"/>
        <w:tblLook w:val="01E0" w:firstRow="1" w:lastRow="1" w:firstColumn="1" w:lastColumn="1" w:noHBand="0" w:noVBand="0"/>
      </w:tblPr>
      <w:tblGrid>
        <w:gridCol w:w="567"/>
        <w:gridCol w:w="4536"/>
        <w:gridCol w:w="850"/>
        <w:gridCol w:w="921"/>
        <w:gridCol w:w="922"/>
        <w:gridCol w:w="921"/>
        <w:gridCol w:w="922"/>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536"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Tvorba fondu     - výpis z běžného účtu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výpis z účtu sociálního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zaúčtování do nákladů</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Použití SF na půjčku zaměstnanci</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Splátka půjčky zaměstnancem do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Připsané úroky z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536" w:type="dxa"/>
            <w:vAlign w:val="center"/>
          </w:tcPr>
          <w:p w:rsidR="00547E74" w:rsidRPr="00F3546E" w:rsidRDefault="00547E74" w:rsidP="00DA1C32">
            <w:pPr>
              <w:pStyle w:val="Odstavecseseznamem"/>
              <w:spacing w:before="40" w:after="40"/>
              <w:ind w:firstLine="590"/>
              <w:rPr>
                <w:rFonts w:cs="Arial"/>
                <w:i/>
                <w:sz w:val="20"/>
                <w:szCs w:val="20"/>
              </w:rPr>
            </w:pPr>
            <w:r w:rsidRPr="00F3546E">
              <w:rPr>
                <w:rFonts w:cs="Arial"/>
                <w:i/>
                <w:sz w:val="20"/>
                <w:szCs w:val="20"/>
              </w:rPr>
              <w:t>- zvýšení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Poplatky z bankovního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snížení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bl>
    <w:p w:rsidR="00547E74" w:rsidRPr="00F3546E" w:rsidRDefault="00547E74" w:rsidP="00547E74">
      <w:pPr>
        <w:jc w:val="both"/>
        <w:rPr>
          <w:rFonts w:asciiTheme="minorHAnsi" w:hAnsiTheme="minorHAnsi" w:cs="Arial"/>
        </w:rPr>
        <w:sectPr w:rsidR="00547E74" w:rsidRPr="00F3546E" w:rsidSect="00F3546E">
          <w:footerReference w:type="default" r:id="rId8"/>
          <w:pgSz w:w="11906" w:h="16838"/>
          <w:pgMar w:top="1418" w:right="1134" w:bottom="1418" w:left="1134" w:header="709" w:footer="216" w:gutter="0"/>
          <w:cols w:space="708"/>
          <w:docGrid w:linePitch="360"/>
        </w:sect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bookmarkStart w:id="2" w:name="_Toc385268424"/>
      <w:bookmarkStart w:id="3" w:name="_Toc385507269"/>
      <w:r w:rsidRPr="00F3546E">
        <w:rPr>
          <w:rFonts w:asciiTheme="minorHAnsi" w:hAnsiTheme="minorHAnsi" w:cs="Arial"/>
          <w:color w:val="0044D2"/>
        </w:rPr>
        <w:lastRenderedPageBreak/>
        <w:t>Účtování o majetku</w:t>
      </w:r>
      <w:bookmarkEnd w:id="2"/>
      <w:bookmarkEnd w:id="3"/>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Největší odlišností účtování majetku ÚSC bylo odepisování, resp. neodepisování DM. Obce a kraje o odpisech účtují od roku 2012. K 31.12.2011 se poprvé v rozvaze projevily oprávky majetku. Odepisováním majetku se zaobírá ČÚS č. 708.</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V letech </w:t>
      </w:r>
      <w:smartTag w:uri="urn:schemas-microsoft-com:office:smarttags" w:element="metricconverter">
        <w:smartTagPr>
          <w:attr w:name="ProductID" w:val="2011 a"/>
        </w:smartTagPr>
        <w:r w:rsidRPr="00F3546E">
          <w:rPr>
            <w:rFonts w:asciiTheme="minorHAnsi" w:hAnsiTheme="minorHAnsi" w:cs="Arial"/>
            <w:sz w:val="24"/>
          </w:rPr>
          <w:t>2011 a</w:t>
        </w:r>
      </w:smartTag>
      <w:r w:rsidRPr="00F3546E">
        <w:rPr>
          <w:rFonts w:asciiTheme="minorHAnsi" w:hAnsiTheme="minorHAnsi" w:cs="Arial"/>
          <w:sz w:val="24"/>
        </w:rPr>
        <w:t xml:space="preserve"> 2012 bylo možné využít tzv. zjednodušený způsob odpisování majetku. Zjednodušeně řečeno, k 31.12.2011 obce zařadily stávající majetek do odpisových skupin a jednorázově zaúčtovaly na oprávky 40 % hodnoty majetku.</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Dle ČÚS 708 mohou ÚSC odepisovat majetek buď rovnoměrně (tedy lineárně), další možnosti jsou výkonový a komponentní způsob odepisování. </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Výkonový způsob použije účetní jednotka např. výpočet odpisů skládky. Při sestavování odpisového plánu účetní jednotka určí měřitelnou jednotku, případně další skutečnosti, které mají vliv na výpočet výše částky odpisu na jednu stanovenou jednotku, například kus výrobku, kilometr, tuna nebo hektolitr, a částku odpisu související s touto jednotkou. Účetní jednotka účtuje o odpisu, který zjistí jako součin částky odpisu na jednu jednotku stanovenou odpisovým plánem a počtu těchto jednotek uskutečněných v průběhu příslušného období.</w:t>
      </w:r>
    </w:p>
    <w:p w:rsidR="00DA1C32" w:rsidRPr="00F3546E" w:rsidRDefault="00DA1C32" w:rsidP="00DA1C32">
      <w:pPr>
        <w:spacing w:after="0"/>
        <w:jc w:val="both"/>
        <w:rPr>
          <w:rFonts w:asciiTheme="minorHAnsi" w:hAnsiTheme="minorHAnsi" w:cs="Arial"/>
          <w:sz w:val="24"/>
        </w:rPr>
      </w:pPr>
      <w:r w:rsidRPr="00F3546E">
        <w:rPr>
          <w:rFonts w:asciiTheme="minorHAnsi" w:hAnsiTheme="minorHAnsi" w:cs="Arial"/>
          <w:sz w:val="24"/>
        </w:rPr>
        <w:t>Komponentní způsob může použít účetní jednotka např. u staveb, budov, bytů, samostatných movitých věcí atp. (více viz ČÚS 708). Při sestavování odpisového plánu účetní jednotka zohlední, že komponenta se odpisuje v průběhu používání samostatně od ostatních komponent a od zbylé části majetku nebo od souboru tohoto majetku. Odpisy komponenty se v průběhu užívání majetku sledují odděleně od ostatních komponent a od zbylé části majetku, případně souboru majetku. O majetku a jeho oprávkách se účtuje jako o celku; majetek se též jako celek vykazuje.</w:t>
      </w:r>
    </w:p>
    <w:p w:rsidR="00547E74" w:rsidRPr="00F3546E" w:rsidRDefault="00547E74" w:rsidP="00547E74">
      <w:pPr>
        <w:rPr>
          <w:rFonts w:asciiTheme="minorHAnsi" w:hAnsiTheme="minorHAnsi" w:cs="Arial"/>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5</w:t>
      </w:r>
      <w:r w:rsidRPr="00F3546E">
        <w:rPr>
          <w:rFonts w:asciiTheme="minorHAnsi" w:hAnsiTheme="minorHAnsi"/>
        </w:rPr>
        <w:t xml:space="preserve">: Pořízení drobného hmotného majetku - Nákup počítače (DDHM) pro </w:t>
      </w:r>
      <w:r w:rsidR="00DC3926" w:rsidRPr="00F3546E">
        <w:rPr>
          <w:rFonts w:asciiTheme="minorHAnsi" w:hAnsiTheme="minorHAnsi"/>
        </w:rPr>
        <w:t>obecní policii</w:t>
      </w:r>
      <w:r w:rsidRPr="00F3546E">
        <w:rPr>
          <w:rFonts w:asciiTheme="minorHAnsi" w:hAnsiTheme="minorHAnsi"/>
        </w:rPr>
        <w:t>.</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6</w:t>
      </w:r>
      <w:r w:rsidRPr="00F3546E">
        <w:rPr>
          <w:rFonts w:asciiTheme="minorHAnsi" w:hAnsiTheme="minorHAnsi"/>
        </w:rPr>
        <w:t>: Pořízení drobného nehmotného majetku - Nákup DDNM – software – pro obecní úřad.</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183EE7">
            <w:pPr>
              <w:spacing w:before="40" w:after="40"/>
              <w:rPr>
                <w:rFonts w:cs="Arial"/>
                <w:i/>
                <w:sz w:val="20"/>
                <w:szCs w:val="20"/>
              </w:rPr>
            </w:pPr>
            <w:r w:rsidRPr="00F3546E">
              <w:rPr>
                <w:rFonts w:cs="Arial"/>
                <w:i/>
                <w:sz w:val="20"/>
                <w:szCs w:val="20"/>
              </w:rPr>
              <w:t xml:space="preserve">Faktura za pořízení </w:t>
            </w:r>
            <w:r w:rsidR="00183EE7" w:rsidRPr="00F3546E">
              <w:rPr>
                <w:rFonts w:cs="Arial"/>
                <w:i/>
                <w:sz w:val="20"/>
                <w:szCs w:val="20"/>
              </w:rPr>
              <w:t>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183EE7" w:rsidP="00183EE7">
            <w:pPr>
              <w:spacing w:before="40" w:after="40"/>
              <w:rPr>
                <w:rFonts w:cs="Arial"/>
                <w:i/>
                <w:sz w:val="20"/>
                <w:szCs w:val="20"/>
              </w:rPr>
            </w:pPr>
            <w:r w:rsidRPr="00F3546E">
              <w:rPr>
                <w:rFonts w:cs="Arial"/>
                <w:i/>
                <w:sz w:val="20"/>
                <w:szCs w:val="20"/>
              </w:rPr>
              <w:t>Zaplacení faktury za pořízení 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7</w:t>
      </w:r>
      <w:r w:rsidRPr="00F3546E">
        <w:rPr>
          <w:rFonts w:asciiTheme="minorHAnsi" w:hAnsiTheme="minorHAnsi"/>
        </w:rPr>
        <w:t>: Nákup DNM – software pro potřeby knihovny, poskytnutí zálohy na nákup majetku.</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přijatá – nákup software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poskytnuté zálohy</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Doplatek</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8E0169" w:rsidRPr="00F3546E" w:rsidRDefault="008E0169">
      <w:pPr>
        <w:rPr>
          <w:rFonts w:asciiTheme="minorHAnsi" w:hAnsiTheme="minorHAnsi" w:cs="Arial"/>
        </w:rPr>
      </w:pPr>
    </w:p>
    <w:p w:rsidR="002A05FE" w:rsidRPr="002A05FE" w:rsidRDefault="002A05FE" w:rsidP="002A05FE">
      <w:pPr>
        <w:pStyle w:val="Nadpis1"/>
        <w:numPr>
          <w:ilvl w:val="0"/>
          <w:numId w:val="0"/>
        </w:numPr>
        <w:spacing w:before="240"/>
        <w:ind w:left="432" w:hanging="432"/>
        <w:jc w:val="both"/>
        <w:rPr>
          <w:rFonts w:asciiTheme="minorHAnsi" w:hAnsiTheme="minorHAnsi" w:cs="Arial"/>
          <w:color w:val="0044D2"/>
        </w:rPr>
      </w:pPr>
      <w:r w:rsidRPr="002A05FE">
        <w:rPr>
          <w:rFonts w:asciiTheme="minorHAnsi" w:hAnsiTheme="minorHAnsi" w:cs="Arial"/>
          <w:color w:val="0044D2"/>
        </w:rPr>
        <w:lastRenderedPageBreak/>
        <w:t>ŘEŠENÍ PŘÍKLADŮ</w:t>
      </w:r>
      <w:bookmarkStart w:id="4" w:name="_GoBack"/>
      <w:bookmarkEnd w:id="4"/>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4</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Tvorba fondu – výpis z běžného účtu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5342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6330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výpis z účtu sociálního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4134</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6330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zaúčtování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548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Použití SF na půjčku zaměstnanci</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335</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5660</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Splátka půjčky zaměstnancem do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335</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2460</w:t>
            </w: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Připsané úroky z účtu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350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2141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6310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zvýšení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350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548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Poplatky z bankovního účtu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569</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5163</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6310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snížení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648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rPr>
          <w:rFonts w:asciiTheme="minorHAnsi" w:hAnsiTheme="minorHAnsi"/>
          <w:sz w:val="22"/>
        </w:rPr>
      </w:pPr>
    </w:p>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5</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za pořízení počítače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028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558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088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5137</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6</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za pořízení SW</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018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558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078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Zaplacení faktury za pořízení SW</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5172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7</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65 000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051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6111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3314</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přijatá – nákup software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80 000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041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poskytnuté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65 000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051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Doplatek</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6111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3314</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80 000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013</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041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bl>
    <w:p w:rsidR="004844CF" w:rsidRDefault="004844CF" w:rsidP="00453804">
      <w:pPr>
        <w:pStyle w:val="Nadpistabulka"/>
        <w:rPr>
          <w:rFonts w:asciiTheme="minorHAnsi" w:hAnsiTheme="minorHAnsi"/>
          <w:sz w:val="22"/>
        </w:rPr>
      </w:pPr>
    </w:p>
    <w:sectPr w:rsidR="004844CF" w:rsidSect="00F3546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C5" w:rsidRDefault="008444C5" w:rsidP="00403BE5">
      <w:pPr>
        <w:spacing w:after="0"/>
      </w:pPr>
      <w:r>
        <w:separator/>
      </w:r>
    </w:p>
  </w:endnote>
  <w:endnote w:type="continuationSeparator" w:id="0">
    <w:p w:rsidR="008444C5" w:rsidRDefault="008444C5" w:rsidP="00403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307113"/>
      <w:docPartObj>
        <w:docPartGallery w:val="Page Numbers (Bottom of Page)"/>
        <w:docPartUnique/>
      </w:docPartObj>
    </w:sdtPr>
    <w:sdtEndPr>
      <w:rPr>
        <w:rFonts w:ascii="Arial" w:hAnsi="Arial" w:cs="Arial"/>
        <w:sz w:val="18"/>
      </w:rPr>
    </w:sdtEndPr>
    <w:sdtContent>
      <w:p w:rsidR="00403BE5" w:rsidRPr="00403BE5" w:rsidRDefault="00D4490E">
        <w:pPr>
          <w:pStyle w:val="Zpat"/>
          <w:jc w:val="center"/>
          <w:rPr>
            <w:rFonts w:ascii="Arial" w:hAnsi="Arial" w:cs="Arial"/>
            <w:sz w:val="18"/>
          </w:rPr>
        </w:pPr>
        <w:r w:rsidRPr="00403BE5">
          <w:rPr>
            <w:rFonts w:ascii="Arial" w:hAnsi="Arial" w:cs="Arial"/>
            <w:sz w:val="18"/>
          </w:rPr>
          <w:fldChar w:fldCharType="begin"/>
        </w:r>
        <w:r w:rsidR="00403BE5" w:rsidRPr="00403BE5">
          <w:rPr>
            <w:rFonts w:ascii="Arial" w:hAnsi="Arial" w:cs="Arial"/>
            <w:sz w:val="18"/>
          </w:rPr>
          <w:instrText>PAGE   \* MERGEFORMAT</w:instrText>
        </w:r>
        <w:r w:rsidRPr="00403BE5">
          <w:rPr>
            <w:rFonts w:ascii="Arial" w:hAnsi="Arial" w:cs="Arial"/>
            <w:sz w:val="18"/>
          </w:rPr>
          <w:fldChar w:fldCharType="separate"/>
        </w:r>
        <w:r w:rsidR="002A05FE">
          <w:rPr>
            <w:rFonts w:ascii="Arial" w:hAnsi="Arial" w:cs="Arial"/>
            <w:noProof/>
            <w:sz w:val="18"/>
          </w:rPr>
          <w:t>3</w:t>
        </w:r>
        <w:r w:rsidRPr="00403BE5">
          <w:rPr>
            <w:rFonts w:ascii="Arial" w:hAnsi="Arial" w:cs="Arial"/>
            <w:sz w:val="18"/>
          </w:rPr>
          <w:fldChar w:fldCharType="end"/>
        </w:r>
      </w:p>
    </w:sdtContent>
  </w:sdt>
  <w:p w:rsidR="00403BE5" w:rsidRDefault="00403BE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C5" w:rsidRDefault="008444C5" w:rsidP="00403BE5">
      <w:pPr>
        <w:spacing w:after="0"/>
      </w:pPr>
      <w:r>
        <w:separator/>
      </w:r>
    </w:p>
  </w:footnote>
  <w:footnote w:type="continuationSeparator" w:id="0">
    <w:p w:rsidR="008444C5" w:rsidRDefault="008444C5" w:rsidP="00403BE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9B1277"/>
    <w:multiLevelType w:val="hybridMultilevel"/>
    <w:tmpl w:val="581ECFE4"/>
    <w:lvl w:ilvl="0" w:tplc="B03E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4034F"/>
    <w:multiLevelType w:val="hybridMultilevel"/>
    <w:tmpl w:val="6A4A387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DE6941"/>
    <w:multiLevelType w:val="hybridMultilevel"/>
    <w:tmpl w:val="0EE4B576"/>
    <w:lvl w:ilvl="0" w:tplc="7B0CDC88">
      <w:start w:val="3"/>
      <w:numFmt w:val="bullet"/>
      <w:lvlText w:val="-"/>
      <w:lvlJc w:val="left"/>
      <w:pPr>
        <w:ind w:left="495" w:hanging="360"/>
      </w:pPr>
      <w:rPr>
        <w:rFonts w:ascii="Times New Roman" w:eastAsia="Times New Roman" w:hAnsi="Times New Roman" w:cs="Times New Roman"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 w15:restartNumberingAfterBreak="0">
    <w:nsid w:val="32BB79EB"/>
    <w:multiLevelType w:val="multilevel"/>
    <w:tmpl w:val="3D72C5F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A136A3"/>
    <w:multiLevelType w:val="hybridMultilevel"/>
    <w:tmpl w:val="6024BE98"/>
    <w:lvl w:ilvl="0" w:tplc="D4FE9242">
      <w:start w:val="50"/>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15:restartNumberingAfterBreak="0">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8AE70E1"/>
    <w:multiLevelType w:val="hybridMultilevel"/>
    <w:tmpl w:val="9426ED0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6D2622A"/>
    <w:multiLevelType w:val="hybridMultilevel"/>
    <w:tmpl w:val="CA5A6C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4B3D04"/>
    <w:multiLevelType w:val="hybridMultilevel"/>
    <w:tmpl w:val="F6A833E8"/>
    <w:lvl w:ilvl="0" w:tplc="82CAFA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7"/>
  </w:num>
  <w:num w:numId="13">
    <w:abstractNumId w:val="0"/>
  </w:num>
  <w:num w:numId="14">
    <w:abstractNumId w:val="6"/>
  </w:num>
  <w:num w:numId="15">
    <w:abstractNumId w:val="11"/>
  </w:num>
  <w:num w:numId="16">
    <w:abstractNumId w:val="8"/>
  </w:num>
  <w:num w:numId="17">
    <w:abstractNumId w:val="9"/>
  </w:num>
  <w:num w:numId="18">
    <w:abstractNumId w:val="4"/>
  </w:num>
  <w:num w:numId="19">
    <w:abstractNumId w:val="3"/>
  </w:num>
  <w:num w:numId="20">
    <w:abstractNumId w:val="4"/>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74"/>
    <w:rsid w:val="0003568C"/>
    <w:rsid w:val="00183EE7"/>
    <w:rsid w:val="002A05FE"/>
    <w:rsid w:val="00403BE5"/>
    <w:rsid w:val="0041221A"/>
    <w:rsid w:val="004426DD"/>
    <w:rsid w:val="00453804"/>
    <w:rsid w:val="004844CF"/>
    <w:rsid w:val="004B474A"/>
    <w:rsid w:val="00547E74"/>
    <w:rsid w:val="0058051C"/>
    <w:rsid w:val="008444C5"/>
    <w:rsid w:val="008E0169"/>
    <w:rsid w:val="008F46D8"/>
    <w:rsid w:val="009168C0"/>
    <w:rsid w:val="00920650"/>
    <w:rsid w:val="00926796"/>
    <w:rsid w:val="009703EA"/>
    <w:rsid w:val="00B25026"/>
    <w:rsid w:val="00CC30C4"/>
    <w:rsid w:val="00D4490E"/>
    <w:rsid w:val="00D85BE8"/>
    <w:rsid w:val="00DA1C32"/>
    <w:rsid w:val="00DC3926"/>
    <w:rsid w:val="00DD6A5F"/>
    <w:rsid w:val="00F25AE3"/>
    <w:rsid w:val="00F3546E"/>
    <w:rsid w:val="00F77A22"/>
    <w:rsid w:val="00F83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19F582"/>
  <w15:docId w15:val="{EBAC28D4-3BA0-4D75-8648-D5E0950E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nadpis">
    <w:name w:val="Subtitle"/>
    <w:basedOn w:val="Normln"/>
    <w:next w:val="Normln"/>
    <w:link w:val="PodnadpisChar"/>
    <w:uiPriority w:val="99"/>
    <w:qFormat/>
    <w:rsid w:val="00920650"/>
    <w:pPr>
      <w:spacing w:after="200"/>
    </w:pPr>
    <w:rPr>
      <w:i/>
      <w:iCs/>
      <w:smallCaps/>
      <w:spacing w:val="10"/>
      <w:sz w:val="28"/>
      <w:szCs w:val="28"/>
      <w:lang w:eastAsia="en-US"/>
    </w:rPr>
  </w:style>
  <w:style w:type="character" w:customStyle="1" w:styleId="PodnadpisChar">
    <w:name w:val="Podnadpis Char"/>
    <w:link w:val="Podnadpis"/>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d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 w:type="paragraph" w:styleId="Textbubliny">
    <w:name w:val="Balloon Text"/>
    <w:basedOn w:val="Normln"/>
    <w:link w:val="TextbublinyChar"/>
    <w:uiPriority w:val="99"/>
    <w:semiHidden/>
    <w:unhideWhenUsed/>
    <w:rsid w:val="004B474A"/>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4B474A"/>
    <w:rPr>
      <w:rFonts w:ascii="Arial" w:hAnsi="Arial" w:cs="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0A57D-99E7-4D5A-AB7B-DDD3A548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4697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2017-04-10T09:46:00Z</cp:lastPrinted>
  <dcterms:created xsi:type="dcterms:W3CDTF">2020-04-29T09:01:00Z</dcterms:created>
  <dcterms:modified xsi:type="dcterms:W3CDTF">2020-04-29T09:04:00Z</dcterms:modified>
</cp:coreProperties>
</file>