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t>Účtování o transferech</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i/>
          <w:szCs w:val="20"/>
        </w:rPr>
      </w:pPr>
      <w:r w:rsidRPr="00F3546E">
        <w:rPr>
          <w:rFonts w:asciiTheme="minorHAnsi" w:hAnsiTheme="minorHAnsi" w:cs="Arial"/>
          <w:i/>
          <w:szCs w:val="20"/>
        </w:rPr>
        <w:t>Převzato (a upraveno) z publikace: Otrusinová, M., Kubíčková, D.: Finanční hospodaření municipálních účetních jednotek po novele zákona o účetnictví. C. H. Beck, Praha, 2011. s. 49-63.</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Základním východiskem pro účtování o transferech je vyhláška č. 410/2009 Sb., ve znění novely č. 435/2010., která stanoví: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Dotace nejsou vyjmuty z režimu časového rozlišení nákladů a výnosů.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U příjemce je nutné rozlišení investiční dotace (účet 403) a provozní dotace (672).</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Sledování potenciálních pohledávek a závazků vyplývajících z dotačních vztahů je zahrnuto do systému podrozvahových účtů.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Ocenění dlouhodobého majetku se nesnižuje o přijatou dotaci.</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 xml:space="preserve">Novela vyhlášky nahrazuje pojem „dotace“ slovem „transfery“.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Klíčovým standardem z oblasti dotací je český účetní standard č. 703 – Transfery. Základní náplní tohoto standardu je stanovit pro vybrané účetní jednotky základní postupy účtování transferů s cílem dosažení souladu při používání účetních metod v položkách rozvahy a výkazu zisku a ztráty. Standard upravuje zcela nově vykazování peněžních toků spojených s rozpočtovým financováním, zcela nově upravuje oblast dotací a různých příspěvků. Jedná se pravděpodobně o nejsložitější oblast účetní úpravy vyplývající z reformy. Pro rok 2010 platila celá řada přechodných doporučení.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Ustanovení tohoto standardu nejvíce zasahují do způsobu účtování ve srovnání s obdobím do roku 2009. Jde zejména o:</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principu časového rozlišování dotací na straně příjemce i poskytovatele (tj. časové rozlišení je použito ve vztahu k nabíhajícím investicím nebo uznatelným nákladům),</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„rozvahového“ vykazování dotací u subjektu, který pouze zprostředkovává poskytnutí dotací (v těchto případech už není účtování o výnosech a nákladech, což zpřesňuje výpověď o výsledku hospodaření daní účetní jednotky),</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účetní postupy evidence záloh přijatých a poskytnutých nikoli v souvislosti s peněžními toky, ale v okamžiku znalosti nezpochybnitelného nároku a výše nebo lhůty poskytnutí.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Základní pojmový aparát standardu o transferech</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Nutností při uplatňování standardu o transferech v praxi je vymezení a definování základních používaných termínů. Někdy je však rozpor při přesném vymezení daného pojmu z hlediska právního a účetního. Rozpočtová skladba definuje pojem transfery jako dotace, příspěvky, dary a subvence. Úkolem standardu je sjednotit účtování o transferech na jednotné bázi ve vztahu k rozpočtovému hospodaření v ČR a zatím největším problémem se jeví stanovení okamžiku účetního případu, tj. okamžiku účtování o transferu a rozhodnutí, zda účtovat o zálohách krátkodobých či dlouhodobých, časovém rozlišení, pohledávkách či závazcích, nákladech či výnosech. Správné rozhodnutí o okamžiku účtování o transferu může významně ovlivnit výsledek hospodaření dané účetní jednotky, a tím i ovlivnit výkaznictví, které vstupuje do konsolidace a tedy v konečném důsledku ovlivní výstupy z celého systému účetnictví státu. Rovněž se dosud vyskytují problémy přesného obsahového vymezení specifických klíčových pojmů k transferům ve veřejné správě dle vyhlášky č. 410/2009 Sb. pro účely účetnictví v ČR a ve vztahu k obecným definicím a účetním předpisům dle IFRS. Transfery je vždy nutné rozlišovat na zahraniční a tuzemské. Existuje i </w:t>
      </w:r>
      <w:r w:rsidRPr="00F3546E">
        <w:rPr>
          <w:rFonts w:asciiTheme="minorHAnsi" w:hAnsiTheme="minorHAnsi" w:cs="Arial"/>
          <w:sz w:val="24"/>
        </w:rPr>
        <w:lastRenderedPageBreak/>
        <w:t>povinné analytické členění syntetických účtů v souvislosti s účtováním transferů (účty 57x, 67x) z důvodů konsolidace. Nákladově a výnosově se transfery vykazují na syntetických účtech směrné účtové osnovy (účtová skupina 57 Transferové náklady a účtová skupina 67 Transferové výnosy).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u w:val="single"/>
        </w:rPr>
      </w:pPr>
      <w:r w:rsidRPr="00F3546E">
        <w:rPr>
          <w:rFonts w:asciiTheme="minorHAnsi" w:hAnsiTheme="minorHAnsi" w:cs="Arial"/>
          <w:sz w:val="24"/>
          <w:u w:val="single"/>
        </w:rPr>
        <w:t>Základní pojmy: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Transfer</w:t>
      </w:r>
      <w:r w:rsidRPr="00F3546E">
        <w:rPr>
          <w:rFonts w:asciiTheme="minorHAnsi" w:hAnsiTheme="minorHAnsi" w:cs="Arial"/>
          <w:sz w:val="24"/>
        </w:rPr>
        <w:t xml:space="preserve"> – poskytnutí peněžních prostředků z veřejných rozpočtů i přijetí peněžních prostředků veřejnými rozpočty, včetně prostředků ze zahraničí, z rozpočtů ÚSC, ze státních fondů s výjimkou daní, poplatků a jiných podobných dávek, a to bez ohledu na účel jejich poskytnutí. Transfery obsahují dotace, granty, příspěvky, subvence, dávky, nenávratné finanční výpomoci, podpory či peněžité dary. Za transfer se nepovažují dotace zřizovatele určené na pořízení dlouhodobého majetku jím zřizované příspěvkové organizace.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Poskytovatel</w:t>
      </w:r>
      <w:r w:rsidRPr="00F3546E">
        <w:rPr>
          <w:rFonts w:asciiTheme="minorHAnsi" w:hAnsiTheme="minorHAnsi" w:cs="Arial"/>
          <w:sz w:val="24"/>
        </w:rPr>
        <w:t xml:space="preserve"> – subjekt, který poskytuje transfer příjemci na základě rozhodnutí nebo dohody.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Příjemce</w:t>
      </w:r>
      <w:r w:rsidRPr="00F3546E">
        <w:rPr>
          <w:rFonts w:asciiTheme="minorHAnsi" w:hAnsiTheme="minorHAnsi" w:cs="Arial"/>
          <w:sz w:val="24"/>
        </w:rPr>
        <w:t xml:space="preserve"> – subjekt, který přijímá transfer jako konečný příjemce s cílem uhradit závazek nebo pořízení aktiva.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Průtokový transfer</w:t>
      </w:r>
      <w:r w:rsidRPr="00F3546E">
        <w:rPr>
          <w:rFonts w:asciiTheme="minorHAnsi" w:hAnsiTheme="minorHAnsi" w:cs="Arial"/>
          <w:sz w:val="24"/>
        </w:rPr>
        <w:t xml:space="preserve"> – transfer, který je poskytován příjemci zprostředkovatelem, byl účelově určen třetím osobám a jeho poskytovatel určil příjemce a výši transferu a účetní jednotka je povinna poskytnout jej příjemci.</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 xml:space="preserve">Zprostředkovatel </w:t>
      </w:r>
      <w:r w:rsidRPr="00F3546E">
        <w:rPr>
          <w:rFonts w:asciiTheme="minorHAnsi" w:hAnsiTheme="minorHAnsi" w:cs="Arial"/>
          <w:sz w:val="24"/>
        </w:rPr>
        <w:t>– vybraná účetní jednotka, která není poskytovatelem a přijímá transfer za účelem jeho poskytnutí příjemci, nebo jeho přijetí příjemcem od poskytovatele svým jménem a na svůj účet zajišťuje.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Investiční transfer</w:t>
      </w:r>
      <w:r w:rsidRPr="00F3546E">
        <w:rPr>
          <w:rFonts w:asciiTheme="minorHAnsi" w:hAnsiTheme="minorHAnsi" w:cs="Arial"/>
          <w:sz w:val="24"/>
        </w:rPr>
        <w:t xml:space="preserve"> – určen k financování dlouhodobého majetku příjemce, který tento dlouhodobý majetek pořizuje.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Nezpochybnitelnost důvodu transferu</w:t>
      </w:r>
      <w:r w:rsidRPr="00F3546E">
        <w:rPr>
          <w:rFonts w:asciiTheme="minorHAnsi" w:hAnsiTheme="minorHAnsi" w:cs="Arial"/>
          <w:sz w:val="24"/>
        </w:rPr>
        <w:t xml:space="preserve"> – je naplněna, je-li známa výše transferu a okamžik nebo lhůta jeho poskytnutí. V tom případě se u příjemce účtuje předpis pohledávky (u poskytovatele by to byl předpis závazku), k jejímuž vyrovnání dojde v okamžiku poskytnutí finančních prostředků (nepoužije se zde tedy podmíněná pohledávka na rozvahovém účtu). O předpisu nároku na pohledávkovém účtu se účtuje souvztažně s účtem výnosů a teprve následně o příjmu finančních prostředků na bankovní účet jako o úhradě pohledávky.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Systémově jsou ve standardu zakomponována dvě hlediska:</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příjemce dotace je nutno řešit, zda je skutečným příjemcem nebo pouze zprostředkovatelem. U zprostředkovatele se vykazuje rozvahově, u skutečného příjemce výsledkově, což mám základní význam např. pro správné vykázání výsledku hospodaření a zúčtování se státním rozpočtem či vypořádání transferů s poskytovatelem příslušného transferu.</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režimu poskytování dotací se rozlišují dvě kategorie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t>transfery, které jsou předmětem vyúčtování, tj. s povinností vypořádání, tedy platby prvotně považovány za „zálohy“; v účetnictví dochází k vyčíslování nároku respektive závazku z dotace,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lastRenderedPageBreak/>
        <w:t>transfery, které se nevyúčtovávají, tj. průběžné účtování nákladů a výnosů (případně účet 403), tedy nemůže být zpochybněna jeho výše.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Stanoví-li ČÚS č. 704 – Fondy účetní jednotky odlišný postup účtování o některém transferu, postupuje se podle ČÚS č. 704.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8"/>
          <w:szCs w:val="28"/>
        </w:rPr>
      </w:pPr>
      <w:r w:rsidRPr="00F3546E">
        <w:rPr>
          <w:rFonts w:asciiTheme="minorHAnsi" w:hAnsiTheme="minorHAnsi" w:cs="Arial"/>
          <w:b/>
          <w:sz w:val="28"/>
          <w:szCs w:val="28"/>
        </w:rPr>
        <w:t>Účtování přijatých transferů:</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Je důležité rozlišovat následující:</w:t>
      </w:r>
    </w:p>
    <w:p w:rsidR="00DA1C32" w:rsidRPr="00F3546E" w:rsidRDefault="00DA1C32" w:rsidP="00DA1C32">
      <w:pPr>
        <w:pStyle w:val="Odstavecseseznamem"/>
        <w:numPr>
          <w:ilvl w:val="0"/>
          <w:numId w:val="14"/>
        </w:numPr>
        <w:tabs>
          <w:tab w:val="clear" w:pos="720"/>
          <w:tab w:val="num" w:pos="360"/>
        </w:tabs>
        <w:spacing w:after="0"/>
        <w:ind w:left="360"/>
        <w:jc w:val="both"/>
        <w:rPr>
          <w:rFonts w:asciiTheme="minorHAnsi" w:hAnsiTheme="minorHAnsi" w:cs="Arial"/>
          <w:sz w:val="24"/>
        </w:rPr>
      </w:pPr>
      <w:r w:rsidRPr="00F3546E">
        <w:rPr>
          <w:rFonts w:asciiTheme="minorHAnsi" w:hAnsiTheme="minorHAnsi" w:cs="Arial"/>
          <w:sz w:val="24"/>
        </w:rPr>
        <w:t>a. Je transfer neinvestiční? – zobrazí se ve výnosech (ÚSC – účet 672)</w:t>
      </w:r>
    </w:p>
    <w:p w:rsidR="00DA1C32" w:rsidRPr="00F3546E" w:rsidRDefault="00DA1C32" w:rsidP="00DA1C32">
      <w:pPr>
        <w:pStyle w:val="Odstavecseseznamem"/>
        <w:spacing w:after="0"/>
        <w:ind w:left="360"/>
        <w:jc w:val="both"/>
        <w:rPr>
          <w:rFonts w:asciiTheme="minorHAnsi" w:hAnsiTheme="minorHAnsi" w:cs="Arial"/>
          <w:sz w:val="24"/>
        </w:rPr>
      </w:pPr>
      <w:r w:rsidRPr="00F3546E">
        <w:rPr>
          <w:rFonts w:asciiTheme="minorHAnsi" w:hAnsiTheme="minorHAnsi" w:cs="Arial"/>
          <w:sz w:val="24"/>
        </w:rPr>
        <w:t>b. Je transfer investiční? – zobrazí se na rozvahovém účtu 403</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2. Existuje nezpochybnitelný nárok na transfer? Nepodléhá transfer vyúčtování a finančnímu vypořádání?</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 xml:space="preserve">a. Nárok je nezpochybnitelný. Transfer nepodléhá vyúčtování a FV. </w:t>
      </w:r>
    </w:p>
    <w:p w:rsidR="00DA1C32" w:rsidRPr="00F3546E" w:rsidRDefault="00DA1C32" w:rsidP="00DA1C32">
      <w:pPr>
        <w:pStyle w:val="Odstavecseseznamem"/>
        <w:spacing w:after="0"/>
        <w:ind w:left="540"/>
        <w:jc w:val="both"/>
        <w:rPr>
          <w:rFonts w:asciiTheme="minorHAnsi" w:hAnsiTheme="minorHAnsi" w:cs="Arial"/>
          <w:sz w:val="24"/>
        </w:rPr>
      </w:pPr>
      <w:r w:rsidRPr="00F3546E">
        <w:rPr>
          <w:rFonts w:asciiTheme="minorHAnsi" w:hAnsiTheme="minorHAnsi" w:cs="Arial"/>
          <w:sz w:val="24"/>
        </w:rPr>
        <w:t>– hned při nároku na transfer vzniká pohledávka vůči poskytovateli. Zároveň s tím je hned účtováno do výnosů nebo na účet 403.</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b. Nárok je zpochybnitelný. Transfer podléhá vyúčtování a finančnímu vypořádání.</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 vzniku nároku na transfer (na základě smlouvy, avíza) účtujeme do podmíněných pohledávek – v případě zahraničního poskytovatele vždy, i když se jedná pouze o možnost získání transferu, nikoliv stoprocentní vznik nároku na transfer. V případě tuzemského poskytovatele účtujeme do podrozvahy, když vznikne nárok na transfer a zároveň je výše transferu nad hladinou významnosti stanovenou ve vnitřní směrnici účetní jednotky.</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Přijetí částky transferu účtujeme jako zálohu na transfer, kterou budeme později vypořádávat (SÚ 374).</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vyhodnocování skutečného využití prostředků transferu účtujeme do výnosů (resp. na 403).</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vyúčtování transferu účtujeme o pohledávce za poskytovatelem transferu (a můžeme odúčtovat podmíněnou pohledávku z podrozvahových účtů).</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numPr>
          <w:ilvl w:val="0"/>
          <w:numId w:val="16"/>
        </w:numPr>
        <w:tabs>
          <w:tab w:val="clear" w:pos="720"/>
          <w:tab w:val="num" w:pos="360"/>
        </w:tabs>
        <w:spacing w:after="0"/>
        <w:ind w:left="360"/>
        <w:jc w:val="both"/>
        <w:rPr>
          <w:rFonts w:asciiTheme="minorHAnsi" w:hAnsiTheme="minorHAnsi" w:cs="Arial"/>
          <w:b/>
          <w:sz w:val="24"/>
        </w:rPr>
      </w:pPr>
      <w:r w:rsidRPr="00F3546E">
        <w:rPr>
          <w:rFonts w:asciiTheme="minorHAnsi" w:hAnsiTheme="minorHAnsi" w:cs="Arial"/>
          <w:b/>
          <w:sz w:val="24"/>
        </w:rPr>
        <w:t>Termín vyúčtování</w:t>
      </w:r>
    </w:p>
    <w:p w:rsidR="00DA1C32" w:rsidRPr="00F3546E" w:rsidRDefault="00DA1C32" w:rsidP="00DA1C32">
      <w:pPr>
        <w:pStyle w:val="Odstavecseseznamem"/>
        <w:numPr>
          <w:ilvl w:val="0"/>
          <w:numId w:val="15"/>
        </w:numPr>
        <w:tabs>
          <w:tab w:val="clear" w:pos="720"/>
          <w:tab w:val="num" w:pos="360"/>
        </w:tabs>
        <w:spacing w:after="0"/>
        <w:ind w:left="360" w:firstLine="180"/>
        <w:jc w:val="both"/>
        <w:rPr>
          <w:rFonts w:asciiTheme="minorHAnsi" w:hAnsiTheme="minorHAnsi" w:cs="Arial"/>
          <w:sz w:val="24"/>
        </w:rPr>
      </w:pPr>
      <w:r w:rsidRPr="00F3546E">
        <w:rPr>
          <w:rFonts w:asciiTheme="minorHAnsi" w:hAnsiTheme="minorHAnsi" w:cs="Arial"/>
          <w:sz w:val="24"/>
        </w:rPr>
        <w:t>ve stejném roce jako přijetí transferu</w:t>
      </w:r>
    </w:p>
    <w:p w:rsidR="00DA1C32" w:rsidRPr="00F3546E" w:rsidRDefault="00DA1C32" w:rsidP="00DA1C32">
      <w:pPr>
        <w:pStyle w:val="Odstavecseseznamem"/>
        <w:numPr>
          <w:ilvl w:val="0"/>
          <w:numId w:val="15"/>
        </w:numPr>
        <w:tabs>
          <w:tab w:val="clear" w:pos="720"/>
        </w:tabs>
        <w:spacing w:after="0"/>
        <w:ind w:left="360" w:firstLine="180"/>
        <w:jc w:val="both"/>
        <w:rPr>
          <w:rFonts w:asciiTheme="minorHAnsi" w:hAnsiTheme="minorHAnsi" w:cs="Arial"/>
          <w:sz w:val="24"/>
        </w:rPr>
      </w:pPr>
      <w:r w:rsidRPr="00F3546E">
        <w:rPr>
          <w:rFonts w:asciiTheme="minorHAnsi" w:hAnsiTheme="minorHAnsi" w:cs="Arial"/>
          <w:sz w:val="24"/>
        </w:rPr>
        <w:t xml:space="preserve">v následujícím roce </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ÚSC od r. 2010 využívají časové rozlišení, toto se týká i výnosů z transferu.</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 xml:space="preserve">Vratka se účtuje v tom roce, ve kterém byla hrazena (odlišné zobrazení v rozpočtu)  </w:t>
      </w:r>
      <w:r w:rsidRPr="00F3546E">
        <w:rPr>
          <w:rFonts w:asciiTheme="minorHAnsi" w:hAnsiTheme="minorHAnsi" w:cs="Arial"/>
          <w:sz w:val="24"/>
        </w:rPr>
        <w:tab/>
      </w:r>
    </w:p>
    <w:p w:rsidR="00DA1C32" w:rsidRPr="00F3546E" w:rsidRDefault="00DA1C32">
      <w:pPr>
        <w:rPr>
          <w:rFonts w:asciiTheme="minorHAnsi" w:hAnsiTheme="minorHAnsi" w:cs="Arial"/>
        </w:rPr>
      </w:pPr>
    </w:p>
    <w:p w:rsidR="00DA1C32" w:rsidRPr="00F3546E" w:rsidRDefault="00DA1C32">
      <w:pPr>
        <w:rPr>
          <w:rFonts w:asciiTheme="minorHAnsi" w:hAnsiTheme="minorHAnsi" w:cs="Arial"/>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4844CF"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DA1C32" w:rsidP="00D85BE8">
      <w:pPr>
        <w:pStyle w:val="Nadpistabulka"/>
        <w:spacing w:before="0" w:after="0"/>
        <w:rPr>
          <w:rFonts w:asciiTheme="minorHAnsi" w:hAnsiTheme="minorHAnsi"/>
          <w:sz w:val="22"/>
        </w:rPr>
      </w:pPr>
      <w:r w:rsidRPr="00F3546E">
        <w:rPr>
          <w:rFonts w:asciiTheme="minorHAnsi" w:hAnsiTheme="minorHAnsi"/>
          <w:sz w:val="22"/>
        </w:rPr>
        <w:lastRenderedPageBreak/>
        <w:t xml:space="preserve">Příklad 8: </w:t>
      </w:r>
    </w:p>
    <w:p w:rsidR="00DA1C32" w:rsidRDefault="00DA1C32" w:rsidP="00D85BE8">
      <w:pPr>
        <w:pStyle w:val="Nadpistabulka"/>
        <w:spacing w:before="0" w:after="0"/>
        <w:rPr>
          <w:rFonts w:asciiTheme="minorHAnsi" w:hAnsiTheme="minorHAnsi"/>
          <w:sz w:val="22"/>
        </w:rPr>
      </w:pPr>
      <w:r w:rsidRPr="00F3546E">
        <w:rPr>
          <w:rFonts w:asciiTheme="minorHAnsi" w:hAnsiTheme="minorHAnsi"/>
          <w:sz w:val="22"/>
        </w:rPr>
        <w:t>Obec přijímá neinvestiční transfer v rámci souhrnného dotačního vztahu (nezpochybnitelná výše; ze SR)</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rPr>
          <w:trHeight w:val="345"/>
        </w:trPr>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Předpis příjmů z transferu – souhrnný dotační vztah</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9: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neinvestiční transfer od MPSV – sociálně právní ochrana dětí; vyúčtování transferu v následujícím roce, a to do 12 měsíců od přijetí transferu</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Oznámení o poskytnutí neinvestičního transferu od MPSV – SPOD</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Příjem částky transferu </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Odhad čerpání transferu</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Vypořádání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7</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Vratka nespotřebované části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10: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získala investiční transfer od kraje – dětské hřiště; vyúčtování v běžném období</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Smlouva o poskytnutí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částky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Skutečná výše čerpání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Vratka nevyčerpané části transferu v běžném období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11: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transfer od sousední obce na opravu MŠ. Použití prostředků je omezeno na 6 měsíců, podléhá finančnímu vypořádání v běžném období.</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4395"/>
        <w:gridCol w:w="992"/>
        <w:gridCol w:w="956"/>
        <w:gridCol w:w="957"/>
        <w:gridCol w:w="957"/>
        <w:gridCol w:w="957"/>
      </w:tblGrid>
      <w:tr w:rsidR="00DA1C32" w:rsidRPr="00F3546E" w:rsidTr="004844CF">
        <w:trPr>
          <w:trHeight w:val="96"/>
        </w:trPr>
        <w:tc>
          <w:tcPr>
            <w:tcW w:w="567" w:type="dxa"/>
            <w:tcBorders>
              <w:top w:val="single" w:sz="2" w:space="0" w:color="auto"/>
              <w:left w:val="single" w:sz="2" w:space="0" w:color="auto"/>
              <w:bottom w:val="single" w:sz="2" w:space="0" w:color="auto"/>
              <w:right w:val="single" w:sz="2"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Smlouva o přijetí transferu od sousední obce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14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Zúčtování transferu – zjištění skutečného nároku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Zúčtování transferu – skutečné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Nevyčerpaná část - vratka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12: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lastRenderedPageBreak/>
        <w:t xml:space="preserve">Obec přijala transfer od Ministerstva kultury na rekonstrukci obecního muzea. Obec může prostředky transferu využívat od 1.3.2016 do 31.12.2016. Transfer podléhá finančnímu vypořádání v následujícím období. </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4395"/>
        <w:gridCol w:w="992"/>
        <w:gridCol w:w="956"/>
        <w:gridCol w:w="957"/>
        <w:gridCol w:w="957"/>
        <w:gridCol w:w="957"/>
      </w:tblGrid>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Smlouva o přijetí transferu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muzeu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Zařazení majetku do užívání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Konec účetního období – odhad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Nové účetní období – vypořádání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ind w:left="135"/>
              <w:rPr>
                <w:rFonts w:asciiTheme="minorHAnsi" w:hAnsiTheme="minorHAnsi" w:cs="Arial"/>
                <w:i/>
                <w:sz w:val="20"/>
                <w:szCs w:val="20"/>
              </w:rPr>
            </w:pPr>
            <w:r w:rsidRPr="00F3546E">
              <w:rPr>
                <w:rFonts w:asciiTheme="minorHAnsi" w:hAnsiTheme="minorHAnsi" w:cs="Arial"/>
                <w:i/>
                <w:sz w:val="20"/>
                <w:szCs w:val="20"/>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numPr>
                <w:ilvl w:val="0"/>
                <w:numId w:val="19"/>
              </w:numPr>
              <w:spacing w:before="40" w:after="40"/>
              <w:rPr>
                <w:rFonts w:asciiTheme="minorHAnsi" w:hAnsiTheme="minorHAnsi" w:cs="Arial"/>
                <w:i/>
                <w:sz w:val="20"/>
                <w:szCs w:val="20"/>
              </w:rPr>
            </w:pPr>
            <w:r w:rsidRPr="00F3546E">
              <w:rPr>
                <w:rFonts w:asciiTheme="minorHAnsi" w:hAnsiTheme="minorHAnsi" w:cs="Arial"/>
                <w:i/>
                <w:sz w:val="20"/>
                <w:szCs w:val="20"/>
              </w:rPr>
              <w:t>Zúčtování využité části poskytnutých prostředků</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Vratka nevyčerpané části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100 000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DA1C32" w:rsidRPr="00F3546E" w:rsidRDefault="00DA1C32" w:rsidP="00DA1C32">
      <w:pPr>
        <w:rPr>
          <w:rFonts w:asciiTheme="minorHAnsi" w:hAnsiTheme="minorHAnsi" w:cs="Arial"/>
          <w:b/>
          <w:szCs w:val="20"/>
        </w:rPr>
      </w:pPr>
    </w:p>
    <w:p w:rsidR="004844CF" w:rsidRDefault="004844CF">
      <w:pPr>
        <w:spacing w:after="0"/>
        <w:rPr>
          <w:rFonts w:asciiTheme="minorHAnsi" w:hAnsiTheme="minorHAnsi" w:cs="Arial"/>
          <w:b/>
          <w:caps/>
          <w:color w:val="0044D2"/>
          <w:kern w:val="1"/>
          <w:sz w:val="32"/>
        </w:rPr>
      </w:pPr>
      <w:r>
        <w:rPr>
          <w:rFonts w:asciiTheme="minorHAnsi" w:hAnsiTheme="minorHAnsi" w:cs="Arial"/>
          <w:color w:val="0044D2"/>
        </w:rPr>
        <w:br w:type="page"/>
      </w:r>
    </w:p>
    <w:p w:rsidR="00DA1C32" w:rsidRPr="00F3546E" w:rsidRDefault="00DA1C32" w:rsidP="00D85BE8">
      <w:pPr>
        <w:pStyle w:val="Nadpis1"/>
        <w:numPr>
          <w:ilvl w:val="0"/>
          <w:numId w:val="0"/>
        </w:numPr>
        <w:spacing w:before="0" w:after="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půjček a termínovaného vkladu</w:t>
      </w:r>
    </w:p>
    <w:p w:rsidR="00D85BE8" w:rsidRPr="00F3546E" w:rsidRDefault="00D85BE8" w:rsidP="00D85BE8">
      <w:pPr>
        <w:pStyle w:val="Nadpistabulka"/>
        <w:spacing w:before="0" w:after="0"/>
        <w:rPr>
          <w:rFonts w:asciiTheme="minorHAnsi" w:hAnsiTheme="minorHAnsi"/>
          <w:sz w:val="22"/>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13</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Obec buduje místní komunikace, bere si dlouhodobý úvěr v bance, úvěr je převedený na ZBÚ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Přijetí úvěru na ZBÚ</w:t>
            </w:r>
          </w:p>
        </w:tc>
        <w:tc>
          <w:tcPr>
            <w:tcW w:w="992" w:type="dxa"/>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4 000 000</w:t>
            </w: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nevstupují do pořizovací ceny) </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14</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szCs w:val="20"/>
        </w:rPr>
        <w:t>Obec buduje místní komunikace, bere si dlouhodobý úvěr v bance, úvěr je čerpán přímo z úvěrového účtu.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Předpis výše úvěrového rámce</w:t>
            </w:r>
          </w:p>
        </w:tc>
        <w:tc>
          <w:tcPr>
            <w:tcW w:w="992"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Odúčtování části úvěrového rámce</w:t>
            </w:r>
          </w:p>
        </w:tc>
        <w:tc>
          <w:tcPr>
            <w:tcW w:w="992"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6</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vstupují do pořizovací ceny) </w:t>
            </w:r>
          </w:p>
        </w:tc>
        <w:tc>
          <w:tcPr>
            <w:tcW w:w="992"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Příklad 15</w:t>
      </w: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Obec vloží dočasně volné peněžní prostředky na šestiměsíční termínovaný vklad.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ze ZBÚ</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termínovaném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 termínovaného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ZBÚ</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úroků z termínovaného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bl>
    <w:p w:rsidR="00D85BE8" w:rsidRDefault="00D85BE8"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Pr="00F3546E" w:rsidRDefault="004844CF" w:rsidP="00D85BE8">
      <w:pPr>
        <w:spacing w:after="0"/>
        <w:rPr>
          <w:rFonts w:asciiTheme="minorHAnsi" w:hAnsiTheme="minorHAnsi" w:cs="Arial"/>
          <w:b/>
          <w:bCs/>
          <w:szCs w:val="20"/>
        </w:rPr>
      </w:pPr>
    </w:p>
    <w:p w:rsidR="00F3546E" w:rsidRPr="00F3546E" w:rsidRDefault="00DA1C32" w:rsidP="00F3546E">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Řešení příkladů</w:t>
      </w:r>
    </w:p>
    <w:p w:rsidR="00453804" w:rsidRPr="00F3546E" w:rsidRDefault="00453804" w:rsidP="00453804">
      <w:pPr>
        <w:pStyle w:val="Nadpistabulka"/>
        <w:rPr>
          <w:rFonts w:asciiTheme="minorHAnsi" w:hAnsiTheme="minorHAnsi"/>
          <w:sz w:val="22"/>
        </w:rPr>
      </w:pPr>
      <w:bookmarkStart w:id="0" w:name="_GoBack"/>
      <w:bookmarkEnd w:id="0"/>
      <w:r w:rsidRPr="00F3546E">
        <w:rPr>
          <w:rFonts w:asciiTheme="minorHAnsi" w:hAnsiTheme="minorHAnsi"/>
          <w:sz w:val="22"/>
        </w:rPr>
        <w:t>Příklad 8</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453804" w:rsidRPr="00F3546E" w:rsidTr="004844CF">
        <w:trPr>
          <w:trHeight w:val="318"/>
        </w:trPr>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Předpis příjmů z transferu – souhrnný dotační vztah</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70 000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672</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Příjem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70 000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4112</w:t>
            </w:r>
          </w:p>
        </w:tc>
        <w:tc>
          <w:tcPr>
            <w:tcW w:w="1028" w:type="dxa"/>
          </w:tcPr>
          <w:p w:rsidR="00453804" w:rsidRPr="00F3546E" w:rsidRDefault="00453804" w:rsidP="009703EA">
            <w:pPr>
              <w:spacing w:before="40" w:after="40"/>
              <w:jc w:val="right"/>
              <w:rPr>
                <w:rFonts w:cs="Arial"/>
                <w:i/>
                <w:sz w:val="20"/>
                <w:szCs w:val="20"/>
              </w:rPr>
            </w:pPr>
          </w:p>
        </w:tc>
      </w:tr>
    </w:tbl>
    <w:p w:rsidR="004844CF" w:rsidRDefault="004844CF"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9</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453804" w:rsidRPr="00F3546E" w:rsidTr="004844CF">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Oznámení o poskytnutí neinvestičního transferu od MPSV – SPOD</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Příjem částky transferu </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4116</w:t>
            </w: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Vyřazení pohledávky z podrozvahy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Odhad čerpání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388</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672</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Vypořádání transferu v následujícím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388</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Vratka nespotřebované části transferu v následujícím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10 000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5364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6402</w:t>
            </w:r>
          </w:p>
        </w:tc>
      </w:tr>
    </w:tbl>
    <w:p w:rsidR="00453804" w:rsidRPr="00F3546E" w:rsidRDefault="00453804" w:rsidP="00453804">
      <w:pPr>
        <w:jc w:val="both"/>
        <w:rPr>
          <w:rFonts w:asciiTheme="minorHAnsi" w:hAnsiTheme="minorHAnsi" w:cs="Arial"/>
          <w:sz w:val="24"/>
        </w:rPr>
      </w:pPr>
      <w:r w:rsidRPr="00F3546E">
        <w:rPr>
          <w:rFonts w:asciiTheme="minorHAnsi" w:hAnsiTheme="minorHAnsi" w:cs="Arial"/>
          <w:sz w:val="24"/>
        </w:rPr>
        <w:t xml:space="preserve">Pozn. ÚSC používají účty časového rozlišení, je třeba zaznamenat výnos transferu v roce, s nímž věcně a časově souvisí. </w:t>
      </w:r>
    </w:p>
    <w:p w:rsidR="00453804" w:rsidRPr="00F3546E" w:rsidRDefault="00453804"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10</w:t>
      </w:r>
    </w:p>
    <w:tbl>
      <w:tblPr>
        <w:tblStyle w:val="Mkatabulky"/>
        <w:tblW w:w="9639" w:type="dxa"/>
        <w:tblInd w:w="108" w:type="dxa"/>
        <w:tblLook w:val="01E0" w:firstRow="1" w:lastRow="1" w:firstColumn="1" w:lastColumn="1" w:noHBand="0" w:noVBand="0"/>
      </w:tblPr>
      <w:tblGrid>
        <w:gridCol w:w="567"/>
        <w:gridCol w:w="3828"/>
        <w:gridCol w:w="992"/>
        <w:gridCol w:w="1063"/>
        <w:gridCol w:w="1063"/>
        <w:gridCol w:w="1063"/>
        <w:gridCol w:w="1063"/>
      </w:tblGrid>
      <w:tr w:rsidR="00453804" w:rsidRPr="00F3546E" w:rsidTr="004844CF">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Smlouva o poskytnutí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Příjem částky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4222</w:t>
            </w: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Vyřazení pohledávky z podrozvahy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Skutečná výše čerpání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48 000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348</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403</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48 000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348</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Vratka nevyčerpané části transferu v běžném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4222</w:t>
            </w:r>
          </w:p>
        </w:tc>
        <w:tc>
          <w:tcPr>
            <w:tcW w:w="1063" w:type="dxa"/>
          </w:tcPr>
          <w:p w:rsidR="00453804" w:rsidRPr="00F3546E" w:rsidRDefault="00453804" w:rsidP="009703EA">
            <w:pPr>
              <w:spacing w:before="40" w:after="40"/>
              <w:jc w:val="right"/>
              <w:rPr>
                <w:rFonts w:cs="Arial"/>
                <w:i/>
                <w:sz w:val="20"/>
                <w:szCs w:val="20"/>
              </w:rPr>
            </w:pPr>
          </w:p>
        </w:tc>
      </w:tr>
    </w:tbl>
    <w:p w:rsidR="00453804" w:rsidRPr="00F3546E" w:rsidRDefault="00453804" w:rsidP="00453804">
      <w:pPr>
        <w:jc w:val="both"/>
        <w:rPr>
          <w:rFonts w:asciiTheme="minorHAnsi" w:hAnsiTheme="minorHAnsi" w:cs="Arial"/>
          <w:sz w:val="24"/>
        </w:rPr>
      </w:pPr>
      <w:r w:rsidRPr="00F3546E">
        <w:rPr>
          <w:rFonts w:asciiTheme="minorHAnsi" w:hAnsiTheme="minorHAnsi" w:cs="Arial"/>
          <w:sz w:val="24"/>
        </w:rPr>
        <w:t>Pozn.: Pokud je vyúčtování (a případné odeslání vratky) provedeno ve stejném roce, ve kterém byl přijat transfer, odeslaná vratka se v rozpočtu zobrazí jako snížení příjmu z transferu. V případě vratky v následujícím roce je již rozpočet předchozího roku uzavřený, v novém rozpočtu je tedy nutné vratku transferu označit jako výdaj (viz např. předchozí příklad – transfer z MPSV).</w:t>
      </w:r>
    </w:p>
    <w:p w:rsidR="004844CF" w:rsidRDefault="004844CF"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11</w:t>
      </w:r>
    </w:p>
    <w:tbl>
      <w:tblPr>
        <w:tblW w:w="9697" w:type="dxa"/>
        <w:tblInd w:w="70" w:type="dxa"/>
        <w:tblLayout w:type="fixed"/>
        <w:tblCellMar>
          <w:left w:w="70" w:type="dxa"/>
          <w:right w:w="70" w:type="dxa"/>
        </w:tblCellMar>
        <w:tblLook w:val="0000" w:firstRow="0" w:lastRow="0" w:firstColumn="0" w:lastColumn="0" w:noHBand="0" w:noVBand="0"/>
      </w:tblPr>
      <w:tblGrid>
        <w:gridCol w:w="567"/>
        <w:gridCol w:w="3828"/>
        <w:gridCol w:w="992"/>
        <w:gridCol w:w="1077"/>
        <w:gridCol w:w="1078"/>
        <w:gridCol w:w="1077"/>
        <w:gridCol w:w="1078"/>
      </w:tblGrid>
      <w:tr w:rsidR="00453804" w:rsidRPr="00F3546E" w:rsidTr="004844CF">
        <w:trPr>
          <w:trHeight w:val="96"/>
        </w:trPr>
        <w:tc>
          <w:tcPr>
            <w:tcW w:w="567" w:type="dxa"/>
            <w:tcBorders>
              <w:top w:val="single" w:sz="2" w:space="0" w:color="auto"/>
              <w:left w:val="single" w:sz="2" w:space="0" w:color="auto"/>
              <w:bottom w:val="single" w:sz="2" w:space="0" w:color="auto"/>
              <w:right w:val="single" w:sz="2" w:space="0" w:color="auto"/>
            </w:tcBorders>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7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7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Smlouva o přijetí transferu od sousední obce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4121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14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lastRenderedPageBreak/>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511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321</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321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231 </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5171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3111</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 xml:space="preserve">Zúčtování transferu – zjištění skutečného nároku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348</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672</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Zúčtování transferu – skutečné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348</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Nevyčerpaná část - vratka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4121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bl>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12</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3828"/>
        <w:gridCol w:w="992"/>
        <w:gridCol w:w="1098"/>
        <w:gridCol w:w="1099"/>
        <w:gridCol w:w="1098"/>
        <w:gridCol w:w="1099"/>
      </w:tblGrid>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 xml:space="preserve">Smlouva o přijetí transferu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4216</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muzeu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042</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321 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321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6121 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3315 </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Zařazení majetku do užívání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021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042</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Konec účetního období – odhad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388</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403</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Nové účetní období – vypořádání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346</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388</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ind w:left="135"/>
              <w:rPr>
                <w:rFonts w:asciiTheme="minorHAnsi" w:hAnsiTheme="minorHAnsi" w:cs="Arial"/>
                <w:i/>
                <w:sz w:val="20"/>
                <w:szCs w:val="20"/>
              </w:rPr>
            </w:pPr>
            <w:r w:rsidRPr="00F3546E">
              <w:rPr>
                <w:rFonts w:asciiTheme="minorHAnsi" w:hAnsiTheme="minorHAnsi" w:cs="Arial"/>
                <w:i/>
                <w:sz w:val="20"/>
                <w:szCs w:val="20"/>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453804">
            <w:pPr>
              <w:numPr>
                <w:ilvl w:val="0"/>
                <w:numId w:val="19"/>
              </w:numPr>
              <w:spacing w:before="40" w:after="40"/>
              <w:rPr>
                <w:rFonts w:asciiTheme="minorHAnsi" w:hAnsiTheme="minorHAnsi" w:cs="Arial"/>
                <w:i/>
                <w:sz w:val="20"/>
                <w:szCs w:val="20"/>
              </w:rPr>
            </w:pPr>
            <w:r w:rsidRPr="00F3546E">
              <w:rPr>
                <w:rFonts w:asciiTheme="minorHAnsi" w:hAnsiTheme="minorHAnsi" w:cs="Arial"/>
                <w:i/>
                <w:sz w:val="20"/>
                <w:szCs w:val="20"/>
              </w:rPr>
              <w:t>Zúčtování využité části poskytnutých prostředků</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346</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Vratka nevyčerpané části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100 000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5364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6402</w:t>
            </w:r>
          </w:p>
        </w:tc>
      </w:tr>
    </w:tbl>
    <w:p w:rsidR="009703EA" w:rsidRPr="00F3546E" w:rsidRDefault="009703EA" w:rsidP="009703EA">
      <w:pPr>
        <w:pStyle w:val="Nadpistabulka"/>
        <w:rPr>
          <w:rFonts w:asciiTheme="minorHAnsi" w:hAnsiTheme="minorHAnsi"/>
          <w:sz w:val="22"/>
        </w:rPr>
      </w:pPr>
      <w:r w:rsidRPr="00F3546E">
        <w:rPr>
          <w:rFonts w:asciiTheme="minorHAnsi" w:hAnsiTheme="minorHAnsi"/>
          <w:sz w:val="22"/>
        </w:rPr>
        <w:t>Příklad 13</w:t>
      </w:r>
      <w:r w:rsidR="00D85BE8" w:rsidRPr="00F3546E">
        <w:rPr>
          <w:rFonts w:asciiTheme="minorHAnsi" w:hAnsiTheme="minorHAnsi"/>
          <w:sz w:val="22"/>
        </w:rPr>
        <w:t xml:space="preserve"> - </w:t>
      </w:r>
      <w:r w:rsidRPr="00F3546E">
        <w:rPr>
          <w:rFonts w:asciiTheme="minorHAnsi" w:hAnsiTheme="minorHAnsi"/>
          <w:sz w:val="22"/>
        </w:rPr>
        <w:t>Obec buduje místní komunikace, bere si dlouhodobý úvěr v bance, úvěr je převedený na ZBÚ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63"/>
        <w:gridCol w:w="1063"/>
        <w:gridCol w:w="1063"/>
        <w:gridCol w:w="1063"/>
      </w:tblGrid>
      <w:tr w:rsidR="009703EA" w:rsidRPr="00F3546E" w:rsidTr="004844CF">
        <w:tc>
          <w:tcPr>
            <w:tcW w:w="567" w:type="dxa"/>
            <w:vAlign w:val="center"/>
          </w:tcPr>
          <w:p w:rsidR="009703EA" w:rsidRPr="00F3546E" w:rsidRDefault="009703EA"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9703EA" w:rsidRPr="00F3546E" w:rsidTr="004844CF">
        <w:tc>
          <w:tcPr>
            <w:tcW w:w="567" w:type="dxa"/>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Přijetí úvěru na ZBÚ</w:t>
            </w:r>
          </w:p>
        </w:tc>
        <w:tc>
          <w:tcPr>
            <w:tcW w:w="992" w:type="dxa"/>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4 000 000</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8123</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2219</w:t>
            </w:r>
          </w:p>
        </w:tc>
      </w:tr>
      <w:tr w:rsidR="009703EA" w:rsidRPr="00F3546E" w:rsidTr="004844CF">
        <w:tc>
          <w:tcPr>
            <w:tcW w:w="567" w:type="dxa"/>
            <w:tcBorders>
              <w:bottom w:val="single" w:sz="4" w:space="0" w:color="auto"/>
            </w:tcBorders>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8124</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nevstupují do pořizovací ceny) </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500 000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562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5141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2219</w:t>
            </w:r>
          </w:p>
        </w:tc>
      </w:tr>
    </w:tbl>
    <w:p w:rsidR="004844CF" w:rsidRDefault="004844CF" w:rsidP="009703EA">
      <w:pPr>
        <w:pStyle w:val="Nadpistabulka"/>
        <w:rPr>
          <w:rFonts w:asciiTheme="minorHAnsi" w:hAnsiTheme="minorHAnsi"/>
          <w:sz w:val="22"/>
        </w:rPr>
      </w:pP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Příklad 14</w:t>
      </w:r>
    </w:p>
    <w:p w:rsidR="009703EA" w:rsidRPr="00F3546E" w:rsidRDefault="009703EA" w:rsidP="009703EA">
      <w:pPr>
        <w:pStyle w:val="Nadpistabulka"/>
        <w:rPr>
          <w:rFonts w:asciiTheme="minorHAnsi" w:hAnsiTheme="minorHAnsi"/>
          <w:sz w:val="22"/>
        </w:rPr>
      </w:pPr>
      <w:r w:rsidRPr="00F3546E">
        <w:rPr>
          <w:rFonts w:asciiTheme="minorHAnsi" w:hAnsiTheme="minorHAnsi"/>
          <w:sz w:val="22"/>
          <w:szCs w:val="20"/>
        </w:rPr>
        <w:t>Obec buduje místní komunikace, bere si dlouhodobý úvěr v bance, úvěr je čerpán přímo z úvěrového účtu.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63"/>
        <w:gridCol w:w="1063"/>
        <w:gridCol w:w="1063"/>
        <w:gridCol w:w="1063"/>
      </w:tblGrid>
      <w:tr w:rsidR="009703EA" w:rsidRPr="00F3546E" w:rsidTr="004844CF">
        <w:tc>
          <w:tcPr>
            <w:tcW w:w="567" w:type="dxa"/>
            <w:tcBorders>
              <w:bottom w:val="single" w:sz="4" w:space="0" w:color="auto"/>
            </w:tcBorders>
            <w:vAlign w:val="center"/>
          </w:tcPr>
          <w:p w:rsidR="009703EA" w:rsidRPr="00F3546E" w:rsidRDefault="009703EA"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Předpis výše úvěrového rámce</w:t>
            </w:r>
          </w:p>
        </w:tc>
        <w:tc>
          <w:tcPr>
            <w:tcW w:w="992"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992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999</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2219</w:t>
            </w: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8124</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lastRenderedPageBreak/>
              <w:t>5</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Odúčtování části úvěrového rámce</w:t>
            </w:r>
          </w:p>
        </w:tc>
        <w:tc>
          <w:tcPr>
            <w:tcW w:w="992"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999</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992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6</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vstupují do pořizovací ceny) </w:t>
            </w:r>
          </w:p>
        </w:tc>
        <w:tc>
          <w:tcPr>
            <w:tcW w:w="992"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2219</w:t>
            </w:r>
          </w:p>
        </w:tc>
      </w:tr>
    </w:tbl>
    <w:p w:rsidR="009703EA" w:rsidRPr="00F3546E" w:rsidRDefault="009703EA">
      <w:pPr>
        <w:rPr>
          <w:rFonts w:asciiTheme="minorHAnsi" w:hAnsiTheme="minorHAnsi" w:cs="Arial"/>
          <w:sz w:val="24"/>
        </w:rPr>
      </w:pP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Příklad 15</w:t>
      </w: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Obec vloží dočasně volné peněžní prostředky na šestiměsíční termínovaný vklad.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63"/>
        <w:gridCol w:w="1063"/>
        <w:gridCol w:w="1063"/>
        <w:gridCol w:w="1063"/>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FD10EF">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ze ZBÚ</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8118</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termínovaném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244</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8117</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 termínovaného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244</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8118</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ZBÚ</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8117</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úroků z termínovaného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2141</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6310</w:t>
            </w:r>
          </w:p>
        </w:tc>
      </w:tr>
    </w:tbl>
    <w:p w:rsidR="009703EA" w:rsidRPr="00F3546E" w:rsidRDefault="009703EA">
      <w:pPr>
        <w:rPr>
          <w:rFonts w:asciiTheme="minorHAnsi" w:hAnsiTheme="minorHAnsi" w:cs="Arial"/>
          <w:sz w:val="24"/>
        </w:rPr>
      </w:pPr>
    </w:p>
    <w:p w:rsidR="004844CF" w:rsidRDefault="004844CF" w:rsidP="009703EA">
      <w:pPr>
        <w:pStyle w:val="Nadpistabulka"/>
        <w:rPr>
          <w:rFonts w:asciiTheme="minorHAnsi" w:hAnsiTheme="minorHAnsi"/>
          <w:sz w:val="22"/>
        </w:rPr>
      </w:pPr>
    </w:p>
    <w:p w:rsidR="004844CF" w:rsidRDefault="004844CF" w:rsidP="009703EA">
      <w:pPr>
        <w:pStyle w:val="Nadpistabulka"/>
        <w:rPr>
          <w:rFonts w:asciiTheme="minorHAnsi" w:hAnsiTheme="minorHAnsi"/>
          <w:sz w:val="22"/>
        </w:rPr>
      </w:pPr>
    </w:p>
    <w:sectPr w:rsidR="004844CF" w:rsidSect="00F3546E">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13" w:rsidRDefault="00472413" w:rsidP="00403BE5">
      <w:pPr>
        <w:spacing w:after="0"/>
      </w:pPr>
      <w:r>
        <w:separator/>
      </w:r>
    </w:p>
  </w:endnote>
  <w:endnote w:type="continuationSeparator" w:id="0">
    <w:p w:rsidR="00472413" w:rsidRDefault="00472413" w:rsidP="00403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307113"/>
      <w:docPartObj>
        <w:docPartGallery w:val="Page Numbers (Bottom of Page)"/>
        <w:docPartUnique/>
      </w:docPartObj>
    </w:sdtPr>
    <w:sdtEndPr>
      <w:rPr>
        <w:rFonts w:ascii="Arial" w:hAnsi="Arial" w:cs="Arial"/>
        <w:sz w:val="18"/>
      </w:rPr>
    </w:sdtEndPr>
    <w:sdtContent>
      <w:p w:rsidR="00403BE5" w:rsidRPr="00403BE5" w:rsidRDefault="00D4490E">
        <w:pPr>
          <w:pStyle w:val="Zpat"/>
          <w:jc w:val="center"/>
          <w:rPr>
            <w:rFonts w:ascii="Arial" w:hAnsi="Arial" w:cs="Arial"/>
            <w:sz w:val="18"/>
          </w:rPr>
        </w:pPr>
        <w:r w:rsidRPr="00403BE5">
          <w:rPr>
            <w:rFonts w:ascii="Arial" w:hAnsi="Arial" w:cs="Arial"/>
            <w:sz w:val="18"/>
          </w:rPr>
          <w:fldChar w:fldCharType="begin"/>
        </w:r>
        <w:r w:rsidR="00403BE5" w:rsidRPr="00403BE5">
          <w:rPr>
            <w:rFonts w:ascii="Arial" w:hAnsi="Arial" w:cs="Arial"/>
            <w:sz w:val="18"/>
          </w:rPr>
          <w:instrText>PAGE   \* MERGEFORMAT</w:instrText>
        </w:r>
        <w:r w:rsidRPr="00403BE5">
          <w:rPr>
            <w:rFonts w:ascii="Arial" w:hAnsi="Arial" w:cs="Arial"/>
            <w:sz w:val="18"/>
          </w:rPr>
          <w:fldChar w:fldCharType="separate"/>
        </w:r>
        <w:r w:rsidR="00442FFC">
          <w:rPr>
            <w:rFonts w:ascii="Arial" w:hAnsi="Arial" w:cs="Arial"/>
            <w:noProof/>
            <w:sz w:val="18"/>
          </w:rPr>
          <w:t>9</w:t>
        </w:r>
        <w:r w:rsidRPr="00403BE5">
          <w:rPr>
            <w:rFonts w:ascii="Arial" w:hAnsi="Arial" w:cs="Arial"/>
            <w:sz w:val="18"/>
          </w:rPr>
          <w:fldChar w:fldCharType="end"/>
        </w:r>
      </w:p>
    </w:sdtContent>
  </w:sdt>
  <w:p w:rsidR="00403BE5" w:rsidRDefault="00403BE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13" w:rsidRDefault="00472413" w:rsidP="00403BE5">
      <w:pPr>
        <w:spacing w:after="0"/>
      </w:pPr>
      <w:r>
        <w:separator/>
      </w:r>
    </w:p>
  </w:footnote>
  <w:footnote w:type="continuationSeparator" w:id="0">
    <w:p w:rsidR="00472413" w:rsidRDefault="00472413" w:rsidP="00403BE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7C6"/>
    <w:multiLevelType w:val="hybridMultilevel"/>
    <w:tmpl w:val="2436B6FC"/>
    <w:lvl w:ilvl="0" w:tplc="85FC995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9B1277"/>
    <w:multiLevelType w:val="hybridMultilevel"/>
    <w:tmpl w:val="581ECFE4"/>
    <w:lvl w:ilvl="0" w:tplc="B03E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4034F"/>
    <w:multiLevelType w:val="hybridMultilevel"/>
    <w:tmpl w:val="6A4A387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DE6941"/>
    <w:multiLevelType w:val="hybridMultilevel"/>
    <w:tmpl w:val="0EE4B576"/>
    <w:lvl w:ilvl="0" w:tplc="7B0CDC88">
      <w:start w:val="3"/>
      <w:numFmt w:val="bullet"/>
      <w:lvlText w:val="-"/>
      <w:lvlJc w:val="left"/>
      <w:pPr>
        <w:ind w:left="495" w:hanging="360"/>
      </w:pPr>
      <w:rPr>
        <w:rFonts w:ascii="Times New Roman" w:eastAsia="Times New Roman" w:hAnsi="Times New Roman" w:cs="Times New Roman"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 w15:restartNumberingAfterBreak="0">
    <w:nsid w:val="32BB79EB"/>
    <w:multiLevelType w:val="multilevel"/>
    <w:tmpl w:val="3D72C5F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A136A3"/>
    <w:multiLevelType w:val="hybridMultilevel"/>
    <w:tmpl w:val="6024BE98"/>
    <w:lvl w:ilvl="0" w:tplc="D4FE9242">
      <w:start w:val="50"/>
      <w:numFmt w:val="bullet"/>
      <w:lvlText w:val="-"/>
      <w:lvlJc w:val="left"/>
      <w:pPr>
        <w:ind w:left="405" w:hanging="360"/>
      </w:pPr>
      <w:rPr>
        <w:rFonts w:ascii="Arial" w:eastAsiaTheme="minorHAns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15:restartNumberingAfterBreak="0">
    <w:nsid w:val="394D6F5A"/>
    <w:multiLevelType w:val="hybridMultilevel"/>
    <w:tmpl w:val="7300555A"/>
    <w:lvl w:ilvl="0" w:tplc="C66E09F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8AE70E1"/>
    <w:multiLevelType w:val="hybridMultilevel"/>
    <w:tmpl w:val="9426ED0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D95086"/>
    <w:multiLevelType w:val="hybridMultilevel"/>
    <w:tmpl w:val="35E27A1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6D2622A"/>
    <w:multiLevelType w:val="hybridMultilevel"/>
    <w:tmpl w:val="CA5A6CB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4B3D04"/>
    <w:multiLevelType w:val="hybridMultilevel"/>
    <w:tmpl w:val="F6A833E8"/>
    <w:lvl w:ilvl="0" w:tplc="82CAFA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D60054"/>
    <w:multiLevelType w:val="hybridMultilevel"/>
    <w:tmpl w:val="F790E5DA"/>
    <w:lvl w:ilvl="0" w:tplc="04050019">
      <w:start w:val="1"/>
      <w:numFmt w:val="lowerLetter"/>
      <w:lvlText w:val="%1."/>
      <w:lvlJc w:val="left"/>
      <w:pPr>
        <w:tabs>
          <w:tab w:val="num" w:pos="720"/>
        </w:tabs>
        <w:ind w:left="720" w:hanging="360"/>
      </w:pPr>
      <w:rPr>
        <w:rFonts w:hint="default"/>
      </w:rPr>
    </w:lvl>
    <w:lvl w:ilvl="1" w:tplc="995275E0">
      <w:start w:val="3"/>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10"/>
  </w:num>
  <w:num w:numId="5">
    <w:abstractNumId w:val="4"/>
  </w:num>
  <w:num w:numId="6">
    <w:abstractNumId w:val="4"/>
  </w:num>
  <w:num w:numId="7">
    <w:abstractNumId w:val="4"/>
  </w:num>
  <w:num w:numId="8">
    <w:abstractNumId w:val="4"/>
  </w:num>
  <w:num w:numId="9">
    <w:abstractNumId w:val="4"/>
  </w:num>
  <w:num w:numId="10">
    <w:abstractNumId w:val="2"/>
  </w:num>
  <w:num w:numId="11">
    <w:abstractNumId w:val="1"/>
  </w:num>
  <w:num w:numId="12">
    <w:abstractNumId w:val="7"/>
  </w:num>
  <w:num w:numId="13">
    <w:abstractNumId w:val="0"/>
  </w:num>
  <w:num w:numId="14">
    <w:abstractNumId w:val="6"/>
  </w:num>
  <w:num w:numId="15">
    <w:abstractNumId w:val="11"/>
  </w:num>
  <w:num w:numId="16">
    <w:abstractNumId w:val="8"/>
  </w:num>
  <w:num w:numId="17">
    <w:abstractNumId w:val="9"/>
  </w:num>
  <w:num w:numId="18">
    <w:abstractNumId w:val="4"/>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74"/>
    <w:rsid w:val="0003568C"/>
    <w:rsid w:val="00183EE7"/>
    <w:rsid w:val="00403BE5"/>
    <w:rsid w:val="0041221A"/>
    <w:rsid w:val="004426DD"/>
    <w:rsid w:val="00442FFC"/>
    <w:rsid w:val="00453804"/>
    <w:rsid w:val="00472413"/>
    <w:rsid w:val="004844CF"/>
    <w:rsid w:val="004B474A"/>
    <w:rsid w:val="00547E74"/>
    <w:rsid w:val="0058051C"/>
    <w:rsid w:val="008E0169"/>
    <w:rsid w:val="009168C0"/>
    <w:rsid w:val="00920650"/>
    <w:rsid w:val="00926796"/>
    <w:rsid w:val="009703EA"/>
    <w:rsid w:val="00B25026"/>
    <w:rsid w:val="00CC30C4"/>
    <w:rsid w:val="00D4490E"/>
    <w:rsid w:val="00D85BE8"/>
    <w:rsid w:val="00DA1C32"/>
    <w:rsid w:val="00DC3926"/>
    <w:rsid w:val="00DD6A5F"/>
    <w:rsid w:val="00F25AE3"/>
    <w:rsid w:val="00F3546E"/>
    <w:rsid w:val="00F77A22"/>
    <w:rsid w:val="00F83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C28D4-3BA0-4D75-8648-D5E0950E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nadpis">
    <w:name w:val="Subtitle"/>
    <w:basedOn w:val="Normln"/>
    <w:next w:val="Normln"/>
    <w:link w:val="PodnadpisChar"/>
    <w:uiPriority w:val="99"/>
    <w:qFormat/>
    <w:rsid w:val="00920650"/>
    <w:pPr>
      <w:spacing w:after="200"/>
    </w:pPr>
    <w:rPr>
      <w:i/>
      <w:iCs/>
      <w:smallCaps/>
      <w:spacing w:val="10"/>
      <w:sz w:val="28"/>
      <w:szCs w:val="28"/>
      <w:lang w:eastAsia="en-US"/>
    </w:rPr>
  </w:style>
  <w:style w:type="character" w:customStyle="1" w:styleId="PodnadpisChar">
    <w:name w:val="Podnadpis Char"/>
    <w:link w:val="Podnadpis"/>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d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 w:type="paragraph" w:styleId="Textbubliny">
    <w:name w:val="Balloon Text"/>
    <w:basedOn w:val="Normln"/>
    <w:link w:val="TextbublinyChar"/>
    <w:uiPriority w:val="99"/>
    <w:semiHidden/>
    <w:unhideWhenUsed/>
    <w:rsid w:val="004B474A"/>
    <w:pPr>
      <w:spacing w:after="0"/>
    </w:pPr>
    <w:rPr>
      <w:rFonts w:ascii="Arial" w:hAnsi="Arial" w:cs="Arial"/>
      <w:sz w:val="16"/>
      <w:szCs w:val="16"/>
    </w:rPr>
  </w:style>
  <w:style w:type="character" w:customStyle="1" w:styleId="TextbublinyChar">
    <w:name w:val="Text bubliny Char"/>
    <w:basedOn w:val="Standardnpsmoodstavce"/>
    <w:link w:val="Textbubliny"/>
    <w:uiPriority w:val="99"/>
    <w:semiHidden/>
    <w:rsid w:val="004B474A"/>
    <w:rPr>
      <w:rFonts w:ascii="Arial" w:hAnsi="Arial" w:cs="Arial"/>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34CCA-755B-4CFE-BAE9-2EE50BB4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2271</Words>
  <Characters>13400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Oplustilova Irena</dc:creator>
  <cp:lastModifiedBy>user</cp:lastModifiedBy>
  <cp:revision>2</cp:revision>
  <cp:lastPrinted>2017-04-10T09:46:00Z</cp:lastPrinted>
  <dcterms:created xsi:type="dcterms:W3CDTF">2020-05-03T15:48:00Z</dcterms:created>
  <dcterms:modified xsi:type="dcterms:W3CDTF">2020-05-03T15:48:00Z</dcterms:modified>
</cp:coreProperties>
</file>