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CBAAD" w14:textId="77777777" w:rsidR="000D2354" w:rsidRDefault="000D2354" w:rsidP="000D2354">
      <w:pPr>
        <w:jc w:val="both"/>
        <w:rPr>
          <w:b/>
          <w:bCs/>
        </w:rPr>
      </w:pPr>
    </w:p>
    <w:p w14:paraId="338E5290" w14:textId="4971DDF4" w:rsidR="00874562" w:rsidRPr="00874562" w:rsidRDefault="00874562" w:rsidP="000D2354">
      <w:pPr>
        <w:jc w:val="both"/>
        <w:rPr>
          <w:b/>
          <w:bCs/>
        </w:rPr>
      </w:pPr>
      <w:r w:rsidRPr="00874562">
        <w:rPr>
          <w:b/>
          <w:bCs/>
        </w:rPr>
        <w:t>Factor-Based Portfolio Management: The Next Generation of Investment Strategies</w:t>
      </w:r>
    </w:p>
    <w:p w14:paraId="6F08D481" w14:textId="77777777" w:rsidR="000D2354" w:rsidRDefault="000D2354" w:rsidP="000D2354">
      <w:pPr>
        <w:spacing w:after="100" w:line="312" w:lineRule="auto"/>
        <w:jc w:val="both"/>
        <w:rPr>
          <w:rFonts w:asciiTheme="majorHAnsi" w:hAnsiTheme="majorHAnsi" w:cstheme="majorHAnsi"/>
          <w:szCs w:val="20"/>
        </w:rPr>
      </w:pPr>
    </w:p>
    <w:p w14:paraId="69894E28" w14:textId="439966C8" w:rsidR="002064AF" w:rsidRPr="000540AC" w:rsidRDefault="002064AF" w:rsidP="000D2354">
      <w:pPr>
        <w:spacing w:after="100" w:line="312" w:lineRule="auto"/>
        <w:jc w:val="both"/>
        <w:rPr>
          <w:rFonts w:asciiTheme="majorHAnsi" w:hAnsiTheme="majorHAnsi" w:cstheme="majorHAnsi"/>
          <w:szCs w:val="20"/>
        </w:rPr>
      </w:pPr>
      <w:r w:rsidRPr="000540AC">
        <w:rPr>
          <w:rFonts w:asciiTheme="majorHAnsi" w:hAnsiTheme="majorHAnsi" w:cstheme="majorHAnsi"/>
          <w:szCs w:val="20"/>
        </w:rPr>
        <w:t>1. Introduction</w:t>
      </w:r>
    </w:p>
    <w:p w14:paraId="0BE5F74C" w14:textId="2643F66B" w:rsidR="00874562" w:rsidRPr="00321D27" w:rsidRDefault="00874562" w:rsidP="000D2354">
      <w:pPr>
        <w:jc w:val="both"/>
      </w:pPr>
      <w:r>
        <w:tab/>
      </w:r>
      <w:r w:rsidRPr="00321D27">
        <w:t>Factor investing, also known as smart beta, has become an increasingly popular investment strategy in recent years. This approach involves constructing a portfolio based on specific factors, such as value, size, momentum, quality, and volatility, rather than simply tracking a market index. The idea behind factor investing is to systematically capture sources of risk and return that are not explained by traditional asset pricing models. Proponents of factor investing argue that it can provide investors with higher risk-adjusted returns, improved diversification, and more consistent performance over time.</w:t>
      </w:r>
    </w:p>
    <w:p w14:paraId="104CE74B" w14:textId="77777777" w:rsidR="00874562" w:rsidRPr="00321D27" w:rsidRDefault="00874562" w:rsidP="000D2354">
      <w:pPr>
        <w:jc w:val="both"/>
      </w:pPr>
      <w:r>
        <w:tab/>
      </w:r>
      <w:r w:rsidRPr="00321D27">
        <w:t xml:space="preserve">Despite the growing interest in factor investing, there is still some debate over its efficacy and the best way to implement it in practice. Some studies have found evidence that certain factors, such as value and momentum, have historically delivered excess returns, while others have found that factor-based strategies can be prone to periods of underperformance or drawdowns. </w:t>
      </w:r>
    </w:p>
    <w:p w14:paraId="7151E310" w14:textId="77777777" w:rsidR="00874562" w:rsidRPr="00321D27" w:rsidRDefault="00874562" w:rsidP="000D2354">
      <w:pPr>
        <w:jc w:val="both"/>
      </w:pPr>
      <w:r>
        <w:tab/>
      </w:r>
      <w:r w:rsidRPr="00321D27">
        <w:t>This literature review aims to provide a comprehensive overview of the current state of research on factor investing. It will examine the theoretical foundations of factor investing, the empirical evidence on the performance of different factors and factor-based strategies, and the practical considerations involved in implementing a factor-based portfolio. By synthesizing the existing literature on factor investing, this review aims to shed light on the potential benefits and limitations of this investment approach and provide guidance for investors looking to incorporate factor-based strategies into their portfolios.</w:t>
      </w:r>
    </w:p>
    <w:p w14:paraId="27C19C58" w14:textId="40CD4E80" w:rsidR="002064AF" w:rsidRPr="000540AC" w:rsidRDefault="002064AF" w:rsidP="000D2354">
      <w:pPr>
        <w:spacing w:after="100" w:line="312" w:lineRule="auto"/>
        <w:jc w:val="both"/>
        <w:rPr>
          <w:rFonts w:asciiTheme="majorHAnsi" w:hAnsiTheme="majorHAnsi" w:cstheme="majorHAnsi"/>
          <w:szCs w:val="20"/>
        </w:rPr>
      </w:pPr>
      <w:r w:rsidRPr="000540AC">
        <w:rPr>
          <w:rFonts w:asciiTheme="majorHAnsi" w:hAnsiTheme="majorHAnsi" w:cstheme="majorHAnsi"/>
          <w:szCs w:val="20"/>
        </w:rPr>
        <w:t xml:space="preserve">2. </w:t>
      </w:r>
      <w:r w:rsidR="00894A78" w:rsidRPr="000540AC">
        <w:rPr>
          <w:rFonts w:asciiTheme="majorHAnsi" w:hAnsiTheme="majorHAnsi" w:cstheme="majorHAnsi"/>
          <w:szCs w:val="20"/>
        </w:rPr>
        <w:t>Literature review</w:t>
      </w:r>
      <w:r w:rsidRPr="000540AC">
        <w:rPr>
          <w:rFonts w:asciiTheme="majorHAnsi" w:hAnsiTheme="majorHAnsi" w:cstheme="majorHAnsi"/>
          <w:szCs w:val="20"/>
        </w:rPr>
        <w:tab/>
      </w:r>
      <w:r w:rsidR="0047177B" w:rsidRPr="000540AC">
        <w:rPr>
          <w:rFonts w:asciiTheme="majorHAnsi" w:hAnsiTheme="majorHAnsi" w:cstheme="majorHAnsi"/>
          <w:szCs w:val="20"/>
        </w:rPr>
        <w:tab/>
      </w:r>
    </w:p>
    <w:p w14:paraId="187FE493" w14:textId="185136D3" w:rsidR="00874562" w:rsidRDefault="00874562" w:rsidP="000D2354">
      <w:pPr>
        <w:jc w:val="both"/>
      </w:pPr>
      <w:r>
        <w:tab/>
      </w:r>
      <w:r w:rsidRPr="00321D27">
        <w:t>The implementation of factor investing in currency portfolio management is one area of study in this area of research.  The relation between factor investing and currency portfolio management is examined at by Li, Zhang, and Cerrato (2023). The authors argue that a variety of common factors, including interest rate differences, economic expansion, and political stability, are what cause currency changes. Investors may be able to capture excess gains and enhance risk management by building a currency portfolio based on these variables. The authors discover that, particularly during times of excessive market volatility, factor-based currency portfolios outperform conventional currency portfolios.</w:t>
      </w:r>
      <w:r>
        <w:t xml:space="preserve"> </w:t>
      </w:r>
      <w:r w:rsidRPr="00A25D8E">
        <w:t>Bermejo et al. (2021) suggest a system to determine stocks based on a few variables, such as value, momentum, quality, and size. The European equities market is an ideal environment for the authors' application of this methodology, and they discover that factor-based portfolios beat the market index in terms of risk-adjusted returns. Additionally, they discover that over time, factor-based portfolio performance surpasses the market index.</w:t>
      </w:r>
    </w:p>
    <w:p w14:paraId="624E5D99" w14:textId="63E22034" w:rsidR="00874562" w:rsidRDefault="00874562" w:rsidP="000D2354">
      <w:pPr>
        <w:jc w:val="both"/>
      </w:pPr>
      <w:r>
        <w:tab/>
      </w:r>
      <w:r w:rsidRPr="00A25D8E">
        <w:t xml:space="preserve">There are applications in different types of assets, including as real estate, even though most studies on factor investing concentrate on stocks. Some of the factors that buyers and investors consider while purchasing property in hillside areas are examined by Ali and Chua (2023). The authors </w:t>
      </w:r>
      <w:r>
        <w:t xml:space="preserve">suggest </w:t>
      </w:r>
      <w:r w:rsidRPr="00A25D8E">
        <w:t xml:space="preserve">that the price of real estate in hillside locations is significantly influenced by variables like location, view, and accessibility. They </w:t>
      </w:r>
      <w:r>
        <w:t xml:space="preserve">examine </w:t>
      </w:r>
      <w:r w:rsidRPr="00A25D8E">
        <w:t>that investors who take these aspects into account before buying properties could potentially be able to achieve higher returns.</w:t>
      </w:r>
    </w:p>
    <w:p w14:paraId="369F30D6" w14:textId="42873072" w:rsidR="00874562" w:rsidRPr="007400C3" w:rsidRDefault="00874562" w:rsidP="000D2354">
      <w:pPr>
        <w:jc w:val="both"/>
      </w:pPr>
      <w:r>
        <w:tab/>
      </w:r>
      <w:r w:rsidRPr="007400C3">
        <w:t>Factor investing involves the crucial aspect of risk management. In a study by Nazaire et al. (2021), the effectiveness of factor-based diversification in managing risk was investigated. The authors assert that factor-based strategies have the potential to enhance risk management by diversifying across various risk factors like value, momentum, and quality. However, they discovered that the efficiency of factor-based diversification relies on the correlation structure between the risk factors.</w:t>
      </w:r>
    </w:p>
    <w:p w14:paraId="5B08DFBC" w14:textId="437D75D5" w:rsidR="00874562" w:rsidRDefault="00874562" w:rsidP="000D2354">
      <w:pPr>
        <w:jc w:val="both"/>
      </w:pPr>
      <w:r>
        <w:lastRenderedPageBreak/>
        <w:tab/>
      </w:r>
      <w:r w:rsidRPr="007400C3">
        <w:t>Ultimately, Chen, Yao, and Zhao (2019) evaluate the extent to which investors take into account state-controlled enterprises' risk-factor disclosures when they make investment decisions. The authors demonstrate that despite the fact that state-controlled enterprises' risk-factor disclosures are linked to increased risk and lower returns, investors frequently ignore them. This indicates that investors could not completely consider risk concerns in their investment decisions due to behavioral biases.</w:t>
      </w:r>
    </w:p>
    <w:p w14:paraId="7B376A30" w14:textId="750BDFB9" w:rsidR="00874562" w:rsidRPr="00FE29AB" w:rsidRDefault="00874562" w:rsidP="000D2354">
      <w:pPr>
        <w:jc w:val="both"/>
      </w:pPr>
      <w:r>
        <w:tab/>
        <w:t>Finally</w:t>
      </w:r>
      <w:r w:rsidRPr="00FE29AB">
        <w:t xml:space="preserve">, factor investing is a type of portfolio management that focuses on locating and pursuing variables that are thought to influence asset returns. This strategy offers investors the chance to diversify their portfolio across </w:t>
      </w:r>
      <w:r w:rsidR="00326062" w:rsidRPr="00FE29AB">
        <w:t>several</w:t>
      </w:r>
      <w:r w:rsidRPr="00FE29AB">
        <w:t xml:space="preserve"> variables rather than just relying on market capitalization weighting, which is one of its main advantages. Insights into the application of factor investing in the setting of urban environments are provided by the research conducted by Khrulkov et al. (2020). The authors highlight the potential for factor investing to be utilized for the assessment of metropolitan areas as investment prospects by creating a multi-factor approach to investment appeal assessment. </w:t>
      </w:r>
    </w:p>
    <w:p w14:paraId="74837397" w14:textId="5DBD7561" w:rsidR="002064AF" w:rsidRPr="000540AC" w:rsidRDefault="002064AF" w:rsidP="000D2354">
      <w:pPr>
        <w:spacing w:after="100" w:line="312" w:lineRule="auto"/>
        <w:jc w:val="both"/>
        <w:rPr>
          <w:rFonts w:asciiTheme="majorHAnsi" w:hAnsiTheme="majorHAnsi" w:cstheme="majorHAnsi"/>
          <w:szCs w:val="20"/>
        </w:rPr>
      </w:pPr>
      <w:r w:rsidRPr="000540AC">
        <w:rPr>
          <w:rFonts w:asciiTheme="majorHAnsi" w:hAnsiTheme="majorHAnsi" w:cstheme="majorHAnsi"/>
          <w:szCs w:val="20"/>
        </w:rPr>
        <w:t>3. Conclusion</w:t>
      </w:r>
    </w:p>
    <w:p w14:paraId="72CDFEDE" w14:textId="20484EF2" w:rsidR="00874562" w:rsidRPr="00FE29AB" w:rsidRDefault="00874562" w:rsidP="000D2354">
      <w:pPr>
        <w:jc w:val="both"/>
      </w:pPr>
      <w:r>
        <w:tab/>
      </w:r>
      <w:r w:rsidRPr="00FE29AB">
        <w:t>One example of successful factor investing is the approach used by the investment management firm AQR Capital Management. AQR's factor-based strategies have consistently delivered positive returns, even in challenging market conditions. For instance, during the 2008 financial crisis, AQR's Absolute Return Fund managed to generate a positive return while most other investment funds suffered significant losses. AQR's success in factor investing can be attributed to several factors, including its focus on robust research, disciplined risk management, and its ability to adapt its strategies to changing market conditions. Additionally, the firm's approach is highly transparent, with detailed information provided to investors about the factors driving performance.</w:t>
      </w:r>
    </w:p>
    <w:p w14:paraId="01B2E60E" w14:textId="07B489F3" w:rsidR="000D2354" w:rsidRDefault="00874562" w:rsidP="006E5B46">
      <w:pPr>
        <w:jc w:val="both"/>
        <w:rPr>
          <w:rFonts w:asciiTheme="majorHAnsi" w:hAnsiTheme="majorHAnsi" w:cstheme="majorHAnsi"/>
          <w:szCs w:val="20"/>
        </w:rPr>
      </w:pPr>
      <w:r>
        <w:tab/>
      </w:r>
      <w:r w:rsidR="000D2354" w:rsidRPr="000D2354">
        <w:t>In conclusion, factor investing is a practical method of managing a portfolio that includes a variety of assets. Numerous studies have looked at the connections between factor investing and portfolios of stocks, bonds, real estate, and cities. According to the research, by creating portfolios based on common elements like interest rate differences, economic growth, political stability, location, perspective, and accessibility, investors can maximize gains and improve risk management. Additionally, factor-based portfolios perform better than traditional portfolios, particularly during periods of high market volatility. Through factor investing, portfolios can potentially be diversified across a few different factors rather than just depending on market capitalization weighting. The correlation structure between risk factors, however, is what determines how effective factor-based diversification is. Additionally, investors may overlook risks associated with state-controlled enterprises, indicating behavioral biases that could impact investment decisions. The application of factor investing in urban environments provides insights into creating a multi-factor approach to assess metropolitan areas as investment prospects. Overall, factor investing can enhance returns and risk management for investors seeking to optimize their portfolios.</w:t>
      </w:r>
    </w:p>
    <w:p w14:paraId="551C9EB6" w14:textId="4BF49988" w:rsidR="002064AF" w:rsidRPr="000540AC" w:rsidRDefault="002064AF" w:rsidP="000D2354">
      <w:pPr>
        <w:spacing w:after="200" w:line="276" w:lineRule="auto"/>
        <w:jc w:val="both"/>
        <w:rPr>
          <w:rFonts w:asciiTheme="majorHAnsi" w:hAnsiTheme="majorHAnsi" w:cstheme="majorHAnsi"/>
          <w:szCs w:val="20"/>
        </w:rPr>
      </w:pPr>
      <w:r w:rsidRPr="000540AC">
        <w:rPr>
          <w:rFonts w:asciiTheme="majorHAnsi" w:hAnsiTheme="majorHAnsi" w:cstheme="majorHAnsi"/>
          <w:szCs w:val="20"/>
        </w:rPr>
        <w:t>4. Resources:</w:t>
      </w:r>
    </w:p>
    <w:p w14:paraId="0EF979AD" w14:textId="77777777" w:rsidR="00874562" w:rsidRPr="006E5B46" w:rsidRDefault="00874562" w:rsidP="000D2354">
      <w:pPr>
        <w:pStyle w:val="ListParagraph"/>
        <w:numPr>
          <w:ilvl w:val="0"/>
          <w:numId w:val="43"/>
        </w:numPr>
        <w:spacing w:before="100" w:beforeAutospacing="1" w:after="100" w:afterAutospacing="1" w:line="240" w:lineRule="auto"/>
        <w:jc w:val="both"/>
        <w:rPr>
          <w:rFonts w:ascii="Times New Roman" w:eastAsia="Times New Roman" w:hAnsi="Times New Roman"/>
          <w:color w:val="000000"/>
          <w:sz w:val="16"/>
          <w:szCs w:val="16"/>
          <w:lang w:eastAsia="en-GB"/>
        </w:rPr>
      </w:pPr>
      <w:r w:rsidRPr="006E5B46">
        <w:rPr>
          <w:rFonts w:ascii="Times New Roman" w:eastAsia="Times New Roman" w:hAnsi="Times New Roman"/>
          <w:color w:val="000000"/>
          <w:sz w:val="16"/>
          <w:szCs w:val="16"/>
          <w:lang w:eastAsia="en-GB"/>
        </w:rPr>
        <w:t>Li, D., Zhang, Z., &amp; Cerrato, M. (2023, May). Factor investing and currency portfolio management. </w:t>
      </w:r>
      <w:r w:rsidRPr="006E5B46">
        <w:rPr>
          <w:rFonts w:ascii="Times New Roman" w:eastAsia="Times New Roman" w:hAnsi="Times New Roman"/>
          <w:i/>
          <w:iCs/>
          <w:color w:val="000000"/>
          <w:sz w:val="16"/>
          <w:szCs w:val="16"/>
          <w:lang w:eastAsia="en-GB"/>
        </w:rPr>
        <w:t>International Review of Financial Analysis</w:t>
      </w:r>
      <w:r w:rsidRPr="006E5B46">
        <w:rPr>
          <w:rFonts w:ascii="Times New Roman" w:eastAsia="Times New Roman" w:hAnsi="Times New Roman"/>
          <w:color w:val="000000"/>
          <w:sz w:val="16"/>
          <w:szCs w:val="16"/>
          <w:lang w:eastAsia="en-GB"/>
        </w:rPr>
        <w:t>, </w:t>
      </w:r>
      <w:r w:rsidRPr="006E5B46">
        <w:rPr>
          <w:rFonts w:ascii="Times New Roman" w:eastAsia="Times New Roman" w:hAnsi="Times New Roman"/>
          <w:i/>
          <w:iCs/>
          <w:color w:val="000000"/>
          <w:sz w:val="16"/>
          <w:szCs w:val="16"/>
          <w:lang w:eastAsia="en-GB"/>
        </w:rPr>
        <w:t>87</w:t>
      </w:r>
      <w:r w:rsidRPr="006E5B46">
        <w:rPr>
          <w:rFonts w:ascii="Times New Roman" w:eastAsia="Times New Roman" w:hAnsi="Times New Roman"/>
          <w:color w:val="000000"/>
          <w:sz w:val="16"/>
          <w:szCs w:val="16"/>
          <w:lang w:eastAsia="en-GB"/>
        </w:rPr>
        <w:t>, 102626. https://doi.org/10.1016/j.irfa.2023.102626</w:t>
      </w:r>
    </w:p>
    <w:p w14:paraId="13BD9A0C" w14:textId="77777777" w:rsidR="00874562" w:rsidRPr="006E5B46" w:rsidRDefault="00874562" w:rsidP="000D2354">
      <w:pPr>
        <w:pStyle w:val="ListParagraph"/>
        <w:numPr>
          <w:ilvl w:val="0"/>
          <w:numId w:val="43"/>
        </w:numPr>
        <w:spacing w:before="100" w:beforeAutospacing="1" w:after="100" w:afterAutospacing="1" w:line="240" w:lineRule="auto"/>
        <w:jc w:val="both"/>
        <w:rPr>
          <w:rFonts w:ascii="Times New Roman" w:eastAsia="Times New Roman" w:hAnsi="Times New Roman"/>
          <w:color w:val="000000"/>
          <w:sz w:val="16"/>
          <w:szCs w:val="16"/>
          <w:lang w:eastAsia="en-GB"/>
        </w:rPr>
      </w:pPr>
      <w:r w:rsidRPr="006E5B46">
        <w:rPr>
          <w:rFonts w:ascii="Times New Roman" w:eastAsia="Times New Roman" w:hAnsi="Times New Roman"/>
          <w:color w:val="000000"/>
          <w:sz w:val="16"/>
          <w:szCs w:val="16"/>
          <w:lang w:eastAsia="en-GB"/>
        </w:rPr>
        <w:t>Bermejo, R., Figuerola-Ferretti, I., Hevia, T., &amp; Santos, A. (2021, October). Factor investing: A stock selection methodology for the European equity market. </w:t>
      </w:r>
      <w:r w:rsidRPr="006E5B46">
        <w:rPr>
          <w:rFonts w:ascii="Times New Roman" w:eastAsia="Times New Roman" w:hAnsi="Times New Roman"/>
          <w:i/>
          <w:iCs/>
          <w:color w:val="000000"/>
          <w:sz w:val="16"/>
          <w:szCs w:val="16"/>
          <w:lang w:eastAsia="en-GB"/>
        </w:rPr>
        <w:t>Heliyon</w:t>
      </w:r>
      <w:r w:rsidRPr="006E5B46">
        <w:rPr>
          <w:rFonts w:ascii="Times New Roman" w:eastAsia="Times New Roman" w:hAnsi="Times New Roman"/>
          <w:color w:val="000000"/>
          <w:sz w:val="16"/>
          <w:szCs w:val="16"/>
          <w:lang w:eastAsia="en-GB"/>
        </w:rPr>
        <w:t>, </w:t>
      </w:r>
      <w:r w:rsidRPr="006E5B46">
        <w:rPr>
          <w:rFonts w:ascii="Times New Roman" w:eastAsia="Times New Roman" w:hAnsi="Times New Roman"/>
          <w:i/>
          <w:iCs/>
          <w:color w:val="000000"/>
          <w:sz w:val="16"/>
          <w:szCs w:val="16"/>
          <w:lang w:eastAsia="en-GB"/>
        </w:rPr>
        <w:t>7</w:t>
      </w:r>
      <w:r w:rsidRPr="006E5B46">
        <w:rPr>
          <w:rFonts w:ascii="Times New Roman" w:eastAsia="Times New Roman" w:hAnsi="Times New Roman"/>
          <w:color w:val="000000"/>
          <w:sz w:val="16"/>
          <w:szCs w:val="16"/>
          <w:lang w:eastAsia="en-GB"/>
        </w:rPr>
        <w:t>(10), e08168. https://doi.org/10.1016/j.heliyon.2021.e08168</w:t>
      </w:r>
    </w:p>
    <w:p w14:paraId="6BCB7AAD" w14:textId="77777777" w:rsidR="00874562" w:rsidRPr="006E5B46" w:rsidRDefault="00874562" w:rsidP="000D2354">
      <w:pPr>
        <w:pStyle w:val="ListParagraph"/>
        <w:numPr>
          <w:ilvl w:val="0"/>
          <w:numId w:val="43"/>
        </w:numPr>
        <w:spacing w:before="100" w:beforeAutospacing="1" w:after="100" w:afterAutospacing="1" w:line="240" w:lineRule="auto"/>
        <w:jc w:val="both"/>
        <w:rPr>
          <w:rFonts w:ascii="Times New Roman" w:eastAsia="Times New Roman" w:hAnsi="Times New Roman"/>
          <w:color w:val="000000"/>
          <w:sz w:val="16"/>
          <w:szCs w:val="16"/>
          <w:lang w:eastAsia="en-GB"/>
        </w:rPr>
      </w:pPr>
      <w:r w:rsidRPr="006E5B46">
        <w:rPr>
          <w:rFonts w:ascii="Times New Roman" w:eastAsia="Times New Roman" w:hAnsi="Times New Roman"/>
          <w:color w:val="000000"/>
          <w:sz w:val="16"/>
          <w:szCs w:val="16"/>
          <w:lang w:eastAsia="en-GB"/>
        </w:rPr>
        <w:t>Ali, A. S., &amp; Chua, S. J. L. (2023, February). Factors influencing buyers’ and investors’ decisions in acquiring property in hillside areas. </w:t>
      </w:r>
      <w:r w:rsidRPr="006E5B46">
        <w:rPr>
          <w:rFonts w:ascii="Times New Roman" w:eastAsia="Times New Roman" w:hAnsi="Times New Roman"/>
          <w:i/>
          <w:iCs/>
          <w:color w:val="000000"/>
          <w:sz w:val="16"/>
          <w:szCs w:val="16"/>
          <w:lang w:eastAsia="en-GB"/>
        </w:rPr>
        <w:t>Ain Shams Engineering Journal</w:t>
      </w:r>
      <w:r w:rsidRPr="006E5B46">
        <w:rPr>
          <w:rFonts w:ascii="Times New Roman" w:eastAsia="Times New Roman" w:hAnsi="Times New Roman"/>
          <w:color w:val="000000"/>
          <w:sz w:val="16"/>
          <w:szCs w:val="16"/>
          <w:lang w:eastAsia="en-GB"/>
        </w:rPr>
        <w:t>, </w:t>
      </w:r>
      <w:r w:rsidRPr="006E5B46">
        <w:rPr>
          <w:rFonts w:ascii="Times New Roman" w:eastAsia="Times New Roman" w:hAnsi="Times New Roman"/>
          <w:i/>
          <w:iCs/>
          <w:color w:val="000000"/>
          <w:sz w:val="16"/>
          <w:szCs w:val="16"/>
          <w:lang w:eastAsia="en-GB"/>
        </w:rPr>
        <w:t>14</w:t>
      </w:r>
      <w:r w:rsidRPr="006E5B46">
        <w:rPr>
          <w:rFonts w:ascii="Times New Roman" w:eastAsia="Times New Roman" w:hAnsi="Times New Roman"/>
          <w:color w:val="000000"/>
          <w:sz w:val="16"/>
          <w:szCs w:val="16"/>
          <w:lang w:eastAsia="en-GB"/>
        </w:rPr>
        <w:t>(1), 101827. https://doi.org/10.1016/j.asej.2022.101827</w:t>
      </w:r>
    </w:p>
    <w:p w14:paraId="782E2127" w14:textId="77777777" w:rsidR="00874562" w:rsidRPr="006E5B46" w:rsidRDefault="00874562" w:rsidP="000D2354">
      <w:pPr>
        <w:pStyle w:val="ListParagraph"/>
        <w:numPr>
          <w:ilvl w:val="0"/>
          <w:numId w:val="43"/>
        </w:numPr>
        <w:spacing w:before="100" w:beforeAutospacing="1" w:after="100" w:afterAutospacing="1" w:line="240" w:lineRule="auto"/>
        <w:jc w:val="both"/>
        <w:rPr>
          <w:rFonts w:ascii="Times New Roman" w:eastAsia="Times New Roman" w:hAnsi="Times New Roman"/>
          <w:color w:val="000000"/>
          <w:sz w:val="16"/>
          <w:szCs w:val="16"/>
          <w:lang w:eastAsia="en-GB"/>
        </w:rPr>
      </w:pPr>
      <w:r w:rsidRPr="006E5B46">
        <w:rPr>
          <w:rFonts w:ascii="Times New Roman" w:eastAsia="Times New Roman" w:hAnsi="Times New Roman"/>
          <w:color w:val="000000"/>
          <w:sz w:val="16"/>
          <w:szCs w:val="16"/>
          <w:lang w:eastAsia="en-GB"/>
        </w:rPr>
        <w:t>Nazaire, G., Pacurar, M., &amp; Sy, O. (2021, July). Factor Investing and Risk Management: Is Smart-Beta Diversification Smart? </w:t>
      </w:r>
      <w:r w:rsidRPr="006E5B46">
        <w:rPr>
          <w:rFonts w:ascii="Times New Roman" w:eastAsia="Times New Roman" w:hAnsi="Times New Roman"/>
          <w:i/>
          <w:iCs/>
          <w:color w:val="000000"/>
          <w:sz w:val="16"/>
          <w:szCs w:val="16"/>
          <w:lang w:eastAsia="en-GB"/>
        </w:rPr>
        <w:t>Finance Research Letters</w:t>
      </w:r>
      <w:r w:rsidRPr="006E5B46">
        <w:rPr>
          <w:rFonts w:ascii="Times New Roman" w:eastAsia="Times New Roman" w:hAnsi="Times New Roman"/>
          <w:color w:val="000000"/>
          <w:sz w:val="16"/>
          <w:szCs w:val="16"/>
          <w:lang w:eastAsia="en-GB"/>
        </w:rPr>
        <w:t>, </w:t>
      </w:r>
      <w:r w:rsidRPr="006E5B46">
        <w:rPr>
          <w:rFonts w:ascii="Times New Roman" w:eastAsia="Times New Roman" w:hAnsi="Times New Roman"/>
          <w:i/>
          <w:iCs/>
          <w:color w:val="000000"/>
          <w:sz w:val="16"/>
          <w:szCs w:val="16"/>
          <w:lang w:eastAsia="en-GB"/>
        </w:rPr>
        <w:t>41</w:t>
      </w:r>
      <w:r w:rsidRPr="006E5B46">
        <w:rPr>
          <w:rFonts w:ascii="Times New Roman" w:eastAsia="Times New Roman" w:hAnsi="Times New Roman"/>
          <w:color w:val="000000"/>
          <w:sz w:val="16"/>
          <w:szCs w:val="16"/>
          <w:lang w:eastAsia="en-GB"/>
        </w:rPr>
        <w:t>, 101854. https://doi.org/10.1016/j.frl.2020.101854</w:t>
      </w:r>
    </w:p>
    <w:p w14:paraId="1CBABAFF" w14:textId="77777777" w:rsidR="00874562" w:rsidRPr="006E5B46" w:rsidRDefault="00874562" w:rsidP="000D2354">
      <w:pPr>
        <w:pStyle w:val="ListParagraph"/>
        <w:numPr>
          <w:ilvl w:val="0"/>
          <w:numId w:val="43"/>
        </w:numPr>
        <w:spacing w:before="100" w:beforeAutospacing="1" w:after="100" w:afterAutospacing="1" w:line="240" w:lineRule="auto"/>
        <w:jc w:val="both"/>
        <w:rPr>
          <w:rFonts w:ascii="Times New Roman" w:eastAsia="Times New Roman" w:hAnsi="Times New Roman"/>
          <w:color w:val="000000"/>
          <w:sz w:val="16"/>
          <w:szCs w:val="16"/>
          <w:lang w:eastAsia="en-GB"/>
        </w:rPr>
      </w:pPr>
      <w:r w:rsidRPr="006E5B46">
        <w:rPr>
          <w:rFonts w:ascii="Times New Roman" w:eastAsia="Times New Roman" w:hAnsi="Times New Roman"/>
          <w:color w:val="000000"/>
          <w:sz w:val="16"/>
          <w:szCs w:val="16"/>
          <w:lang w:eastAsia="en-GB"/>
        </w:rPr>
        <w:t>Chen, F., Yao, Y., &amp; Zhao, M. (2019). Do Investors Turn a Blind Eye to Risk-Factor Disclosures by State-Controlled Firms? </w:t>
      </w:r>
      <w:r w:rsidRPr="006E5B46">
        <w:rPr>
          <w:rFonts w:ascii="Times New Roman" w:eastAsia="Times New Roman" w:hAnsi="Times New Roman"/>
          <w:i/>
          <w:iCs/>
          <w:color w:val="000000"/>
          <w:sz w:val="16"/>
          <w:szCs w:val="16"/>
          <w:lang w:eastAsia="en-GB"/>
        </w:rPr>
        <w:t>SSRN Electronic Journal</w:t>
      </w:r>
      <w:r w:rsidRPr="006E5B46">
        <w:rPr>
          <w:rFonts w:ascii="Times New Roman" w:eastAsia="Times New Roman" w:hAnsi="Times New Roman"/>
          <w:color w:val="000000"/>
          <w:sz w:val="16"/>
          <w:szCs w:val="16"/>
          <w:lang w:eastAsia="en-GB"/>
        </w:rPr>
        <w:t>. https://doi.org/10.2139/ssrn.3347301</w:t>
      </w:r>
    </w:p>
    <w:p w14:paraId="4ADE9DD6" w14:textId="79FF4293" w:rsidR="00215B1F" w:rsidRPr="006E5B46" w:rsidRDefault="00874562" w:rsidP="000D2354">
      <w:pPr>
        <w:pStyle w:val="ListParagraph"/>
        <w:numPr>
          <w:ilvl w:val="0"/>
          <w:numId w:val="43"/>
        </w:numPr>
        <w:spacing w:before="100" w:beforeAutospacing="1" w:after="100" w:afterAutospacing="1" w:line="240" w:lineRule="auto"/>
        <w:jc w:val="both"/>
        <w:rPr>
          <w:rFonts w:ascii="Times New Roman" w:eastAsia="Times New Roman" w:hAnsi="Times New Roman"/>
          <w:color w:val="000000"/>
          <w:sz w:val="16"/>
          <w:szCs w:val="16"/>
          <w:lang w:eastAsia="en-GB"/>
        </w:rPr>
      </w:pPr>
      <w:r w:rsidRPr="006E5B46">
        <w:rPr>
          <w:rFonts w:ascii="Times New Roman" w:eastAsia="Times New Roman" w:hAnsi="Times New Roman"/>
          <w:color w:val="000000"/>
          <w:sz w:val="16"/>
          <w:szCs w:val="16"/>
          <w:lang w:eastAsia="en-GB"/>
        </w:rPr>
        <w:t>Khrulkov, A., Mityagin, S. A., &amp; Repkin, A. I. (2020). Multi-factor approach to investment attractiveness assessment of urban spaces. </w:t>
      </w:r>
      <w:r w:rsidRPr="006E5B46">
        <w:rPr>
          <w:rFonts w:ascii="Times New Roman" w:eastAsia="Times New Roman" w:hAnsi="Times New Roman"/>
          <w:i/>
          <w:iCs/>
          <w:color w:val="000000"/>
          <w:sz w:val="16"/>
          <w:szCs w:val="16"/>
          <w:lang w:eastAsia="en-GB"/>
        </w:rPr>
        <w:t>Procedia Computer Science</w:t>
      </w:r>
      <w:r w:rsidRPr="006E5B46">
        <w:rPr>
          <w:rFonts w:ascii="Times New Roman" w:eastAsia="Times New Roman" w:hAnsi="Times New Roman"/>
          <w:color w:val="000000"/>
          <w:sz w:val="16"/>
          <w:szCs w:val="16"/>
          <w:lang w:eastAsia="en-GB"/>
        </w:rPr>
        <w:t>, </w:t>
      </w:r>
      <w:r w:rsidRPr="006E5B46">
        <w:rPr>
          <w:rFonts w:ascii="Times New Roman" w:eastAsia="Times New Roman" w:hAnsi="Times New Roman"/>
          <w:i/>
          <w:iCs/>
          <w:color w:val="000000"/>
          <w:sz w:val="16"/>
          <w:szCs w:val="16"/>
          <w:lang w:eastAsia="en-GB"/>
        </w:rPr>
        <w:t>178</w:t>
      </w:r>
      <w:r w:rsidRPr="006E5B46">
        <w:rPr>
          <w:rFonts w:ascii="Times New Roman" w:eastAsia="Times New Roman" w:hAnsi="Times New Roman"/>
          <w:color w:val="000000"/>
          <w:sz w:val="16"/>
          <w:szCs w:val="16"/>
          <w:lang w:eastAsia="en-GB"/>
        </w:rPr>
        <w:t>, 94–102. https://doi.org/10.1016/j.procs.2020.11.011</w:t>
      </w:r>
    </w:p>
    <w:sectPr w:rsidR="00215B1F" w:rsidRPr="006E5B46" w:rsidSect="006E5B46">
      <w:footerReference w:type="default" r:id="rId11"/>
      <w:headerReference w:type="first" r:id="rId12"/>
      <w:footerReference w:type="first" r:id="rId13"/>
      <w:pgSz w:w="11906" w:h="16838"/>
      <w:pgMar w:top="1361" w:right="1361" w:bottom="709"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C739E" w14:textId="77777777" w:rsidR="009E104C" w:rsidRDefault="009E104C" w:rsidP="0036679C">
      <w:r>
        <w:separator/>
      </w:r>
    </w:p>
    <w:p w14:paraId="4D3C6FCE" w14:textId="77777777" w:rsidR="009E104C" w:rsidRDefault="009E104C"/>
  </w:endnote>
  <w:endnote w:type="continuationSeparator" w:id="0">
    <w:p w14:paraId="0BAD52CA" w14:textId="77777777" w:rsidR="009E104C" w:rsidRDefault="009E104C" w:rsidP="0036679C">
      <w:r>
        <w:continuationSeparator/>
      </w:r>
    </w:p>
    <w:p w14:paraId="134DC5A2" w14:textId="77777777" w:rsidR="009E104C" w:rsidRDefault="009E104C"/>
  </w:endnote>
  <w:endnote w:type="continuationNotice" w:id="1">
    <w:p w14:paraId="05104591" w14:textId="77777777" w:rsidR="009E104C" w:rsidRDefault="009E104C" w:rsidP="0036679C"/>
    <w:p w14:paraId="5C498166" w14:textId="77777777" w:rsidR="009E104C" w:rsidRDefault="009E1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797A0" w14:textId="77777777" w:rsidR="009E104C" w:rsidRPr="00A510E1" w:rsidRDefault="009E104C" w:rsidP="0036679C">
      <w:r w:rsidRPr="00A510E1">
        <w:separator/>
      </w:r>
    </w:p>
  </w:footnote>
  <w:footnote w:type="continuationSeparator" w:id="0">
    <w:p w14:paraId="28F810A2" w14:textId="77777777" w:rsidR="009E104C" w:rsidRDefault="009E104C" w:rsidP="0036679C">
      <w:r>
        <w:continuationSeparator/>
      </w:r>
    </w:p>
    <w:p w14:paraId="4FA2E72D" w14:textId="77777777" w:rsidR="009E104C" w:rsidRDefault="009E104C"/>
  </w:footnote>
  <w:footnote w:type="continuationNotice" w:id="1">
    <w:p w14:paraId="7C96ACBB" w14:textId="77777777" w:rsidR="009E104C" w:rsidRDefault="009E104C" w:rsidP="0036679C"/>
    <w:p w14:paraId="3B6D6D4E" w14:textId="77777777" w:rsidR="009E104C" w:rsidRDefault="009E10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3E66C112" w:rsidR="006B1EE9" w:rsidRPr="00580E22" w:rsidRDefault="001B28E1" w:rsidP="00585CDF">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2064AF" w:rsidRPr="00580E22">
      <w:rPr>
        <w:rFonts w:cs="Arial"/>
        <w:b/>
        <w:bCs/>
        <w:noProof/>
        <w:color w:val="7F7F7F" w:themeColor="text1" w:themeTint="80"/>
      </w:rPr>
      <w:t xml:space="preserve">Literature review assignment </w:t>
    </w:r>
    <w:r w:rsidR="00585CDF" w:rsidRPr="00580E22">
      <w:rPr>
        <w:rFonts w:cs="Arial"/>
        <w:b/>
        <w:bCs/>
        <w:noProof/>
        <w:color w:val="7F7F7F" w:themeColor="text1" w:themeTint="80"/>
      </w:rPr>
      <w:t xml:space="preserve">assignment (approx. </w:t>
    </w:r>
    <w:r w:rsidR="002064AF" w:rsidRPr="00580E22">
      <w:rPr>
        <w:rFonts w:cs="Arial"/>
        <w:b/>
        <w:bCs/>
        <w:noProof/>
        <w:color w:val="7F7F7F" w:themeColor="text1" w:themeTint="80"/>
      </w:rPr>
      <w:t>100</w:t>
    </w:r>
    <w:r w:rsidR="00585CDF" w:rsidRPr="00580E22">
      <w:rPr>
        <w:rFonts w:cs="Arial"/>
        <w:b/>
        <w:bCs/>
        <w:noProof/>
        <w:color w:val="7F7F7F" w:themeColor="text1" w:themeTint="80"/>
      </w:rPr>
      <w:t>0 words)</w:t>
    </w:r>
  </w:p>
  <w:p w14:paraId="023542B4" w14:textId="2A18CFAF" w:rsidR="006B1EE9" w:rsidRPr="00580E22" w:rsidRDefault="0047177B" w:rsidP="0047177B">
    <w:pPr>
      <w:ind w:left="2124" w:firstLine="708"/>
      <w:rPr>
        <w:rFonts w:cs="Arial"/>
        <w:b/>
        <w:bCs/>
        <w:color w:val="7F7F7F" w:themeColor="text1" w:themeTint="80"/>
      </w:rPr>
    </w:pPr>
    <w:r w:rsidRPr="00580E22">
      <w:rPr>
        <w:rFonts w:cs="Arial"/>
        <w:b/>
        <w:bCs/>
        <w:noProof/>
        <w:color w:val="7F7F7F" w:themeColor="text1" w:themeTint="80"/>
      </w:rPr>
      <w:t xml:space="preserve">Name: </w:t>
    </w:r>
    <w:r w:rsidR="00874562">
      <w:rPr>
        <w:rFonts w:cs="Arial"/>
        <w:b/>
        <w:bCs/>
        <w:noProof/>
        <w:color w:val="7F7F7F" w:themeColor="text1" w:themeTint="80"/>
      </w:rPr>
      <w:t>Kaung Set Lin Htike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5pt;height:11.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7D109C2"/>
    <w:multiLevelType w:val="hybridMultilevel"/>
    <w:tmpl w:val="19927AB0"/>
    <w:lvl w:ilvl="0" w:tplc="43100C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8"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9"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1F02380"/>
    <w:multiLevelType w:val="multilevel"/>
    <w:tmpl w:val="504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9"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CC4E88"/>
    <w:multiLevelType w:val="hybridMultilevel"/>
    <w:tmpl w:val="F64434C2"/>
    <w:lvl w:ilvl="0" w:tplc="315E388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949892250">
    <w:abstractNumId w:val="19"/>
  </w:num>
  <w:num w:numId="2" w16cid:durableId="747731861">
    <w:abstractNumId w:val="6"/>
  </w:num>
  <w:num w:numId="3" w16cid:durableId="1602102083">
    <w:abstractNumId w:val="3"/>
  </w:num>
  <w:num w:numId="4" w16cid:durableId="1330793459">
    <w:abstractNumId w:val="8"/>
  </w:num>
  <w:num w:numId="5" w16cid:durableId="2087412644">
    <w:abstractNumId w:val="15"/>
  </w:num>
  <w:num w:numId="6" w16cid:durableId="403917192">
    <w:abstractNumId w:val="27"/>
  </w:num>
  <w:num w:numId="7" w16cid:durableId="216596653">
    <w:abstractNumId w:val="13"/>
  </w:num>
  <w:num w:numId="8" w16cid:durableId="732390721">
    <w:abstractNumId w:val="25"/>
  </w:num>
  <w:num w:numId="9" w16cid:durableId="663242381">
    <w:abstractNumId w:val="11"/>
  </w:num>
  <w:num w:numId="10" w16cid:durableId="1741245404">
    <w:abstractNumId w:val="24"/>
  </w:num>
  <w:num w:numId="11" w16cid:durableId="147290646">
    <w:abstractNumId w:val="23"/>
  </w:num>
  <w:num w:numId="12" w16cid:durableId="1781099688">
    <w:abstractNumId w:val="26"/>
  </w:num>
  <w:num w:numId="13" w16cid:durableId="1016081394">
    <w:abstractNumId w:val="4"/>
  </w:num>
  <w:num w:numId="14" w16cid:durableId="1478842589">
    <w:abstractNumId w:val="31"/>
  </w:num>
  <w:num w:numId="15" w16cid:durableId="1443303300">
    <w:abstractNumId w:val="34"/>
  </w:num>
  <w:num w:numId="16" w16cid:durableId="1753549301">
    <w:abstractNumId w:val="21"/>
  </w:num>
  <w:num w:numId="17" w16cid:durableId="893467612">
    <w:abstractNumId w:val="7"/>
  </w:num>
  <w:num w:numId="18" w16cid:durableId="768282263">
    <w:abstractNumId w:val="30"/>
  </w:num>
  <w:num w:numId="19" w16cid:durableId="1475609986">
    <w:abstractNumId w:val="1"/>
  </w:num>
  <w:num w:numId="20" w16cid:durableId="986401828">
    <w:abstractNumId w:val="33"/>
  </w:num>
  <w:num w:numId="21" w16cid:durableId="866604474">
    <w:abstractNumId w:val="29"/>
  </w:num>
  <w:num w:numId="22" w16cid:durableId="2142530434">
    <w:abstractNumId w:val="0"/>
  </w:num>
  <w:num w:numId="23" w16cid:durableId="265844218">
    <w:abstractNumId w:val="20"/>
  </w:num>
  <w:num w:numId="24" w16cid:durableId="358968807">
    <w:abstractNumId w:val="12"/>
  </w:num>
  <w:num w:numId="25" w16cid:durableId="1631202759">
    <w:abstractNumId w:val="28"/>
  </w:num>
  <w:num w:numId="26" w16cid:durableId="185870480">
    <w:abstractNumId w:val="9"/>
  </w:num>
  <w:num w:numId="27" w16cid:durableId="708654092">
    <w:abstractNumId w:val="14"/>
  </w:num>
  <w:num w:numId="28" w16cid:durableId="102383469">
    <w:abstractNumId w:val="10"/>
  </w:num>
  <w:num w:numId="29" w16cid:durableId="386880340">
    <w:abstractNumId w:val="2"/>
  </w:num>
  <w:num w:numId="30" w16cid:durableId="138151096">
    <w:abstractNumId w:val="32"/>
  </w:num>
  <w:num w:numId="31" w16cid:durableId="185798041">
    <w:abstractNumId w:val="5"/>
  </w:num>
  <w:num w:numId="32" w16cid:durableId="523835211">
    <w:abstractNumId w:val="5"/>
  </w:num>
  <w:num w:numId="33" w16cid:durableId="1934969029">
    <w:abstractNumId w:val="5"/>
  </w:num>
  <w:num w:numId="34" w16cid:durableId="538667002">
    <w:abstractNumId w:val="5"/>
  </w:num>
  <w:num w:numId="35" w16cid:durableId="2095931489">
    <w:abstractNumId w:val="36"/>
  </w:num>
  <w:num w:numId="36" w16cid:durableId="2116443597">
    <w:abstractNumId w:val="18"/>
  </w:num>
  <w:num w:numId="37" w16cid:durableId="161510526">
    <w:abstractNumId w:val="17"/>
  </w:num>
  <w:num w:numId="38" w16cid:durableId="101333950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5898957">
    <w:abstractNumId w:val="18"/>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343900783">
    <w:abstractNumId w:val="18"/>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2074422361">
    <w:abstractNumId w:val="35"/>
  </w:num>
  <w:num w:numId="42" w16cid:durableId="1579250224">
    <w:abstractNumId w:val="22"/>
  </w:num>
  <w:num w:numId="43" w16cid:durableId="56362949">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2sDA0NbAwMzI2M7dQ0lEKTi0uzszPAykwqgUAW0iMaywAAAA="/>
  </w:docVars>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0A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5EDD"/>
    <w:rsid w:val="000A7217"/>
    <w:rsid w:val="000A7823"/>
    <w:rsid w:val="000B0A0F"/>
    <w:rsid w:val="000B0B9F"/>
    <w:rsid w:val="000B29E7"/>
    <w:rsid w:val="000B2EF5"/>
    <w:rsid w:val="000B5497"/>
    <w:rsid w:val="000B7E9B"/>
    <w:rsid w:val="000C1F40"/>
    <w:rsid w:val="000C2187"/>
    <w:rsid w:val="000C5C5B"/>
    <w:rsid w:val="000D101F"/>
    <w:rsid w:val="000D2354"/>
    <w:rsid w:val="000D279A"/>
    <w:rsid w:val="000D39A1"/>
    <w:rsid w:val="000D5C49"/>
    <w:rsid w:val="000D6144"/>
    <w:rsid w:val="000D7240"/>
    <w:rsid w:val="000D7E9D"/>
    <w:rsid w:val="000E211E"/>
    <w:rsid w:val="000E26A4"/>
    <w:rsid w:val="000E2A7C"/>
    <w:rsid w:val="000E3AE8"/>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17984"/>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064AF"/>
    <w:rsid w:val="00212651"/>
    <w:rsid w:val="0021324C"/>
    <w:rsid w:val="00215A58"/>
    <w:rsid w:val="00215B1F"/>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1EB"/>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062"/>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77B"/>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45DF"/>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0E22"/>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2FAE"/>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E52AA"/>
    <w:rsid w:val="006E5B46"/>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30A8"/>
    <w:rsid w:val="00764236"/>
    <w:rsid w:val="0076426E"/>
    <w:rsid w:val="00764F3A"/>
    <w:rsid w:val="007664F0"/>
    <w:rsid w:val="00771583"/>
    <w:rsid w:val="00772265"/>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68AE"/>
    <w:rsid w:val="008277D2"/>
    <w:rsid w:val="00827998"/>
    <w:rsid w:val="00832BA1"/>
    <w:rsid w:val="00835678"/>
    <w:rsid w:val="00837B61"/>
    <w:rsid w:val="00840667"/>
    <w:rsid w:val="00842831"/>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562"/>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4A78"/>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04C"/>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354"/>
    <w:rPr>
      <w:rFonts w:ascii="Times New Roman" w:eastAsia="Times New Roman" w:hAnsi="Times New Roman"/>
      <w:sz w:val="24"/>
      <w:szCs w:val="24"/>
      <w:lang w:eastAsia="en-GB"/>
    </w:rPr>
  </w:style>
  <w:style w:type="paragraph" w:styleId="Heading1">
    <w:name w:val="heading 1"/>
    <w:basedOn w:val="Normal"/>
    <w:next w:val="Normal"/>
    <w:link w:val="Heading1Char"/>
    <w:qFormat/>
    <w:locked/>
    <w:rsid w:val="00E735D1"/>
    <w:pPr>
      <w:keepNext/>
      <w:keepLines/>
      <w:suppressAutoHyphens/>
      <w:spacing w:before="480" w:after="240"/>
      <w:jc w:val="both"/>
      <w:outlineLvl w:val="0"/>
    </w:pPr>
    <w:rPr>
      <w:rFonts w:asciiTheme="majorHAnsi" w:eastAsiaTheme="majorEastAsia" w:hAnsiTheme="majorHAnsi" w:cstheme="majorBidi"/>
      <w:b/>
      <w:bCs/>
      <w:color w:val="0000DC"/>
      <w:sz w:val="32"/>
      <w:szCs w:val="28"/>
      <w:lang w:val="en-US"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line="276" w:lineRule="auto"/>
      <w:jc w:val="both"/>
      <w:outlineLvl w:val="2"/>
    </w:pPr>
    <w:rPr>
      <w:rFonts w:asciiTheme="majorHAnsi" w:eastAsiaTheme="majorEastAsia" w:hAnsiTheme="majorHAnsi" w:cstheme="majorBidi"/>
      <w:b/>
      <w:color w:val="0000DC"/>
      <w:lang w:val="en-US" w:eastAsia="cs-CZ"/>
    </w:rPr>
  </w:style>
  <w:style w:type="paragraph" w:styleId="Heading4">
    <w:name w:val="heading 4"/>
    <w:basedOn w:val="Normal"/>
    <w:next w:val="Normal"/>
    <w:link w:val="Heading4Char"/>
    <w:unhideWhenUsed/>
    <w:qFormat/>
    <w:locked/>
    <w:rsid w:val="001C59BA"/>
    <w:pPr>
      <w:keepNext/>
      <w:keepLines/>
      <w:spacing w:before="120" w:after="120" w:line="276" w:lineRule="auto"/>
      <w:jc w:val="both"/>
      <w:outlineLvl w:val="3"/>
    </w:pPr>
    <w:rPr>
      <w:rFonts w:asciiTheme="majorHAnsi" w:eastAsiaTheme="majorEastAsia" w:hAnsiTheme="majorHAnsi" w:cstheme="majorBidi"/>
      <w:b/>
      <w:iCs/>
      <w:color w:val="0000DC"/>
      <w:sz w:val="20"/>
      <w:szCs w:val="22"/>
      <w:lang w:val="en-US" w:eastAsia="cs-CZ"/>
    </w:rPr>
  </w:style>
  <w:style w:type="paragraph" w:styleId="Heading5">
    <w:name w:val="heading 5"/>
    <w:basedOn w:val="Normal"/>
    <w:next w:val="Normal"/>
    <w:link w:val="Heading5Char"/>
    <w:unhideWhenUsed/>
    <w:locked/>
    <w:rsid w:val="00C72196"/>
    <w:pPr>
      <w:keepNext/>
      <w:keepLines/>
      <w:spacing w:before="40" w:line="276" w:lineRule="auto"/>
      <w:jc w:val="both"/>
      <w:outlineLvl w:val="4"/>
    </w:pPr>
    <w:rPr>
      <w:rFonts w:asciiTheme="majorHAnsi" w:eastAsiaTheme="majorEastAsia" w:hAnsiTheme="majorHAnsi" w:cstheme="majorBidi"/>
      <w:color w:val="0000DC"/>
      <w:sz w:val="20"/>
      <w:szCs w:val="22"/>
      <w:lang w:val="en-US" w:eastAsia="cs-CZ"/>
    </w:rPr>
  </w:style>
  <w:style w:type="paragraph" w:styleId="Heading6">
    <w:name w:val="heading 6"/>
    <w:basedOn w:val="Normal"/>
    <w:next w:val="Normal"/>
    <w:link w:val="Heading6Char"/>
    <w:unhideWhenUsed/>
    <w:locked/>
    <w:rsid w:val="00C72196"/>
    <w:pPr>
      <w:keepNext/>
      <w:keepLines/>
      <w:spacing w:before="40" w:line="276" w:lineRule="auto"/>
      <w:jc w:val="both"/>
      <w:outlineLvl w:val="5"/>
    </w:pPr>
    <w:rPr>
      <w:rFonts w:asciiTheme="majorHAnsi" w:eastAsiaTheme="majorEastAsia" w:hAnsiTheme="majorHAnsi" w:cstheme="majorBidi"/>
      <w:color w:val="0000DC"/>
      <w:sz w:val="20"/>
      <w:szCs w:val="22"/>
      <w:lang w:val="en-US" w:eastAsia="cs-CZ"/>
    </w:rPr>
  </w:style>
  <w:style w:type="paragraph" w:styleId="Heading7">
    <w:name w:val="heading 7"/>
    <w:basedOn w:val="Normal"/>
    <w:next w:val="Normal"/>
    <w:link w:val="Heading7Char"/>
    <w:unhideWhenUsed/>
    <w:locked/>
    <w:rsid w:val="00C72196"/>
    <w:pPr>
      <w:keepNext/>
      <w:keepLines/>
      <w:spacing w:before="40" w:line="276" w:lineRule="auto"/>
      <w:jc w:val="both"/>
      <w:outlineLvl w:val="6"/>
    </w:pPr>
    <w:rPr>
      <w:rFonts w:asciiTheme="majorHAnsi" w:eastAsiaTheme="majorEastAsia" w:hAnsiTheme="majorHAnsi" w:cstheme="majorBidi"/>
      <w:i/>
      <w:iCs/>
      <w:color w:val="0000DC"/>
      <w:sz w:val="20"/>
      <w:szCs w:val="22"/>
      <w:lang w:val="en-US" w:eastAsia="cs-CZ"/>
    </w:rPr>
  </w:style>
  <w:style w:type="paragraph" w:styleId="Heading8">
    <w:name w:val="heading 8"/>
    <w:basedOn w:val="Normal"/>
    <w:next w:val="Normal"/>
    <w:link w:val="Heading8Char"/>
    <w:unhideWhenUsed/>
    <w:qFormat/>
    <w:locked/>
    <w:rsid w:val="00F04729"/>
    <w:pPr>
      <w:keepNext/>
      <w:keepLines/>
      <w:spacing w:before="40" w:line="276" w:lineRule="auto"/>
      <w:jc w:val="both"/>
      <w:outlineLvl w:val="7"/>
    </w:pPr>
    <w:rPr>
      <w:rFonts w:asciiTheme="majorHAnsi" w:eastAsiaTheme="majorEastAsia" w:hAnsiTheme="majorHAnsi" w:cstheme="majorBidi"/>
      <w:color w:val="272727" w:themeColor="text1" w:themeTint="D8"/>
      <w:sz w:val="21"/>
      <w:szCs w:val="21"/>
      <w:lang w:val="en-U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pPr>
    <w:rPr>
      <w:rFonts w:ascii="Arial" w:eastAsiaTheme="minorHAnsi" w:hAnsi="Arial" w:cstheme="minorBidi"/>
      <w:sz w:val="20"/>
      <w:szCs w:val="22"/>
      <w:lang w:val="en-US"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jc w:val="both"/>
    </w:pPr>
    <w:rPr>
      <w:rFonts w:ascii="Arial" w:eastAsia="MS Mincho" w:hAnsi="Arial"/>
      <w:sz w:val="20"/>
      <w:szCs w:val="22"/>
      <w:lang w:val="en-US" w:eastAsia="cs-CZ"/>
    </w:r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jc w:val="both"/>
    </w:pPr>
    <w:rPr>
      <w:rFonts w:ascii="Arial" w:eastAsia="MS Mincho" w:hAnsi="Arial" w:cs="Arial"/>
      <w:color w:val="0000DC"/>
      <w:sz w:val="16"/>
      <w:szCs w:val="16"/>
      <w:lang w:val="en-US" w:eastAsia="cs-CZ"/>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contextualSpacing/>
      <w:jc w:val="both"/>
    </w:pPr>
    <w:rPr>
      <w:rFonts w:asciiTheme="majorHAnsi" w:eastAsiaTheme="majorEastAsia" w:hAnsiTheme="majorHAnsi" w:cstheme="majorBidi"/>
      <w:spacing w:val="-10"/>
      <w:sz w:val="56"/>
      <w:szCs w:val="56"/>
      <w:lang w:val="en-US"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jc w:val="both"/>
    </w:pPr>
    <w:rPr>
      <w:rFonts w:ascii="Arial" w:eastAsiaTheme="minorHAnsi" w:hAnsi="Arial" w:cstheme="minorBidi"/>
      <w:sz w:val="20"/>
      <w:szCs w:val="21"/>
      <w:lang w:val="en-US"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jc w:val="both"/>
    </w:pPr>
    <w:rPr>
      <w:rFonts w:ascii="Arial" w:hAnsi="Arial"/>
      <w:lang w:val="en-US" w:eastAsia="cs-CZ"/>
    </w:rPr>
  </w:style>
  <w:style w:type="paragraph" w:styleId="FootnoteText">
    <w:name w:val="footnote text"/>
    <w:basedOn w:val="Normal"/>
    <w:link w:val="FootnoteTextChar"/>
    <w:qFormat/>
    <w:rsid w:val="00115D56"/>
    <w:pPr>
      <w:tabs>
        <w:tab w:val="left" w:pos="284"/>
      </w:tabs>
      <w:suppressAutoHyphens/>
      <w:spacing w:line="240" w:lineRule="exact"/>
      <w:ind w:left="113" w:hanging="113"/>
      <w:jc w:val="both"/>
    </w:pPr>
    <w:rPr>
      <w:rFonts w:asciiTheme="majorHAnsi" w:eastAsia="SimSun" w:hAnsiTheme="majorHAnsi"/>
      <w:color w:val="000000" w:themeColor="text1"/>
      <w:sz w:val="16"/>
      <w:szCs w:val="20"/>
      <w:lang w:val="en-US"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after="200"/>
      <w:jc w:val="both"/>
    </w:pPr>
    <w:rPr>
      <w:rFonts w:ascii="Arial" w:eastAsia="MS Mincho" w:hAnsi="Arial"/>
      <w:i/>
      <w:iCs/>
      <w:color w:val="1F497D" w:themeColor="text2"/>
      <w:sz w:val="18"/>
      <w:szCs w:val="18"/>
      <w:lang w:val="en-US" w:eastAsia="cs-CZ"/>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line="276" w:lineRule="auto"/>
      <w:ind w:left="864" w:right="864"/>
      <w:jc w:val="center"/>
    </w:pPr>
    <w:rPr>
      <w:rFonts w:ascii="Arial" w:eastAsia="MS Mincho" w:hAnsi="Arial"/>
      <w:i/>
      <w:iCs/>
      <w:color w:val="0000DC"/>
      <w:sz w:val="20"/>
      <w:szCs w:val="22"/>
      <w:lang w:val="en-US" w:eastAsia="cs-CZ"/>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pPr>
    <w:rPr>
      <w:rFonts w:ascii="Arial" w:eastAsiaTheme="minorHAnsi" w:hAnsi="Arial" w:cstheme="minorBidi"/>
      <w:bCs/>
      <w:sz w:val="20"/>
      <w:szCs w:val="22"/>
      <w:lang w:val="en-US"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line="240" w:lineRule="exact"/>
    </w:pPr>
    <w:rPr>
      <w:rFonts w:ascii="Arial" w:eastAsiaTheme="minorHAnsi" w:hAnsi="Arial" w:cs="Arial"/>
      <w:b/>
      <w:color w:val="0000DC"/>
      <w:sz w:val="16"/>
      <w:szCs w:val="16"/>
      <w:lang w:val="en-US" w:eastAsia="en-US"/>
    </w:rPr>
  </w:style>
  <w:style w:type="paragraph" w:customStyle="1" w:styleId="Nzevdokumentu">
    <w:name w:val="Název dokumentu"/>
    <w:basedOn w:val="Normal"/>
    <w:qFormat/>
    <w:rsid w:val="00DB1743"/>
    <w:pPr>
      <w:spacing w:after="200" w:line="640" w:lineRule="exact"/>
      <w:jc w:val="both"/>
    </w:pPr>
    <w:rPr>
      <w:rFonts w:ascii="Arial" w:eastAsia="MS Mincho" w:hAnsi="Arial"/>
      <w:b/>
      <w:color w:val="0000DC"/>
      <w:sz w:val="52"/>
      <w:szCs w:val="52"/>
      <w:lang w:val="en-US" w:eastAsia="cs-CZ"/>
    </w:rPr>
  </w:style>
  <w:style w:type="paragraph" w:customStyle="1" w:styleId="Podtituldokumentu">
    <w:name w:val="Podtitul dokumentu"/>
    <w:basedOn w:val="Normal"/>
    <w:qFormat/>
    <w:rsid w:val="00EB2CFA"/>
    <w:pPr>
      <w:spacing w:after="200" w:line="276" w:lineRule="auto"/>
      <w:jc w:val="both"/>
    </w:pPr>
    <w:rPr>
      <w:rFonts w:ascii="Arial" w:eastAsia="MS Mincho" w:hAnsi="Arial"/>
      <w:color w:val="0000DC"/>
      <w:sz w:val="52"/>
      <w:szCs w:val="52"/>
      <w:lang w:val="en-US" w:eastAsia="cs-CZ"/>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line="276" w:lineRule="auto"/>
      <w:ind w:left="397" w:hanging="397"/>
      <w:jc w:val="both"/>
    </w:pPr>
    <w:rPr>
      <w:rFonts w:ascii="Arial" w:eastAsia="MS Mincho" w:hAnsi="Arial"/>
      <w:sz w:val="20"/>
      <w:szCs w:val="22"/>
      <w:lang w:val="en-US" w:eastAsia="cs-CZ"/>
    </w:rPr>
  </w:style>
  <w:style w:type="paragraph" w:styleId="TOC2">
    <w:name w:val="toc 2"/>
    <w:basedOn w:val="Normal"/>
    <w:next w:val="Normal"/>
    <w:autoRedefine/>
    <w:uiPriority w:val="39"/>
    <w:locked/>
    <w:rsid w:val="001D7C1D"/>
    <w:pPr>
      <w:tabs>
        <w:tab w:val="left" w:pos="993"/>
        <w:tab w:val="right" w:leader="dot" w:pos="9174"/>
      </w:tabs>
      <w:spacing w:after="120"/>
      <w:ind w:left="964" w:hanging="567"/>
      <w:jc w:val="both"/>
    </w:pPr>
    <w:rPr>
      <w:rFonts w:ascii="Arial" w:eastAsia="MS Mincho" w:hAnsi="Arial"/>
      <w:noProof/>
      <w:sz w:val="20"/>
      <w:szCs w:val="22"/>
      <w:lang w:val="en-US" w:eastAsia="cs-CZ"/>
    </w:rPr>
  </w:style>
  <w:style w:type="paragraph" w:styleId="TOC3">
    <w:name w:val="toc 3"/>
    <w:basedOn w:val="Normal"/>
    <w:next w:val="Normal"/>
    <w:autoRedefine/>
    <w:uiPriority w:val="39"/>
    <w:locked/>
    <w:rsid w:val="00880A53"/>
    <w:pPr>
      <w:tabs>
        <w:tab w:val="right" w:leader="dot" w:pos="9174"/>
      </w:tabs>
      <w:spacing w:after="120"/>
      <w:ind w:left="1276"/>
      <w:jc w:val="both"/>
    </w:pPr>
    <w:rPr>
      <w:rFonts w:ascii="Arial" w:eastAsia="MS Mincho" w:hAnsi="Arial"/>
      <w:noProof/>
      <w:sz w:val="20"/>
      <w:szCs w:val="22"/>
      <w:lang w:val="en-US"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line="276" w:lineRule="auto"/>
      <w:ind w:left="2124"/>
      <w:jc w:val="both"/>
    </w:pPr>
    <w:rPr>
      <w:rFonts w:ascii="Arial" w:eastAsia="MS Mincho" w:hAnsi="Arial"/>
      <w:noProof/>
      <w:sz w:val="20"/>
      <w:szCs w:val="22"/>
      <w:lang w:val="en-US" w:eastAsia="ar-SA"/>
    </w:rPr>
  </w:style>
  <w:style w:type="paragraph" w:customStyle="1" w:styleId="Obrzeknebografnastedspopiskem">
    <w:name w:val="Obrázek nebo graf na střed s popiskem"/>
    <w:basedOn w:val="Normal"/>
    <w:qFormat/>
    <w:rsid w:val="00AA27A4"/>
    <w:pPr>
      <w:spacing w:after="200" w:line="276" w:lineRule="auto"/>
      <w:jc w:val="center"/>
    </w:pPr>
    <w:rPr>
      <w:rFonts w:ascii="Arial" w:eastAsia="MS Mincho" w:hAnsi="Arial"/>
      <w:i/>
      <w:noProof/>
      <w:sz w:val="18"/>
      <w:szCs w:val="22"/>
      <w:lang w:val="en-US" w:eastAsia="cs-CZ"/>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line="276" w:lineRule="auto"/>
      <w:jc w:val="both"/>
    </w:pPr>
    <w:rPr>
      <w:rFonts w:ascii="Arial" w:eastAsiaTheme="minorEastAsia" w:hAnsi="Arial" w:cstheme="minorBidi"/>
      <w:color w:val="000000" w:themeColor="text1"/>
      <w:spacing w:val="15"/>
      <w:sz w:val="22"/>
      <w:szCs w:val="22"/>
      <w:lang w:val="en-US" w:eastAsia="cs-CZ"/>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 w:type="character" w:customStyle="1" w:styleId="apple-converted-space">
    <w:name w:val="apple-converted-space"/>
    <w:basedOn w:val="DefaultParagraphFont"/>
    <w:rsid w:val="0087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3538">
      <w:bodyDiv w:val="1"/>
      <w:marLeft w:val="0"/>
      <w:marRight w:val="0"/>
      <w:marTop w:val="0"/>
      <w:marBottom w:val="0"/>
      <w:divBdr>
        <w:top w:val="none" w:sz="0" w:space="0" w:color="auto"/>
        <w:left w:val="none" w:sz="0" w:space="0" w:color="auto"/>
        <w:bottom w:val="none" w:sz="0" w:space="0" w:color="auto"/>
        <w:right w:val="none" w:sz="0" w:space="0" w:color="auto"/>
      </w:divBdr>
      <w:divsChild>
        <w:div w:id="1355308559">
          <w:marLeft w:val="1138"/>
          <w:marRight w:val="0"/>
          <w:marTop w:val="0"/>
          <w:marBottom w:val="0"/>
          <w:divBdr>
            <w:top w:val="none" w:sz="0" w:space="0" w:color="auto"/>
            <w:left w:val="none" w:sz="0" w:space="0" w:color="auto"/>
            <w:bottom w:val="none" w:sz="0" w:space="0" w:color="auto"/>
            <w:right w:val="none" w:sz="0" w:space="0" w:color="auto"/>
          </w:divBdr>
        </w:div>
      </w:divsChild>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662974545">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414620923">
      <w:bodyDiv w:val="1"/>
      <w:marLeft w:val="0"/>
      <w:marRight w:val="0"/>
      <w:marTop w:val="0"/>
      <w:marBottom w:val="0"/>
      <w:divBdr>
        <w:top w:val="none" w:sz="0" w:space="0" w:color="auto"/>
        <w:left w:val="none" w:sz="0" w:space="0" w:color="auto"/>
        <w:bottom w:val="none" w:sz="0" w:space="0" w:color="auto"/>
        <w:right w:val="none" w:sz="0" w:space="0" w:color="auto"/>
      </w:divBdr>
    </w:div>
    <w:div w:id="1505441239">
      <w:bodyDiv w:val="1"/>
      <w:marLeft w:val="0"/>
      <w:marRight w:val="0"/>
      <w:marTop w:val="0"/>
      <w:marBottom w:val="0"/>
      <w:divBdr>
        <w:top w:val="none" w:sz="0" w:space="0" w:color="auto"/>
        <w:left w:val="none" w:sz="0" w:space="0" w:color="auto"/>
        <w:bottom w:val="none" w:sz="0" w:space="0" w:color="auto"/>
        <w:right w:val="none" w:sz="0" w:space="0" w:color="auto"/>
      </w:divBdr>
    </w:div>
    <w:div w:id="1628315454">
      <w:bodyDiv w:val="1"/>
      <w:marLeft w:val="0"/>
      <w:marRight w:val="0"/>
      <w:marTop w:val="0"/>
      <w:marBottom w:val="0"/>
      <w:divBdr>
        <w:top w:val="none" w:sz="0" w:space="0" w:color="auto"/>
        <w:left w:val="none" w:sz="0" w:space="0" w:color="auto"/>
        <w:bottom w:val="none" w:sz="0" w:space="0" w:color="auto"/>
        <w:right w:val="none" w:sz="0" w:space="0" w:color="auto"/>
      </w:divBdr>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9216771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3.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4.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1</TotalTime>
  <Pages>2</Pages>
  <Words>1282</Words>
  <Characters>7314</Characters>
  <Application>Microsoft Office Word</Application>
  <DocSecurity>0</DocSecurity>
  <Lines>60</Lines>
  <Paragraphs>17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Martin Guzi</cp:lastModifiedBy>
  <cp:revision>4</cp:revision>
  <cp:lastPrinted>2023-04-30T16:05:00Z</cp:lastPrinted>
  <dcterms:created xsi:type="dcterms:W3CDTF">2023-04-27T16:41:00Z</dcterms:created>
  <dcterms:modified xsi:type="dcterms:W3CDTF">2023-04-30T16:06:00Z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