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1239" w14:textId="12F45AC5" w:rsidR="007324F4" w:rsidRDefault="006A4FBC" w:rsidP="004B7A68">
      <w:pPr>
        <w:spacing w:after="100"/>
        <w:rPr>
          <w:rFonts w:asciiTheme="majorHAnsi" w:hAnsiTheme="majorHAnsi" w:cstheme="majorHAnsi"/>
          <w:b/>
          <w:bCs/>
          <w:szCs w:val="20"/>
        </w:rPr>
      </w:pPr>
      <w:r w:rsidRPr="006A4FBC">
        <w:rPr>
          <w:rFonts w:asciiTheme="majorHAnsi" w:hAnsiTheme="majorHAnsi" w:cstheme="majorHAnsi"/>
          <w:b/>
          <w:bCs/>
          <w:szCs w:val="20"/>
        </w:rPr>
        <w:t>Zatuashvili_Eter-Literature_Review_Assignment</w:t>
      </w:r>
    </w:p>
    <w:p w14:paraId="69894E28" w14:textId="63EAE89F"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1. Introduction</w:t>
      </w:r>
    </w:p>
    <w:p w14:paraId="5B9A1A61" w14:textId="2C1495E9" w:rsidR="008755F9" w:rsidRDefault="008755F9" w:rsidP="004B7A68">
      <w:pPr>
        <w:spacing w:after="100"/>
        <w:rPr>
          <w:rFonts w:asciiTheme="majorHAnsi" w:eastAsia="Times New Roman" w:hAnsiTheme="majorHAnsi" w:cstheme="majorHAnsi"/>
          <w:szCs w:val="20"/>
          <w:lang w:eastAsia="en-US"/>
        </w:rPr>
      </w:pPr>
      <w:r w:rsidRPr="008755F9">
        <w:rPr>
          <w:rFonts w:asciiTheme="majorHAnsi" w:eastAsia="Times New Roman" w:hAnsiTheme="majorHAnsi" w:cstheme="majorHAnsi"/>
          <w:szCs w:val="20"/>
          <w:lang w:eastAsia="en-US"/>
        </w:rPr>
        <w:t xml:space="preserve">The financial sector has an important role in economic growth since it mobilizes savings, allocates resources efficiently, and promotes investment. However, it remains essential to consider how central banking policies, banking sector development, financial regulations, and financial development affect economic growth. As a result, </w:t>
      </w:r>
      <w:r w:rsidR="00CE7AB0">
        <w:rPr>
          <w:rFonts w:asciiTheme="majorHAnsi" w:eastAsia="Times New Roman" w:hAnsiTheme="majorHAnsi" w:cstheme="majorHAnsi"/>
          <w:szCs w:val="20"/>
          <w:lang w:eastAsia="en-US"/>
        </w:rPr>
        <w:t>articles</w:t>
      </w:r>
      <w:r w:rsidRPr="008755F9">
        <w:rPr>
          <w:rFonts w:asciiTheme="majorHAnsi" w:eastAsia="Times New Roman" w:hAnsiTheme="majorHAnsi" w:cstheme="majorHAnsi"/>
          <w:szCs w:val="20"/>
          <w:lang w:eastAsia="en-US"/>
        </w:rPr>
        <w:t xml:space="preserve"> investigate these correlations from </w:t>
      </w:r>
      <w:r w:rsidR="00CE7AB0">
        <w:rPr>
          <w:rFonts w:asciiTheme="majorHAnsi" w:eastAsia="Times New Roman" w:hAnsiTheme="majorHAnsi" w:cstheme="majorHAnsi"/>
          <w:szCs w:val="20"/>
          <w:lang w:eastAsia="en-US"/>
        </w:rPr>
        <w:t>different approaches</w:t>
      </w:r>
      <w:r w:rsidRPr="008755F9">
        <w:rPr>
          <w:rFonts w:asciiTheme="majorHAnsi" w:eastAsia="Times New Roman" w:hAnsiTheme="majorHAnsi" w:cstheme="majorHAnsi"/>
          <w:szCs w:val="20"/>
          <w:lang w:eastAsia="en-US"/>
        </w:rPr>
        <w:t>, such as comparative meta-analysis, theoretical perspectives, empirical analysis, and panel data analysis</w:t>
      </w:r>
      <w:r w:rsidR="00CE7AB0">
        <w:rPr>
          <w:rFonts w:asciiTheme="majorHAnsi" w:eastAsia="Times New Roman" w:hAnsiTheme="majorHAnsi" w:cstheme="majorHAnsi"/>
          <w:szCs w:val="20"/>
          <w:lang w:eastAsia="en-US"/>
        </w:rPr>
        <w:t xml:space="preserve">, where </w:t>
      </w:r>
      <w:r w:rsidRPr="008755F9">
        <w:rPr>
          <w:rFonts w:asciiTheme="majorHAnsi" w:eastAsia="Times New Roman" w:hAnsiTheme="majorHAnsi" w:cstheme="majorHAnsi"/>
          <w:szCs w:val="20"/>
          <w:lang w:eastAsia="en-US"/>
        </w:rPr>
        <w:t>other economic growth metrics such as inflation, GDP, and employmen</w:t>
      </w:r>
      <w:r w:rsidR="00CE7AB0">
        <w:rPr>
          <w:rFonts w:asciiTheme="majorHAnsi" w:eastAsia="Times New Roman" w:hAnsiTheme="majorHAnsi" w:cstheme="majorHAnsi"/>
          <w:szCs w:val="20"/>
          <w:lang w:eastAsia="en-US"/>
        </w:rPr>
        <w:t xml:space="preserve">t are </w:t>
      </w:r>
      <w:r w:rsidR="00CE7AB0" w:rsidRPr="008755F9">
        <w:rPr>
          <w:rFonts w:asciiTheme="majorHAnsi" w:eastAsia="Times New Roman" w:hAnsiTheme="majorHAnsi" w:cstheme="majorHAnsi"/>
          <w:szCs w:val="20"/>
          <w:lang w:eastAsia="en-US"/>
        </w:rPr>
        <w:t>also consider</w:t>
      </w:r>
      <w:r w:rsidR="00CE7AB0">
        <w:rPr>
          <w:rFonts w:asciiTheme="majorHAnsi" w:eastAsia="Times New Roman" w:hAnsiTheme="majorHAnsi" w:cstheme="majorHAnsi"/>
          <w:szCs w:val="20"/>
          <w:lang w:eastAsia="en-US"/>
        </w:rPr>
        <w:t>ed.</w:t>
      </w:r>
    </w:p>
    <w:p w14:paraId="59CE4B72" w14:textId="64563E1F" w:rsidR="000540AC" w:rsidRPr="005E60E3" w:rsidRDefault="002064AF" w:rsidP="004B7A68">
      <w:pPr>
        <w:spacing w:after="100"/>
        <w:rPr>
          <w:rFonts w:asciiTheme="majorHAnsi" w:hAnsiTheme="majorHAnsi" w:cstheme="majorHAnsi"/>
          <w:szCs w:val="20"/>
        </w:rPr>
      </w:pPr>
      <w:r w:rsidRPr="00DE7EBC">
        <w:rPr>
          <w:rFonts w:asciiTheme="majorHAnsi" w:hAnsiTheme="majorHAnsi" w:cstheme="majorHAnsi"/>
          <w:szCs w:val="20"/>
        </w:rPr>
        <w:t xml:space="preserve">2. </w:t>
      </w:r>
      <w:r w:rsidR="00894A78" w:rsidRPr="00DE7EBC">
        <w:rPr>
          <w:rFonts w:asciiTheme="majorHAnsi" w:hAnsiTheme="majorHAnsi" w:cstheme="majorHAnsi"/>
          <w:szCs w:val="20"/>
        </w:rPr>
        <w:t>Literature review</w:t>
      </w:r>
      <w:r w:rsidRPr="00DE7EBC">
        <w:rPr>
          <w:rFonts w:asciiTheme="majorHAnsi" w:hAnsiTheme="majorHAnsi" w:cstheme="majorHAnsi"/>
          <w:szCs w:val="20"/>
        </w:rPr>
        <w:tab/>
      </w:r>
      <w:r w:rsidR="0047177B" w:rsidRPr="00DE7EBC">
        <w:rPr>
          <w:rFonts w:asciiTheme="majorHAnsi" w:hAnsiTheme="majorHAnsi" w:cstheme="majorHAnsi"/>
          <w:szCs w:val="20"/>
        </w:rPr>
        <w:tab/>
      </w:r>
    </w:p>
    <w:p w14:paraId="7F9A1705" w14:textId="2F3138D6" w:rsidR="007324F4" w:rsidRDefault="009A71FD" w:rsidP="00B15122">
      <w:pPr>
        <w:spacing w:after="100"/>
        <w:rPr>
          <w:rFonts w:asciiTheme="majorHAnsi" w:hAnsiTheme="majorHAnsi" w:cstheme="majorHAnsi"/>
          <w:szCs w:val="20"/>
        </w:rPr>
      </w:pPr>
      <w:r w:rsidRPr="009A71FD">
        <w:rPr>
          <w:rFonts w:asciiTheme="majorHAnsi" w:hAnsiTheme="majorHAnsi" w:cstheme="majorHAnsi"/>
          <w:szCs w:val="20"/>
        </w:rPr>
        <w:t>Central banks are key institutions in modern economies, with the objective of promoting price stability, stimulating economic growth, and ensuring financial stability. This review of the literature includes different aspects of this relationship, such as theoretical points of view on the impact of central bank independence on inflation in transition economies, the link between banking sector development and productivity growth in transition economies, The impact of financial development on European Union (EU) economic growth, and finally investigating the relationship between financial development and economic growth in the EU during the recent crisis</w:t>
      </w:r>
      <w:r>
        <w:rPr>
          <w:rFonts w:asciiTheme="majorHAnsi" w:hAnsiTheme="majorHAnsi" w:cstheme="majorHAnsi"/>
          <w:szCs w:val="20"/>
        </w:rPr>
        <w:t>.</w:t>
      </w:r>
    </w:p>
    <w:p w14:paraId="5EE94A8E" w14:textId="1E77DFB9" w:rsidR="00B15122" w:rsidRPr="00705EDA" w:rsidRDefault="00C059E4" w:rsidP="00B15122">
      <w:pPr>
        <w:spacing w:after="100"/>
        <w:rPr>
          <w:rFonts w:asciiTheme="majorHAnsi" w:hAnsiTheme="majorHAnsi" w:cstheme="majorHAnsi"/>
          <w:i/>
          <w:iCs/>
          <w:szCs w:val="20"/>
        </w:rPr>
      </w:pPr>
      <w:bookmarkStart w:id="0" w:name="_Hlk133762282"/>
      <w:r w:rsidRPr="00705EDA">
        <w:rPr>
          <w:rFonts w:asciiTheme="majorHAnsi" w:hAnsiTheme="majorHAnsi" w:cstheme="majorHAnsi"/>
          <w:i/>
          <w:iCs/>
          <w:szCs w:val="20"/>
        </w:rPr>
        <w:t xml:space="preserve">Central Bank Independence </w:t>
      </w:r>
      <w:bookmarkEnd w:id="0"/>
      <w:r w:rsidRPr="00705EDA">
        <w:rPr>
          <w:rFonts w:asciiTheme="majorHAnsi" w:hAnsiTheme="majorHAnsi" w:cstheme="majorHAnsi"/>
          <w:i/>
          <w:iCs/>
          <w:szCs w:val="20"/>
        </w:rPr>
        <w:t>and Inflation in Transition Economies</w:t>
      </w:r>
    </w:p>
    <w:p w14:paraId="6C2F6D15" w14:textId="1E206F80" w:rsidR="00E75213" w:rsidRDefault="00E75213" w:rsidP="00B15122">
      <w:pPr>
        <w:spacing w:after="100"/>
        <w:rPr>
          <w:rFonts w:asciiTheme="majorHAnsi" w:hAnsiTheme="majorHAnsi" w:cstheme="majorHAnsi"/>
          <w:szCs w:val="20"/>
        </w:rPr>
      </w:pPr>
      <w:r w:rsidRPr="00E75213">
        <w:rPr>
          <w:rFonts w:asciiTheme="majorHAnsi" w:hAnsiTheme="majorHAnsi" w:cstheme="majorHAnsi"/>
          <w:szCs w:val="20"/>
        </w:rPr>
        <w:t>Central Bank Independence refers to the extent to which the central bank has power and freedom to execute monetary policy without excessive political influence. The concept of Central Bank Independence is especially important for transition economies, whose have undergone considerable political and economic transformations in recent decades.</w:t>
      </w:r>
      <w:r>
        <w:rPr>
          <w:rFonts w:asciiTheme="majorHAnsi" w:hAnsiTheme="majorHAnsi" w:cstheme="majorHAnsi"/>
          <w:szCs w:val="20"/>
        </w:rPr>
        <w:t xml:space="preserve"> </w:t>
      </w:r>
    </w:p>
    <w:p w14:paraId="0B0779B6" w14:textId="78B114E3" w:rsidR="00297CF1" w:rsidRDefault="00297CF1" w:rsidP="0015125E">
      <w:pPr>
        <w:spacing w:after="100"/>
        <w:rPr>
          <w:rFonts w:asciiTheme="majorHAnsi" w:hAnsiTheme="majorHAnsi" w:cstheme="majorHAnsi"/>
          <w:szCs w:val="20"/>
        </w:rPr>
      </w:pPr>
      <w:r w:rsidRPr="00297CF1">
        <w:rPr>
          <w:rFonts w:asciiTheme="majorHAnsi" w:hAnsiTheme="majorHAnsi" w:cstheme="majorHAnsi"/>
          <w:szCs w:val="20"/>
        </w:rPr>
        <w:t xml:space="preserve">According to Iwasaki (2017), </w:t>
      </w:r>
      <w:r w:rsidR="008755F9" w:rsidRPr="00E75213">
        <w:rPr>
          <w:rFonts w:asciiTheme="majorHAnsi" w:hAnsiTheme="majorHAnsi" w:cstheme="majorHAnsi"/>
          <w:szCs w:val="20"/>
        </w:rPr>
        <w:t xml:space="preserve">Central Bank Independence </w:t>
      </w:r>
      <w:r w:rsidRPr="00297CF1">
        <w:rPr>
          <w:rFonts w:asciiTheme="majorHAnsi" w:hAnsiTheme="majorHAnsi" w:cstheme="majorHAnsi"/>
          <w:szCs w:val="20"/>
        </w:rPr>
        <w:t xml:space="preserve">has a significant negative impact on inflation in 45 transition economies. According to the study, the influence of CBI on inflation is greater in countries with enhanced market economies. Another study, however, </w:t>
      </w:r>
      <w:r w:rsidR="0061105A" w:rsidRPr="0061105A">
        <w:rPr>
          <w:rFonts w:asciiTheme="majorHAnsi" w:hAnsiTheme="majorHAnsi" w:cstheme="majorHAnsi"/>
          <w:szCs w:val="20"/>
        </w:rPr>
        <w:t>Fontan et al. (2018)</w:t>
      </w:r>
      <w:r w:rsidRPr="00297CF1">
        <w:rPr>
          <w:rFonts w:asciiTheme="majorHAnsi" w:hAnsiTheme="majorHAnsi" w:cstheme="majorHAnsi"/>
          <w:szCs w:val="20"/>
        </w:rPr>
        <w:t xml:space="preserve">, argues that </w:t>
      </w:r>
      <w:r w:rsidR="008755F9" w:rsidRPr="00E75213">
        <w:rPr>
          <w:rFonts w:asciiTheme="majorHAnsi" w:hAnsiTheme="majorHAnsi" w:cstheme="majorHAnsi"/>
          <w:szCs w:val="20"/>
        </w:rPr>
        <w:t xml:space="preserve">Central Bank Independence </w:t>
      </w:r>
      <w:r w:rsidRPr="00297CF1">
        <w:rPr>
          <w:rFonts w:asciiTheme="majorHAnsi" w:hAnsiTheme="majorHAnsi" w:cstheme="majorHAnsi"/>
          <w:szCs w:val="20"/>
        </w:rPr>
        <w:t>alone may not be sufficient for handling inflation in transition countries due to certain issues such as institutional weaknesses, a lack of financial market development, and macroeconomic instability. The authors argue that controlling inflation in transition economies requires a comprehensive approach that combines fiscal discipline, structural changes, and financial market growth</w:t>
      </w:r>
      <w:r w:rsidR="0090633E">
        <w:rPr>
          <w:rFonts w:asciiTheme="majorHAnsi" w:hAnsiTheme="majorHAnsi" w:cstheme="majorHAnsi"/>
          <w:szCs w:val="20"/>
        </w:rPr>
        <w:t>.</w:t>
      </w:r>
    </w:p>
    <w:p w14:paraId="12392689" w14:textId="0932CD6F" w:rsidR="007324F4" w:rsidRPr="00E82B21" w:rsidRDefault="00D3346A" w:rsidP="004B7A68">
      <w:pPr>
        <w:spacing w:after="100"/>
        <w:rPr>
          <w:rFonts w:ascii="Sylfaen" w:hAnsi="Sylfaen" w:cstheme="majorHAnsi"/>
          <w:szCs w:val="20"/>
          <w:lang w:val="ka-GE"/>
        </w:rPr>
      </w:pPr>
      <w:r>
        <w:rPr>
          <w:rFonts w:asciiTheme="majorHAnsi" w:hAnsiTheme="majorHAnsi" w:cstheme="majorHAnsi"/>
          <w:szCs w:val="20"/>
        </w:rPr>
        <w:t xml:space="preserve">Studies also demonstrated that </w:t>
      </w:r>
      <w:r w:rsidR="0015125E" w:rsidRPr="0015125E">
        <w:rPr>
          <w:rFonts w:asciiTheme="majorHAnsi" w:hAnsiTheme="majorHAnsi" w:cstheme="majorHAnsi"/>
          <w:szCs w:val="20"/>
        </w:rPr>
        <w:t xml:space="preserve">the relationship between </w:t>
      </w:r>
      <w:r w:rsidR="008755F9" w:rsidRPr="00E75213">
        <w:rPr>
          <w:rFonts w:asciiTheme="majorHAnsi" w:hAnsiTheme="majorHAnsi" w:cstheme="majorHAnsi"/>
          <w:szCs w:val="20"/>
        </w:rPr>
        <w:t xml:space="preserve">Central Bank Independence </w:t>
      </w:r>
      <w:r w:rsidR="0015125E" w:rsidRPr="0015125E">
        <w:rPr>
          <w:rFonts w:asciiTheme="majorHAnsi" w:hAnsiTheme="majorHAnsi" w:cstheme="majorHAnsi"/>
          <w:szCs w:val="20"/>
        </w:rPr>
        <w:t xml:space="preserve">and inflation in transition economies is complex and depends on various factors, including institutional quality, financial market development, and macroeconomic stability. Empirical evidence suggests that greater </w:t>
      </w:r>
      <w:r w:rsidR="004D6F47">
        <w:rPr>
          <w:rFonts w:asciiTheme="majorHAnsi" w:hAnsiTheme="majorHAnsi" w:cstheme="majorHAnsi"/>
          <w:szCs w:val="20"/>
        </w:rPr>
        <w:t>independence</w:t>
      </w:r>
      <w:r w:rsidR="0015125E" w:rsidRPr="0015125E">
        <w:rPr>
          <w:rFonts w:asciiTheme="majorHAnsi" w:hAnsiTheme="majorHAnsi" w:cstheme="majorHAnsi"/>
          <w:szCs w:val="20"/>
        </w:rPr>
        <w:t xml:space="preserve"> is associated with lower inflation in transition economies. However, </w:t>
      </w:r>
      <w:r w:rsidR="004D6F47" w:rsidRPr="00E75213">
        <w:rPr>
          <w:rFonts w:asciiTheme="majorHAnsi" w:hAnsiTheme="majorHAnsi" w:cstheme="majorHAnsi"/>
          <w:szCs w:val="20"/>
        </w:rPr>
        <w:t>Central Bank Independenc</w:t>
      </w:r>
      <w:r w:rsidR="004D6F47">
        <w:rPr>
          <w:rFonts w:asciiTheme="majorHAnsi" w:hAnsiTheme="majorHAnsi" w:cstheme="majorHAnsi"/>
          <w:szCs w:val="20"/>
        </w:rPr>
        <w:t xml:space="preserve">e </w:t>
      </w:r>
      <w:r w:rsidR="0015125E" w:rsidRPr="0015125E">
        <w:rPr>
          <w:rFonts w:asciiTheme="majorHAnsi" w:hAnsiTheme="majorHAnsi" w:cstheme="majorHAnsi"/>
          <w:szCs w:val="20"/>
        </w:rPr>
        <w:t>alone may not be sufficient to control inflation, and a comprehensive approach that includes fiscal discipline, structural reforms, and financial market development is necessary. Financial development is also crucial for economic growth in transition economies</w:t>
      </w:r>
      <w:r w:rsidR="00E82B21">
        <w:rPr>
          <w:rFonts w:ascii="Sylfaen" w:hAnsi="Sylfaen" w:cstheme="majorHAnsi"/>
          <w:szCs w:val="20"/>
          <w:lang w:val="ka-GE"/>
        </w:rPr>
        <w:t>.</w:t>
      </w:r>
    </w:p>
    <w:p w14:paraId="5D8BEC0B" w14:textId="3D8B2325" w:rsidR="00C059E4" w:rsidRPr="00A428B9" w:rsidRDefault="00C059E4" w:rsidP="004B7A68">
      <w:pPr>
        <w:spacing w:after="100"/>
        <w:rPr>
          <w:rFonts w:asciiTheme="majorHAnsi" w:hAnsiTheme="majorHAnsi" w:cstheme="majorHAnsi"/>
          <w:i/>
          <w:iCs/>
          <w:szCs w:val="20"/>
        </w:rPr>
      </w:pPr>
      <w:r w:rsidRPr="00A428B9">
        <w:rPr>
          <w:rFonts w:asciiTheme="majorHAnsi" w:hAnsiTheme="majorHAnsi" w:cstheme="majorHAnsi"/>
          <w:i/>
          <w:iCs/>
          <w:szCs w:val="20"/>
        </w:rPr>
        <w:t>Banking Sector Development and Economic Growth in Transition Economies</w:t>
      </w:r>
    </w:p>
    <w:p w14:paraId="6325B2D5" w14:textId="622B50A2" w:rsidR="00064D14" w:rsidRPr="00064D14" w:rsidRDefault="00705EDA" w:rsidP="00064D14">
      <w:pPr>
        <w:spacing w:after="100"/>
        <w:rPr>
          <w:rFonts w:asciiTheme="majorHAnsi" w:hAnsiTheme="majorHAnsi" w:cstheme="majorHAnsi"/>
          <w:szCs w:val="20"/>
        </w:rPr>
      </w:pPr>
      <w:r>
        <w:rPr>
          <w:rFonts w:asciiTheme="majorHAnsi" w:hAnsiTheme="majorHAnsi" w:cstheme="majorHAnsi"/>
          <w:szCs w:val="20"/>
        </w:rPr>
        <w:t>I</w:t>
      </w:r>
      <w:r w:rsidR="00064D14" w:rsidRPr="00064D14">
        <w:rPr>
          <w:rFonts w:asciiTheme="majorHAnsi" w:hAnsiTheme="majorHAnsi" w:cstheme="majorHAnsi"/>
          <w:szCs w:val="20"/>
        </w:rPr>
        <w:t xml:space="preserve">n transition economies, countries are </w:t>
      </w:r>
      <w:r>
        <w:rPr>
          <w:rFonts w:asciiTheme="majorHAnsi" w:hAnsiTheme="majorHAnsi" w:cstheme="majorHAnsi"/>
          <w:szCs w:val="20"/>
        </w:rPr>
        <w:t>moving</w:t>
      </w:r>
      <w:r w:rsidR="00064D14" w:rsidRPr="00064D14">
        <w:rPr>
          <w:rFonts w:asciiTheme="majorHAnsi" w:hAnsiTheme="majorHAnsi" w:cstheme="majorHAnsi"/>
          <w:szCs w:val="20"/>
        </w:rPr>
        <w:t xml:space="preserve"> from a centrally planned to a market-based economy, the role of the banking industry in promoting economic growth is even more essential. </w:t>
      </w:r>
    </w:p>
    <w:p w14:paraId="28A82509" w14:textId="2C4C2499" w:rsidR="00705EDA" w:rsidRDefault="00064D14" w:rsidP="004B7A68">
      <w:pPr>
        <w:spacing w:after="100"/>
        <w:rPr>
          <w:rFonts w:asciiTheme="majorHAnsi" w:hAnsiTheme="majorHAnsi" w:cstheme="majorHAnsi"/>
          <w:szCs w:val="20"/>
        </w:rPr>
      </w:pPr>
      <w:proofErr w:type="spellStart"/>
      <w:r w:rsidRPr="00064D14">
        <w:rPr>
          <w:rFonts w:asciiTheme="majorHAnsi" w:hAnsiTheme="majorHAnsi" w:cstheme="majorHAnsi"/>
          <w:szCs w:val="20"/>
        </w:rPr>
        <w:t>Petkovski</w:t>
      </w:r>
      <w:proofErr w:type="spellEnd"/>
      <w:r w:rsidRPr="00064D14">
        <w:rPr>
          <w:rFonts w:asciiTheme="majorHAnsi" w:hAnsiTheme="majorHAnsi" w:cstheme="majorHAnsi"/>
          <w:szCs w:val="20"/>
        </w:rPr>
        <w:t xml:space="preserve"> (2015) investigate</w:t>
      </w:r>
      <w:r w:rsidR="0017130F">
        <w:rPr>
          <w:rFonts w:asciiTheme="majorHAnsi" w:hAnsiTheme="majorHAnsi" w:cstheme="majorHAnsi"/>
          <w:szCs w:val="20"/>
        </w:rPr>
        <w:t>s</w:t>
      </w:r>
      <w:r w:rsidRPr="00064D14">
        <w:rPr>
          <w:rFonts w:asciiTheme="majorHAnsi" w:hAnsiTheme="majorHAnsi" w:cstheme="majorHAnsi"/>
          <w:szCs w:val="20"/>
        </w:rPr>
        <w:t xml:space="preserve"> the connection between banking sector development and economic growth in several Central and </w:t>
      </w:r>
      <w:r w:rsidR="00C31507" w:rsidRPr="00064D14">
        <w:rPr>
          <w:rFonts w:asciiTheme="majorHAnsi" w:hAnsiTheme="majorHAnsi" w:cstheme="majorHAnsi"/>
          <w:szCs w:val="20"/>
        </w:rPr>
        <w:t>Southeastern</w:t>
      </w:r>
      <w:r w:rsidRPr="00064D14">
        <w:rPr>
          <w:rFonts w:asciiTheme="majorHAnsi" w:hAnsiTheme="majorHAnsi" w:cstheme="majorHAnsi"/>
          <w:szCs w:val="20"/>
        </w:rPr>
        <w:t xml:space="preserve"> European countries. </w:t>
      </w:r>
      <w:r w:rsidR="00C31507" w:rsidRPr="00064D14">
        <w:rPr>
          <w:rFonts w:asciiTheme="majorHAnsi" w:hAnsiTheme="majorHAnsi" w:cstheme="majorHAnsi"/>
          <w:szCs w:val="20"/>
        </w:rPr>
        <w:t>The study</w:t>
      </w:r>
      <w:r w:rsidRPr="00064D14">
        <w:rPr>
          <w:rFonts w:asciiTheme="majorHAnsi" w:hAnsiTheme="majorHAnsi" w:cstheme="majorHAnsi"/>
          <w:szCs w:val="20"/>
        </w:rPr>
        <w:t xml:space="preserve"> expressed </w:t>
      </w:r>
      <w:r w:rsidR="00705EDA" w:rsidRPr="00064D14">
        <w:rPr>
          <w:rFonts w:asciiTheme="majorHAnsi" w:hAnsiTheme="majorHAnsi" w:cstheme="majorHAnsi"/>
          <w:szCs w:val="20"/>
        </w:rPr>
        <w:t>the positive</w:t>
      </w:r>
      <w:r w:rsidRPr="00064D14">
        <w:rPr>
          <w:rFonts w:asciiTheme="majorHAnsi" w:hAnsiTheme="majorHAnsi" w:cstheme="majorHAnsi"/>
          <w:szCs w:val="20"/>
        </w:rPr>
        <w:t xml:space="preserve"> relationship between banking sector development and economic growth, implying that a well-functioning banking sector contributes to capital accumulation, which is crucial for long-term economic growth. Countries with lower levels of financial development also expressed to have a stronger impact on economic growth.</w:t>
      </w:r>
      <w:r w:rsidR="006C3A72">
        <w:rPr>
          <w:rFonts w:asciiTheme="majorHAnsi" w:hAnsiTheme="majorHAnsi" w:cstheme="majorHAnsi"/>
          <w:szCs w:val="20"/>
        </w:rPr>
        <w:t xml:space="preserve"> </w:t>
      </w:r>
      <w:r w:rsidR="006C3A72" w:rsidRPr="006C3A72">
        <w:rPr>
          <w:rFonts w:asciiTheme="majorHAnsi" w:hAnsiTheme="majorHAnsi" w:cstheme="majorHAnsi"/>
          <w:szCs w:val="20"/>
        </w:rPr>
        <w:t xml:space="preserve">Their research </w:t>
      </w:r>
      <w:r w:rsidR="006C3A72">
        <w:rPr>
          <w:rFonts w:asciiTheme="majorHAnsi" w:hAnsiTheme="majorHAnsi" w:cstheme="majorHAnsi"/>
          <w:szCs w:val="20"/>
        </w:rPr>
        <w:t xml:space="preserve">also </w:t>
      </w:r>
      <w:r w:rsidR="006C3A72" w:rsidRPr="006C3A72">
        <w:rPr>
          <w:rFonts w:asciiTheme="majorHAnsi" w:hAnsiTheme="majorHAnsi" w:cstheme="majorHAnsi"/>
          <w:szCs w:val="20"/>
        </w:rPr>
        <w:t>emphasizes the importance of developing these countries' banking sectors, which can promote economic growth through increased access to credit, investment, and job creation.</w:t>
      </w:r>
    </w:p>
    <w:p w14:paraId="1673BFCA" w14:textId="670522EB" w:rsidR="007324F4" w:rsidRDefault="00293ABE" w:rsidP="004B7A68">
      <w:pPr>
        <w:spacing w:after="100"/>
        <w:rPr>
          <w:rFonts w:asciiTheme="majorHAnsi" w:hAnsiTheme="majorHAnsi" w:cstheme="majorHAnsi"/>
          <w:szCs w:val="20"/>
        </w:rPr>
      </w:pPr>
      <w:r w:rsidRPr="00293ABE">
        <w:rPr>
          <w:rFonts w:asciiTheme="majorHAnsi" w:hAnsiTheme="majorHAnsi" w:cstheme="majorHAnsi"/>
          <w:szCs w:val="20"/>
        </w:rPr>
        <w:t>However, regulatory policies can have a significant impact on the banking sector's productivity growth. Delis</w:t>
      </w:r>
      <w:r w:rsidR="0017130F">
        <w:rPr>
          <w:rFonts w:asciiTheme="majorHAnsi" w:hAnsiTheme="majorHAnsi" w:cstheme="majorHAnsi"/>
          <w:szCs w:val="20"/>
        </w:rPr>
        <w:t xml:space="preserve"> </w:t>
      </w:r>
      <w:r w:rsidRPr="00293ABE">
        <w:rPr>
          <w:rFonts w:asciiTheme="majorHAnsi" w:hAnsiTheme="majorHAnsi" w:cstheme="majorHAnsi"/>
          <w:szCs w:val="20"/>
        </w:rPr>
        <w:t xml:space="preserve">(2009) investigated the impact of regulations on productivity growth in banking in transition economies, pointing out that heavily tight regulations may result in lower productivity growth. As a result, </w:t>
      </w:r>
      <w:r w:rsidRPr="00293ABE">
        <w:rPr>
          <w:rFonts w:asciiTheme="majorHAnsi" w:hAnsiTheme="majorHAnsi" w:cstheme="majorHAnsi"/>
          <w:szCs w:val="20"/>
        </w:rPr>
        <w:lastRenderedPageBreak/>
        <w:t>the negative effects of regulations can be prevented by encouraging competition and enhancing the quality of institutions, including the central bank</w:t>
      </w:r>
      <w:r>
        <w:rPr>
          <w:rFonts w:asciiTheme="majorHAnsi" w:hAnsiTheme="majorHAnsi" w:cstheme="majorHAnsi"/>
          <w:szCs w:val="20"/>
        </w:rPr>
        <w:t>. H</w:t>
      </w:r>
      <w:r w:rsidRPr="00293ABE">
        <w:rPr>
          <w:rFonts w:asciiTheme="majorHAnsi" w:hAnsiTheme="majorHAnsi" w:cstheme="majorHAnsi"/>
          <w:szCs w:val="20"/>
        </w:rPr>
        <w:t xml:space="preserve">owever, it is </w:t>
      </w:r>
      <w:r>
        <w:rPr>
          <w:rFonts w:asciiTheme="majorHAnsi" w:hAnsiTheme="majorHAnsi" w:cstheme="majorHAnsi"/>
          <w:szCs w:val="20"/>
        </w:rPr>
        <w:t xml:space="preserve">also </w:t>
      </w:r>
      <w:r w:rsidRPr="00293ABE">
        <w:rPr>
          <w:rFonts w:asciiTheme="majorHAnsi" w:hAnsiTheme="majorHAnsi" w:cstheme="majorHAnsi"/>
          <w:szCs w:val="20"/>
        </w:rPr>
        <w:t>critical to improve efficiency while encouraging a competitive environment.</w:t>
      </w:r>
    </w:p>
    <w:p w14:paraId="2F3F74AD" w14:textId="77777777" w:rsidR="00C059E4" w:rsidRPr="007324F4" w:rsidRDefault="00C059E4" w:rsidP="007324F4">
      <w:pPr>
        <w:spacing w:after="100"/>
        <w:rPr>
          <w:rFonts w:asciiTheme="majorHAnsi" w:hAnsiTheme="majorHAnsi" w:cstheme="majorHAnsi"/>
          <w:i/>
          <w:iCs/>
          <w:szCs w:val="20"/>
        </w:rPr>
      </w:pPr>
      <w:r w:rsidRPr="007324F4">
        <w:rPr>
          <w:rFonts w:asciiTheme="majorHAnsi" w:hAnsiTheme="majorHAnsi" w:cstheme="majorHAnsi"/>
          <w:i/>
          <w:iCs/>
          <w:szCs w:val="20"/>
        </w:rPr>
        <w:t>Financial Development and Economic Growth in the EU</w:t>
      </w:r>
    </w:p>
    <w:p w14:paraId="5103B492" w14:textId="4D473E47" w:rsidR="00C621AE" w:rsidRPr="00C621AE"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The studies mentioned above demonstrate that financial development is essential to boosting growth in the economy in the EU. However, the effect on economic growth may be influenced by other factors such as institutional quality, economic development level, and policy effectiveness. </w:t>
      </w:r>
    </w:p>
    <w:p w14:paraId="6B56AD2A" w14:textId="4BA5058F" w:rsidR="006F7303" w:rsidRPr="00986250"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Using panel data analysis, </w:t>
      </w:r>
      <w:proofErr w:type="spellStart"/>
      <w:r w:rsidRPr="00C621AE">
        <w:rPr>
          <w:rFonts w:asciiTheme="majorHAnsi" w:hAnsiTheme="majorHAnsi" w:cstheme="majorHAnsi"/>
          <w:szCs w:val="20"/>
        </w:rPr>
        <w:t>Arç</w:t>
      </w:r>
      <w:proofErr w:type="spellEnd"/>
      <w:r w:rsidRPr="00C621AE">
        <w:rPr>
          <w:rFonts w:asciiTheme="majorHAnsi" w:hAnsiTheme="majorHAnsi" w:cstheme="majorHAnsi"/>
          <w:szCs w:val="20"/>
        </w:rPr>
        <w:t xml:space="preserve"> (2014) examines the impact of financial development on economic growth in the EU. According to the study, there is a positive relationship between financial growth and the economy, indicating that it's </w:t>
      </w:r>
      <w:r w:rsidR="00B550F2" w:rsidRPr="00C621AE">
        <w:rPr>
          <w:rFonts w:asciiTheme="majorHAnsi" w:hAnsiTheme="majorHAnsi" w:cstheme="majorHAnsi"/>
          <w:szCs w:val="20"/>
        </w:rPr>
        <w:t>a critical</w:t>
      </w:r>
      <w:r w:rsidRPr="00C621AE">
        <w:rPr>
          <w:rFonts w:asciiTheme="majorHAnsi" w:hAnsiTheme="majorHAnsi" w:cstheme="majorHAnsi"/>
          <w:szCs w:val="20"/>
        </w:rPr>
        <w:t xml:space="preserve"> factor and has a greater impact on economic growth in countries with lower levels of financial development.</w:t>
      </w:r>
      <w:r w:rsidR="006E7C82">
        <w:rPr>
          <w:rFonts w:asciiTheme="majorHAnsi" w:hAnsiTheme="majorHAnsi" w:cstheme="majorHAnsi"/>
          <w:szCs w:val="20"/>
        </w:rPr>
        <w:t xml:space="preserve"> Accordingly, </w:t>
      </w:r>
      <w:proofErr w:type="spellStart"/>
      <w:r w:rsidR="00C059E4" w:rsidRPr="00DE7EBC">
        <w:rPr>
          <w:rFonts w:asciiTheme="majorHAnsi" w:hAnsiTheme="majorHAnsi" w:cstheme="majorHAnsi"/>
          <w:szCs w:val="20"/>
        </w:rPr>
        <w:t>Asteriou</w:t>
      </w:r>
      <w:proofErr w:type="spellEnd"/>
      <w:r w:rsidR="00C059E4" w:rsidRPr="00DE7EBC">
        <w:rPr>
          <w:rFonts w:asciiTheme="majorHAnsi" w:hAnsiTheme="majorHAnsi" w:cstheme="majorHAnsi"/>
          <w:szCs w:val="20"/>
        </w:rPr>
        <w:t xml:space="preserve"> and Spanos (2018) </w:t>
      </w:r>
      <w:r w:rsidR="006F7303" w:rsidRPr="00986250">
        <w:rPr>
          <w:rFonts w:asciiTheme="majorHAnsi" w:hAnsiTheme="majorHAnsi" w:cstheme="majorHAnsi"/>
          <w:szCs w:val="20"/>
        </w:rPr>
        <w:t>research</w:t>
      </w:r>
      <w:r w:rsidR="00BC0455" w:rsidRPr="00986250">
        <w:rPr>
          <w:rFonts w:asciiTheme="majorHAnsi" w:hAnsiTheme="majorHAnsi" w:cstheme="majorHAnsi"/>
          <w:szCs w:val="20"/>
        </w:rPr>
        <w:t xml:space="preserve"> found out </w:t>
      </w:r>
      <w:r w:rsidR="00E31225" w:rsidRPr="00986250">
        <w:rPr>
          <w:rFonts w:asciiTheme="majorHAnsi" w:hAnsiTheme="majorHAnsi" w:cstheme="majorHAnsi"/>
          <w:szCs w:val="20"/>
        </w:rPr>
        <w:t>identical</w:t>
      </w:r>
      <w:r w:rsidR="00BC0455" w:rsidRPr="00986250">
        <w:rPr>
          <w:rFonts w:asciiTheme="majorHAnsi" w:hAnsiTheme="majorHAnsi" w:cstheme="majorHAnsi"/>
          <w:szCs w:val="20"/>
        </w:rPr>
        <w:t xml:space="preserve"> </w:t>
      </w:r>
      <w:r w:rsidR="00D27AE0" w:rsidRPr="00986250">
        <w:rPr>
          <w:rFonts w:asciiTheme="majorHAnsi" w:hAnsiTheme="majorHAnsi" w:cstheme="majorHAnsi"/>
          <w:szCs w:val="20"/>
        </w:rPr>
        <w:t xml:space="preserve">outcomes, also within </w:t>
      </w:r>
      <w:r w:rsidR="005543A3" w:rsidRPr="00986250">
        <w:rPr>
          <w:rFonts w:asciiTheme="majorHAnsi" w:hAnsiTheme="majorHAnsi" w:cstheme="majorHAnsi"/>
          <w:szCs w:val="20"/>
        </w:rPr>
        <w:t xml:space="preserve">the framework of </w:t>
      </w:r>
      <w:r w:rsidR="00D27AE0" w:rsidRPr="00DE7EBC">
        <w:rPr>
          <w:rFonts w:asciiTheme="majorHAnsi" w:hAnsiTheme="majorHAnsi" w:cstheme="majorHAnsi"/>
          <w:szCs w:val="20"/>
        </w:rPr>
        <w:t>the recent crisis in the EU</w:t>
      </w:r>
      <w:r w:rsidR="00D27AE0">
        <w:rPr>
          <w:rFonts w:asciiTheme="majorHAnsi" w:hAnsiTheme="majorHAnsi" w:cstheme="majorHAnsi"/>
          <w:szCs w:val="20"/>
        </w:rPr>
        <w:t>.</w:t>
      </w:r>
      <w:r w:rsidR="00D27AE0" w:rsidRPr="00D27AE0">
        <w:rPr>
          <w:rFonts w:asciiTheme="majorHAnsi" w:hAnsiTheme="majorHAnsi" w:cstheme="majorHAnsi"/>
          <w:szCs w:val="20"/>
        </w:rPr>
        <w:t xml:space="preserve"> </w:t>
      </w:r>
      <w:r w:rsidR="00D27AE0" w:rsidRPr="00DE7EBC">
        <w:rPr>
          <w:rFonts w:asciiTheme="majorHAnsi" w:hAnsiTheme="majorHAnsi" w:cstheme="majorHAnsi"/>
          <w:szCs w:val="20"/>
        </w:rPr>
        <w:t>The authors</w:t>
      </w:r>
      <w:r w:rsidR="00986250">
        <w:rPr>
          <w:rFonts w:asciiTheme="majorHAnsi" w:hAnsiTheme="majorHAnsi" w:cstheme="majorHAnsi"/>
          <w:szCs w:val="20"/>
        </w:rPr>
        <w:t xml:space="preserve"> also</w:t>
      </w:r>
      <w:r w:rsidR="00D27AE0" w:rsidRPr="00DE7EBC">
        <w:rPr>
          <w:rFonts w:asciiTheme="majorHAnsi" w:hAnsiTheme="majorHAnsi" w:cstheme="majorHAnsi"/>
          <w:szCs w:val="20"/>
        </w:rPr>
        <w:t xml:space="preserve"> suggest that financial development can help countries to recover from the crisis and promote sustainable economic growth in the long run.</w:t>
      </w:r>
    </w:p>
    <w:p w14:paraId="146C159D" w14:textId="42558B61" w:rsidR="00394016" w:rsidRPr="004B7A68" w:rsidRDefault="00841A43" w:rsidP="004B7A68">
      <w:pPr>
        <w:spacing w:after="100"/>
        <w:rPr>
          <w:rFonts w:asciiTheme="majorHAnsi" w:hAnsiTheme="majorHAnsi" w:cstheme="majorHAnsi"/>
          <w:szCs w:val="20"/>
        </w:rPr>
      </w:pPr>
      <w:r w:rsidRPr="00841A43">
        <w:rPr>
          <w:rFonts w:asciiTheme="majorHAnsi" w:hAnsiTheme="majorHAnsi" w:cstheme="majorHAnsi"/>
          <w:szCs w:val="20"/>
        </w:rPr>
        <w:t xml:space="preserve">Fontan, </w:t>
      </w:r>
      <w:proofErr w:type="spellStart"/>
      <w:r w:rsidRPr="00841A43">
        <w:rPr>
          <w:rFonts w:asciiTheme="majorHAnsi" w:hAnsiTheme="majorHAnsi" w:cstheme="majorHAnsi"/>
          <w:szCs w:val="20"/>
        </w:rPr>
        <w:t>Carré</w:t>
      </w:r>
      <w:proofErr w:type="spellEnd"/>
      <w:r w:rsidRPr="00841A43">
        <w:rPr>
          <w:rFonts w:asciiTheme="majorHAnsi" w:hAnsiTheme="majorHAnsi" w:cstheme="majorHAnsi"/>
          <w:szCs w:val="20"/>
        </w:rPr>
        <w:t xml:space="preserve">, and </w:t>
      </w:r>
      <w:proofErr w:type="spellStart"/>
      <w:r w:rsidRPr="00841A43">
        <w:rPr>
          <w:rFonts w:asciiTheme="majorHAnsi" w:hAnsiTheme="majorHAnsi" w:cstheme="majorHAnsi"/>
          <w:szCs w:val="20"/>
        </w:rPr>
        <w:t>L'Oeillet</w:t>
      </w:r>
      <w:proofErr w:type="spellEnd"/>
      <w:r w:rsidRPr="00841A43">
        <w:rPr>
          <w:rFonts w:asciiTheme="majorHAnsi" w:hAnsiTheme="majorHAnsi" w:cstheme="majorHAnsi"/>
          <w:szCs w:val="20"/>
        </w:rPr>
        <w:t xml:space="preserve"> (2018) explore the EU's new era of central banking, which has been differentiated by the implementation of unconventional monetary policies such as the introduction of quantitative easing. According to the authors, these policies</w:t>
      </w:r>
      <w:r w:rsidR="003A3037">
        <w:rPr>
          <w:rFonts w:asciiTheme="majorHAnsi" w:hAnsiTheme="majorHAnsi" w:cstheme="majorHAnsi"/>
          <w:szCs w:val="20"/>
        </w:rPr>
        <w:t xml:space="preserve"> and central bank interventions</w:t>
      </w:r>
      <w:r w:rsidRPr="00841A43">
        <w:rPr>
          <w:rFonts w:asciiTheme="majorHAnsi" w:hAnsiTheme="majorHAnsi" w:cstheme="majorHAnsi"/>
          <w:szCs w:val="20"/>
        </w:rPr>
        <w:t xml:space="preserve"> have contributed </w:t>
      </w:r>
      <w:proofErr w:type="gramStart"/>
      <w:r w:rsidR="000E5B67">
        <w:rPr>
          <w:rFonts w:asciiTheme="majorHAnsi" w:hAnsiTheme="majorHAnsi" w:cstheme="majorHAnsi"/>
          <w:szCs w:val="20"/>
        </w:rPr>
        <w:t>in</w:t>
      </w:r>
      <w:proofErr w:type="gramEnd"/>
      <w:r w:rsidRPr="00841A43">
        <w:rPr>
          <w:rFonts w:asciiTheme="majorHAnsi" w:hAnsiTheme="majorHAnsi" w:cstheme="majorHAnsi"/>
          <w:szCs w:val="20"/>
        </w:rPr>
        <w:t xml:space="preserve"> ensur</w:t>
      </w:r>
      <w:r w:rsidR="000E5B67">
        <w:rPr>
          <w:rFonts w:asciiTheme="majorHAnsi" w:hAnsiTheme="majorHAnsi" w:cstheme="majorHAnsi"/>
          <w:szCs w:val="20"/>
        </w:rPr>
        <w:t>ing</w:t>
      </w:r>
      <w:r w:rsidRPr="00841A43">
        <w:rPr>
          <w:rFonts w:asciiTheme="majorHAnsi" w:hAnsiTheme="majorHAnsi" w:cstheme="majorHAnsi"/>
          <w:szCs w:val="20"/>
        </w:rPr>
        <w:t xml:space="preserve"> financial stability and growth</w:t>
      </w:r>
      <w:r w:rsidR="003A3037">
        <w:rPr>
          <w:rFonts w:asciiTheme="majorHAnsi" w:hAnsiTheme="majorHAnsi" w:cstheme="majorHAnsi"/>
          <w:szCs w:val="20"/>
        </w:rPr>
        <w:t>.</w:t>
      </w:r>
    </w:p>
    <w:p w14:paraId="763AA0EE" w14:textId="4CF19B9E" w:rsidR="00AB7C9F" w:rsidRDefault="002064AF" w:rsidP="004B7A68">
      <w:pPr>
        <w:spacing w:after="100"/>
        <w:rPr>
          <w:rFonts w:asciiTheme="majorHAnsi" w:hAnsiTheme="majorHAnsi" w:cstheme="majorHAnsi"/>
          <w:szCs w:val="20"/>
        </w:rPr>
      </w:pPr>
      <w:r w:rsidRPr="00DE7EBC">
        <w:rPr>
          <w:rFonts w:asciiTheme="majorHAnsi" w:hAnsiTheme="majorHAnsi" w:cstheme="majorHAnsi"/>
          <w:szCs w:val="20"/>
        </w:rPr>
        <w:t>3. Conclusion</w:t>
      </w:r>
    </w:p>
    <w:p w14:paraId="5D20F521" w14:textId="252351BA" w:rsidR="00C059E4" w:rsidRPr="00DE7EBC" w:rsidRDefault="002C6620" w:rsidP="004B7A68">
      <w:pPr>
        <w:spacing w:after="100"/>
        <w:rPr>
          <w:rFonts w:asciiTheme="majorHAnsi" w:hAnsiTheme="majorHAnsi" w:cstheme="majorHAnsi"/>
          <w:szCs w:val="20"/>
        </w:rPr>
      </w:pPr>
      <w:r w:rsidRPr="002C6620">
        <w:rPr>
          <w:rFonts w:asciiTheme="majorHAnsi" w:hAnsiTheme="majorHAnsi" w:cstheme="majorHAnsi"/>
          <w:szCs w:val="20"/>
        </w:rPr>
        <w:t>Finally, the articles underline the significance of an integrated approach that includes the interaction of multiple components in promoting economic stability and progress. It presents the complex relationship between central banks, financial development, and economic growth across various factors, including transition economies and the EU. According to the studies, central bank independence is critical in controlling inflation in transition countries, but it must be accompanied by other policies such as financial market growth and fiscal discipline. Furthermore, the development of the banking sector is vital for long-term economic growth, and regulations should be intended to encourage competition and improve the quality of institutions. The creation of an efficient banking system can facilitate financial intermediation, increase savings and investment, and promote economic growth.</w:t>
      </w:r>
    </w:p>
    <w:p w14:paraId="551C9EB6" w14:textId="73D568C3"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4. Resources:</w:t>
      </w:r>
    </w:p>
    <w:p w14:paraId="19B63DFD" w14:textId="77777777" w:rsidR="007324F4"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Arıç</w:t>
      </w:r>
      <w:proofErr w:type="spellEnd"/>
      <w:r w:rsidRPr="007324F4">
        <w:rPr>
          <w:rFonts w:asciiTheme="majorHAnsi" w:hAnsiTheme="majorHAnsi" w:cstheme="majorHAnsi"/>
          <w:szCs w:val="20"/>
        </w:rPr>
        <w:t>, K. H. (2014). The Effects of Financial Development on Economic Growth in the European Union: A Panel Data Analysis. Journal of Business, Economics, and Finance, 3(3), 174-184.</w:t>
      </w:r>
    </w:p>
    <w:p w14:paraId="7F74C0D6" w14:textId="77777777" w:rsidR="007324F4"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Asteriou</w:t>
      </w:r>
      <w:proofErr w:type="spellEnd"/>
      <w:r w:rsidRPr="007324F4">
        <w:rPr>
          <w:rFonts w:asciiTheme="majorHAnsi" w:hAnsiTheme="majorHAnsi" w:cstheme="majorHAnsi"/>
          <w:szCs w:val="20"/>
        </w:rPr>
        <w:t>, D., &amp; Spanos, K. (2018). The relationship between financial development and economic growth during the recent crisis: Evidence from the EU. Journal of Economic Studies, 45(2), 358-373.</w:t>
      </w:r>
    </w:p>
    <w:p w14:paraId="3D16DF35"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7324F4">
        <w:rPr>
          <w:rFonts w:asciiTheme="majorHAnsi" w:hAnsiTheme="majorHAnsi" w:cstheme="majorHAnsi"/>
          <w:szCs w:val="20"/>
        </w:rPr>
        <w:t xml:space="preserve">Delis, M. D., Molyneux, P., &amp; </w:t>
      </w:r>
      <w:proofErr w:type="spellStart"/>
      <w:r w:rsidRPr="007324F4">
        <w:rPr>
          <w:rFonts w:asciiTheme="majorHAnsi" w:hAnsiTheme="majorHAnsi" w:cstheme="majorHAnsi"/>
          <w:szCs w:val="20"/>
        </w:rPr>
        <w:t>Pasiouras</w:t>
      </w:r>
      <w:proofErr w:type="spellEnd"/>
      <w:r w:rsidRPr="007324F4">
        <w:rPr>
          <w:rFonts w:asciiTheme="majorHAnsi" w:hAnsiTheme="majorHAnsi" w:cstheme="majorHAnsi"/>
          <w:szCs w:val="20"/>
        </w:rPr>
        <w:t>, F. (2009). Regulations and productivity growth in banking: Evidence from transition economies. Journal of Money, Credit and Banking, 41(4), 735-774.</w:t>
      </w:r>
    </w:p>
    <w:p w14:paraId="317DCBB2"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7324F4">
        <w:rPr>
          <w:rFonts w:asciiTheme="majorHAnsi" w:hAnsiTheme="majorHAnsi" w:cstheme="majorHAnsi"/>
          <w:szCs w:val="20"/>
        </w:rPr>
        <w:t xml:space="preserve">Fontan, C., </w:t>
      </w:r>
      <w:proofErr w:type="spellStart"/>
      <w:r w:rsidRPr="007324F4">
        <w:rPr>
          <w:rFonts w:asciiTheme="majorHAnsi" w:hAnsiTheme="majorHAnsi" w:cstheme="majorHAnsi"/>
          <w:szCs w:val="20"/>
        </w:rPr>
        <w:t>Carré</w:t>
      </w:r>
      <w:proofErr w:type="spellEnd"/>
      <w:r w:rsidRPr="007324F4">
        <w:rPr>
          <w:rFonts w:asciiTheme="majorHAnsi" w:hAnsiTheme="majorHAnsi" w:cstheme="majorHAnsi"/>
          <w:szCs w:val="20"/>
        </w:rPr>
        <w:t xml:space="preserve">, E., &amp; </w:t>
      </w:r>
      <w:proofErr w:type="spellStart"/>
      <w:r w:rsidRPr="007324F4">
        <w:rPr>
          <w:rFonts w:asciiTheme="majorHAnsi" w:hAnsiTheme="majorHAnsi" w:cstheme="majorHAnsi"/>
          <w:szCs w:val="20"/>
        </w:rPr>
        <w:t>L'Oeillet</w:t>
      </w:r>
      <w:proofErr w:type="spellEnd"/>
      <w:r w:rsidRPr="007324F4">
        <w:rPr>
          <w:rFonts w:asciiTheme="majorHAnsi" w:hAnsiTheme="majorHAnsi" w:cstheme="majorHAnsi"/>
          <w:szCs w:val="20"/>
        </w:rPr>
        <w:t>, G. (2018). Theoretical perspectives on the new era of central banking. Journal of Economic Surveys, 32(3), 726-750.</w:t>
      </w:r>
    </w:p>
    <w:p w14:paraId="41FC4487"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7324F4">
        <w:rPr>
          <w:rFonts w:asciiTheme="majorHAnsi" w:hAnsiTheme="majorHAnsi" w:cstheme="majorHAnsi"/>
          <w:szCs w:val="20"/>
        </w:rPr>
        <w:t>Iwasaki, I. (2017). Central Bank Independence and Inflation in Transition Economies: A Comparative Meta-Analysis with Developed and Developing Economies. Emerging Markets Finance and Trade, 53(6), 1256-1272.</w:t>
      </w:r>
    </w:p>
    <w:p w14:paraId="6FC66118" w14:textId="05DDD938" w:rsidR="00585CDF"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Petkovski</w:t>
      </w:r>
      <w:proofErr w:type="spellEnd"/>
      <w:r w:rsidRPr="007324F4">
        <w:rPr>
          <w:rFonts w:asciiTheme="majorHAnsi" w:hAnsiTheme="majorHAnsi" w:cstheme="majorHAnsi"/>
          <w:szCs w:val="20"/>
        </w:rPr>
        <w:t xml:space="preserve">, M., &amp; </w:t>
      </w:r>
      <w:proofErr w:type="spellStart"/>
      <w:r w:rsidRPr="007324F4">
        <w:rPr>
          <w:rFonts w:asciiTheme="majorHAnsi" w:hAnsiTheme="majorHAnsi" w:cstheme="majorHAnsi"/>
          <w:szCs w:val="20"/>
        </w:rPr>
        <w:t>Kjosevski</w:t>
      </w:r>
      <w:proofErr w:type="spellEnd"/>
      <w:r w:rsidRPr="007324F4">
        <w:rPr>
          <w:rFonts w:asciiTheme="majorHAnsi" w:hAnsiTheme="majorHAnsi" w:cstheme="majorHAnsi"/>
          <w:szCs w:val="20"/>
        </w:rPr>
        <w:t xml:space="preserve">, J. (2015). Does banking sector development promote economic growth? An empirical analysis for selected countries in Central and </w:t>
      </w:r>
      <w:proofErr w:type="gramStart"/>
      <w:r w:rsidRPr="007324F4">
        <w:rPr>
          <w:rFonts w:asciiTheme="majorHAnsi" w:hAnsiTheme="majorHAnsi" w:cstheme="majorHAnsi"/>
          <w:szCs w:val="20"/>
        </w:rPr>
        <w:t>South Eastern</w:t>
      </w:r>
      <w:proofErr w:type="gramEnd"/>
      <w:r w:rsidRPr="007324F4">
        <w:rPr>
          <w:rFonts w:asciiTheme="majorHAnsi" w:hAnsiTheme="majorHAnsi" w:cstheme="majorHAnsi"/>
          <w:szCs w:val="20"/>
        </w:rPr>
        <w:t xml:space="preserve"> Europe. Economic Research-</w:t>
      </w:r>
      <w:proofErr w:type="spellStart"/>
      <w:r w:rsidRPr="007324F4">
        <w:rPr>
          <w:rFonts w:asciiTheme="majorHAnsi" w:hAnsiTheme="majorHAnsi" w:cstheme="majorHAnsi"/>
          <w:szCs w:val="20"/>
        </w:rPr>
        <w:t>Ekonomska</w:t>
      </w:r>
      <w:proofErr w:type="spellEnd"/>
      <w:r w:rsidRPr="007324F4">
        <w:rPr>
          <w:rFonts w:asciiTheme="majorHAnsi" w:hAnsiTheme="majorHAnsi" w:cstheme="majorHAnsi"/>
          <w:szCs w:val="20"/>
        </w:rPr>
        <w:t xml:space="preserve"> </w:t>
      </w:r>
      <w:proofErr w:type="spellStart"/>
      <w:r w:rsidRPr="007324F4">
        <w:rPr>
          <w:rFonts w:asciiTheme="majorHAnsi" w:hAnsiTheme="majorHAnsi" w:cstheme="majorHAnsi"/>
          <w:szCs w:val="20"/>
        </w:rPr>
        <w:t>Istraživanja</w:t>
      </w:r>
      <w:proofErr w:type="spellEnd"/>
      <w:r w:rsidRPr="007324F4">
        <w:rPr>
          <w:rFonts w:asciiTheme="majorHAnsi" w:hAnsiTheme="majorHAnsi" w:cstheme="majorHAnsi"/>
          <w:szCs w:val="20"/>
        </w:rPr>
        <w:t>, 28(1), 496-514.</w:t>
      </w:r>
    </w:p>
    <w:sectPr w:rsidR="00585CDF" w:rsidRPr="007324F4"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6D1B" w14:textId="77777777" w:rsidR="005D50A1" w:rsidRDefault="005D50A1" w:rsidP="0036679C">
      <w:r>
        <w:separator/>
      </w:r>
    </w:p>
    <w:p w14:paraId="5EE686D0" w14:textId="77777777" w:rsidR="005D50A1" w:rsidRDefault="005D50A1"/>
  </w:endnote>
  <w:endnote w:type="continuationSeparator" w:id="0">
    <w:p w14:paraId="3423A14B" w14:textId="77777777" w:rsidR="005D50A1" w:rsidRDefault="005D50A1" w:rsidP="0036679C">
      <w:r>
        <w:continuationSeparator/>
      </w:r>
    </w:p>
    <w:p w14:paraId="55EF8AF1" w14:textId="77777777" w:rsidR="005D50A1" w:rsidRDefault="005D50A1"/>
  </w:endnote>
  <w:endnote w:type="continuationNotice" w:id="1">
    <w:p w14:paraId="0C1F997D" w14:textId="77777777" w:rsidR="005D50A1" w:rsidRDefault="005D50A1" w:rsidP="0036679C"/>
    <w:p w14:paraId="3350174B" w14:textId="77777777" w:rsidR="005D50A1" w:rsidRDefault="005D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FEDC" w14:textId="77777777" w:rsidR="005D50A1" w:rsidRPr="00A510E1" w:rsidRDefault="005D50A1" w:rsidP="0036679C">
      <w:r w:rsidRPr="00A510E1">
        <w:separator/>
      </w:r>
    </w:p>
  </w:footnote>
  <w:footnote w:type="continuationSeparator" w:id="0">
    <w:p w14:paraId="3A66D082" w14:textId="77777777" w:rsidR="005D50A1" w:rsidRDefault="005D50A1" w:rsidP="0036679C">
      <w:r>
        <w:continuationSeparator/>
      </w:r>
    </w:p>
    <w:p w14:paraId="1559ECC9" w14:textId="77777777" w:rsidR="005D50A1" w:rsidRDefault="005D50A1"/>
  </w:footnote>
  <w:footnote w:type="continuationNotice" w:id="1">
    <w:p w14:paraId="128A8EF6" w14:textId="77777777" w:rsidR="005D50A1" w:rsidRDefault="005D50A1" w:rsidP="0036679C"/>
    <w:p w14:paraId="689B41D1" w14:textId="77777777" w:rsidR="005D50A1" w:rsidRDefault="005D5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5F500D"/>
    <w:multiLevelType w:val="hybridMultilevel"/>
    <w:tmpl w:val="79F2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9"/>
  </w:num>
  <w:num w:numId="2" w16cid:durableId="747731861">
    <w:abstractNumId w:val="6"/>
  </w:num>
  <w:num w:numId="3" w16cid:durableId="1602102083">
    <w:abstractNumId w:val="3"/>
  </w:num>
  <w:num w:numId="4" w16cid:durableId="1330793459">
    <w:abstractNumId w:val="8"/>
  </w:num>
  <w:num w:numId="5" w16cid:durableId="2087412644">
    <w:abstractNumId w:val="16"/>
  </w:num>
  <w:num w:numId="6" w16cid:durableId="403917192">
    <w:abstractNumId w:val="27"/>
  </w:num>
  <w:num w:numId="7" w16cid:durableId="216596653">
    <w:abstractNumId w:val="14"/>
  </w:num>
  <w:num w:numId="8" w16cid:durableId="732390721">
    <w:abstractNumId w:val="25"/>
  </w:num>
  <w:num w:numId="9" w16cid:durableId="663242381">
    <w:abstractNumId w:val="11"/>
  </w:num>
  <w:num w:numId="10" w16cid:durableId="1741245404">
    <w:abstractNumId w:val="24"/>
  </w:num>
  <w:num w:numId="11" w16cid:durableId="147290646">
    <w:abstractNumId w:val="23"/>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1"/>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20"/>
  </w:num>
  <w:num w:numId="24" w16cid:durableId="358968807">
    <w:abstractNumId w:val="13"/>
  </w:num>
  <w:num w:numId="25" w16cid:durableId="1631202759">
    <w:abstractNumId w:val="28"/>
  </w:num>
  <w:num w:numId="26" w16cid:durableId="185870480">
    <w:abstractNumId w:val="9"/>
  </w:num>
  <w:num w:numId="27" w16cid:durableId="708654092">
    <w:abstractNumId w:val="15"/>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8"/>
  </w:num>
  <w:num w:numId="37" w16cid:durableId="161510526">
    <w:abstractNumId w:val="17"/>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2"/>
  </w:num>
  <w:num w:numId="43" w16cid:durableId="299145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5A76"/>
    <w:rsid w:val="000070ED"/>
    <w:rsid w:val="00012633"/>
    <w:rsid w:val="000146E1"/>
    <w:rsid w:val="00014BAE"/>
    <w:rsid w:val="00015D6E"/>
    <w:rsid w:val="000202B8"/>
    <w:rsid w:val="0002399E"/>
    <w:rsid w:val="0002586C"/>
    <w:rsid w:val="00027913"/>
    <w:rsid w:val="0003101C"/>
    <w:rsid w:val="00037FE8"/>
    <w:rsid w:val="00044F9D"/>
    <w:rsid w:val="0004541F"/>
    <w:rsid w:val="00047225"/>
    <w:rsid w:val="000474CC"/>
    <w:rsid w:val="000540AC"/>
    <w:rsid w:val="000541B4"/>
    <w:rsid w:val="0005492D"/>
    <w:rsid w:val="00055D9A"/>
    <w:rsid w:val="00064D14"/>
    <w:rsid w:val="0006580B"/>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5B67"/>
    <w:rsid w:val="000E6CFF"/>
    <w:rsid w:val="000E6FFE"/>
    <w:rsid w:val="000E7D20"/>
    <w:rsid w:val="000F2297"/>
    <w:rsid w:val="000F374E"/>
    <w:rsid w:val="000F444A"/>
    <w:rsid w:val="000F4B24"/>
    <w:rsid w:val="000F5B73"/>
    <w:rsid w:val="000F618B"/>
    <w:rsid w:val="000F74CC"/>
    <w:rsid w:val="000F7D1D"/>
    <w:rsid w:val="00101CE0"/>
    <w:rsid w:val="0010421B"/>
    <w:rsid w:val="00104229"/>
    <w:rsid w:val="0010576D"/>
    <w:rsid w:val="00112C6D"/>
    <w:rsid w:val="001141CA"/>
    <w:rsid w:val="001156E2"/>
    <w:rsid w:val="00115D56"/>
    <w:rsid w:val="00115FE1"/>
    <w:rsid w:val="001166EB"/>
    <w:rsid w:val="001168B9"/>
    <w:rsid w:val="00116EBA"/>
    <w:rsid w:val="001177AA"/>
    <w:rsid w:val="00117984"/>
    <w:rsid w:val="00123ADD"/>
    <w:rsid w:val="00124EC7"/>
    <w:rsid w:val="001251A3"/>
    <w:rsid w:val="00130058"/>
    <w:rsid w:val="00132A8C"/>
    <w:rsid w:val="001361DD"/>
    <w:rsid w:val="00136747"/>
    <w:rsid w:val="0013777A"/>
    <w:rsid w:val="00137FC0"/>
    <w:rsid w:val="00140505"/>
    <w:rsid w:val="00140908"/>
    <w:rsid w:val="00140DE5"/>
    <w:rsid w:val="001413D0"/>
    <w:rsid w:val="001423BE"/>
    <w:rsid w:val="00142447"/>
    <w:rsid w:val="00142797"/>
    <w:rsid w:val="0014328A"/>
    <w:rsid w:val="0015125E"/>
    <w:rsid w:val="0015157A"/>
    <w:rsid w:val="00153454"/>
    <w:rsid w:val="001538B3"/>
    <w:rsid w:val="00153D59"/>
    <w:rsid w:val="0015460D"/>
    <w:rsid w:val="00156BE5"/>
    <w:rsid w:val="001572D0"/>
    <w:rsid w:val="001579B6"/>
    <w:rsid w:val="00161C22"/>
    <w:rsid w:val="0016251E"/>
    <w:rsid w:val="00162523"/>
    <w:rsid w:val="00163D55"/>
    <w:rsid w:val="00165CAF"/>
    <w:rsid w:val="0017130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26B8C"/>
    <w:rsid w:val="00230350"/>
    <w:rsid w:val="002308D1"/>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1B81"/>
    <w:rsid w:val="00272DF8"/>
    <w:rsid w:val="00273282"/>
    <w:rsid w:val="00274883"/>
    <w:rsid w:val="002749AA"/>
    <w:rsid w:val="002817C0"/>
    <w:rsid w:val="002839EE"/>
    <w:rsid w:val="00284BD6"/>
    <w:rsid w:val="00286FDA"/>
    <w:rsid w:val="002908B0"/>
    <w:rsid w:val="00290E77"/>
    <w:rsid w:val="002914D0"/>
    <w:rsid w:val="00291A68"/>
    <w:rsid w:val="00291D31"/>
    <w:rsid w:val="00292C6D"/>
    <w:rsid w:val="00293ABE"/>
    <w:rsid w:val="00295664"/>
    <w:rsid w:val="0029576F"/>
    <w:rsid w:val="00295EFE"/>
    <w:rsid w:val="00296083"/>
    <w:rsid w:val="00296634"/>
    <w:rsid w:val="00297CF1"/>
    <w:rsid w:val="002A0F1D"/>
    <w:rsid w:val="002A227A"/>
    <w:rsid w:val="002A3716"/>
    <w:rsid w:val="002A3BD3"/>
    <w:rsid w:val="002A49B1"/>
    <w:rsid w:val="002B0D54"/>
    <w:rsid w:val="002B1C84"/>
    <w:rsid w:val="002B3338"/>
    <w:rsid w:val="002B4E42"/>
    <w:rsid w:val="002B60D5"/>
    <w:rsid w:val="002C00E5"/>
    <w:rsid w:val="002C0A80"/>
    <w:rsid w:val="002C1902"/>
    <w:rsid w:val="002C341C"/>
    <w:rsid w:val="002C437A"/>
    <w:rsid w:val="002C4383"/>
    <w:rsid w:val="002C4E4F"/>
    <w:rsid w:val="002C6620"/>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00E"/>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AE"/>
    <w:rsid w:val="00381CFE"/>
    <w:rsid w:val="00383054"/>
    <w:rsid w:val="0038379F"/>
    <w:rsid w:val="0038453F"/>
    <w:rsid w:val="00386783"/>
    <w:rsid w:val="0038699A"/>
    <w:rsid w:val="003905A9"/>
    <w:rsid w:val="0039218F"/>
    <w:rsid w:val="00393BC7"/>
    <w:rsid w:val="00393BF0"/>
    <w:rsid w:val="00394016"/>
    <w:rsid w:val="0039689F"/>
    <w:rsid w:val="003A06E4"/>
    <w:rsid w:val="003A0B83"/>
    <w:rsid w:val="003A296D"/>
    <w:rsid w:val="003A3037"/>
    <w:rsid w:val="003A462D"/>
    <w:rsid w:val="003A5704"/>
    <w:rsid w:val="003B0E90"/>
    <w:rsid w:val="003B3E08"/>
    <w:rsid w:val="003C03D6"/>
    <w:rsid w:val="003C5058"/>
    <w:rsid w:val="003C5347"/>
    <w:rsid w:val="003C6D3D"/>
    <w:rsid w:val="003D0026"/>
    <w:rsid w:val="003D2DC2"/>
    <w:rsid w:val="003D6BD0"/>
    <w:rsid w:val="003D727E"/>
    <w:rsid w:val="003D739B"/>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2CF8"/>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A68"/>
    <w:rsid w:val="004B7C7A"/>
    <w:rsid w:val="004C40FB"/>
    <w:rsid w:val="004C48DB"/>
    <w:rsid w:val="004C5D5D"/>
    <w:rsid w:val="004C7751"/>
    <w:rsid w:val="004C7A85"/>
    <w:rsid w:val="004D325B"/>
    <w:rsid w:val="004D4402"/>
    <w:rsid w:val="004D4EA0"/>
    <w:rsid w:val="004D6F47"/>
    <w:rsid w:val="004D7F72"/>
    <w:rsid w:val="004E01BC"/>
    <w:rsid w:val="004E067B"/>
    <w:rsid w:val="004E1271"/>
    <w:rsid w:val="004E1D6E"/>
    <w:rsid w:val="004E25CE"/>
    <w:rsid w:val="004E6D8A"/>
    <w:rsid w:val="004F2C32"/>
    <w:rsid w:val="004F42E0"/>
    <w:rsid w:val="004F43F9"/>
    <w:rsid w:val="004F4DF2"/>
    <w:rsid w:val="004F62AE"/>
    <w:rsid w:val="004F6488"/>
    <w:rsid w:val="004F6E02"/>
    <w:rsid w:val="00500107"/>
    <w:rsid w:val="00500207"/>
    <w:rsid w:val="00500835"/>
    <w:rsid w:val="00501838"/>
    <w:rsid w:val="00502E23"/>
    <w:rsid w:val="005053B8"/>
    <w:rsid w:val="00506EA1"/>
    <w:rsid w:val="005127AC"/>
    <w:rsid w:val="00513675"/>
    <w:rsid w:val="0051695E"/>
    <w:rsid w:val="0052111D"/>
    <w:rsid w:val="005256B3"/>
    <w:rsid w:val="00526654"/>
    <w:rsid w:val="00526986"/>
    <w:rsid w:val="005269D4"/>
    <w:rsid w:val="00527261"/>
    <w:rsid w:val="00533060"/>
    <w:rsid w:val="005331F7"/>
    <w:rsid w:val="005354F6"/>
    <w:rsid w:val="00535747"/>
    <w:rsid w:val="005371EE"/>
    <w:rsid w:val="0053740B"/>
    <w:rsid w:val="00541224"/>
    <w:rsid w:val="00541D9D"/>
    <w:rsid w:val="005445DF"/>
    <w:rsid w:val="00546062"/>
    <w:rsid w:val="0054676A"/>
    <w:rsid w:val="00546B15"/>
    <w:rsid w:val="00547AAC"/>
    <w:rsid w:val="00551DE0"/>
    <w:rsid w:val="00553B3C"/>
    <w:rsid w:val="005543A3"/>
    <w:rsid w:val="0055637C"/>
    <w:rsid w:val="00557754"/>
    <w:rsid w:val="005600FD"/>
    <w:rsid w:val="00561A23"/>
    <w:rsid w:val="00564B67"/>
    <w:rsid w:val="005671E9"/>
    <w:rsid w:val="00567357"/>
    <w:rsid w:val="005676F3"/>
    <w:rsid w:val="00567B60"/>
    <w:rsid w:val="00567E43"/>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3AC7"/>
    <w:rsid w:val="005B4EFE"/>
    <w:rsid w:val="005B5A01"/>
    <w:rsid w:val="005C0145"/>
    <w:rsid w:val="005C260E"/>
    <w:rsid w:val="005C2D06"/>
    <w:rsid w:val="005C3B2C"/>
    <w:rsid w:val="005C4EAD"/>
    <w:rsid w:val="005C6D4F"/>
    <w:rsid w:val="005D50A1"/>
    <w:rsid w:val="005E21F6"/>
    <w:rsid w:val="005E5271"/>
    <w:rsid w:val="005E59E5"/>
    <w:rsid w:val="005E5F3C"/>
    <w:rsid w:val="005E60E3"/>
    <w:rsid w:val="005E6F94"/>
    <w:rsid w:val="005F1508"/>
    <w:rsid w:val="005F2147"/>
    <w:rsid w:val="005F2CF5"/>
    <w:rsid w:val="005F6586"/>
    <w:rsid w:val="006010D4"/>
    <w:rsid w:val="00602226"/>
    <w:rsid w:val="006027CE"/>
    <w:rsid w:val="00602AE5"/>
    <w:rsid w:val="00604E22"/>
    <w:rsid w:val="0060535D"/>
    <w:rsid w:val="00606C75"/>
    <w:rsid w:val="0061000F"/>
    <w:rsid w:val="0061105A"/>
    <w:rsid w:val="006116DC"/>
    <w:rsid w:val="006116E4"/>
    <w:rsid w:val="00611E19"/>
    <w:rsid w:val="006146F6"/>
    <w:rsid w:val="006154D0"/>
    <w:rsid w:val="00615B7E"/>
    <w:rsid w:val="00617376"/>
    <w:rsid w:val="00617C06"/>
    <w:rsid w:val="006224A4"/>
    <w:rsid w:val="00622D10"/>
    <w:rsid w:val="00625129"/>
    <w:rsid w:val="00625F8A"/>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A20"/>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0D61"/>
    <w:rsid w:val="00681F1D"/>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AAD"/>
    <w:rsid w:val="006A4E42"/>
    <w:rsid w:val="006A4FBC"/>
    <w:rsid w:val="006A517A"/>
    <w:rsid w:val="006A6944"/>
    <w:rsid w:val="006B04BE"/>
    <w:rsid w:val="006B11AA"/>
    <w:rsid w:val="006B125D"/>
    <w:rsid w:val="006B1ECE"/>
    <w:rsid w:val="006B1EE9"/>
    <w:rsid w:val="006B25AE"/>
    <w:rsid w:val="006B4111"/>
    <w:rsid w:val="006B79A5"/>
    <w:rsid w:val="006C2291"/>
    <w:rsid w:val="006C2E35"/>
    <w:rsid w:val="006C2EA2"/>
    <w:rsid w:val="006C2ED3"/>
    <w:rsid w:val="006C3A72"/>
    <w:rsid w:val="006C3D6B"/>
    <w:rsid w:val="006D0989"/>
    <w:rsid w:val="006D13EA"/>
    <w:rsid w:val="006D2528"/>
    <w:rsid w:val="006D4300"/>
    <w:rsid w:val="006D5BA4"/>
    <w:rsid w:val="006E06E3"/>
    <w:rsid w:val="006E2D94"/>
    <w:rsid w:val="006E5058"/>
    <w:rsid w:val="006E52AA"/>
    <w:rsid w:val="006E7C82"/>
    <w:rsid w:val="006F00BF"/>
    <w:rsid w:val="006F1B20"/>
    <w:rsid w:val="006F1D59"/>
    <w:rsid w:val="006F210A"/>
    <w:rsid w:val="006F35A2"/>
    <w:rsid w:val="006F3CD5"/>
    <w:rsid w:val="006F3F5B"/>
    <w:rsid w:val="006F5638"/>
    <w:rsid w:val="006F617C"/>
    <w:rsid w:val="006F7303"/>
    <w:rsid w:val="006F76BF"/>
    <w:rsid w:val="00701042"/>
    <w:rsid w:val="00701B60"/>
    <w:rsid w:val="00701D93"/>
    <w:rsid w:val="00703C97"/>
    <w:rsid w:val="00705BA1"/>
    <w:rsid w:val="00705EDA"/>
    <w:rsid w:val="0070767B"/>
    <w:rsid w:val="007141B5"/>
    <w:rsid w:val="007148BE"/>
    <w:rsid w:val="00714D35"/>
    <w:rsid w:val="00720712"/>
    <w:rsid w:val="00720831"/>
    <w:rsid w:val="0072538C"/>
    <w:rsid w:val="00730F3F"/>
    <w:rsid w:val="007312E2"/>
    <w:rsid w:val="007323AD"/>
    <w:rsid w:val="007324F4"/>
    <w:rsid w:val="00733CAA"/>
    <w:rsid w:val="00741EC3"/>
    <w:rsid w:val="007430AA"/>
    <w:rsid w:val="00743805"/>
    <w:rsid w:val="00750198"/>
    <w:rsid w:val="0075095E"/>
    <w:rsid w:val="0075181D"/>
    <w:rsid w:val="00754AD2"/>
    <w:rsid w:val="00755B2B"/>
    <w:rsid w:val="007572E4"/>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08CE"/>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5C84"/>
    <w:rsid w:val="007F6F3A"/>
    <w:rsid w:val="00800A0A"/>
    <w:rsid w:val="00801EA4"/>
    <w:rsid w:val="008020A3"/>
    <w:rsid w:val="00804F79"/>
    <w:rsid w:val="00807339"/>
    <w:rsid w:val="00812064"/>
    <w:rsid w:val="00812A1D"/>
    <w:rsid w:val="00813778"/>
    <w:rsid w:val="00813899"/>
    <w:rsid w:val="0082305C"/>
    <w:rsid w:val="00824A3F"/>
    <w:rsid w:val="008252A9"/>
    <w:rsid w:val="008268AE"/>
    <w:rsid w:val="008277D2"/>
    <w:rsid w:val="00827998"/>
    <w:rsid w:val="00832BA1"/>
    <w:rsid w:val="00835678"/>
    <w:rsid w:val="00837B61"/>
    <w:rsid w:val="00840667"/>
    <w:rsid w:val="00841A43"/>
    <w:rsid w:val="00841E7A"/>
    <w:rsid w:val="00842831"/>
    <w:rsid w:val="008447F5"/>
    <w:rsid w:val="008451E3"/>
    <w:rsid w:val="00845873"/>
    <w:rsid w:val="008458B5"/>
    <w:rsid w:val="00845A32"/>
    <w:rsid w:val="00845B2A"/>
    <w:rsid w:val="00846E40"/>
    <w:rsid w:val="00847BEC"/>
    <w:rsid w:val="0085094B"/>
    <w:rsid w:val="008526C9"/>
    <w:rsid w:val="008530CB"/>
    <w:rsid w:val="00860770"/>
    <w:rsid w:val="00866233"/>
    <w:rsid w:val="008674CE"/>
    <w:rsid w:val="00871877"/>
    <w:rsid w:val="00871BBA"/>
    <w:rsid w:val="00872447"/>
    <w:rsid w:val="008731E7"/>
    <w:rsid w:val="00874861"/>
    <w:rsid w:val="00874D58"/>
    <w:rsid w:val="008755F9"/>
    <w:rsid w:val="00875A4C"/>
    <w:rsid w:val="008779BF"/>
    <w:rsid w:val="00877DC1"/>
    <w:rsid w:val="00880A53"/>
    <w:rsid w:val="00881206"/>
    <w:rsid w:val="0088174C"/>
    <w:rsid w:val="00886F5C"/>
    <w:rsid w:val="0088759F"/>
    <w:rsid w:val="00887F71"/>
    <w:rsid w:val="00887F90"/>
    <w:rsid w:val="00890386"/>
    <w:rsid w:val="00892EDB"/>
    <w:rsid w:val="00893447"/>
    <w:rsid w:val="0089413F"/>
    <w:rsid w:val="00894A78"/>
    <w:rsid w:val="00895081"/>
    <w:rsid w:val="008A5E9E"/>
    <w:rsid w:val="008B08F5"/>
    <w:rsid w:val="008B105E"/>
    <w:rsid w:val="008B50D4"/>
    <w:rsid w:val="008C06F7"/>
    <w:rsid w:val="008C28ED"/>
    <w:rsid w:val="008C2C63"/>
    <w:rsid w:val="008C300D"/>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633E"/>
    <w:rsid w:val="0091057D"/>
    <w:rsid w:val="0091091A"/>
    <w:rsid w:val="00910AA7"/>
    <w:rsid w:val="009138D8"/>
    <w:rsid w:val="00913C74"/>
    <w:rsid w:val="009142D8"/>
    <w:rsid w:val="00914A08"/>
    <w:rsid w:val="009169A2"/>
    <w:rsid w:val="00916F8B"/>
    <w:rsid w:val="00917296"/>
    <w:rsid w:val="00920FA7"/>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199A"/>
    <w:rsid w:val="00952905"/>
    <w:rsid w:val="00953FE8"/>
    <w:rsid w:val="00955523"/>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86250"/>
    <w:rsid w:val="00990A91"/>
    <w:rsid w:val="00990CDE"/>
    <w:rsid w:val="009916B2"/>
    <w:rsid w:val="00991E2D"/>
    <w:rsid w:val="009943B2"/>
    <w:rsid w:val="009A3D65"/>
    <w:rsid w:val="009A681A"/>
    <w:rsid w:val="009A71FD"/>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5BB"/>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1FB"/>
    <w:rsid w:val="00A338B5"/>
    <w:rsid w:val="00A34141"/>
    <w:rsid w:val="00A37A2C"/>
    <w:rsid w:val="00A40FDD"/>
    <w:rsid w:val="00A428B9"/>
    <w:rsid w:val="00A42BDC"/>
    <w:rsid w:val="00A47B29"/>
    <w:rsid w:val="00A500A7"/>
    <w:rsid w:val="00A510E1"/>
    <w:rsid w:val="00A52261"/>
    <w:rsid w:val="00A5278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218D"/>
    <w:rsid w:val="00A830CA"/>
    <w:rsid w:val="00A83CB0"/>
    <w:rsid w:val="00A862F2"/>
    <w:rsid w:val="00A864F2"/>
    <w:rsid w:val="00A8779A"/>
    <w:rsid w:val="00A902C1"/>
    <w:rsid w:val="00A91D13"/>
    <w:rsid w:val="00A92BAE"/>
    <w:rsid w:val="00A941E3"/>
    <w:rsid w:val="00A95C2B"/>
    <w:rsid w:val="00AA0826"/>
    <w:rsid w:val="00AA0DEE"/>
    <w:rsid w:val="00AA27A4"/>
    <w:rsid w:val="00AA5D7F"/>
    <w:rsid w:val="00AA628C"/>
    <w:rsid w:val="00AB042A"/>
    <w:rsid w:val="00AB0F05"/>
    <w:rsid w:val="00AB330B"/>
    <w:rsid w:val="00AB6966"/>
    <w:rsid w:val="00AB7C9F"/>
    <w:rsid w:val="00AB7CE2"/>
    <w:rsid w:val="00AC2CDD"/>
    <w:rsid w:val="00AC5DF7"/>
    <w:rsid w:val="00AC5E7F"/>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5122"/>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0F2"/>
    <w:rsid w:val="00B55D50"/>
    <w:rsid w:val="00B5606D"/>
    <w:rsid w:val="00B561F4"/>
    <w:rsid w:val="00B5697A"/>
    <w:rsid w:val="00B572DC"/>
    <w:rsid w:val="00B60DFA"/>
    <w:rsid w:val="00B617F7"/>
    <w:rsid w:val="00B62ED1"/>
    <w:rsid w:val="00B637E7"/>
    <w:rsid w:val="00B6611D"/>
    <w:rsid w:val="00B70AA4"/>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835"/>
    <w:rsid w:val="00BB6CE1"/>
    <w:rsid w:val="00BC0455"/>
    <w:rsid w:val="00BC1265"/>
    <w:rsid w:val="00BC2A9F"/>
    <w:rsid w:val="00BC4457"/>
    <w:rsid w:val="00BC5A09"/>
    <w:rsid w:val="00BC5CF9"/>
    <w:rsid w:val="00BC618F"/>
    <w:rsid w:val="00BC6478"/>
    <w:rsid w:val="00BC67A7"/>
    <w:rsid w:val="00BC7FAE"/>
    <w:rsid w:val="00BD0084"/>
    <w:rsid w:val="00BD0653"/>
    <w:rsid w:val="00BD230A"/>
    <w:rsid w:val="00BD6B95"/>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4"/>
    <w:rsid w:val="00C059E9"/>
    <w:rsid w:val="00C109DD"/>
    <w:rsid w:val="00C1175B"/>
    <w:rsid w:val="00C11892"/>
    <w:rsid w:val="00C1227E"/>
    <w:rsid w:val="00C1743C"/>
    <w:rsid w:val="00C20F21"/>
    <w:rsid w:val="00C21718"/>
    <w:rsid w:val="00C22037"/>
    <w:rsid w:val="00C23D6E"/>
    <w:rsid w:val="00C24103"/>
    <w:rsid w:val="00C3130B"/>
    <w:rsid w:val="00C31507"/>
    <w:rsid w:val="00C321FC"/>
    <w:rsid w:val="00C35191"/>
    <w:rsid w:val="00C359AB"/>
    <w:rsid w:val="00C359B7"/>
    <w:rsid w:val="00C45360"/>
    <w:rsid w:val="00C465A0"/>
    <w:rsid w:val="00C4700B"/>
    <w:rsid w:val="00C51F2F"/>
    <w:rsid w:val="00C53E42"/>
    <w:rsid w:val="00C54775"/>
    <w:rsid w:val="00C56A0C"/>
    <w:rsid w:val="00C621AE"/>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21D9"/>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2397"/>
    <w:rsid w:val="00CD32D4"/>
    <w:rsid w:val="00CD58B4"/>
    <w:rsid w:val="00CD71DD"/>
    <w:rsid w:val="00CE1449"/>
    <w:rsid w:val="00CE3F7C"/>
    <w:rsid w:val="00CE52E5"/>
    <w:rsid w:val="00CE6756"/>
    <w:rsid w:val="00CE7AB0"/>
    <w:rsid w:val="00CF15E8"/>
    <w:rsid w:val="00CF1602"/>
    <w:rsid w:val="00CF166C"/>
    <w:rsid w:val="00CF4484"/>
    <w:rsid w:val="00CF5D57"/>
    <w:rsid w:val="00CF5DD0"/>
    <w:rsid w:val="00CF6183"/>
    <w:rsid w:val="00CF6999"/>
    <w:rsid w:val="00D0156D"/>
    <w:rsid w:val="00D03751"/>
    <w:rsid w:val="00D03C26"/>
    <w:rsid w:val="00D03DE5"/>
    <w:rsid w:val="00D119AD"/>
    <w:rsid w:val="00D14766"/>
    <w:rsid w:val="00D15223"/>
    <w:rsid w:val="00D15EE6"/>
    <w:rsid w:val="00D20A52"/>
    <w:rsid w:val="00D232C6"/>
    <w:rsid w:val="00D248B4"/>
    <w:rsid w:val="00D276A7"/>
    <w:rsid w:val="00D277FF"/>
    <w:rsid w:val="00D27937"/>
    <w:rsid w:val="00D27A5A"/>
    <w:rsid w:val="00D27AE0"/>
    <w:rsid w:val="00D27F50"/>
    <w:rsid w:val="00D30777"/>
    <w:rsid w:val="00D331EC"/>
    <w:rsid w:val="00D3346A"/>
    <w:rsid w:val="00D34F6F"/>
    <w:rsid w:val="00D35F28"/>
    <w:rsid w:val="00D373B3"/>
    <w:rsid w:val="00D4317B"/>
    <w:rsid w:val="00D44DD1"/>
    <w:rsid w:val="00D44E69"/>
    <w:rsid w:val="00D45BB4"/>
    <w:rsid w:val="00D46B8D"/>
    <w:rsid w:val="00D52874"/>
    <w:rsid w:val="00D5326F"/>
    <w:rsid w:val="00D535E7"/>
    <w:rsid w:val="00D55B29"/>
    <w:rsid w:val="00D57B19"/>
    <w:rsid w:val="00D60393"/>
    <w:rsid w:val="00D60416"/>
    <w:rsid w:val="00D633D1"/>
    <w:rsid w:val="00D63B45"/>
    <w:rsid w:val="00D65A67"/>
    <w:rsid w:val="00D65E2D"/>
    <w:rsid w:val="00D66888"/>
    <w:rsid w:val="00D671F0"/>
    <w:rsid w:val="00D738D8"/>
    <w:rsid w:val="00D73BF5"/>
    <w:rsid w:val="00D7487C"/>
    <w:rsid w:val="00D7518E"/>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290B"/>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E7EBC"/>
    <w:rsid w:val="00DF3390"/>
    <w:rsid w:val="00DF347E"/>
    <w:rsid w:val="00DF3D89"/>
    <w:rsid w:val="00DF57B8"/>
    <w:rsid w:val="00DF69C4"/>
    <w:rsid w:val="00DF7758"/>
    <w:rsid w:val="00E001B6"/>
    <w:rsid w:val="00E017EC"/>
    <w:rsid w:val="00E01AC2"/>
    <w:rsid w:val="00E038FE"/>
    <w:rsid w:val="00E03A10"/>
    <w:rsid w:val="00E0401A"/>
    <w:rsid w:val="00E04232"/>
    <w:rsid w:val="00E0539B"/>
    <w:rsid w:val="00E05ACD"/>
    <w:rsid w:val="00E06167"/>
    <w:rsid w:val="00E0735F"/>
    <w:rsid w:val="00E115DD"/>
    <w:rsid w:val="00E12CAB"/>
    <w:rsid w:val="00E134C7"/>
    <w:rsid w:val="00E14289"/>
    <w:rsid w:val="00E158D5"/>
    <w:rsid w:val="00E167CB"/>
    <w:rsid w:val="00E21C32"/>
    <w:rsid w:val="00E224E8"/>
    <w:rsid w:val="00E25C58"/>
    <w:rsid w:val="00E25D8B"/>
    <w:rsid w:val="00E26547"/>
    <w:rsid w:val="00E3116C"/>
    <w:rsid w:val="00E31225"/>
    <w:rsid w:val="00E34E08"/>
    <w:rsid w:val="00E374AB"/>
    <w:rsid w:val="00E47C6E"/>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213"/>
    <w:rsid w:val="00E75431"/>
    <w:rsid w:val="00E75B53"/>
    <w:rsid w:val="00E76845"/>
    <w:rsid w:val="00E82B21"/>
    <w:rsid w:val="00E830B4"/>
    <w:rsid w:val="00E84F13"/>
    <w:rsid w:val="00E925BB"/>
    <w:rsid w:val="00E925EC"/>
    <w:rsid w:val="00E9288A"/>
    <w:rsid w:val="00E92A57"/>
    <w:rsid w:val="00E93422"/>
    <w:rsid w:val="00E9659D"/>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629E"/>
    <w:rsid w:val="00F60C54"/>
    <w:rsid w:val="00F61D52"/>
    <w:rsid w:val="00F6236E"/>
    <w:rsid w:val="00F626D7"/>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879AC"/>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303F"/>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88103036">
      <w:bodyDiv w:val="1"/>
      <w:marLeft w:val="0"/>
      <w:marRight w:val="0"/>
      <w:marTop w:val="0"/>
      <w:marBottom w:val="0"/>
      <w:divBdr>
        <w:top w:val="none" w:sz="0" w:space="0" w:color="auto"/>
        <w:left w:val="none" w:sz="0" w:space="0" w:color="auto"/>
        <w:bottom w:val="none" w:sz="0" w:space="0" w:color="auto"/>
        <w:right w:val="none" w:sz="0" w:space="0" w:color="auto"/>
      </w:divBdr>
      <w:divsChild>
        <w:div w:id="747993404">
          <w:marLeft w:val="0"/>
          <w:marRight w:val="0"/>
          <w:marTop w:val="0"/>
          <w:marBottom w:val="0"/>
          <w:divBdr>
            <w:top w:val="single" w:sz="2" w:space="0" w:color="D9D9E3"/>
            <w:left w:val="single" w:sz="2" w:space="0" w:color="D9D9E3"/>
            <w:bottom w:val="single" w:sz="2" w:space="0" w:color="D9D9E3"/>
            <w:right w:val="single" w:sz="2" w:space="0" w:color="D9D9E3"/>
          </w:divBdr>
          <w:divsChild>
            <w:div w:id="1231966361">
              <w:marLeft w:val="0"/>
              <w:marRight w:val="0"/>
              <w:marTop w:val="0"/>
              <w:marBottom w:val="0"/>
              <w:divBdr>
                <w:top w:val="single" w:sz="2" w:space="0" w:color="D9D9E3"/>
                <w:left w:val="single" w:sz="2" w:space="0" w:color="D9D9E3"/>
                <w:bottom w:val="single" w:sz="2" w:space="0" w:color="D9D9E3"/>
                <w:right w:val="single" w:sz="2" w:space="0" w:color="D9D9E3"/>
              </w:divBdr>
              <w:divsChild>
                <w:div w:id="1742368938">
                  <w:marLeft w:val="0"/>
                  <w:marRight w:val="0"/>
                  <w:marTop w:val="0"/>
                  <w:marBottom w:val="0"/>
                  <w:divBdr>
                    <w:top w:val="single" w:sz="2" w:space="0" w:color="D9D9E3"/>
                    <w:left w:val="single" w:sz="2" w:space="0" w:color="D9D9E3"/>
                    <w:bottom w:val="single" w:sz="2" w:space="0" w:color="D9D9E3"/>
                    <w:right w:val="single" w:sz="2" w:space="0" w:color="D9D9E3"/>
                  </w:divBdr>
                  <w:divsChild>
                    <w:div w:id="820123899">
                      <w:marLeft w:val="0"/>
                      <w:marRight w:val="0"/>
                      <w:marTop w:val="0"/>
                      <w:marBottom w:val="0"/>
                      <w:divBdr>
                        <w:top w:val="single" w:sz="2" w:space="0" w:color="D9D9E3"/>
                        <w:left w:val="single" w:sz="2" w:space="0" w:color="D9D9E3"/>
                        <w:bottom w:val="single" w:sz="2" w:space="0" w:color="D9D9E3"/>
                        <w:right w:val="single" w:sz="2" w:space="0" w:color="D9D9E3"/>
                      </w:divBdr>
                      <w:divsChild>
                        <w:div w:id="71511622">
                          <w:marLeft w:val="0"/>
                          <w:marRight w:val="0"/>
                          <w:marTop w:val="0"/>
                          <w:marBottom w:val="0"/>
                          <w:divBdr>
                            <w:top w:val="single" w:sz="2" w:space="0" w:color="auto"/>
                            <w:left w:val="single" w:sz="2" w:space="0" w:color="auto"/>
                            <w:bottom w:val="single" w:sz="6" w:space="0" w:color="auto"/>
                            <w:right w:val="single" w:sz="2" w:space="0" w:color="auto"/>
                          </w:divBdr>
                          <w:divsChild>
                            <w:div w:id="5682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831258">
                                  <w:marLeft w:val="0"/>
                                  <w:marRight w:val="0"/>
                                  <w:marTop w:val="0"/>
                                  <w:marBottom w:val="0"/>
                                  <w:divBdr>
                                    <w:top w:val="single" w:sz="2" w:space="0" w:color="D9D9E3"/>
                                    <w:left w:val="single" w:sz="2" w:space="0" w:color="D9D9E3"/>
                                    <w:bottom w:val="single" w:sz="2" w:space="0" w:color="D9D9E3"/>
                                    <w:right w:val="single" w:sz="2" w:space="0" w:color="D9D9E3"/>
                                  </w:divBdr>
                                  <w:divsChild>
                                    <w:div w:id="779953564">
                                      <w:marLeft w:val="0"/>
                                      <w:marRight w:val="0"/>
                                      <w:marTop w:val="0"/>
                                      <w:marBottom w:val="0"/>
                                      <w:divBdr>
                                        <w:top w:val="single" w:sz="2" w:space="0" w:color="D9D9E3"/>
                                        <w:left w:val="single" w:sz="2" w:space="0" w:color="D9D9E3"/>
                                        <w:bottom w:val="single" w:sz="2" w:space="0" w:color="D9D9E3"/>
                                        <w:right w:val="single" w:sz="2" w:space="0" w:color="D9D9E3"/>
                                      </w:divBdr>
                                      <w:divsChild>
                                        <w:div w:id="1358385979">
                                          <w:marLeft w:val="0"/>
                                          <w:marRight w:val="0"/>
                                          <w:marTop w:val="0"/>
                                          <w:marBottom w:val="0"/>
                                          <w:divBdr>
                                            <w:top w:val="single" w:sz="2" w:space="0" w:color="D9D9E3"/>
                                            <w:left w:val="single" w:sz="2" w:space="0" w:color="D9D9E3"/>
                                            <w:bottom w:val="single" w:sz="2" w:space="0" w:color="D9D9E3"/>
                                            <w:right w:val="single" w:sz="2" w:space="0" w:color="D9D9E3"/>
                                          </w:divBdr>
                                          <w:divsChild>
                                            <w:div w:id="1279289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517537">
                          <w:marLeft w:val="0"/>
                          <w:marRight w:val="0"/>
                          <w:marTop w:val="0"/>
                          <w:marBottom w:val="0"/>
                          <w:divBdr>
                            <w:top w:val="single" w:sz="2" w:space="0" w:color="auto"/>
                            <w:left w:val="single" w:sz="2" w:space="0" w:color="auto"/>
                            <w:bottom w:val="single" w:sz="6" w:space="0" w:color="auto"/>
                            <w:right w:val="single" w:sz="2" w:space="0" w:color="auto"/>
                          </w:divBdr>
                          <w:divsChild>
                            <w:div w:id="1915163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202158">
                                  <w:marLeft w:val="0"/>
                                  <w:marRight w:val="0"/>
                                  <w:marTop w:val="0"/>
                                  <w:marBottom w:val="0"/>
                                  <w:divBdr>
                                    <w:top w:val="single" w:sz="2" w:space="0" w:color="D9D9E3"/>
                                    <w:left w:val="single" w:sz="2" w:space="0" w:color="D9D9E3"/>
                                    <w:bottom w:val="single" w:sz="2" w:space="0" w:color="D9D9E3"/>
                                    <w:right w:val="single" w:sz="2" w:space="0" w:color="D9D9E3"/>
                                  </w:divBdr>
                                  <w:divsChild>
                                    <w:div w:id="1269773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81388454">
                                  <w:marLeft w:val="0"/>
                                  <w:marRight w:val="0"/>
                                  <w:marTop w:val="0"/>
                                  <w:marBottom w:val="0"/>
                                  <w:divBdr>
                                    <w:top w:val="single" w:sz="2" w:space="0" w:color="D9D9E3"/>
                                    <w:left w:val="single" w:sz="2" w:space="0" w:color="D9D9E3"/>
                                    <w:bottom w:val="single" w:sz="2" w:space="0" w:color="D9D9E3"/>
                                    <w:right w:val="single" w:sz="2" w:space="0" w:color="D9D9E3"/>
                                  </w:divBdr>
                                  <w:divsChild>
                                    <w:div w:id="629672745">
                                      <w:marLeft w:val="0"/>
                                      <w:marRight w:val="0"/>
                                      <w:marTop w:val="0"/>
                                      <w:marBottom w:val="0"/>
                                      <w:divBdr>
                                        <w:top w:val="single" w:sz="2" w:space="0" w:color="D9D9E3"/>
                                        <w:left w:val="single" w:sz="2" w:space="0" w:color="D9D9E3"/>
                                        <w:bottom w:val="single" w:sz="2" w:space="0" w:color="D9D9E3"/>
                                        <w:right w:val="single" w:sz="2" w:space="0" w:color="D9D9E3"/>
                                      </w:divBdr>
                                      <w:divsChild>
                                        <w:div w:id="147583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629922">
                          <w:marLeft w:val="0"/>
                          <w:marRight w:val="0"/>
                          <w:marTop w:val="0"/>
                          <w:marBottom w:val="0"/>
                          <w:divBdr>
                            <w:top w:val="single" w:sz="2" w:space="0" w:color="auto"/>
                            <w:left w:val="single" w:sz="2" w:space="0" w:color="auto"/>
                            <w:bottom w:val="single" w:sz="6" w:space="0" w:color="auto"/>
                            <w:right w:val="single" w:sz="2" w:space="0" w:color="auto"/>
                          </w:divBdr>
                          <w:divsChild>
                            <w:div w:id="186528834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131012">
                                  <w:marLeft w:val="0"/>
                                  <w:marRight w:val="0"/>
                                  <w:marTop w:val="0"/>
                                  <w:marBottom w:val="0"/>
                                  <w:divBdr>
                                    <w:top w:val="single" w:sz="2" w:space="0" w:color="D9D9E3"/>
                                    <w:left w:val="single" w:sz="2" w:space="0" w:color="D9D9E3"/>
                                    <w:bottom w:val="single" w:sz="2" w:space="0" w:color="D9D9E3"/>
                                    <w:right w:val="single" w:sz="2" w:space="0" w:color="D9D9E3"/>
                                  </w:divBdr>
                                  <w:divsChild>
                                    <w:div w:id="105423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0222123">
                                  <w:marLeft w:val="0"/>
                                  <w:marRight w:val="0"/>
                                  <w:marTop w:val="0"/>
                                  <w:marBottom w:val="0"/>
                                  <w:divBdr>
                                    <w:top w:val="single" w:sz="2" w:space="0" w:color="D9D9E3"/>
                                    <w:left w:val="single" w:sz="2" w:space="0" w:color="D9D9E3"/>
                                    <w:bottom w:val="single" w:sz="2" w:space="0" w:color="D9D9E3"/>
                                    <w:right w:val="single" w:sz="2" w:space="0" w:color="D9D9E3"/>
                                  </w:divBdr>
                                  <w:divsChild>
                                    <w:div w:id="434906831">
                                      <w:marLeft w:val="0"/>
                                      <w:marRight w:val="0"/>
                                      <w:marTop w:val="0"/>
                                      <w:marBottom w:val="0"/>
                                      <w:divBdr>
                                        <w:top w:val="single" w:sz="2" w:space="0" w:color="D9D9E3"/>
                                        <w:left w:val="single" w:sz="2" w:space="0" w:color="D9D9E3"/>
                                        <w:bottom w:val="single" w:sz="2" w:space="0" w:color="D9D9E3"/>
                                        <w:right w:val="single" w:sz="2" w:space="0" w:color="D9D9E3"/>
                                      </w:divBdr>
                                      <w:divsChild>
                                        <w:div w:id="1826242088">
                                          <w:marLeft w:val="0"/>
                                          <w:marRight w:val="0"/>
                                          <w:marTop w:val="0"/>
                                          <w:marBottom w:val="0"/>
                                          <w:divBdr>
                                            <w:top w:val="single" w:sz="2" w:space="0" w:color="D9D9E3"/>
                                            <w:left w:val="single" w:sz="2" w:space="0" w:color="D9D9E3"/>
                                            <w:bottom w:val="single" w:sz="2" w:space="0" w:color="D9D9E3"/>
                                            <w:right w:val="single" w:sz="2" w:space="0" w:color="D9D9E3"/>
                                          </w:divBdr>
                                          <w:divsChild>
                                            <w:div w:id="61317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8140175">
          <w:marLeft w:val="0"/>
          <w:marRight w:val="0"/>
          <w:marTop w:val="0"/>
          <w:marBottom w:val="0"/>
          <w:divBdr>
            <w:top w:val="none" w:sz="0" w:space="0" w:color="auto"/>
            <w:left w:val="none" w:sz="0" w:space="0" w:color="auto"/>
            <w:bottom w:val="none" w:sz="0" w:space="0" w:color="auto"/>
            <w:right w:val="none" w:sz="0" w:space="0" w:color="auto"/>
          </w:divBdr>
        </w:div>
      </w:divsChild>
    </w:div>
    <w:div w:id="3797469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50444985">
      <w:bodyDiv w:val="1"/>
      <w:marLeft w:val="0"/>
      <w:marRight w:val="0"/>
      <w:marTop w:val="0"/>
      <w:marBottom w:val="0"/>
      <w:divBdr>
        <w:top w:val="none" w:sz="0" w:space="0" w:color="auto"/>
        <w:left w:val="none" w:sz="0" w:space="0" w:color="auto"/>
        <w:bottom w:val="none" w:sz="0" w:space="0" w:color="auto"/>
        <w:right w:val="none" w:sz="0" w:space="0" w:color="auto"/>
      </w:divBdr>
    </w:div>
    <w:div w:id="1233127369">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51804357">
      <w:bodyDiv w:val="1"/>
      <w:marLeft w:val="0"/>
      <w:marRight w:val="0"/>
      <w:marTop w:val="0"/>
      <w:marBottom w:val="0"/>
      <w:divBdr>
        <w:top w:val="none" w:sz="0" w:space="0" w:color="auto"/>
        <w:left w:val="none" w:sz="0" w:space="0" w:color="auto"/>
        <w:bottom w:val="none" w:sz="0" w:space="0" w:color="auto"/>
        <w:right w:val="none" w:sz="0" w:space="0" w:color="auto"/>
      </w:divBdr>
      <w:divsChild>
        <w:div w:id="86469276">
          <w:marLeft w:val="0"/>
          <w:marRight w:val="0"/>
          <w:marTop w:val="0"/>
          <w:marBottom w:val="0"/>
          <w:divBdr>
            <w:top w:val="single" w:sz="2" w:space="0" w:color="D9D9E3"/>
            <w:left w:val="single" w:sz="2" w:space="0" w:color="D9D9E3"/>
            <w:bottom w:val="single" w:sz="2" w:space="0" w:color="D9D9E3"/>
            <w:right w:val="single" w:sz="2" w:space="0" w:color="D9D9E3"/>
          </w:divBdr>
          <w:divsChild>
            <w:div w:id="385187028">
              <w:marLeft w:val="0"/>
              <w:marRight w:val="0"/>
              <w:marTop w:val="0"/>
              <w:marBottom w:val="0"/>
              <w:divBdr>
                <w:top w:val="single" w:sz="2" w:space="0" w:color="D9D9E3"/>
                <w:left w:val="single" w:sz="2" w:space="0" w:color="D9D9E3"/>
                <w:bottom w:val="single" w:sz="2" w:space="0" w:color="D9D9E3"/>
                <w:right w:val="single" w:sz="2" w:space="0" w:color="D9D9E3"/>
              </w:divBdr>
              <w:divsChild>
                <w:div w:id="1055005982">
                  <w:marLeft w:val="0"/>
                  <w:marRight w:val="0"/>
                  <w:marTop w:val="0"/>
                  <w:marBottom w:val="0"/>
                  <w:divBdr>
                    <w:top w:val="single" w:sz="2" w:space="0" w:color="D9D9E3"/>
                    <w:left w:val="single" w:sz="2" w:space="0" w:color="D9D9E3"/>
                    <w:bottom w:val="single" w:sz="2" w:space="0" w:color="D9D9E3"/>
                    <w:right w:val="single" w:sz="2" w:space="0" w:color="D9D9E3"/>
                  </w:divBdr>
                  <w:divsChild>
                    <w:div w:id="2129664687">
                      <w:marLeft w:val="0"/>
                      <w:marRight w:val="0"/>
                      <w:marTop w:val="0"/>
                      <w:marBottom w:val="0"/>
                      <w:divBdr>
                        <w:top w:val="single" w:sz="2" w:space="0" w:color="D9D9E3"/>
                        <w:left w:val="single" w:sz="2" w:space="0" w:color="D9D9E3"/>
                        <w:bottom w:val="single" w:sz="2" w:space="0" w:color="D9D9E3"/>
                        <w:right w:val="single" w:sz="2" w:space="0" w:color="D9D9E3"/>
                      </w:divBdr>
                      <w:divsChild>
                        <w:div w:id="1293713012">
                          <w:marLeft w:val="0"/>
                          <w:marRight w:val="0"/>
                          <w:marTop w:val="0"/>
                          <w:marBottom w:val="0"/>
                          <w:divBdr>
                            <w:top w:val="single" w:sz="2" w:space="0" w:color="auto"/>
                            <w:left w:val="single" w:sz="2" w:space="0" w:color="auto"/>
                            <w:bottom w:val="single" w:sz="6" w:space="0" w:color="auto"/>
                            <w:right w:val="single" w:sz="2" w:space="0" w:color="auto"/>
                          </w:divBdr>
                          <w:divsChild>
                            <w:div w:id="1926912552">
                              <w:marLeft w:val="0"/>
                              <w:marRight w:val="0"/>
                              <w:marTop w:val="100"/>
                              <w:marBottom w:val="100"/>
                              <w:divBdr>
                                <w:top w:val="single" w:sz="2" w:space="0" w:color="D9D9E3"/>
                                <w:left w:val="single" w:sz="2" w:space="0" w:color="D9D9E3"/>
                                <w:bottom w:val="single" w:sz="2" w:space="0" w:color="D9D9E3"/>
                                <w:right w:val="single" w:sz="2" w:space="0" w:color="D9D9E3"/>
                              </w:divBdr>
                              <w:divsChild>
                                <w:div w:id="644630893">
                                  <w:marLeft w:val="0"/>
                                  <w:marRight w:val="0"/>
                                  <w:marTop w:val="0"/>
                                  <w:marBottom w:val="0"/>
                                  <w:divBdr>
                                    <w:top w:val="single" w:sz="2" w:space="0" w:color="D9D9E3"/>
                                    <w:left w:val="single" w:sz="2" w:space="0" w:color="D9D9E3"/>
                                    <w:bottom w:val="single" w:sz="2" w:space="0" w:color="D9D9E3"/>
                                    <w:right w:val="single" w:sz="2" w:space="0" w:color="D9D9E3"/>
                                  </w:divBdr>
                                  <w:divsChild>
                                    <w:div w:id="101731141">
                                      <w:marLeft w:val="0"/>
                                      <w:marRight w:val="0"/>
                                      <w:marTop w:val="0"/>
                                      <w:marBottom w:val="0"/>
                                      <w:divBdr>
                                        <w:top w:val="single" w:sz="2" w:space="0" w:color="D9D9E3"/>
                                        <w:left w:val="single" w:sz="2" w:space="0" w:color="D9D9E3"/>
                                        <w:bottom w:val="single" w:sz="2" w:space="0" w:color="D9D9E3"/>
                                        <w:right w:val="single" w:sz="2" w:space="0" w:color="D9D9E3"/>
                                      </w:divBdr>
                                      <w:divsChild>
                                        <w:div w:id="756754989">
                                          <w:marLeft w:val="0"/>
                                          <w:marRight w:val="0"/>
                                          <w:marTop w:val="0"/>
                                          <w:marBottom w:val="0"/>
                                          <w:divBdr>
                                            <w:top w:val="single" w:sz="2" w:space="0" w:color="D9D9E3"/>
                                            <w:left w:val="single" w:sz="2" w:space="0" w:color="D9D9E3"/>
                                            <w:bottom w:val="single" w:sz="2" w:space="0" w:color="D9D9E3"/>
                                            <w:right w:val="single" w:sz="2" w:space="0" w:color="D9D9E3"/>
                                          </w:divBdr>
                                          <w:divsChild>
                                            <w:div w:id="89929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7410246">
                          <w:marLeft w:val="0"/>
                          <w:marRight w:val="0"/>
                          <w:marTop w:val="0"/>
                          <w:marBottom w:val="0"/>
                          <w:divBdr>
                            <w:top w:val="single" w:sz="2" w:space="0" w:color="auto"/>
                            <w:left w:val="single" w:sz="2" w:space="0" w:color="auto"/>
                            <w:bottom w:val="single" w:sz="6" w:space="0" w:color="auto"/>
                            <w:right w:val="single" w:sz="2" w:space="0" w:color="auto"/>
                          </w:divBdr>
                          <w:divsChild>
                            <w:div w:id="748775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019713">
                                  <w:marLeft w:val="0"/>
                                  <w:marRight w:val="0"/>
                                  <w:marTop w:val="0"/>
                                  <w:marBottom w:val="0"/>
                                  <w:divBdr>
                                    <w:top w:val="single" w:sz="2" w:space="0" w:color="D9D9E3"/>
                                    <w:left w:val="single" w:sz="2" w:space="0" w:color="D9D9E3"/>
                                    <w:bottom w:val="single" w:sz="2" w:space="0" w:color="D9D9E3"/>
                                    <w:right w:val="single" w:sz="2" w:space="0" w:color="D9D9E3"/>
                                  </w:divBdr>
                                  <w:divsChild>
                                    <w:div w:id="1268079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7664145">
                                  <w:marLeft w:val="0"/>
                                  <w:marRight w:val="0"/>
                                  <w:marTop w:val="0"/>
                                  <w:marBottom w:val="0"/>
                                  <w:divBdr>
                                    <w:top w:val="single" w:sz="2" w:space="0" w:color="D9D9E3"/>
                                    <w:left w:val="single" w:sz="2" w:space="0" w:color="D9D9E3"/>
                                    <w:bottom w:val="single" w:sz="2" w:space="0" w:color="D9D9E3"/>
                                    <w:right w:val="single" w:sz="2" w:space="0" w:color="D9D9E3"/>
                                  </w:divBdr>
                                  <w:divsChild>
                                    <w:div w:id="2112821220">
                                      <w:marLeft w:val="0"/>
                                      <w:marRight w:val="0"/>
                                      <w:marTop w:val="0"/>
                                      <w:marBottom w:val="0"/>
                                      <w:divBdr>
                                        <w:top w:val="single" w:sz="2" w:space="0" w:color="D9D9E3"/>
                                        <w:left w:val="single" w:sz="2" w:space="0" w:color="D9D9E3"/>
                                        <w:bottom w:val="single" w:sz="2" w:space="0" w:color="D9D9E3"/>
                                        <w:right w:val="single" w:sz="2" w:space="0" w:color="D9D9E3"/>
                                      </w:divBdr>
                                      <w:divsChild>
                                        <w:div w:id="155886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41684">
                          <w:marLeft w:val="0"/>
                          <w:marRight w:val="0"/>
                          <w:marTop w:val="0"/>
                          <w:marBottom w:val="0"/>
                          <w:divBdr>
                            <w:top w:val="single" w:sz="2" w:space="0" w:color="auto"/>
                            <w:left w:val="single" w:sz="2" w:space="0" w:color="auto"/>
                            <w:bottom w:val="single" w:sz="6" w:space="0" w:color="auto"/>
                            <w:right w:val="single" w:sz="2" w:space="0" w:color="auto"/>
                          </w:divBdr>
                          <w:divsChild>
                            <w:div w:id="584651350">
                              <w:marLeft w:val="0"/>
                              <w:marRight w:val="0"/>
                              <w:marTop w:val="100"/>
                              <w:marBottom w:val="100"/>
                              <w:divBdr>
                                <w:top w:val="single" w:sz="2" w:space="0" w:color="D9D9E3"/>
                                <w:left w:val="single" w:sz="2" w:space="0" w:color="D9D9E3"/>
                                <w:bottom w:val="single" w:sz="2" w:space="0" w:color="D9D9E3"/>
                                <w:right w:val="single" w:sz="2" w:space="0" w:color="D9D9E3"/>
                              </w:divBdr>
                              <w:divsChild>
                                <w:div w:id="257950028">
                                  <w:marLeft w:val="0"/>
                                  <w:marRight w:val="0"/>
                                  <w:marTop w:val="0"/>
                                  <w:marBottom w:val="0"/>
                                  <w:divBdr>
                                    <w:top w:val="single" w:sz="2" w:space="0" w:color="D9D9E3"/>
                                    <w:left w:val="single" w:sz="2" w:space="0" w:color="D9D9E3"/>
                                    <w:bottom w:val="single" w:sz="2" w:space="0" w:color="D9D9E3"/>
                                    <w:right w:val="single" w:sz="2" w:space="0" w:color="D9D9E3"/>
                                  </w:divBdr>
                                  <w:divsChild>
                                    <w:div w:id="75801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8996443">
                                  <w:marLeft w:val="0"/>
                                  <w:marRight w:val="0"/>
                                  <w:marTop w:val="0"/>
                                  <w:marBottom w:val="0"/>
                                  <w:divBdr>
                                    <w:top w:val="single" w:sz="2" w:space="0" w:color="D9D9E3"/>
                                    <w:left w:val="single" w:sz="2" w:space="0" w:color="D9D9E3"/>
                                    <w:bottom w:val="single" w:sz="2" w:space="0" w:color="D9D9E3"/>
                                    <w:right w:val="single" w:sz="2" w:space="0" w:color="D9D9E3"/>
                                  </w:divBdr>
                                  <w:divsChild>
                                    <w:div w:id="420763963">
                                      <w:marLeft w:val="0"/>
                                      <w:marRight w:val="0"/>
                                      <w:marTop w:val="0"/>
                                      <w:marBottom w:val="0"/>
                                      <w:divBdr>
                                        <w:top w:val="single" w:sz="2" w:space="0" w:color="D9D9E3"/>
                                        <w:left w:val="single" w:sz="2" w:space="0" w:color="D9D9E3"/>
                                        <w:bottom w:val="single" w:sz="2" w:space="0" w:color="D9D9E3"/>
                                        <w:right w:val="single" w:sz="2" w:space="0" w:color="D9D9E3"/>
                                      </w:divBdr>
                                      <w:divsChild>
                                        <w:div w:id="1376075150">
                                          <w:marLeft w:val="0"/>
                                          <w:marRight w:val="0"/>
                                          <w:marTop w:val="0"/>
                                          <w:marBottom w:val="0"/>
                                          <w:divBdr>
                                            <w:top w:val="single" w:sz="2" w:space="0" w:color="D9D9E3"/>
                                            <w:left w:val="single" w:sz="2" w:space="0" w:color="D9D9E3"/>
                                            <w:bottom w:val="single" w:sz="2" w:space="0" w:color="D9D9E3"/>
                                            <w:right w:val="single" w:sz="2" w:space="0" w:color="D9D9E3"/>
                                          </w:divBdr>
                                          <w:divsChild>
                                            <w:div w:id="1075587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6799994">
          <w:marLeft w:val="0"/>
          <w:marRight w:val="0"/>
          <w:marTop w:val="0"/>
          <w:marBottom w:val="0"/>
          <w:divBdr>
            <w:top w:val="none" w:sz="0" w:space="0" w:color="auto"/>
            <w:left w:val="none" w:sz="0" w:space="0" w:color="auto"/>
            <w:bottom w:val="none" w:sz="0" w:space="0" w:color="auto"/>
            <w:right w:val="none" w:sz="0" w:space="0" w:color="auto"/>
          </w:divBdr>
        </w:div>
      </w:divsChild>
    </w:div>
    <w:div w:id="1770738355">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3595257">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47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8C43C9EA2C254092E871F5516621E6" ma:contentTypeVersion="2" ma:contentTypeDescription="Vytvoří nový dokument" ma:contentTypeScope="" ma:versionID="278d5f0d715f0a0d7ad271c962202187">
  <xsd:schema xmlns:xsd="http://www.w3.org/2001/XMLSchema" xmlns:xs="http://www.w3.org/2001/XMLSchema" xmlns:p="http://schemas.microsoft.com/office/2006/metadata/properties" xmlns:ns3="20cb016a-01f5-4014-bb75-cbdf913b15b0" targetNamespace="http://schemas.microsoft.com/office/2006/metadata/properties" ma:root="true" ma:fieldsID="fd521cd91cbf2c3c4e1d734a242106dd" ns3:_="">
    <xsd:import namespace="20cb016a-01f5-4014-bb75-cbdf913b15b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016a-01f5-4014-bb75-cbdf913b1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A8446-BBDB-4E5D-BC28-012E67897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016a-01f5-4014-bb75-cbdf913b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246</TotalTime>
  <Pages>2</Pages>
  <Words>1205</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122</cp:revision>
  <cp:lastPrinted>2023-05-01T08:35:00Z</cp:lastPrinted>
  <dcterms:created xsi:type="dcterms:W3CDTF">2023-04-29T20:30:00Z</dcterms:created>
  <dcterms:modified xsi:type="dcterms:W3CDTF">2023-05-01T08:36:00Z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0x010100898C43C9EA2C254092E871F5516621E6</vt:lpwstr>
  </property>
</Properties>
</file>