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Gövde"/>
        <w:spacing w:line="288" w:lineRule="auto"/>
        <w:jc w:val="both"/>
        <w:rPr>
          <w:rFonts w:ascii="Times New Roman" w:hAnsi="Times New Roman"/>
          <w:sz w:val="24"/>
          <w:szCs w:val="24"/>
        </w:rPr>
      </w:pPr>
    </w:p>
    <w:p>
      <w:pPr>
        <w:pStyle w:val="Gövde"/>
        <w:spacing w:line="288" w:lineRule="auto"/>
        <w:jc w:val="both"/>
        <w:rPr>
          <w:rFonts w:ascii="Times New Roman" w:cs="Times New Roman" w:hAnsi="Times New Roman" w:eastAsia="Times New Roman"/>
          <w:sz w:val="24"/>
          <w:szCs w:val="24"/>
        </w:rPr>
      </w:pPr>
      <w:r>
        <w:rPr>
          <w:rFonts w:ascii="Times New Roman" w:hAnsi="Times New Roman"/>
          <w:sz w:val="24"/>
          <w:szCs w:val="24"/>
          <w:rtl w:val="0"/>
        </w:rPr>
        <w:t>1) Ana P. S., Alexandra F., Adelaide M., (2021). ,,</w:t>
      </w:r>
      <w:r>
        <w:rPr>
          <w:rFonts w:ascii="Times New Roman" w:hAnsi="Times New Roman"/>
          <w:sz w:val="24"/>
          <w:szCs w:val="24"/>
          <w:rtl w:val="0"/>
          <w:lang w:val="en-US"/>
        </w:rPr>
        <w:t>Perceptions regarding the implementation of International</w:t>
      </w:r>
      <w:r>
        <w:rPr>
          <w:rFonts w:ascii="Times New Roman" w:hAnsi="Times New Roman"/>
          <w:sz w:val="24"/>
          <w:szCs w:val="24"/>
          <w:rtl w:val="0"/>
        </w:rPr>
        <w:t xml:space="preserve"> </w:t>
      </w:r>
      <w:r>
        <w:rPr>
          <w:rFonts w:ascii="Times New Roman" w:hAnsi="Times New Roman"/>
          <w:sz w:val="24"/>
          <w:szCs w:val="24"/>
          <w:rtl w:val="0"/>
          <w:lang w:val="nl-NL"/>
        </w:rPr>
        <w:t>Financial Reporting Standards in Portugal and Brazil</w:t>
      </w:r>
      <w:r>
        <w:rPr>
          <w:rFonts w:ascii="Times New Roman" w:hAnsi="Times New Roman" w:hint="default"/>
          <w:sz w:val="24"/>
          <w:szCs w:val="24"/>
          <w:rtl w:val="0"/>
        </w:rPr>
        <w:t>’’</w:t>
      </w:r>
      <w:r>
        <w:rPr>
          <w:rFonts w:ascii="Times New Roman" w:hAnsi="Times New Roman"/>
          <w:sz w:val="24"/>
          <w:szCs w:val="24"/>
          <w:rtl w:val="0"/>
        </w:rPr>
        <w:t xml:space="preserve">. </w:t>
      </w:r>
      <w:r>
        <w:rPr>
          <w:rFonts w:ascii="Times New Roman" w:hAnsi="Times New Roman"/>
          <w:sz w:val="24"/>
          <w:szCs w:val="24"/>
          <w:rtl w:val="0"/>
          <w:lang w:val="en-US"/>
        </w:rPr>
        <w:t>Journal of International Accounting,</w:t>
      </w:r>
      <w:r>
        <w:rPr>
          <w:rFonts w:ascii="Times New Roman" w:hAnsi="Times New Roman"/>
          <w:sz w:val="24"/>
          <w:szCs w:val="24"/>
          <w:rtl w:val="0"/>
        </w:rPr>
        <w:t xml:space="preserve"> </w:t>
      </w:r>
      <w:r>
        <w:rPr>
          <w:rFonts w:ascii="Times New Roman" w:hAnsi="Times New Roman"/>
          <w:sz w:val="24"/>
          <w:szCs w:val="24"/>
          <w:rtl w:val="0"/>
          <w:lang w:val="en-US"/>
        </w:rPr>
        <w:t>Auditing and Taxation</w:t>
      </w:r>
      <w:r>
        <w:rPr>
          <w:rFonts w:ascii="Times New Roman" w:hAnsi="Times New Roman"/>
          <w:sz w:val="24"/>
          <w:szCs w:val="24"/>
          <w:rtl w:val="0"/>
        </w:rPr>
        <w:t>, 44, 100416.</w:t>
      </w: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r>
        <w:rPr>
          <w:rFonts w:ascii="Times New Roman" w:hAnsi="Times New Roman"/>
          <w:sz w:val="24"/>
          <w:szCs w:val="24"/>
          <w:rtl w:val="0"/>
        </w:rPr>
        <w:t xml:space="preserve">In their article, Ana et al. tackle differences of process during trying countries to adapt International Financial Reporting Standarts (IFRS). Each countries in a process to perform International Financial Reporting Standarts (IFRS) but used former implementation used by countries influence IFRS implementation that country wants to put into action. According to article, varieties of cultures may influence harmonization process as well as professional judgment while perform International Financial Reporting Standarts (IFRS).  Tackled countries in the article are Brazil and Portuguese have been chosen due to common culture of both countries. Moreover, achievement of IFRS principle is not completed yet. Thereby, researchers examine factors that lead to distinction by financial system, education level, economic development, culture, structures, inflation, and legal system in chosen countries. </w:t>
      </w: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r>
        <w:rPr>
          <w:rFonts w:ascii="Times New Roman" w:hAnsi="Times New Roman"/>
          <w:sz w:val="24"/>
          <w:szCs w:val="24"/>
          <w:rtl w:val="0"/>
        </w:rPr>
        <w:t xml:space="preserve">2) </w:t>
      </w:r>
      <w:r>
        <w:rPr>
          <w:rFonts w:ascii="Times New Roman" w:hAnsi="Times New Roman"/>
          <w:sz w:val="24"/>
          <w:szCs w:val="24"/>
          <w:rtl w:val="0"/>
          <w:lang w:val="en-US"/>
        </w:rPr>
        <w:t>Sundari, S. (2020). Impact of IFRS Convergence on Financial Reporting Quality: A Study of Listed Companies in India. International Journal of Business and Management, 15(4), 131-147.</w:t>
      </w: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This study examines the impact of the convergence to IFRS on the financial reporting quality of listed companies in India. Using a sample of 50 companies, the study analyzes financial statements for three years prior to and three years after the adoption of IFRS. The study finds a significant improvement in financial reporting quality after the adoption of IFRS, as evidenced by an increase in the comparability and consistency of financial statements. However, the study also notes that there are still some challenges that companies face in implementing IFRS, including the need for additional training and resources. Overall, the study suggests that the adoption of IFRS has had a positive impact on financial reporting quality in India.</w:t>
      </w: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r>
        <w:rPr>
          <w:rFonts w:ascii="Times New Roman" w:hAnsi="Times New Roman"/>
          <w:sz w:val="24"/>
          <w:szCs w:val="24"/>
          <w:rtl w:val="0"/>
        </w:rPr>
        <w:t xml:space="preserve">3)  </w:t>
      </w:r>
      <w:r>
        <w:rPr>
          <w:rFonts w:ascii="Times New Roman" w:hAnsi="Times New Roman"/>
          <w:sz w:val="24"/>
          <w:szCs w:val="24"/>
          <w:rtl w:val="0"/>
        </w:rPr>
        <w:t>Erdo</w:t>
      </w:r>
      <w:r>
        <w:rPr>
          <w:rFonts w:ascii="Times New Roman" w:hAnsi="Times New Roman" w:hint="default"/>
          <w:sz w:val="24"/>
          <w:szCs w:val="24"/>
          <w:rtl w:val="0"/>
        </w:rPr>
        <w:t>ğ</w:t>
      </w:r>
      <w:r>
        <w:rPr>
          <w:rFonts w:ascii="Times New Roman" w:hAnsi="Times New Roman"/>
          <w:sz w:val="24"/>
          <w:szCs w:val="24"/>
          <w:rtl w:val="0"/>
          <w:lang w:val="de-DE"/>
        </w:rPr>
        <w:t>an, A. H. (2019). TFRS 15 M</w:t>
      </w:r>
      <w:r>
        <w:rPr>
          <w:rFonts w:ascii="Times New Roman" w:hAnsi="Times New Roman" w:hint="default"/>
          <w:sz w:val="24"/>
          <w:szCs w:val="24"/>
          <w:rtl w:val="0"/>
        </w:rPr>
        <w:t>üş</w:t>
      </w:r>
      <w:r>
        <w:rPr>
          <w:rFonts w:ascii="Times New Roman" w:hAnsi="Times New Roman"/>
          <w:sz w:val="24"/>
          <w:szCs w:val="24"/>
          <w:rtl w:val="0"/>
        </w:rPr>
        <w:t>teri S</w:t>
      </w:r>
      <w:r>
        <w:rPr>
          <w:rFonts w:ascii="Times New Roman" w:hAnsi="Times New Roman" w:hint="default"/>
          <w:sz w:val="24"/>
          <w:szCs w:val="24"/>
          <w:rtl w:val="0"/>
          <w:lang w:val="sv-SE"/>
        </w:rPr>
        <w:t>ö</w:t>
      </w:r>
      <w:r>
        <w:rPr>
          <w:rFonts w:ascii="Times New Roman" w:hAnsi="Times New Roman"/>
          <w:sz w:val="24"/>
          <w:szCs w:val="24"/>
          <w:rtl w:val="0"/>
        </w:rPr>
        <w:t>zle</w:t>
      </w:r>
      <w:r>
        <w:rPr>
          <w:rFonts w:ascii="Times New Roman" w:hAnsi="Times New Roman" w:hint="default"/>
          <w:sz w:val="24"/>
          <w:szCs w:val="24"/>
          <w:rtl w:val="0"/>
        </w:rPr>
        <w:t>ş</w:t>
      </w:r>
      <w:r>
        <w:rPr>
          <w:rFonts w:ascii="Times New Roman" w:hAnsi="Times New Roman"/>
          <w:sz w:val="24"/>
          <w:szCs w:val="24"/>
          <w:rtl w:val="0"/>
        </w:rPr>
        <w:t>melerinden Has</w:t>
      </w:r>
      <w:r>
        <w:rPr>
          <w:rFonts w:ascii="Times New Roman" w:hAnsi="Times New Roman" w:hint="default"/>
          <w:sz w:val="24"/>
          <w:szCs w:val="24"/>
          <w:rtl w:val="0"/>
        </w:rPr>
        <w:t>ı</w:t>
      </w:r>
      <w:r>
        <w:rPr>
          <w:rFonts w:ascii="Times New Roman" w:hAnsi="Times New Roman"/>
          <w:sz w:val="24"/>
          <w:szCs w:val="24"/>
          <w:rtl w:val="0"/>
        </w:rPr>
        <w:t>lat Standard</w:t>
      </w:r>
      <w:r>
        <w:rPr>
          <w:rFonts w:ascii="Times New Roman" w:hAnsi="Times New Roman" w:hint="default"/>
          <w:sz w:val="24"/>
          <w:szCs w:val="24"/>
          <w:rtl w:val="0"/>
        </w:rPr>
        <w:t>ı</w:t>
      </w:r>
      <w:r>
        <w:rPr>
          <w:rFonts w:ascii="Times New Roman" w:hAnsi="Times New Roman"/>
          <w:sz w:val="24"/>
          <w:szCs w:val="24"/>
          <w:rtl w:val="0"/>
        </w:rPr>
        <w:t>n</w:t>
      </w:r>
      <w:r>
        <w:rPr>
          <w:rFonts w:ascii="Times New Roman" w:hAnsi="Times New Roman" w:hint="default"/>
          <w:sz w:val="24"/>
          <w:szCs w:val="24"/>
          <w:rtl w:val="0"/>
        </w:rPr>
        <w:t>ı</w:t>
      </w:r>
      <w:r>
        <w:rPr>
          <w:rFonts w:ascii="Times New Roman" w:hAnsi="Times New Roman"/>
          <w:sz w:val="24"/>
          <w:szCs w:val="24"/>
          <w:rtl w:val="0"/>
        </w:rPr>
        <w:t xml:space="preserve">n </w:t>
      </w:r>
      <w:r>
        <w:rPr>
          <w:rFonts w:ascii="Times New Roman" w:hAnsi="Times New Roman" w:hint="default"/>
          <w:sz w:val="24"/>
          <w:szCs w:val="24"/>
          <w:rtl w:val="0"/>
        </w:rPr>
        <w:t>İ</w:t>
      </w:r>
      <w:r>
        <w:rPr>
          <w:rFonts w:ascii="Times New Roman" w:hAnsi="Times New Roman"/>
          <w:sz w:val="24"/>
          <w:szCs w:val="24"/>
          <w:rtl w:val="0"/>
        </w:rPr>
        <w:t>ncelenmesi Ve Telekom</w:t>
      </w:r>
      <w:r>
        <w:rPr>
          <w:rFonts w:ascii="Times New Roman" w:hAnsi="Times New Roman" w:hint="default"/>
          <w:sz w:val="24"/>
          <w:szCs w:val="24"/>
          <w:rtl w:val="0"/>
        </w:rPr>
        <w:t>ü</w:t>
      </w:r>
      <w:r>
        <w:rPr>
          <w:rFonts w:ascii="Times New Roman" w:hAnsi="Times New Roman"/>
          <w:sz w:val="24"/>
          <w:szCs w:val="24"/>
          <w:rtl w:val="0"/>
        </w:rPr>
        <w:t>nikasyon Sekt</w:t>
      </w:r>
      <w:r>
        <w:rPr>
          <w:rFonts w:ascii="Times New Roman" w:hAnsi="Times New Roman" w:hint="default"/>
          <w:sz w:val="24"/>
          <w:szCs w:val="24"/>
          <w:rtl w:val="0"/>
          <w:lang w:val="sv-SE"/>
        </w:rPr>
        <w:t>ö</w:t>
      </w:r>
      <w:r>
        <w:rPr>
          <w:rFonts w:ascii="Times New Roman" w:hAnsi="Times New Roman"/>
          <w:sz w:val="24"/>
          <w:szCs w:val="24"/>
          <w:rtl w:val="0"/>
        </w:rPr>
        <w:t>r</w:t>
      </w:r>
      <w:r>
        <w:rPr>
          <w:rFonts w:ascii="Times New Roman" w:hAnsi="Times New Roman" w:hint="default"/>
          <w:sz w:val="24"/>
          <w:szCs w:val="24"/>
          <w:rtl w:val="0"/>
        </w:rPr>
        <w:t xml:space="preserve">ü </w:t>
      </w:r>
      <w:r>
        <w:rPr>
          <w:rFonts w:ascii="Times New Roman" w:hAnsi="Times New Roman"/>
          <w:sz w:val="24"/>
          <w:szCs w:val="24"/>
          <w:rtl w:val="0"/>
        </w:rPr>
        <w:t>A</w:t>
      </w:r>
      <w:r>
        <w:rPr>
          <w:rFonts w:ascii="Times New Roman" w:hAnsi="Times New Roman" w:hint="default"/>
          <w:sz w:val="24"/>
          <w:szCs w:val="24"/>
          <w:rtl w:val="0"/>
        </w:rPr>
        <w:t>çı</w:t>
      </w:r>
      <w:r>
        <w:rPr>
          <w:rFonts w:ascii="Times New Roman" w:hAnsi="Times New Roman"/>
          <w:sz w:val="24"/>
          <w:szCs w:val="24"/>
          <w:rtl w:val="0"/>
        </w:rPr>
        <w:t>s</w:t>
      </w:r>
      <w:r>
        <w:rPr>
          <w:rFonts w:ascii="Times New Roman" w:hAnsi="Times New Roman" w:hint="default"/>
          <w:sz w:val="24"/>
          <w:szCs w:val="24"/>
          <w:rtl w:val="0"/>
        </w:rPr>
        <w:t>ı</w:t>
      </w:r>
      <w:r>
        <w:rPr>
          <w:rFonts w:ascii="Times New Roman" w:hAnsi="Times New Roman"/>
          <w:sz w:val="24"/>
          <w:szCs w:val="24"/>
          <w:rtl w:val="0"/>
        </w:rPr>
        <w:t>ndan De</w:t>
      </w:r>
      <w:r>
        <w:rPr>
          <w:rFonts w:ascii="Times New Roman" w:hAnsi="Times New Roman" w:hint="default"/>
          <w:sz w:val="24"/>
          <w:szCs w:val="24"/>
          <w:rtl w:val="0"/>
        </w:rPr>
        <w:t>ğ</w:t>
      </w:r>
      <w:r>
        <w:rPr>
          <w:rFonts w:ascii="Times New Roman" w:hAnsi="Times New Roman"/>
          <w:sz w:val="24"/>
          <w:szCs w:val="24"/>
          <w:rtl w:val="0"/>
        </w:rPr>
        <w:t>erlendirilmesi (Doctoral dissertation, Marmara Universitesi (Turkey)</w:t>
      </w:r>
      <w:r>
        <w:rPr>
          <w:rFonts w:ascii="Times New Roman" w:hAnsi="Times New Roman"/>
          <w:sz w:val="24"/>
          <w:szCs w:val="24"/>
          <w:rtl w:val="0"/>
        </w:rPr>
        <w:t xml:space="preserve">). </w:t>
      </w: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r>
        <w:rPr>
          <w:rFonts w:ascii="Times New Roman" w:hAnsi="Times New Roman"/>
          <w:sz w:val="24"/>
          <w:szCs w:val="24"/>
          <w:rtl w:val="0"/>
        </w:rPr>
        <w:t xml:space="preserve">In this research, author handle revenue recognition included IFRS 15 in terms of telecommunication sector. There are differences between commercial contrasts and their recognition. Identify  of commercial contract is an important part of the recognition of revenue.  Commercial contracts within telecommunication sector can be observed differential depends on contract articles and achievement responsibilities of both side of commercial contract. </w:t>
      </w:r>
      <w:r>
        <w:rPr>
          <w:rFonts w:ascii="Times New Roman" w:hAnsi="Times New Roman"/>
          <w:sz w:val="24"/>
          <w:szCs w:val="24"/>
          <w:rtl w:val="0"/>
          <w:lang w:val="en-US"/>
        </w:rPr>
        <w:t>In order to recognize revenue differently, TFRS 15 has changed its methodology. According to the revised methodology adopted by TFRS 15, in particular, many contracts in the telecommunications industry are now recognized differently than they were under TMS 18 in terms of revenue, contract costs, and financing components. As a result, businesses in the telecommunications industry who plan to implement TFRS 15 must change their accounting and information systems.</w:t>
      </w: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rPr>
          <w:rFonts w:ascii="Times New Roman" w:cs="Times New Roman" w:hAnsi="Times New Roman" w:eastAsia="Times New Roman"/>
          <w:sz w:val="24"/>
          <w:szCs w:val="24"/>
        </w:rPr>
      </w:pPr>
    </w:p>
    <w:p>
      <w:pPr>
        <w:pStyle w:val="Gövde"/>
        <w:spacing w:line="288" w:lineRule="auto"/>
        <w:jc w:val="both"/>
      </w:pPr>
      <w:r>
        <w:rPr>
          <w:rFonts w:ascii="Times New Roman" w:cs="Times New Roman" w:hAnsi="Times New Roman" w:eastAsia="Times New Roman"/>
          <w:sz w:val="24"/>
          <w:szCs w:val="24"/>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Türkçe" w:val="‘“(〔[{〈《「『【⦅〘〖«〝︵︷︹︻︽︿﹁﹃﹇﹙﹛﹝｢"/>
  <w:noLineBreaksBefore w:lang="Türkçe"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Gövde">
    <w:name w:val="Gövde"/>
    <w:next w:val="Gövd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