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7E0BCA86" w14:textId="77777777" w:rsidR="00403E19" w:rsidRPr="00403E19" w:rsidRDefault="00585CDF" w:rsidP="00403E19">
      <w:pPr>
        <w:spacing w:after="0" w:line="240" w:lineRule="auto"/>
        <w:jc w:val="left"/>
        <w:rPr>
          <w:rFonts w:ascii="Times New Roman" w:eastAsia="Times New Roman" w:hAnsi="Times New Roman"/>
          <w:sz w:val="24"/>
          <w:szCs w:val="24"/>
          <w:lang w:val="sk-SK" w:eastAsia="sk-SK"/>
        </w:rPr>
      </w:pPr>
      <w:r>
        <w:rPr>
          <w:b/>
          <w:bCs/>
          <w:sz w:val="22"/>
          <w:lang w:val="en-GB"/>
        </w:rPr>
        <w:t>1.</w:t>
      </w:r>
      <w:r w:rsidRPr="00974AA1">
        <w:rPr>
          <w:b/>
          <w:bCs/>
          <w:sz w:val="22"/>
          <w:lang w:val="en-GB"/>
        </w:rPr>
        <w:t xml:space="preserve"> </w:t>
      </w:r>
      <w:r w:rsidR="00403E19" w:rsidRPr="00403E19">
        <w:rPr>
          <w:rFonts w:ascii="Times New Roman" w:eastAsia="Times New Roman" w:hAnsi="Times New Roman"/>
          <w:sz w:val="24"/>
          <w:szCs w:val="24"/>
          <w:lang w:val="sk-SK" w:eastAsia="sk-SK"/>
        </w:rPr>
        <w:t xml:space="preserve">Dupas, P., Karlan, D., Robinson, J., &amp; Ubfal, D. (2018). Banking the Unbanked? Evidence from Three Countries. </w:t>
      </w:r>
      <w:r w:rsidR="00403E19" w:rsidRPr="00403E19">
        <w:rPr>
          <w:rFonts w:ascii="Times New Roman" w:eastAsia="Times New Roman" w:hAnsi="Times New Roman"/>
          <w:i/>
          <w:iCs/>
          <w:sz w:val="24"/>
          <w:szCs w:val="24"/>
          <w:lang w:val="sk-SK" w:eastAsia="sk-SK"/>
        </w:rPr>
        <w:t>American Economic Journal: Applied Economics</w:t>
      </w:r>
      <w:r w:rsidR="00403E19" w:rsidRPr="00403E19">
        <w:rPr>
          <w:rFonts w:ascii="Times New Roman" w:eastAsia="Times New Roman" w:hAnsi="Times New Roman"/>
          <w:sz w:val="24"/>
          <w:szCs w:val="24"/>
          <w:lang w:val="sk-SK" w:eastAsia="sk-SK"/>
        </w:rPr>
        <w:t xml:space="preserve">, </w:t>
      </w:r>
      <w:r w:rsidR="00403E19" w:rsidRPr="00403E19">
        <w:rPr>
          <w:rFonts w:ascii="Times New Roman" w:eastAsia="Times New Roman" w:hAnsi="Times New Roman"/>
          <w:i/>
          <w:iCs/>
          <w:sz w:val="24"/>
          <w:szCs w:val="24"/>
          <w:lang w:val="sk-SK" w:eastAsia="sk-SK"/>
        </w:rPr>
        <w:t>10</w:t>
      </w:r>
      <w:r w:rsidR="00403E19" w:rsidRPr="00403E19">
        <w:rPr>
          <w:rFonts w:ascii="Times New Roman" w:eastAsia="Times New Roman" w:hAnsi="Times New Roman"/>
          <w:sz w:val="24"/>
          <w:szCs w:val="24"/>
          <w:lang w:val="sk-SK" w:eastAsia="sk-SK"/>
        </w:rPr>
        <w:t>(2), 257–297. https://www.jstor.org/stable/26528389</w:t>
      </w:r>
    </w:p>
    <w:p w14:paraId="36DC7955" w14:textId="25656DAC" w:rsidR="00585CDF" w:rsidRPr="00974AA1" w:rsidRDefault="00585CDF" w:rsidP="00547AAC">
      <w:pPr>
        <w:spacing w:after="100"/>
        <w:rPr>
          <w:b/>
          <w:bCs/>
          <w:sz w:val="22"/>
          <w:lang w:val="en-GB"/>
        </w:rPr>
      </w:pPr>
    </w:p>
    <w:p w14:paraId="5B8BC79E" w14:textId="6DD40F3D" w:rsidR="00585CDF" w:rsidRDefault="00CF36DF" w:rsidP="00547AAC">
      <w:pPr>
        <w:spacing w:after="100"/>
      </w:pPr>
      <w:r>
        <w:t xml:space="preserve">financial services. On a macro level, a vast literature has established the importance of the banking sector on growth and development (for evidence, see Jayaratne and Strahan 1996; Black and Strahan 2002; Levine 2005; and Beck, </w:t>
      </w:r>
      <w:proofErr w:type="spellStart"/>
      <w:r>
        <w:t>Demirgüç-Kunt</w:t>
      </w:r>
      <w:proofErr w:type="spellEnd"/>
      <w:r>
        <w:t>, and Levine 2007).</w:t>
      </w:r>
    </w:p>
    <w:p w14:paraId="7B5988F9" w14:textId="34E8B55D" w:rsidR="00CF36DF" w:rsidRDefault="00CF36DF" w:rsidP="00547AAC">
      <w:pPr>
        <w:spacing w:after="100"/>
      </w:pPr>
    </w:p>
    <w:p w14:paraId="5E8282D5" w14:textId="515E74D6" w:rsidR="00CF36DF" w:rsidRPr="00547AAC" w:rsidRDefault="00CF36DF" w:rsidP="00547AAC">
      <w:pPr>
        <w:spacing w:after="100"/>
      </w:pPr>
      <w:proofErr w:type="spellStart"/>
      <w:r>
        <w:t>Dupas</w:t>
      </w:r>
      <w:proofErr w:type="spellEnd"/>
      <w:r>
        <w:t xml:space="preserve"> et al (2018) studied the effects of broadening access to bank services </w:t>
      </w:r>
      <w:r w:rsidR="0078658A">
        <w:t xml:space="preserve">among the poor </w:t>
      </w:r>
      <w:r>
        <w:t xml:space="preserve">in three selected countries – Malawi, </w:t>
      </w:r>
      <w:proofErr w:type="gramStart"/>
      <w:r>
        <w:t>Uganda</w:t>
      </w:r>
      <w:proofErr w:type="gramEnd"/>
      <w:r>
        <w:t xml:space="preserve"> and Chile. </w:t>
      </w:r>
      <w:r w:rsidR="002241B6">
        <w:t xml:space="preserve">The researchers partnered with local banks and offered completely free bank accounts to poor households and then monitored the bank accounts for a period of 2 years. </w:t>
      </w:r>
      <w:r w:rsidR="0078658A">
        <w:t>Banking services are generally regarded as a positive driving force for economic prosperity. The value of the research findings</w:t>
      </w:r>
      <w:r w:rsidR="002241B6">
        <w:t>, then, lies</w:t>
      </w:r>
      <w:r w:rsidR="0078658A">
        <w:t xml:space="preserve"> in the fact that they illustrate how this positive driving force can have vastly different impacts when implemented in different countries. In Malawi and Uganda, for example, approximately 80% of the subjects did not find use for their bank accounts, despite them being free</w:t>
      </w:r>
      <w:r w:rsidR="002241B6">
        <w:t>.</w:t>
      </w:r>
      <w:r w:rsidR="0078658A">
        <w:t xml:space="preserve"> </w:t>
      </w:r>
      <w:r w:rsidR="00E41B48">
        <w:t>T</w:t>
      </w:r>
      <w:r w:rsidR="0078658A">
        <w:t>he study concludes that solely expanding access to bank account</w:t>
      </w:r>
      <w:r w:rsidR="002241B6">
        <w:t>s</w:t>
      </w:r>
      <w:r w:rsidR="0078658A">
        <w:t xml:space="preserve"> does not </w:t>
      </w:r>
      <w:r w:rsidR="002241B6">
        <w:t>significantly improve</w:t>
      </w:r>
      <w:r w:rsidR="0078658A">
        <w:t xml:space="preserve"> the welfare of </w:t>
      </w:r>
      <w:r w:rsidR="002241B6">
        <w:t>poor people</w:t>
      </w:r>
      <w:r w:rsidR="00E41B48">
        <w:t xml:space="preserve">, but it might be beneficial at higher levels of economic prosperity. </w:t>
      </w:r>
    </w:p>
    <w:p w14:paraId="1F091A6A" w14:textId="52430291" w:rsidR="00585CDF" w:rsidRDefault="00585CDF" w:rsidP="00547AAC">
      <w:pPr>
        <w:spacing w:after="100"/>
        <w:rPr>
          <w:sz w:val="22"/>
          <w:lang w:val="en-GB"/>
        </w:rPr>
      </w:pPr>
    </w:p>
    <w:p w14:paraId="2E56A98F" w14:textId="77777777" w:rsidR="002241B6" w:rsidRPr="002241B6" w:rsidRDefault="00585CDF" w:rsidP="002241B6">
      <w:pPr>
        <w:spacing w:after="0" w:line="240" w:lineRule="auto"/>
        <w:jc w:val="left"/>
        <w:rPr>
          <w:rFonts w:ascii="Times New Roman" w:eastAsia="Times New Roman" w:hAnsi="Times New Roman"/>
          <w:sz w:val="24"/>
          <w:szCs w:val="24"/>
          <w:lang w:val="sk-SK" w:eastAsia="sk-SK"/>
        </w:rPr>
      </w:pPr>
      <w:r>
        <w:rPr>
          <w:b/>
          <w:bCs/>
          <w:sz w:val="22"/>
          <w:lang w:val="en-GB"/>
        </w:rPr>
        <w:t>2.</w:t>
      </w:r>
      <w:r w:rsidRPr="00974AA1">
        <w:rPr>
          <w:b/>
          <w:bCs/>
          <w:sz w:val="22"/>
          <w:lang w:val="en-GB"/>
        </w:rPr>
        <w:t xml:space="preserve"> </w:t>
      </w:r>
      <w:r w:rsidR="002241B6" w:rsidRPr="002241B6">
        <w:rPr>
          <w:rFonts w:ascii="Times New Roman" w:eastAsia="Times New Roman" w:hAnsi="Times New Roman"/>
          <w:sz w:val="24"/>
          <w:szCs w:val="24"/>
          <w:lang w:val="sk-SK" w:eastAsia="sk-SK"/>
        </w:rPr>
        <w:t xml:space="preserve">Adam, L., Soekarni, M., &amp; Inayah, I. (2021). Indonesia’s Ultra Microcredit Programme: Financing Micro Businesses, Empowering the Poor. </w:t>
      </w:r>
      <w:r w:rsidR="002241B6" w:rsidRPr="002241B6">
        <w:rPr>
          <w:rFonts w:ascii="Times New Roman" w:eastAsia="Times New Roman" w:hAnsi="Times New Roman"/>
          <w:i/>
          <w:iCs/>
          <w:sz w:val="24"/>
          <w:szCs w:val="24"/>
          <w:lang w:val="sk-SK" w:eastAsia="sk-SK"/>
        </w:rPr>
        <w:t>Journal of Southeast Asian Economies</w:t>
      </w:r>
      <w:r w:rsidR="002241B6" w:rsidRPr="002241B6">
        <w:rPr>
          <w:rFonts w:ascii="Times New Roman" w:eastAsia="Times New Roman" w:hAnsi="Times New Roman"/>
          <w:sz w:val="24"/>
          <w:szCs w:val="24"/>
          <w:lang w:val="sk-SK" w:eastAsia="sk-SK"/>
        </w:rPr>
        <w:t xml:space="preserve">, </w:t>
      </w:r>
      <w:r w:rsidR="002241B6" w:rsidRPr="002241B6">
        <w:rPr>
          <w:rFonts w:ascii="Times New Roman" w:eastAsia="Times New Roman" w:hAnsi="Times New Roman"/>
          <w:i/>
          <w:iCs/>
          <w:sz w:val="24"/>
          <w:szCs w:val="24"/>
          <w:lang w:val="sk-SK" w:eastAsia="sk-SK"/>
        </w:rPr>
        <w:t>38</w:t>
      </w:r>
      <w:r w:rsidR="002241B6" w:rsidRPr="002241B6">
        <w:rPr>
          <w:rFonts w:ascii="Times New Roman" w:eastAsia="Times New Roman" w:hAnsi="Times New Roman"/>
          <w:sz w:val="24"/>
          <w:szCs w:val="24"/>
          <w:lang w:val="sk-SK" w:eastAsia="sk-SK"/>
        </w:rPr>
        <w:t>(2), 263–280. https://www.jstor.org/stable/27041376</w:t>
      </w:r>
    </w:p>
    <w:p w14:paraId="2887CF8E" w14:textId="4DB3A18C" w:rsidR="00585CDF" w:rsidRPr="00974AA1" w:rsidRDefault="00585CDF" w:rsidP="00547AAC">
      <w:pPr>
        <w:spacing w:after="100"/>
        <w:rPr>
          <w:b/>
          <w:bCs/>
          <w:sz w:val="22"/>
          <w:lang w:val="en-GB"/>
        </w:rPr>
      </w:pPr>
    </w:p>
    <w:p w14:paraId="7D323B8C" w14:textId="52F11DDC" w:rsidR="00585CDF" w:rsidRPr="006B1EE9" w:rsidRDefault="005E18C8" w:rsidP="00547AAC">
      <w:pPr>
        <w:spacing w:after="100"/>
      </w:pPr>
      <w:r>
        <w:rPr>
          <w:sz w:val="22"/>
          <w:lang w:val="en-GB"/>
        </w:rPr>
        <w:t xml:space="preserve">Adam et al (2021) </w:t>
      </w:r>
      <w:proofErr w:type="spellStart"/>
      <w:r w:rsidRPr="005E18C8">
        <w:rPr>
          <w:sz w:val="22"/>
          <w:lang w:val="en-GB"/>
        </w:rPr>
        <w:t>analyze</w:t>
      </w:r>
      <w:r>
        <w:rPr>
          <w:sz w:val="22"/>
          <w:lang w:val="en-GB"/>
        </w:rPr>
        <w:t>d</w:t>
      </w:r>
      <w:proofErr w:type="spellEnd"/>
      <w:r w:rsidRPr="005E18C8">
        <w:rPr>
          <w:sz w:val="22"/>
          <w:lang w:val="en-GB"/>
        </w:rPr>
        <w:t xml:space="preserve"> the Ultra Microcredit (</w:t>
      </w:r>
      <w:proofErr w:type="spellStart"/>
      <w:r w:rsidRPr="005E18C8">
        <w:rPr>
          <w:sz w:val="22"/>
          <w:lang w:val="en-GB"/>
        </w:rPr>
        <w:t>UMi</w:t>
      </w:r>
      <w:proofErr w:type="spellEnd"/>
      <w:r w:rsidRPr="005E18C8">
        <w:rPr>
          <w:sz w:val="22"/>
          <w:lang w:val="en-GB"/>
        </w:rPr>
        <w:t xml:space="preserve">) initiative introduced by the Indonesian government. The </w:t>
      </w:r>
      <w:proofErr w:type="spellStart"/>
      <w:r w:rsidRPr="005E18C8">
        <w:rPr>
          <w:sz w:val="22"/>
          <w:lang w:val="en-GB"/>
        </w:rPr>
        <w:t>UMi</w:t>
      </w:r>
      <w:proofErr w:type="spellEnd"/>
      <w:r w:rsidRPr="005E18C8">
        <w:rPr>
          <w:sz w:val="22"/>
          <w:lang w:val="en-GB"/>
        </w:rPr>
        <w:t xml:space="preserve"> program is aimed at assisting micro businesses (MBs) owned by people who are poor and vulnerable by offering affordable and easy-to-obtain loans.</w:t>
      </w:r>
      <w:r>
        <w:rPr>
          <w:sz w:val="22"/>
          <w:lang w:val="en-GB"/>
        </w:rPr>
        <w:t xml:space="preserve">  Despite the small number of surveyed MBs, the study does suggest that microcredit might provide positive outcomes for the people taking part in the initiative. However, the researchers also show that the program</w:t>
      </w:r>
      <w:r w:rsidR="0036258B">
        <w:rPr>
          <w:sz w:val="22"/>
          <w:lang w:val="en-GB"/>
        </w:rPr>
        <w:t>’s beneficiaries</w:t>
      </w:r>
      <w:r>
        <w:rPr>
          <w:sz w:val="22"/>
          <w:lang w:val="en-GB"/>
        </w:rPr>
        <w:t xml:space="preserve"> </w:t>
      </w:r>
      <w:r w:rsidR="0036258B">
        <w:rPr>
          <w:sz w:val="22"/>
          <w:lang w:val="en-GB"/>
        </w:rPr>
        <w:t>are</w:t>
      </w:r>
      <w:r>
        <w:rPr>
          <w:sz w:val="22"/>
          <w:lang w:val="en-GB"/>
        </w:rPr>
        <w:t xml:space="preserve"> disproportionately concentrated in Java</w:t>
      </w:r>
      <w:r w:rsidR="0036258B">
        <w:rPr>
          <w:sz w:val="22"/>
          <w:lang w:val="en-GB"/>
        </w:rPr>
        <w:t xml:space="preserve"> and that the interest rate is too high for some to access the credit. While the study results are based on a statistically too small a group to bear much reliability, the positive findings do provide value for further research on the topic of Microfinance.</w:t>
      </w:r>
    </w:p>
    <w:p w14:paraId="3E5919F7" w14:textId="77777777" w:rsidR="00585CDF" w:rsidRDefault="00585CDF" w:rsidP="00547AAC">
      <w:pPr>
        <w:spacing w:after="100"/>
        <w:rPr>
          <w:b/>
          <w:bCs/>
          <w:sz w:val="22"/>
          <w:lang w:val="en-GB"/>
        </w:rPr>
      </w:pPr>
    </w:p>
    <w:p w14:paraId="68E1D6AA" w14:textId="77777777" w:rsidR="00E01FCD" w:rsidRPr="00E01FCD" w:rsidRDefault="00585CDF" w:rsidP="00E01FCD">
      <w:pPr>
        <w:spacing w:after="0" w:line="240" w:lineRule="auto"/>
        <w:jc w:val="left"/>
        <w:rPr>
          <w:rFonts w:ascii="Times New Roman" w:eastAsia="Times New Roman" w:hAnsi="Times New Roman"/>
          <w:sz w:val="24"/>
          <w:szCs w:val="24"/>
          <w:lang w:val="sk-SK" w:eastAsia="sk-SK"/>
        </w:rPr>
      </w:pPr>
      <w:r>
        <w:rPr>
          <w:b/>
          <w:bCs/>
          <w:sz w:val="22"/>
          <w:lang w:val="en-GB"/>
        </w:rPr>
        <w:t>3.</w:t>
      </w:r>
      <w:r w:rsidRPr="00974AA1">
        <w:rPr>
          <w:b/>
          <w:bCs/>
          <w:sz w:val="22"/>
          <w:lang w:val="en-GB"/>
        </w:rPr>
        <w:t xml:space="preserve"> </w:t>
      </w:r>
      <w:r w:rsidR="00E01FCD" w:rsidRPr="00E01FCD">
        <w:rPr>
          <w:rFonts w:ascii="Times New Roman" w:eastAsia="Times New Roman" w:hAnsi="Times New Roman"/>
          <w:sz w:val="24"/>
          <w:szCs w:val="24"/>
          <w:lang w:val="sk-SK" w:eastAsia="sk-SK"/>
        </w:rPr>
        <w:t xml:space="preserve">Pantaleo, I. M., &amp; Chagama, A. M. (2018). Impact of Microfinance Institutions on Household Welfare in Tanzania: Propensity Score Matching Approach. </w:t>
      </w:r>
      <w:r w:rsidR="00E01FCD" w:rsidRPr="00E01FCD">
        <w:rPr>
          <w:rFonts w:ascii="Times New Roman" w:eastAsia="Times New Roman" w:hAnsi="Times New Roman"/>
          <w:i/>
          <w:iCs/>
          <w:sz w:val="24"/>
          <w:szCs w:val="24"/>
          <w:lang w:val="sk-SK" w:eastAsia="sk-SK"/>
        </w:rPr>
        <w:t>The African Review: A Journal of African Politics, Development and International Affairs</w:t>
      </w:r>
      <w:r w:rsidR="00E01FCD" w:rsidRPr="00E01FCD">
        <w:rPr>
          <w:rFonts w:ascii="Times New Roman" w:eastAsia="Times New Roman" w:hAnsi="Times New Roman"/>
          <w:sz w:val="24"/>
          <w:szCs w:val="24"/>
          <w:lang w:val="sk-SK" w:eastAsia="sk-SK"/>
        </w:rPr>
        <w:t xml:space="preserve">, </w:t>
      </w:r>
      <w:r w:rsidR="00E01FCD" w:rsidRPr="00E01FCD">
        <w:rPr>
          <w:rFonts w:ascii="Times New Roman" w:eastAsia="Times New Roman" w:hAnsi="Times New Roman"/>
          <w:i/>
          <w:iCs/>
          <w:sz w:val="24"/>
          <w:szCs w:val="24"/>
          <w:lang w:val="sk-SK" w:eastAsia="sk-SK"/>
        </w:rPr>
        <w:t>45</w:t>
      </w:r>
      <w:r w:rsidR="00E01FCD" w:rsidRPr="00E01FCD">
        <w:rPr>
          <w:rFonts w:ascii="Times New Roman" w:eastAsia="Times New Roman" w:hAnsi="Times New Roman"/>
          <w:sz w:val="24"/>
          <w:szCs w:val="24"/>
          <w:lang w:val="sk-SK" w:eastAsia="sk-SK"/>
        </w:rPr>
        <w:t>(2), 168–203. http://www.jstor.org/stable/45420013</w:t>
      </w:r>
    </w:p>
    <w:p w14:paraId="0EC7D5CE" w14:textId="3AF53962" w:rsidR="0060276B" w:rsidRDefault="0060276B" w:rsidP="0060276B">
      <w:pPr>
        <w:spacing w:after="0" w:line="240" w:lineRule="auto"/>
        <w:jc w:val="left"/>
        <w:rPr>
          <w:rFonts w:ascii="Times New Roman" w:eastAsia="Times New Roman" w:hAnsi="Times New Roman"/>
          <w:sz w:val="24"/>
          <w:szCs w:val="24"/>
          <w:lang w:val="sk-SK" w:eastAsia="sk-SK"/>
        </w:rPr>
      </w:pPr>
    </w:p>
    <w:p w14:paraId="43F9C0FB" w14:textId="5F6D4362" w:rsidR="00E01FCD" w:rsidRDefault="00E01FCD" w:rsidP="0060276B">
      <w:pPr>
        <w:spacing w:after="0" w:line="240" w:lineRule="auto"/>
        <w:jc w:val="left"/>
        <w:rPr>
          <w:rFonts w:ascii="Times New Roman" w:eastAsia="Times New Roman" w:hAnsi="Times New Roman"/>
          <w:sz w:val="24"/>
          <w:szCs w:val="24"/>
          <w:lang w:val="sk-SK" w:eastAsia="sk-SK"/>
        </w:rPr>
      </w:pPr>
    </w:p>
    <w:p w14:paraId="4B7BA7BA" w14:textId="2FB51E45" w:rsidR="0060276B" w:rsidRDefault="00C12D29" w:rsidP="0060276B">
      <w:pPr>
        <w:spacing w:after="0" w:line="240" w:lineRule="auto"/>
        <w:jc w:val="left"/>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Pantaleo and Chagama (2018) </w:t>
      </w:r>
      <w:r w:rsidR="00E01FCD" w:rsidRPr="00E01FCD">
        <w:rPr>
          <w:rFonts w:ascii="Times New Roman" w:eastAsia="Times New Roman" w:hAnsi="Times New Roman"/>
          <w:sz w:val="24"/>
          <w:szCs w:val="24"/>
          <w:lang w:val="sk-SK" w:eastAsia="sk-SK"/>
        </w:rPr>
        <w:t>examine</w:t>
      </w:r>
      <w:r>
        <w:rPr>
          <w:rFonts w:ascii="Times New Roman" w:eastAsia="Times New Roman" w:hAnsi="Times New Roman"/>
          <w:sz w:val="24"/>
          <w:szCs w:val="24"/>
          <w:lang w:val="sk-SK" w:eastAsia="sk-SK"/>
        </w:rPr>
        <w:t>d</w:t>
      </w:r>
      <w:r w:rsidR="00E01FCD" w:rsidRPr="00E01FCD">
        <w:rPr>
          <w:rFonts w:ascii="Times New Roman" w:eastAsia="Times New Roman" w:hAnsi="Times New Roman"/>
          <w:sz w:val="24"/>
          <w:szCs w:val="24"/>
          <w:lang w:val="sk-SK" w:eastAsia="sk-SK"/>
        </w:rPr>
        <w:t xml:space="preserve"> the effect of microfinance on the well-being of households by comparing individuals who had access to microfinance services in Tanzania with those who did not</w:t>
      </w:r>
      <w:r>
        <w:rPr>
          <w:rFonts w:ascii="Times New Roman" w:eastAsia="Times New Roman" w:hAnsi="Times New Roman"/>
          <w:sz w:val="24"/>
          <w:szCs w:val="24"/>
          <w:lang w:val="sk-SK" w:eastAsia="sk-SK"/>
        </w:rPr>
        <w:t xml:space="preserve"> for the year 2013.</w:t>
      </w:r>
      <w:r w:rsidR="00E01FCD" w:rsidRPr="00E01FCD">
        <w:rPr>
          <w:rFonts w:ascii="Times New Roman" w:eastAsia="Times New Roman" w:hAnsi="Times New Roman"/>
          <w:sz w:val="24"/>
          <w:szCs w:val="24"/>
          <w:lang w:val="sk-SK" w:eastAsia="sk-SK"/>
        </w:rPr>
        <w:t xml:space="preserve"> The research employed a Propensity Score Matching Approach to evaluate the impact of microfinance borrowing on various indicators of household welfare. The findings indicate that microfinance borrowers tend to have higher monthly incomes than non-borrowers. </w:t>
      </w:r>
      <w:r w:rsidR="00E01FCD">
        <w:rPr>
          <w:rFonts w:ascii="Times New Roman" w:eastAsia="Times New Roman" w:hAnsi="Times New Roman"/>
          <w:sz w:val="24"/>
          <w:szCs w:val="24"/>
          <w:lang w:val="sk-SK" w:eastAsia="sk-SK"/>
        </w:rPr>
        <w:t xml:space="preserve">However, it also suggests that while </w:t>
      </w:r>
      <w:r w:rsidR="00E01FCD" w:rsidRPr="00E01FCD">
        <w:rPr>
          <w:rFonts w:ascii="Times New Roman" w:eastAsia="Times New Roman" w:hAnsi="Times New Roman"/>
          <w:sz w:val="24"/>
          <w:szCs w:val="24"/>
          <w:lang w:val="sk-SK" w:eastAsia="sk-SK"/>
        </w:rPr>
        <w:t xml:space="preserve">borrowing </w:t>
      </w:r>
      <w:r w:rsidR="00E01FCD">
        <w:rPr>
          <w:rFonts w:ascii="Times New Roman" w:eastAsia="Times New Roman" w:hAnsi="Times New Roman"/>
          <w:sz w:val="24"/>
          <w:szCs w:val="24"/>
          <w:lang w:val="sk-SK" w:eastAsia="sk-SK"/>
        </w:rPr>
        <w:t xml:space="preserve">does </w:t>
      </w:r>
      <w:r w:rsidR="00E01FCD" w:rsidRPr="00E01FCD">
        <w:rPr>
          <w:rFonts w:ascii="Times New Roman" w:eastAsia="Times New Roman" w:hAnsi="Times New Roman"/>
          <w:sz w:val="24"/>
          <w:szCs w:val="24"/>
          <w:lang w:val="sk-SK" w:eastAsia="sk-SK"/>
        </w:rPr>
        <w:t>lead to an increase in monthly income, it does not result in diversification of household assets ownership.</w:t>
      </w:r>
      <w:r>
        <w:rPr>
          <w:rFonts w:ascii="Times New Roman" w:eastAsia="Times New Roman" w:hAnsi="Times New Roman"/>
          <w:sz w:val="24"/>
          <w:szCs w:val="24"/>
          <w:lang w:val="sk-SK" w:eastAsia="sk-SK"/>
        </w:rPr>
        <w:t xml:space="preserve"> </w:t>
      </w:r>
      <w:r w:rsidR="00E41B48">
        <w:rPr>
          <w:rFonts w:ascii="Times New Roman" w:eastAsia="Times New Roman" w:hAnsi="Times New Roman"/>
          <w:sz w:val="24"/>
          <w:szCs w:val="24"/>
          <w:lang w:val="sk-SK" w:eastAsia="sk-SK"/>
        </w:rPr>
        <w:t xml:space="preserve">Hausehold assests tended to remain at the same levels among both the banked and unbanked </w:t>
      </w:r>
      <w:r w:rsidR="00E41B48">
        <w:rPr>
          <w:rFonts w:ascii="Times New Roman" w:eastAsia="Times New Roman" w:hAnsi="Times New Roman"/>
          <w:sz w:val="24"/>
          <w:szCs w:val="24"/>
          <w:lang w:val="sk-SK" w:eastAsia="sk-SK"/>
        </w:rPr>
        <w:lastRenderedPageBreak/>
        <w:t>groups.</w:t>
      </w:r>
      <w:r w:rsidR="00E01FCD" w:rsidRPr="00E01FCD">
        <w:rPr>
          <w:rFonts w:ascii="Times New Roman" w:eastAsia="Times New Roman" w:hAnsi="Times New Roman"/>
          <w:sz w:val="24"/>
          <w:szCs w:val="24"/>
          <w:lang w:val="sk-SK" w:eastAsia="sk-SK"/>
        </w:rPr>
        <w:t xml:space="preserve"> </w:t>
      </w:r>
      <w:r>
        <w:rPr>
          <w:rFonts w:ascii="Times New Roman" w:eastAsia="Times New Roman" w:hAnsi="Times New Roman"/>
          <w:sz w:val="24"/>
          <w:szCs w:val="24"/>
          <w:lang w:val="sk-SK" w:eastAsia="sk-SK"/>
        </w:rPr>
        <w:t>Still, the statistical improvement in earned monthly income is a valuable finding both for researchers and policy makers.</w:t>
      </w:r>
    </w:p>
    <w:p w14:paraId="0738E363" w14:textId="2361F8EF" w:rsidR="0060276B" w:rsidRPr="0060276B" w:rsidRDefault="0060276B" w:rsidP="0060276B">
      <w:pPr>
        <w:spacing w:after="0" w:line="240" w:lineRule="auto"/>
        <w:jc w:val="left"/>
        <w:rPr>
          <w:rFonts w:ascii="Times New Roman" w:eastAsia="Times New Roman" w:hAnsi="Times New Roman"/>
          <w:sz w:val="24"/>
          <w:szCs w:val="24"/>
          <w:lang w:val="sk-SK" w:eastAsia="sk-SK"/>
        </w:rPr>
      </w:pPr>
    </w:p>
    <w:p w14:paraId="6C9CBBAB" w14:textId="2C78041D" w:rsidR="00585CDF" w:rsidRPr="00974AA1" w:rsidRDefault="00585CDF" w:rsidP="00547AAC">
      <w:pPr>
        <w:spacing w:after="100"/>
        <w:rPr>
          <w:b/>
          <w:bCs/>
          <w:sz w:val="22"/>
          <w:lang w:val="en-GB"/>
        </w:rPr>
      </w:pPr>
    </w:p>
    <w:p w14:paraId="53D87A31" w14:textId="492966EB" w:rsidR="00585CDF" w:rsidRPr="006B1EE9" w:rsidRDefault="00585CDF" w:rsidP="00547AAC">
      <w:pPr>
        <w:spacing w:after="100"/>
      </w:pPr>
    </w:p>
    <w:p w14:paraId="6FC66118" w14:textId="77777777" w:rsidR="00585CDF" w:rsidRPr="006B1EE9" w:rsidRDefault="00585CDF" w:rsidP="00547AAC">
      <w:pPr>
        <w:spacing w:after="100"/>
      </w:pP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BE39" w14:textId="77777777" w:rsidR="00ED0D67" w:rsidRDefault="00ED0D67" w:rsidP="0036679C">
      <w:r>
        <w:separator/>
      </w:r>
    </w:p>
    <w:p w14:paraId="28B17DA8" w14:textId="77777777" w:rsidR="00ED0D67" w:rsidRDefault="00ED0D67"/>
  </w:endnote>
  <w:endnote w:type="continuationSeparator" w:id="0">
    <w:p w14:paraId="5767CAA8" w14:textId="77777777" w:rsidR="00ED0D67" w:rsidRDefault="00ED0D67" w:rsidP="0036679C">
      <w:r>
        <w:continuationSeparator/>
      </w:r>
    </w:p>
    <w:p w14:paraId="43D667D2" w14:textId="77777777" w:rsidR="00ED0D67" w:rsidRDefault="00ED0D67"/>
  </w:endnote>
  <w:endnote w:type="continuationNotice" w:id="1">
    <w:p w14:paraId="7620BC7E" w14:textId="77777777" w:rsidR="00ED0D67" w:rsidRDefault="00ED0D67" w:rsidP="0036679C"/>
    <w:p w14:paraId="60EC1D1D" w14:textId="77777777" w:rsidR="00ED0D67" w:rsidRDefault="00ED0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3E92" w14:textId="77777777" w:rsidR="00ED0D67" w:rsidRPr="00A510E1" w:rsidRDefault="00ED0D67" w:rsidP="0036679C">
      <w:r w:rsidRPr="00A510E1">
        <w:separator/>
      </w:r>
    </w:p>
  </w:footnote>
  <w:footnote w:type="continuationSeparator" w:id="0">
    <w:p w14:paraId="74BF0069" w14:textId="77777777" w:rsidR="00ED0D67" w:rsidRDefault="00ED0D67" w:rsidP="0036679C">
      <w:r>
        <w:continuationSeparator/>
      </w:r>
    </w:p>
    <w:p w14:paraId="5E7FB9DF" w14:textId="77777777" w:rsidR="00ED0D67" w:rsidRDefault="00ED0D67"/>
  </w:footnote>
  <w:footnote w:type="continuationNotice" w:id="1">
    <w:p w14:paraId="62863D1A" w14:textId="77777777" w:rsidR="00ED0D67" w:rsidRDefault="00ED0D67" w:rsidP="0036679C"/>
    <w:p w14:paraId="52E2EE6D" w14:textId="77777777" w:rsidR="00ED0D67" w:rsidRDefault="00ED0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751809008">
    <w:abstractNumId w:val="18"/>
  </w:num>
  <w:num w:numId="2" w16cid:durableId="1192495470">
    <w:abstractNumId w:val="6"/>
  </w:num>
  <w:num w:numId="3" w16cid:durableId="1863009444">
    <w:abstractNumId w:val="3"/>
  </w:num>
  <w:num w:numId="4" w16cid:durableId="1812823973">
    <w:abstractNumId w:val="8"/>
  </w:num>
  <w:num w:numId="5" w16cid:durableId="48698109">
    <w:abstractNumId w:val="15"/>
  </w:num>
  <w:num w:numId="6" w16cid:durableId="925453532">
    <w:abstractNumId w:val="25"/>
  </w:num>
  <w:num w:numId="7" w16cid:durableId="1902060124">
    <w:abstractNumId w:val="13"/>
  </w:num>
  <w:num w:numId="8" w16cid:durableId="979456258">
    <w:abstractNumId w:val="23"/>
  </w:num>
  <w:num w:numId="9" w16cid:durableId="408230960">
    <w:abstractNumId w:val="11"/>
  </w:num>
  <w:num w:numId="10" w16cid:durableId="603464801">
    <w:abstractNumId w:val="22"/>
  </w:num>
  <w:num w:numId="11" w16cid:durableId="1172641964">
    <w:abstractNumId w:val="21"/>
  </w:num>
  <w:num w:numId="12" w16cid:durableId="1152867124">
    <w:abstractNumId w:val="24"/>
  </w:num>
  <w:num w:numId="13" w16cid:durableId="1454593638">
    <w:abstractNumId w:val="4"/>
  </w:num>
  <w:num w:numId="14" w16cid:durableId="2090955683">
    <w:abstractNumId w:val="29"/>
  </w:num>
  <w:num w:numId="15" w16cid:durableId="1514950849">
    <w:abstractNumId w:val="32"/>
  </w:num>
  <w:num w:numId="16" w16cid:durableId="1242907962">
    <w:abstractNumId w:val="20"/>
  </w:num>
  <w:num w:numId="17" w16cid:durableId="974992992">
    <w:abstractNumId w:val="7"/>
  </w:num>
  <w:num w:numId="18" w16cid:durableId="1386022317">
    <w:abstractNumId w:val="28"/>
  </w:num>
  <w:num w:numId="19" w16cid:durableId="154339890">
    <w:abstractNumId w:val="1"/>
  </w:num>
  <w:num w:numId="20" w16cid:durableId="536822894">
    <w:abstractNumId w:val="31"/>
  </w:num>
  <w:num w:numId="21" w16cid:durableId="1810780218">
    <w:abstractNumId w:val="27"/>
  </w:num>
  <w:num w:numId="22" w16cid:durableId="1711762564">
    <w:abstractNumId w:val="0"/>
  </w:num>
  <w:num w:numId="23" w16cid:durableId="570971454">
    <w:abstractNumId w:val="19"/>
  </w:num>
  <w:num w:numId="24" w16cid:durableId="2131824045">
    <w:abstractNumId w:val="12"/>
  </w:num>
  <w:num w:numId="25" w16cid:durableId="1085610594">
    <w:abstractNumId w:val="26"/>
  </w:num>
  <w:num w:numId="26" w16cid:durableId="56058363">
    <w:abstractNumId w:val="9"/>
  </w:num>
  <w:num w:numId="27" w16cid:durableId="375352490">
    <w:abstractNumId w:val="14"/>
  </w:num>
  <w:num w:numId="28" w16cid:durableId="751777292">
    <w:abstractNumId w:val="10"/>
  </w:num>
  <w:num w:numId="29" w16cid:durableId="559022327">
    <w:abstractNumId w:val="2"/>
  </w:num>
  <w:num w:numId="30" w16cid:durableId="1864631612">
    <w:abstractNumId w:val="30"/>
  </w:num>
  <w:num w:numId="31" w16cid:durableId="31850902">
    <w:abstractNumId w:val="5"/>
  </w:num>
  <w:num w:numId="32" w16cid:durableId="1614827306">
    <w:abstractNumId w:val="5"/>
  </w:num>
  <w:num w:numId="33" w16cid:durableId="2128619053">
    <w:abstractNumId w:val="5"/>
  </w:num>
  <w:num w:numId="34" w16cid:durableId="1843276148">
    <w:abstractNumId w:val="5"/>
  </w:num>
  <w:num w:numId="35" w16cid:durableId="1543975663">
    <w:abstractNumId w:val="33"/>
  </w:num>
  <w:num w:numId="36" w16cid:durableId="18434814">
    <w:abstractNumId w:val="17"/>
  </w:num>
  <w:num w:numId="37" w16cid:durableId="375273604">
    <w:abstractNumId w:val="16"/>
  </w:num>
  <w:num w:numId="38" w16cid:durableId="4712146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6943681">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33399575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7AF"/>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1B6"/>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5EF1"/>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258B"/>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3E19"/>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18C8"/>
    <w:rsid w:val="005E21F6"/>
    <w:rsid w:val="005E5271"/>
    <w:rsid w:val="005E59E5"/>
    <w:rsid w:val="005E5F3C"/>
    <w:rsid w:val="005F1508"/>
    <w:rsid w:val="005F2147"/>
    <w:rsid w:val="005F2CF5"/>
    <w:rsid w:val="006010D4"/>
    <w:rsid w:val="00602226"/>
    <w:rsid w:val="0060276B"/>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8658A"/>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9B0"/>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2D29"/>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6DF"/>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1FCD"/>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1B48"/>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0D67"/>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1127978">
      <w:bodyDiv w:val="1"/>
      <w:marLeft w:val="0"/>
      <w:marRight w:val="0"/>
      <w:marTop w:val="0"/>
      <w:marBottom w:val="0"/>
      <w:divBdr>
        <w:top w:val="none" w:sz="0" w:space="0" w:color="auto"/>
        <w:left w:val="none" w:sz="0" w:space="0" w:color="auto"/>
        <w:bottom w:val="none" w:sz="0" w:space="0" w:color="auto"/>
        <w:right w:val="none" w:sz="0" w:space="0" w:color="auto"/>
      </w:divBdr>
      <w:divsChild>
        <w:div w:id="1844978438">
          <w:marLeft w:val="0"/>
          <w:marRight w:val="0"/>
          <w:marTop w:val="0"/>
          <w:marBottom w:val="0"/>
          <w:divBdr>
            <w:top w:val="none" w:sz="0" w:space="0" w:color="auto"/>
            <w:left w:val="none" w:sz="0" w:space="0" w:color="auto"/>
            <w:bottom w:val="none" w:sz="0" w:space="0" w:color="auto"/>
            <w:right w:val="none" w:sz="0" w:space="0" w:color="auto"/>
          </w:divBdr>
          <w:divsChild>
            <w:div w:id="149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63860691">
      <w:bodyDiv w:val="1"/>
      <w:marLeft w:val="0"/>
      <w:marRight w:val="0"/>
      <w:marTop w:val="0"/>
      <w:marBottom w:val="0"/>
      <w:divBdr>
        <w:top w:val="none" w:sz="0" w:space="0" w:color="auto"/>
        <w:left w:val="none" w:sz="0" w:space="0" w:color="auto"/>
        <w:bottom w:val="none" w:sz="0" w:space="0" w:color="auto"/>
        <w:right w:val="none" w:sz="0" w:space="0" w:color="auto"/>
      </w:divBdr>
      <w:divsChild>
        <w:div w:id="1277978426">
          <w:marLeft w:val="0"/>
          <w:marRight w:val="0"/>
          <w:marTop w:val="0"/>
          <w:marBottom w:val="0"/>
          <w:divBdr>
            <w:top w:val="none" w:sz="0" w:space="0" w:color="auto"/>
            <w:left w:val="none" w:sz="0" w:space="0" w:color="auto"/>
            <w:bottom w:val="none" w:sz="0" w:space="0" w:color="auto"/>
            <w:right w:val="none" w:sz="0" w:space="0" w:color="auto"/>
          </w:divBdr>
          <w:divsChild>
            <w:div w:id="15331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4270">
      <w:bodyDiv w:val="1"/>
      <w:marLeft w:val="0"/>
      <w:marRight w:val="0"/>
      <w:marTop w:val="0"/>
      <w:marBottom w:val="0"/>
      <w:divBdr>
        <w:top w:val="none" w:sz="0" w:space="0" w:color="auto"/>
        <w:left w:val="none" w:sz="0" w:space="0" w:color="auto"/>
        <w:bottom w:val="none" w:sz="0" w:space="0" w:color="auto"/>
        <w:right w:val="none" w:sz="0" w:space="0" w:color="auto"/>
      </w:divBdr>
      <w:divsChild>
        <w:div w:id="1131702398">
          <w:marLeft w:val="0"/>
          <w:marRight w:val="0"/>
          <w:marTop w:val="0"/>
          <w:marBottom w:val="0"/>
          <w:divBdr>
            <w:top w:val="none" w:sz="0" w:space="0" w:color="auto"/>
            <w:left w:val="none" w:sz="0" w:space="0" w:color="auto"/>
            <w:bottom w:val="none" w:sz="0" w:space="0" w:color="auto"/>
            <w:right w:val="none" w:sz="0" w:space="0" w:color="auto"/>
          </w:divBdr>
          <w:divsChild>
            <w:div w:id="7076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57059500">
      <w:bodyDiv w:val="1"/>
      <w:marLeft w:val="0"/>
      <w:marRight w:val="0"/>
      <w:marTop w:val="0"/>
      <w:marBottom w:val="0"/>
      <w:divBdr>
        <w:top w:val="none" w:sz="0" w:space="0" w:color="auto"/>
        <w:left w:val="none" w:sz="0" w:space="0" w:color="auto"/>
        <w:bottom w:val="none" w:sz="0" w:space="0" w:color="auto"/>
        <w:right w:val="none" w:sz="0" w:space="0" w:color="auto"/>
      </w:divBdr>
      <w:divsChild>
        <w:div w:id="1120339351">
          <w:marLeft w:val="0"/>
          <w:marRight w:val="0"/>
          <w:marTop w:val="0"/>
          <w:marBottom w:val="0"/>
          <w:divBdr>
            <w:top w:val="none" w:sz="0" w:space="0" w:color="auto"/>
            <w:left w:val="none" w:sz="0" w:space="0" w:color="auto"/>
            <w:bottom w:val="none" w:sz="0" w:space="0" w:color="auto"/>
            <w:right w:val="none" w:sz="0" w:space="0" w:color="auto"/>
          </w:divBdr>
          <w:divsChild>
            <w:div w:id="532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6505">
      <w:bodyDiv w:val="1"/>
      <w:marLeft w:val="0"/>
      <w:marRight w:val="0"/>
      <w:marTop w:val="0"/>
      <w:marBottom w:val="0"/>
      <w:divBdr>
        <w:top w:val="none" w:sz="0" w:space="0" w:color="auto"/>
        <w:left w:val="none" w:sz="0" w:space="0" w:color="auto"/>
        <w:bottom w:val="none" w:sz="0" w:space="0" w:color="auto"/>
        <w:right w:val="none" w:sz="0" w:space="0" w:color="auto"/>
      </w:divBdr>
      <w:divsChild>
        <w:div w:id="397946713">
          <w:marLeft w:val="0"/>
          <w:marRight w:val="0"/>
          <w:marTop w:val="0"/>
          <w:marBottom w:val="0"/>
          <w:divBdr>
            <w:top w:val="none" w:sz="0" w:space="0" w:color="auto"/>
            <w:left w:val="none" w:sz="0" w:space="0" w:color="auto"/>
            <w:bottom w:val="none" w:sz="0" w:space="0" w:color="auto"/>
            <w:right w:val="none" w:sz="0" w:space="0" w:color="auto"/>
          </w:divBdr>
          <w:divsChild>
            <w:div w:id="18884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TotalTime>
  <Pages>2</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Oliver Kopún</cp:lastModifiedBy>
  <cp:revision>2</cp:revision>
  <cp:lastPrinted>2020-01-04T17:32:00Z</cp:lastPrinted>
  <dcterms:created xsi:type="dcterms:W3CDTF">2023-03-20T07:32:00Z</dcterms:created>
  <dcterms:modified xsi:type="dcterms:W3CDTF">2023-03-20T07:32:00Z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